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56FC5" w:rsidRPr="00BC16C8" w:rsidP="00456FC5">
      <w:pPr>
        <w:pStyle w:val="Default"/>
        <w:jc w:val="center"/>
        <w:rPr>
          <w:b/>
          <w:color w:val="auto"/>
          <w:sz w:val="28"/>
        </w:rPr>
      </w:pPr>
      <w:r w:rsidRPr="00BC16C8">
        <w:rPr>
          <w:b/>
          <w:color w:val="auto"/>
          <w:sz w:val="28"/>
        </w:rPr>
        <w:t>Informatīvais ziņojums par Ekonomiskās sadarbības un attīstības organizācijas rekomendāciju</w:t>
      </w:r>
      <w:r w:rsidRPr="00BC16C8">
        <w:t xml:space="preserve"> </w:t>
      </w:r>
      <w:r w:rsidRPr="00BC16C8">
        <w:rPr>
          <w:b/>
          <w:color w:val="auto"/>
          <w:sz w:val="28"/>
        </w:rPr>
        <w:t>veselības jomā ieviešanas progresu</w:t>
      </w:r>
    </w:p>
    <w:p w:rsidR="00F04B0F" w:rsidRPr="00BC16C8" w:rsidP="00E62C6E">
      <w:pPr>
        <w:pStyle w:val="Default"/>
        <w:jc w:val="both"/>
        <w:rPr>
          <w:b/>
          <w:color w:val="auto"/>
          <w:u w:val="single"/>
        </w:rPr>
      </w:pPr>
    </w:p>
    <w:p w:rsidR="00E0382C" w:rsidRPr="00E0382C" w:rsidP="00262C93">
      <w:pPr>
        <w:pStyle w:val="Default"/>
        <w:ind w:firstLine="709"/>
        <w:jc w:val="both"/>
        <w:rPr>
          <w:color w:val="auto"/>
        </w:rPr>
      </w:pPr>
      <w:r w:rsidRPr="00E0382C">
        <w:rPr>
          <w:color w:val="auto"/>
        </w:rPr>
        <w:t>2016.gada 1.jūlijā Latvija kļuva par Ekonomiskās sadarbības un attīstības organizācijas (</w:t>
      </w:r>
      <w:r w:rsidRPr="00E0382C">
        <w:rPr>
          <w:i/>
          <w:color w:val="auto"/>
          <w:lang w:val="en-GB"/>
        </w:rPr>
        <w:t>Organisation for Economic Co-operation and Development</w:t>
      </w:r>
      <w:r w:rsidRPr="00E0382C">
        <w:rPr>
          <w:color w:val="auto"/>
        </w:rPr>
        <w:t xml:space="preserve"> – turpmāk tekstā OECD) dalībvalsti. Pirms pievienošanās šai organizācijai, Latvijas gatavība dalībai tika vērtēta visās tās tematiskajās komitejās, t.sk., Veselības komitejā, kura rekomendēja atbalstīt Latvijas iestāšanos, vienlaikus izsakot kopumā piecas rekomendācijas, pie kuru ieviešanas Latvijai bija jāstrādā turpmākos divus gadus:</w:t>
      </w:r>
    </w:p>
    <w:p w:rsidR="00E0382C" w:rsidRPr="00E0382C" w:rsidP="00E0382C">
      <w:pPr>
        <w:pStyle w:val="Default"/>
        <w:ind w:left="709" w:hanging="709"/>
        <w:rPr>
          <w:color w:val="auto"/>
        </w:rPr>
      </w:pPr>
    </w:p>
    <w:p w:rsidR="000724DA" w:rsidRPr="00BC16C8" w:rsidP="00E0382C">
      <w:pPr>
        <w:pStyle w:val="Default"/>
        <w:ind w:left="709" w:hanging="709"/>
        <w:jc w:val="both"/>
        <w:rPr>
          <w:color w:val="auto"/>
        </w:rPr>
      </w:pPr>
      <w:r w:rsidRPr="00E0382C">
        <w:rPr>
          <w:color w:val="auto"/>
        </w:rPr>
        <w:t>1)</w:t>
      </w:r>
      <w:r w:rsidRPr="00E0382C">
        <w:rPr>
          <w:color w:val="auto"/>
        </w:rPr>
        <w:tab/>
      </w:r>
      <w:r w:rsidRPr="00C90BC6">
        <w:rPr>
          <w:color w:val="auto"/>
        </w:rPr>
        <w:t>Radīt</w:t>
      </w:r>
      <w:r w:rsidRPr="00BC16C8">
        <w:rPr>
          <w:color w:val="auto"/>
        </w:rPr>
        <w:t xml:space="preserve"> uz datiem balstītu veselības aprūpes sistēmu, izstrādājot galvenos darbības indikatorus pieejai, kvalitātei, efektivitātei un ilgtspējai; virzīties uz pakalpojumu sniedzēja līmeņa darbības pasākumu atklātību un salīdzinošo novērtēšanu.</w:t>
      </w:r>
    </w:p>
    <w:p w:rsidR="009F2DFF" w:rsidRPr="00BC16C8" w:rsidP="009F2DFF">
      <w:pPr>
        <w:pStyle w:val="Default"/>
        <w:ind w:left="709" w:hanging="709"/>
        <w:jc w:val="both"/>
        <w:rPr>
          <w:color w:val="auto"/>
        </w:rPr>
      </w:pPr>
      <w:r w:rsidRPr="00BC16C8">
        <w:rPr>
          <w:color w:val="auto"/>
        </w:rPr>
        <w:t>2)</w:t>
      </w:r>
      <w:r w:rsidRPr="00BC16C8">
        <w:rPr>
          <w:color w:val="auto"/>
        </w:rPr>
        <w:tab/>
        <w:t>Uzlabot piekļuvi aprūpei, jo īpaši samazinot pacienta līdzmaksājumu  un apsverot atkārtotu ieviešanu atbrīvojumam no līdzmaksājuma neaizsargātām un maznodrošinātām grupām.</w:t>
      </w:r>
    </w:p>
    <w:p w:rsidR="009F2DFF" w:rsidRPr="00BC16C8" w:rsidP="009F2DFF">
      <w:pPr>
        <w:pStyle w:val="Default"/>
        <w:ind w:left="709" w:hanging="709"/>
        <w:jc w:val="both"/>
        <w:rPr>
          <w:color w:val="auto"/>
        </w:rPr>
      </w:pPr>
      <w:r w:rsidRPr="00BC16C8">
        <w:rPr>
          <w:color w:val="auto"/>
        </w:rPr>
        <w:t>3)</w:t>
      </w:r>
      <w:r w:rsidRPr="00BC16C8">
        <w:rPr>
          <w:color w:val="auto"/>
        </w:rPr>
        <w:tab/>
        <w:t>Uzlabot aprūpes kvalitāti, labāk izmantojot valsts pacientu reģistru, plašāku kvalitātes un rezultātu datu vākšanu, un ieviešot valsts sistēmu, lai mācītos no nevēlamiem notikumiem.</w:t>
      </w:r>
    </w:p>
    <w:p w:rsidR="009F2DFF" w:rsidRPr="00BC16C8" w:rsidP="009F2DFF">
      <w:pPr>
        <w:pStyle w:val="Default"/>
        <w:ind w:left="709" w:hanging="709"/>
        <w:jc w:val="both"/>
        <w:rPr>
          <w:color w:val="auto"/>
        </w:rPr>
      </w:pPr>
      <w:r w:rsidRPr="00BC16C8">
        <w:rPr>
          <w:color w:val="auto"/>
        </w:rPr>
        <w:t>4)</w:t>
      </w:r>
      <w:r w:rsidRPr="00BC16C8">
        <w:rPr>
          <w:color w:val="auto"/>
        </w:rPr>
        <w:tab/>
        <w:t>Efektīvāk sniegt profilaktisko aprūpi, izmantojot plašāku starpnozaru darbu, labāk izmantojot māsas ģimenes ārstu praksēs un labāk iesaistot farmaceitus profilaktiskajā aprūpē.</w:t>
      </w:r>
    </w:p>
    <w:p w:rsidR="009F2DFF" w:rsidRPr="00BC16C8" w:rsidP="009F2DFF">
      <w:pPr>
        <w:pStyle w:val="Default"/>
        <w:ind w:left="709" w:hanging="709"/>
        <w:jc w:val="both"/>
        <w:rPr>
          <w:color w:val="auto"/>
        </w:rPr>
      </w:pPr>
      <w:r w:rsidRPr="00BC16C8">
        <w:rPr>
          <w:color w:val="auto"/>
        </w:rPr>
        <w:t>5)</w:t>
      </w:r>
      <w:r w:rsidRPr="00BC16C8">
        <w:rPr>
          <w:color w:val="auto"/>
        </w:rPr>
        <w:tab/>
        <w:t>Palielināt veselības izdevumus uz vienu iedzīvotāju līdz līmenim, kas tuvinās OECD vidējam rādītājam, izmantojot mērķtiecīgu un regulāru izdevumu pieaugumu.</w:t>
      </w:r>
    </w:p>
    <w:p w:rsidR="009F2DFF" w:rsidRPr="00BC16C8" w:rsidP="009F2DFF">
      <w:pPr>
        <w:pStyle w:val="Default"/>
        <w:ind w:left="709" w:hanging="709"/>
        <w:jc w:val="both"/>
        <w:rPr>
          <w:color w:val="auto"/>
        </w:rPr>
      </w:pPr>
    </w:p>
    <w:p w:rsidR="00B57FFD" w:rsidP="00BB13B0">
      <w:pPr>
        <w:tabs>
          <w:tab w:val="clear" w:pos="850"/>
          <w:tab w:val="clear" w:pos="1191"/>
          <w:tab w:val="clear" w:pos="1531"/>
        </w:tabs>
        <w:ind w:firstLine="709"/>
        <w:rPr>
          <w:sz w:val="24"/>
          <w:szCs w:val="24"/>
          <w:lang w:val="lv-LV"/>
        </w:rPr>
      </w:pPr>
      <w:r w:rsidRPr="00BC16C8">
        <w:rPr>
          <w:sz w:val="24"/>
          <w:szCs w:val="24"/>
          <w:lang w:val="lv-LV"/>
        </w:rPr>
        <w:t xml:space="preserve">Saskaņā ar OECD Padomes lēmumu Latvijai jāiesniedz progresa ziņojums attiecībā uz Veselības komitejas izteiktajām rekomendācijām </w:t>
      </w:r>
      <w:r w:rsidRPr="00B57FFD">
        <w:rPr>
          <w:sz w:val="24"/>
          <w:szCs w:val="24"/>
          <w:lang w:val="lv-LV"/>
        </w:rPr>
        <w:t>tās vasaras sesijas laikā, kas noti</w:t>
      </w:r>
      <w:r w:rsidR="000A0B6F">
        <w:rPr>
          <w:sz w:val="24"/>
          <w:szCs w:val="24"/>
          <w:lang w:val="lv-LV"/>
        </w:rPr>
        <w:t>ks</w:t>
      </w:r>
      <w:r w:rsidRPr="00B57FFD">
        <w:rPr>
          <w:sz w:val="24"/>
          <w:szCs w:val="24"/>
          <w:lang w:val="lv-LV"/>
        </w:rPr>
        <w:t xml:space="preserve"> no 2018.gada 27.-28.jūnijam</w:t>
      </w:r>
      <w:r>
        <w:rPr>
          <w:sz w:val="24"/>
          <w:szCs w:val="24"/>
          <w:lang w:val="lv-LV"/>
        </w:rPr>
        <w:t>.</w:t>
      </w:r>
      <w:r w:rsidRPr="009859D9" w:rsidR="009859D9">
        <w:rPr>
          <w:lang w:val="lv-LV"/>
        </w:rPr>
        <w:t xml:space="preserve"> </w:t>
      </w:r>
      <w:r w:rsidR="009859D9">
        <w:rPr>
          <w:sz w:val="24"/>
          <w:szCs w:val="24"/>
          <w:lang w:val="lv-LV"/>
        </w:rPr>
        <w:t>L</w:t>
      </w:r>
      <w:r w:rsidRPr="009859D9" w:rsidR="009859D9">
        <w:rPr>
          <w:sz w:val="24"/>
          <w:szCs w:val="24"/>
          <w:lang w:val="lv-LV"/>
        </w:rPr>
        <w:t>ai novērtētu Latvijas panākto progresu iepriekš minētajos jautājumos, laikā no 2018.gada 7.-9.martam Latvijā bija ieradušies OECD eksperti un šīs vizītes rezultātā tiek gatavots ziņojums, kas arī tiks prezentēts jau iepriekš minētajā Veselības komitejas vasaras sesijā.</w:t>
      </w:r>
    </w:p>
    <w:p w:rsidR="00BC16C8" w:rsidRPr="009859D9" w:rsidP="00BB13B0">
      <w:pPr>
        <w:tabs>
          <w:tab w:val="clear" w:pos="850"/>
          <w:tab w:val="clear" w:pos="1191"/>
          <w:tab w:val="clear" w:pos="1531"/>
        </w:tabs>
        <w:ind w:firstLine="709"/>
        <w:rPr>
          <w:sz w:val="24"/>
          <w:szCs w:val="24"/>
          <w:lang w:val="lv-LV"/>
        </w:rPr>
      </w:pPr>
      <w:r>
        <w:rPr>
          <w:sz w:val="24"/>
          <w:szCs w:val="24"/>
          <w:lang w:val="lv-LV"/>
        </w:rPr>
        <w:t>Savukārt a</w:t>
      </w:r>
      <w:r w:rsidRPr="00BC16C8">
        <w:rPr>
          <w:sz w:val="24"/>
          <w:szCs w:val="24"/>
          <w:lang w:val="lv-LV"/>
        </w:rPr>
        <w:t xml:space="preserve">tbilstoši Ministru kabineta 2016. gada 18. augusta sēdes protokola Nr.41, 4.§ 10. punktam Veselības ministrijai uzdots iesniegt Ministru kabinetā </w:t>
      </w:r>
      <w:r w:rsidRPr="00BC16C8">
        <w:rPr>
          <w:sz w:val="24"/>
          <w:szCs w:val="24"/>
          <w:u w:val="single"/>
          <w:lang w:val="lv-LV"/>
        </w:rPr>
        <w:t>informatīvo ziņojumu</w:t>
      </w:r>
      <w:r w:rsidRPr="00BC16C8">
        <w:rPr>
          <w:sz w:val="24"/>
          <w:szCs w:val="24"/>
          <w:lang w:val="lv-LV"/>
        </w:rPr>
        <w:t xml:space="preserve"> par </w:t>
      </w:r>
      <w:r w:rsidR="00ED0A15">
        <w:rPr>
          <w:sz w:val="24"/>
          <w:szCs w:val="24"/>
          <w:lang w:val="lv-LV"/>
        </w:rPr>
        <w:t xml:space="preserve">Ārlietu ministrijas </w:t>
      </w:r>
      <w:r w:rsidRPr="00BC16C8">
        <w:rPr>
          <w:sz w:val="24"/>
          <w:szCs w:val="24"/>
          <w:lang w:val="lv-LV"/>
        </w:rPr>
        <w:t xml:space="preserve">informatīvā ziņojuma "Par sarunu noslēgšanu par Latvijas pievienošanos Ekonomiskās sadarbības un attīstības organizācijai (OECD)" 1. pielikumā uzskaitīto rekomendāciju ieviešanas progresu </w:t>
      </w:r>
      <w:r w:rsidRPr="00BC16C8">
        <w:rPr>
          <w:sz w:val="24"/>
          <w:szCs w:val="24"/>
          <w:u w:val="single"/>
          <w:lang w:val="lv-LV"/>
        </w:rPr>
        <w:t>pirms attiecīgo pēc iestāšanās ziņojumu izskatīšanas Veselības komitejā</w:t>
      </w:r>
      <w:r w:rsidRPr="00BC16C8">
        <w:rPr>
          <w:sz w:val="24"/>
          <w:szCs w:val="24"/>
          <w:lang w:val="lv-LV"/>
        </w:rPr>
        <w:t>.</w:t>
      </w:r>
    </w:p>
    <w:p w:rsidR="009F2DFF" w:rsidRPr="00BC16C8" w:rsidP="009F2DFF">
      <w:pPr>
        <w:pStyle w:val="Default"/>
        <w:ind w:firstLine="709"/>
        <w:jc w:val="both"/>
        <w:rPr>
          <w:color w:val="auto"/>
        </w:rPr>
      </w:pPr>
      <w:r>
        <w:rPr>
          <w:color w:val="auto"/>
        </w:rPr>
        <w:t xml:space="preserve">Saskaņā ar minēto Veselības ministrija ir sagatavojusi </w:t>
      </w:r>
      <w:r w:rsidR="00433053">
        <w:rPr>
          <w:color w:val="auto"/>
        </w:rPr>
        <w:t xml:space="preserve">informatīvo </w:t>
      </w:r>
      <w:r w:rsidRPr="00BC16C8">
        <w:rPr>
          <w:color w:val="auto"/>
        </w:rPr>
        <w:t>ziņojum</w:t>
      </w:r>
      <w:r w:rsidR="00433053">
        <w:rPr>
          <w:color w:val="auto"/>
        </w:rPr>
        <w:t>u, kurā</w:t>
      </w:r>
      <w:r w:rsidRPr="00BC16C8">
        <w:rPr>
          <w:color w:val="auto"/>
        </w:rPr>
        <w:t xml:space="preserve">  izklāstī</w:t>
      </w:r>
      <w:r w:rsidR="00433053">
        <w:rPr>
          <w:color w:val="auto"/>
        </w:rPr>
        <w:t>tas</w:t>
      </w:r>
      <w:r w:rsidRPr="00BC16C8">
        <w:rPr>
          <w:color w:val="auto"/>
        </w:rPr>
        <w:t xml:space="preserve"> galvenās veiktās aktivitātes rekomendāciju ieviešanā. </w:t>
      </w:r>
    </w:p>
    <w:p w:rsidR="001D20BA" w:rsidRPr="00BC16C8" w:rsidP="009F2DFF">
      <w:pPr>
        <w:pStyle w:val="Default"/>
        <w:ind w:firstLine="709"/>
        <w:jc w:val="both"/>
        <w:rPr>
          <w:color w:val="auto"/>
        </w:rPr>
      </w:pPr>
    </w:p>
    <w:p w:rsidR="001D20BA" w:rsidRPr="00BC16C8" w:rsidP="009F2DFF">
      <w:pPr>
        <w:pStyle w:val="Default"/>
        <w:ind w:firstLine="709"/>
        <w:jc w:val="both"/>
        <w:rPr>
          <w:color w:val="auto"/>
        </w:rPr>
      </w:pPr>
    </w:p>
    <w:p w:rsidR="00E62C6E" w:rsidRPr="00262C93" w:rsidP="00E62C6E">
      <w:pPr>
        <w:pStyle w:val="Default"/>
        <w:jc w:val="both"/>
        <w:rPr>
          <w:b/>
          <w:color w:val="auto"/>
          <w:u w:val="single"/>
        </w:rPr>
      </w:pPr>
      <w:r w:rsidRPr="00262C93">
        <w:rPr>
          <w:b/>
          <w:color w:val="auto"/>
          <w:u w:val="single"/>
        </w:rPr>
        <w:t>1.rekomendācija:</w:t>
      </w:r>
    </w:p>
    <w:p w:rsidR="001D20BA" w:rsidRPr="00262C93" w:rsidP="00E62C6E">
      <w:pPr>
        <w:pStyle w:val="Default"/>
        <w:jc w:val="both"/>
        <w:rPr>
          <w:b/>
          <w:color w:val="auto"/>
        </w:rPr>
      </w:pPr>
    </w:p>
    <w:p w:rsidR="00E66F13" w:rsidRPr="00262C93" w:rsidP="00E62C6E">
      <w:pPr>
        <w:pStyle w:val="Default"/>
        <w:jc w:val="both"/>
        <w:rPr>
          <w:b/>
          <w:color w:val="auto"/>
        </w:rPr>
      </w:pPr>
      <w:r w:rsidRPr="00262C93">
        <w:rPr>
          <w:b/>
          <w:color w:val="auto"/>
        </w:rPr>
        <w:t xml:space="preserve">Radīt </w:t>
      </w:r>
      <w:bookmarkStart w:id="0" w:name="_Hlk514666880"/>
      <w:r w:rsidRPr="00262C93">
        <w:rPr>
          <w:b/>
          <w:color w:val="auto"/>
        </w:rPr>
        <w:t>uz datiem balstītu veselības aprūpes sistēmu</w:t>
      </w:r>
      <w:bookmarkEnd w:id="0"/>
      <w:r w:rsidRPr="00262C93">
        <w:rPr>
          <w:b/>
          <w:color w:val="auto"/>
        </w:rPr>
        <w:t>, izstrādājot galvenos darbības indikatorus pieejai, kvalitātei, efektivitātei un ilgtspējai; virzīties uz pakalpojumu sniedzēja līmeņa darbības pasākumu atklāt</w:t>
      </w:r>
      <w:r w:rsidRPr="00262C93" w:rsidR="00531DC3">
        <w:rPr>
          <w:b/>
          <w:color w:val="auto"/>
        </w:rPr>
        <w:t>ību</w:t>
      </w:r>
      <w:r w:rsidRPr="00262C93">
        <w:rPr>
          <w:b/>
          <w:color w:val="auto"/>
        </w:rPr>
        <w:t xml:space="preserve"> un salīdzinošo novērtēšanu</w:t>
      </w:r>
      <w:r w:rsidRPr="00262C93" w:rsidR="00E62C6E">
        <w:rPr>
          <w:b/>
          <w:color w:val="auto"/>
        </w:rPr>
        <w:t>.</w:t>
      </w:r>
    </w:p>
    <w:p w:rsidR="00204954" w:rsidRPr="00262C93" w:rsidP="00E62C6E">
      <w:pPr>
        <w:pStyle w:val="Default"/>
        <w:jc w:val="both"/>
        <w:rPr>
          <w:b/>
          <w:i/>
          <w:color w:val="auto"/>
        </w:rPr>
      </w:pPr>
      <w:r w:rsidRPr="00262C93">
        <w:rPr>
          <w:i/>
          <w:color w:val="auto"/>
          <w:lang w:val="en-GB"/>
        </w:rPr>
        <w:t>Creating a data-driven health care system, by developing key performance indicators on access, quality, efficiency and sustainability; and by moving to open publication and benchmarking of provider-level performance measures</w:t>
      </w:r>
      <w:r w:rsidRPr="00262C93" w:rsidR="00B501C8">
        <w:rPr>
          <w:i/>
          <w:color w:val="auto"/>
          <w:lang w:val="en-GB"/>
        </w:rPr>
        <w:t>.</w:t>
      </w:r>
    </w:p>
    <w:p w:rsidR="009728AC" w:rsidRPr="00BC16C8" w:rsidP="00E62C6E">
      <w:pPr>
        <w:tabs>
          <w:tab w:val="clear" w:pos="850"/>
          <w:tab w:val="clear" w:pos="1191"/>
          <w:tab w:val="clear" w:pos="1531"/>
        </w:tabs>
        <w:rPr>
          <w:rFonts w:eastAsia="Calibri"/>
          <w:sz w:val="24"/>
          <w:szCs w:val="24"/>
          <w:lang w:val="lv-LV" w:eastAsia="en-US"/>
        </w:rPr>
      </w:pPr>
    </w:p>
    <w:p w:rsidR="00A97D82" w:rsidRPr="00BC16C8" w:rsidP="001D20BA">
      <w:pPr>
        <w:tabs>
          <w:tab w:val="clear" w:pos="850"/>
          <w:tab w:val="clear" w:pos="1191"/>
          <w:tab w:val="clear" w:pos="1531"/>
        </w:tabs>
        <w:ind w:firstLine="709"/>
        <w:rPr>
          <w:sz w:val="24"/>
          <w:szCs w:val="24"/>
          <w:lang w:val="lv-LV"/>
        </w:rPr>
      </w:pPr>
      <w:r w:rsidRPr="00BC16C8">
        <w:rPr>
          <w:rFonts w:eastAsia="Calibri"/>
          <w:sz w:val="24"/>
          <w:szCs w:val="24"/>
          <w:lang w:val="lv-LV" w:eastAsia="en-US"/>
        </w:rPr>
        <w:t xml:space="preserve">Šīs rekomendācijas izpildē darbs ir veikts vairākos virzienos. </w:t>
      </w:r>
      <w:r w:rsidRPr="00BC16C8" w:rsidR="00F2366C">
        <w:rPr>
          <w:rFonts w:eastAsiaTheme="minorHAnsi"/>
          <w:sz w:val="24"/>
          <w:szCs w:val="24"/>
          <w:lang w:val="lv-LV" w:eastAsia="en-US"/>
        </w:rPr>
        <w:t>Ministru kabinetā</w:t>
      </w:r>
      <w:r w:rsidRPr="00BC16C8" w:rsidR="0036641A">
        <w:rPr>
          <w:rFonts w:eastAsiaTheme="minorHAnsi"/>
          <w:sz w:val="24"/>
          <w:szCs w:val="24"/>
          <w:lang w:val="lv-LV" w:eastAsia="en-US"/>
        </w:rPr>
        <w:t xml:space="preserve"> 2017.gada jūlijā</w:t>
      </w:r>
      <w:r w:rsidRPr="00BC16C8" w:rsidR="00F2366C">
        <w:rPr>
          <w:rFonts w:eastAsiaTheme="minorHAnsi"/>
          <w:sz w:val="24"/>
          <w:szCs w:val="24"/>
          <w:lang w:val="lv-LV" w:eastAsia="en-US"/>
        </w:rPr>
        <w:t xml:space="preserve"> tika apstiprināts Veselības ministrijas izstrādātais k</w:t>
      </w:r>
      <w:r w:rsidRPr="00BC16C8" w:rsidR="00531DC3">
        <w:rPr>
          <w:rFonts w:eastAsiaTheme="minorHAnsi"/>
          <w:sz w:val="24"/>
          <w:szCs w:val="24"/>
          <w:lang w:val="lv-LV" w:eastAsia="en-US"/>
        </w:rPr>
        <w:t>onceptuāla</w:t>
      </w:r>
      <w:r w:rsidRPr="00BC16C8" w:rsidR="00F2366C">
        <w:rPr>
          <w:rFonts w:eastAsiaTheme="minorHAnsi"/>
          <w:sz w:val="24"/>
          <w:szCs w:val="24"/>
          <w:lang w:val="lv-LV" w:eastAsia="en-US"/>
        </w:rPr>
        <w:t>is ziņojums</w:t>
      </w:r>
      <w:r w:rsidRPr="00BC16C8" w:rsidR="00531DC3">
        <w:rPr>
          <w:rFonts w:eastAsiaTheme="minorHAnsi"/>
          <w:sz w:val="24"/>
          <w:szCs w:val="24"/>
          <w:lang w:val="lv-LV" w:eastAsia="en-US"/>
        </w:rPr>
        <w:t xml:space="preserve"> </w:t>
      </w:r>
      <w:r w:rsidRPr="00BC16C8" w:rsidR="00F2366C">
        <w:rPr>
          <w:rFonts w:eastAsiaTheme="minorHAnsi"/>
          <w:sz w:val="24"/>
          <w:szCs w:val="24"/>
          <w:lang w:val="lv-LV" w:eastAsia="en-US"/>
        </w:rPr>
        <w:t>“</w:t>
      </w:r>
      <w:r w:rsidRPr="00BC16C8" w:rsidR="00531DC3">
        <w:rPr>
          <w:rFonts w:eastAsiaTheme="minorHAnsi"/>
          <w:i/>
          <w:sz w:val="24"/>
          <w:szCs w:val="24"/>
          <w:lang w:val="lv-LV" w:eastAsia="en-US"/>
        </w:rPr>
        <w:t xml:space="preserve">Par veselības sistēmas </w:t>
      </w:r>
      <w:r w:rsidRPr="00BC16C8" w:rsidR="00600B10">
        <w:rPr>
          <w:rFonts w:eastAsiaTheme="minorHAnsi"/>
          <w:i/>
          <w:sz w:val="24"/>
          <w:szCs w:val="24"/>
          <w:lang w:val="lv-LV" w:eastAsia="en-US"/>
        </w:rPr>
        <w:t>reformu</w:t>
      </w:r>
      <w:r w:rsidRPr="00BC16C8" w:rsidR="00F2366C">
        <w:rPr>
          <w:rFonts w:eastAsiaTheme="minorHAnsi"/>
          <w:sz w:val="24"/>
          <w:szCs w:val="24"/>
          <w:lang w:val="lv-LV" w:eastAsia="en-US"/>
        </w:rPr>
        <w:t>”</w:t>
      </w:r>
      <w:r>
        <w:rPr>
          <w:rStyle w:val="FootnoteReference"/>
          <w:sz w:val="24"/>
          <w:szCs w:val="24"/>
          <w:lang w:val="lv-LV" w:eastAsia="lv-LV" w:bidi="lo-LA"/>
        </w:rPr>
        <w:footnoteReference w:id="2"/>
      </w:r>
      <w:r w:rsidRPr="00BC16C8" w:rsidR="007750B3">
        <w:rPr>
          <w:rFonts w:eastAsiaTheme="minorHAnsi"/>
          <w:sz w:val="24"/>
          <w:szCs w:val="24"/>
          <w:lang w:val="lv-LV" w:eastAsia="en-US"/>
        </w:rPr>
        <w:t xml:space="preserve"> (turpmāk tekstā – Konceptuālais ziņojums)</w:t>
      </w:r>
      <w:r w:rsidRPr="00BC16C8" w:rsidR="00F2366C">
        <w:rPr>
          <w:rFonts w:eastAsiaTheme="minorHAnsi"/>
          <w:sz w:val="24"/>
          <w:szCs w:val="24"/>
          <w:lang w:val="lv-LV" w:eastAsia="en-US"/>
        </w:rPr>
        <w:t>, kurā</w:t>
      </w:r>
      <w:r w:rsidRPr="00BC16C8" w:rsidR="00531DC3">
        <w:rPr>
          <w:rFonts w:eastAsiaTheme="minorHAnsi"/>
          <w:sz w:val="24"/>
          <w:szCs w:val="24"/>
          <w:lang w:val="lv-LV" w:eastAsia="en-US"/>
        </w:rPr>
        <w:t xml:space="preserve"> ir </w:t>
      </w:r>
      <w:r w:rsidRPr="00BC16C8" w:rsidR="00F2366C">
        <w:rPr>
          <w:rFonts w:eastAsiaTheme="minorHAnsi"/>
          <w:sz w:val="24"/>
          <w:szCs w:val="24"/>
          <w:lang w:val="lv-LV" w:eastAsia="en-US"/>
        </w:rPr>
        <w:t>definēti</w:t>
      </w:r>
      <w:r w:rsidRPr="00BC16C8" w:rsidR="00531DC3">
        <w:rPr>
          <w:rFonts w:eastAsiaTheme="minorHAnsi"/>
          <w:sz w:val="24"/>
          <w:szCs w:val="24"/>
          <w:lang w:val="lv-LV" w:eastAsia="en-US"/>
        </w:rPr>
        <w:t xml:space="preserve"> </w:t>
      </w:r>
      <w:r w:rsidRPr="00BC16C8" w:rsidR="0036641A">
        <w:rPr>
          <w:rFonts w:eastAsiaTheme="minorHAnsi"/>
          <w:sz w:val="24"/>
          <w:szCs w:val="24"/>
          <w:lang w:val="lv-LV" w:eastAsia="en-US"/>
        </w:rPr>
        <w:t xml:space="preserve">sasniedzamie </w:t>
      </w:r>
      <w:r w:rsidRPr="00BC16C8" w:rsidR="0036641A">
        <w:rPr>
          <w:rFonts w:eastAsiaTheme="minorHAnsi"/>
          <w:sz w:val="24"/>
          <w:szCs w:val="24"/>
          <w:lang w:val="lv-LV" w:eastAsia="en-US"/>
        </w:rPr>
        <w:t xml:space="preserve">rezultāti jeb snieguma rādītāji (KPI – </w:t>
      </w:r>
      <w:r w:rsidRPr="00BC16C8" w:rsidR="0036641A">
        <w:rPr>
          <w:rFonts w:eastAsiaTheme="minorHAnsi"/>
          <w:i/>
          <w:sz w:val="24"/>
          <w:szCs w:val="24"/>
          <w:lang w:val="lv-LV" w:eastAsia="en-US"/>
        </w:rPr>
        <w:t>key</w:t>
      </w:r>
      <w:r w:rsidRPr="00BC16C8" w:rsidR="0036641A">
        <w:rPr>
          <w:rFonts w:eastAsiaTheme="minorHAnsi"/>
          <w:i/>
          <w:sz w:val="24"/>
          <w:szCs w:val="24"/>
          <w:lang w:val="lv-LV" w:eastAsia="en-US"/>
        </w:rPr>
        <w:t xml:space="preserve"> performance </w:t>
      </w:r>
      <w:r w:rsidRPr="00BC16C8" w:rsidR="0036641A">
        <w:rPr>
          <w:rFonts w:eastAsiaTheme="minorHAnsi"/>
          <w:i/>
          <w:sz w:val="24"/>
          <w:szCs w:val="24"/>
          <w:lang w:val="lv-LV" w:eastAsia="en-US"/>
        </w:rPr>
        <w:t>indicators</w:t>
      </w:r>
      <w:r w:rsidRPr="00BC16C8" w:rsidR="009728AC">
        <w:rPr>
          <w:rFonts w:eastAsiaTheme="minorHAnsi"/>
          <w:sz w:val="24"/>
          <w:szCs w:val="24"/>
          <w:lang w:val="lv-LV" w:eastAsia="en-US"/>
        </w:rPr>
        <w:t>),</w:t>
      </w:r>
      <w:r w:rsidRPr="00BC16C8" w:rsidR="0036641A">
        <w:rPr>
          <w:rFonts w:eastAsiaTheme="minorHAnsi"/>
          <w:sz w:val="24"/>
          <w:szCs w:val="24"/>
          <w:lang w:val="lv-LV" w:eastAsia="en-US"/>
        </w:rPr>
        <w:t xml:space="preserve"> to mērīšanas atskaites punkti</w:t>
      </w:r>
      <w:r w:rsidRPr="00BC16C8" w:rsidR="00F2366C">
        <w:rPr>
          <w:rFonts w:eastAsiaTheme="minorHAnsi"/>
          <w:sz w:val="24"/>
          <w:szCs w:val="24"/>
          <w:lang w:val="lv-LV" w:eastAsia="en-US"/>
        </w:rPr>
        <w:t>, kā piemēram,</w:t>
      </w:r>
      <w:r w:rsidRPr="00BC16C8" w:rsidR="0036641A">
        <w:rPr>
          <w:rFonts w:eastAsiaTheme="minorHAnsi"/>
          <w:sz w:val="24"/>
          <w:szCs w:val="24"/>
          <w:lang w:val="lv-LV" w:eastAsia="en-US"/>
        </w:rPr>
        <w:t xml:space="preserve"> jaundzimušo vidējais paredzamais mūža ilgums, potenciāli zaudētie mūža gadi, attālināmā </w:t>
      </w:r>
      <w:r w:rsidRPr="00BC16C8">
        <w:rPr>
          <w:rFonts w:eastAsiaTheme="minorHAnsi"/>
          <w:sz w:val="24"/>
          <w:szCs w:val="24"/>
          <w:lang w:val="lv-LV" w:eastAsia="en-US"/>
        </w:rPr>
        <w:t xml:space="preserve">/ novēršamā </w:t>
      </w:r>
      <w:r w:rsidRPr="00BC16C8" w:rsidR="0036641A">
        <w:rPr>
          <w:rFonts w:eastAsiaTheme="minorHAnsi"/>
          <w:sz w:val="24"/>
          <w:szCs w:val="24"/>
          <w:lang w:val="lv-LV" w:eastAsia="en-US"/>
        </w:rPr>
        <w:t xml:space="preserve">mirstība. </w:t>
      </w:r>
      <w:r w:rsidRPr="00BC16C8" w:rsidR="009728AC">
        <w:rPr>
          <w:sz w:val="24"/>
          <w:szCs w:val="24"/>
          <w:lang w:val="lv-LV"/>
        </w:rPr>
        <w:t xml:space="preserve">Galvenajiem </w:t>
      </w:r>
      <w:r w:rsidRPr="00BC16C8">
        <w:rPr>
          <w:sz w:val="24"/>
          <w:szCs w:val="24"/>
          <w:lang w:val="lv-LV"/>
        </w:rPr>
        <w:t>KPI</w:t>
      </w:r>
      <w:r w:rsidRPr="00BC16C8" w:rsidR="009728AC">
        <w:rPr>
          <w:sz w:val="24"/>
          <w:szCs w:val="24"/>
          <w:lang w:val="lv-LV"/>
        </w:rPr>
        <w:t xml:space="preserve"> </w:t>
      </w:r>
      <w:r w:rsidRPr="00BC16C8">
        <w:rPr>
          <w:sz w:val="24"/>
          <w:szCs w:val="24"/>
          <w:lang w:val="lv-LV"/>
        </w:rPr>
        <w:t xml:space="preserve">ir </w:t>
      </w:r>
      <w:r w:rsidRPr="00BC16C8" w:rsidR="009728AC">
        <w:rPr>
          <w:sz w:val="24"/>
          <w:szCs w:val="24"/>
          <w:lang w:val="lv-LV"/>
        </w:rPr>
        <w:t>noteikti vairāki vidējā līmeņa rādītāji, kas tieši vai pastarpināti ietekmē galvenos rādītājus un ļauj atsekot reformas rezultātus.</w:t>
      </w:r>
    </w:p>
    <w:p w:rsidR="001D20BA" w:rsidRPr="00BC16C8" w:rsidP="00E62C6E">
      <w:pPr>
        <w:tabs>
          <w:tab w:val="clear" w:pos="850"/>
          <w:tab w:val="clear" w:pos="1191"/>
          <w:tab w:val="clear" w:pos="1531"/>
        </w:tabs>
        <w:rPr>
          <w:rFonts w:eastAsia="Calibri"/>
          <w:b/>
          <w:sz w:val="24"/>
          <w:szCs w:val="24"/>
          <w:lang w:val="lv-LV" w:eastAsia="en-US"/>
        </w:rPr>
      </w:pPr>
    </w:p>
    <w:p w:rsidR="00F731AA" w:rsidRPr="00BC16C8" w:rsidP="001D20BA">
      <w:pPr>
        <w:tabs>
          <w:tab w:val="clear" w:pos="850"/>
          <w:tab w:val="clear" w:pos="1191"/>
          <w:tab w:val="clear" w:pos="1531"/>
        </w:tabs>
        <w:ind w:firstLine="709"/>
        <w:rPr>
          <w:rFonts w:eastAsiaTheme="minorHAnsi"/>
          <w:sz w:val="24"/>
          <w:szCs w:val="24"/>
          <w:lang w:val="lv-LV" w:eastAsia="en-US"/>
        </w:rPr>
      </w:pPr>
      <w:r w:rsidRPr="00BC16C8">
        <w:rPr>
          <w:sz w:val="24"/>
          <w:szCs w:val="24"/>
          <w:lang w:val="lv-LV"/>
        </w:rPr>
        <w:t xml:space="preserve">Tāpat </w:t>
      </w:r>
      <w:r w:rsidRPr="00BC16C8" w:rsidR="00531DC3">
        <w:rPr>
          <w:sz w:val="24"/>
          <w:szCs w:val="24"/>
          <w:lang w:val="lv-LV"/>
        </w:rPr>
        <w:t>2017. gadā ES Strukturālo reformu atbalsta programm</w:t>
      </w:r>
      <w:r w:rsidRPr="00BC16C8">
        <w:rPr>
          <w:sz w:val="24"/>
          <w:szCs w:val="24"/>
          <w:lang w:val="lv-LV"/>
        </w:rPr>
        <w:t>as</w:t>
      </w:r>
      <w:r w:rsidRPr="00BC16C8" w:rsidR="00531DC3">
        <w:rPr>
          <w:sz w:val="24"/>
          <w:szCs w:val="24"/>
          <w:lang w:val="lv-LV"/>
        </w:rPr>
        <w:t xml:space="preserve"> </w:t>
      </w:r>
      <w:r w:rsidRPr="00BC16C8" w:rsidR="00B86286">
        <w:rPr>
          <w:sz w:val="24"/>
          <w:szCs w:val="24"/>
          <w:lang w:val="lv-LV"/>
        </w:rPr>
        <w:t xml:space="preserve">(turpmāk tekstā – SRSS) </w:t>
      </w:r>
      <w:r w:rsidRPr="00BC16C8" w:rsidR="00531DC3">
        <w:rPr>
          <w:sz w:val="24"/>
          <w:szCs w:val="24"/>
          <w:lang w:val="lv-LV"/>
        </w:rPr>
        <w:t>2017</w:t>
      </w:r>
      <w:r w:rsidRPr="00BC16C8" w:rsidR="00F2366C">
        <w:rPr>
          <w:sz w:val="24"/>
          <w:szCs w:val="24"/>
          <w:lang w:val="lv-LV"/>
        </w:rPr>
        <w:t>.</w:t>
      </w:r>
      <w:r w:rsidRPr="00BC16C8" w:rsidR="00531DC3">
        <w:rPr>
          <w:sz w:val="24"/>
          <w:szCs w:val="24"/>
          <w:lang w:val="lv-LV"/>
        </w:rPr>
        <w:t>-2020</w:t>
      </w:r>
      <w:r w:rsidRPr="00BC16C8" w:rsidR="00F2366C">
        <w:rPr>
          <w:sz w:val="24"/>
          <w:szCs w:val="24"/>
          <w:lang w:val="lv-LV"/>
        </w:rPr>
        <w:t>.gadam</w:t>
      </w:r>
      <w:r w:rsidRPr="00BC16C8">
        <w:rPr>
          <w:sz w:val="24"/>
          <w:szCs w:val="24"/>
          <w:lang w:val="lv-LV"/>
        </w:rPr>
        <w:t xml:space="preserve"> ietvaros</w:t>
      </w:r>
      <w:r w:rsidRPr="00BC16C8" w:rsidR="007750B3">
        <w:rPr>
          <w:sz w:val="24"/>
          <w:szCs w:val="24"/>
          <w:lang w:val="lv-LV"/>
        </w:rPr>
        <w:t>,</w:t>
      </w:r>
      <w:r w:rsidRPr="00BC16C8" w:rsidR="00531DC3">
        <w:rPr>
          <w:sz w:val="24"/>
          <w:szCs w:val="24"/>
          <w:lang w:val="lv-LV"/>
        </w:rPr>
        <w:t xml:space="preserve"> ir uzsākts nozīmīgs projekts </w:t>
      </w:r>
      <w:r w:rsidRPr="00BC16C8" w:rsidR="007750B3">
        <w:rPr>
          <w:sz w:val="24"/>
          <w:szCs w:val="24"/>
          <w:lang w:val="lv-LV"/>
        </w:rPr>
        <w:t>–</w:t>
      </w:r>
      <w:r w:rsidRPr="00BC16C8" w:rsidR="00531DC3">
        <w:rPr>
          <w:sz w:val="24"/>
          <w:szCs w:val="24"/>
          <w:lang w:val="lv-LV"/>
        </w:rPr>
        <w:t xml:space="preserve"> </w:t>
      </w:r>
      <w:r w:rsidRPr="00BC16C8" w:rsidR="007750B3">
        <w:rPr>
          <w:sz w:val="24"/>
          <w:szCs w:val="24"/>
          <w:lang w:val="lv-LV"/>
        </w:rPr>
        <w:t>“</w:t>
      </w:r>
      <w:r w:rsidRPr="00BC16C8" w:rsidR="00531DC3">
        <w:rPr>
          <w:i/>
          <w:sz w:val="24"/>
          <w:szCs w:val="24"/>
          <w:lang w:val="lv-LV"/>
        </w:rPr>
        <w:t>Veselības sistēmas veiktspējas novērtējuma izstrāde Slovēnijai un Latvijai</w:t>
      </w:r>
      <w:r w:rsidRPr="00BC16C8" w:rsidR="007750B3">
        <w:rPr>
          <w:sz w:val="24"/>
          <w:szCs w:val="24"/>
          <w:lang w:val="lv-LV"/>
        </w:rPr>
        <w:t>”</w:t>
      </w:r>
      <w:r w:rsidRPr="00BC16C8" w:rsidR="00531DC3">
        <w:rPr>
          <w:sz w:val="24"/>
          <w:szCs w:val="24"/>
          <w:lang w:val="lv-LV"/>
        </w:rPr>
        <w:t xml:space="preserve">. </w:t>
      </w:r>
      <w:r w:rsidRPr="00BC16C8">
        <w:rPr>
          <w:sz w:val="24"/>
          <w:szCs w:val="24"/>
          <w:lang w:val="lv-LV"/>
        </w:rPr>
        <w:t>Projekta ietvaros</w:t>
      </w:r>
      <w:r w:rsidRPr="00BC16C8">
        <w:rPr>
          <w:rFonts w:eastAsiaTheme="minorHAnsi"/>
          <w:sz w:val="24"/>
          <w:szCs w:val="24"/>
          <w:lang w:val="lv-LV" w:eastAsia="en-US"/>
        </w:rPr>
        <w:t xml:space="preserve"> Latvija definējusi šādus projekta mērķus: </w:t>
      </w:r>
    </w:p>
    <w:p w:rsidR="00F731AA" w:rsidRPr="00BC16C8" w:rsidP="001D20BA">
      <w:pPr>
        <w:pStyle w:val="ListParagraph"/>
        <w:widowControl w:val="0"/>
        <w:numPr>
          <w:ilvl w:val="0"/>
          <w:numId w:val="57"/>
        </w:numPr>
        <w:tabs>
          <w:tab w:val="clear" w:pos="850"/>
          <w:tab w:val="clear" w:pos="1191"/>
          <w:tab w:val="clear" w:pos="1531"/>
        </w:tabs>
        <w:ind w:hanging="720"/>
        <w:rPr>
          <w:rFonts w:eastAsiaTheme="minorHAnsi"/>
          <w:sz w:val="24"/>
          <w:szCs w:val="24"/>
          <w:lang w:val="lv-LV" w:eastAsia="en-US"/>
        </w:rPr>
      </w:pPr>
      <w:r w:rsidRPr="00BC16C8">
        <w:rPr>
          <w:rFonts w:eastAsiaTheme="minorHAnsi"/>
          <w:sz w:val="24"/>
          <w:szCs w:val="24"/>
          <w:lang w:val="lv-LV" w:eastAsia="en-US"/>
        </w:rPr>
        <w:t>Veselības sistēmas darbības novērtēšanas sistēmas izveide;</w:t>
      </w:r>
    </w:p>
    <w:p w:rsidR="00F731AA" w:rsidRPr="00BC16C8" w:rsidP="001D20BA">
      <w:pPr>
        <w:pStyle w:val="ListParagraph"/>
        <w:widowControl w:val="0"/>
        <w:numPr>
          <w:ilvl w:val="0"/>
          <w:numId w:val="57"/>
        </w:numPr>
        <w:tabs>
          <w:tab w:val="clear" w:pos="850"/>
          <w:tab w:val="clear" w:pos="1191"/>
          <w:tab w:val="clear" w:pos="1531"/>
        </w:tabs>
        <w:ind w:hanging="720"/>
        <w:rPr>
          <w:rFonts w:eastAsiaTheme="minorHAnsi"/>
          <w:sz w:val="24"/>
          <w:szCs w:val="24"/>
          <w:lang w:val="lv-LV" w:eastAsia="en-US"/>
        </w:rPr>
      </w:pPr>
      <w:r w:rsidRPr="00BC16C8">
        <w:rPr>
          <w:rFonts w:eastAsiaTheme="minorHAnsi"/>
          <w:sz w:val="24"/>
          <w:szCs w:val="24"/>
          <w:lang w:val="lv-LV" w:eastAsia="en-US"/>
        </w:rPr>
        <w:t>Kapacitātes stiprināšana, lai sekmētu veselības sistēmas darbības novērtēšanu nākotnē bez ārēja atbalsta;</w:t>
      </w:r>
    </w:p>
    <w:p w:rsidR="00F731AA" w:rsidRPr="00BC16C8" w:rsidP="001D20BA">
      <w:pPr>
        <w:pStyle w:val="ListParagraph"/>
        <w:widowControl w:val="0"/>
        <w:numPr>
          <w:ilvl w:val="0"/>
          <w:numId w:val="57"/>
        </w:numPr>
        <w:tabs>
          <w:tab w:val="clear" w:pos="850"/>
          <w:tab w:val="clear" w:pos="1191"/>
          <w:tab w:val="clear" w:pos="1531"/>
        </w:tabs>
        <w:ind w:hanging="720"/>
        <w:rPr>
          <w:rFonts w:eastAsiaTheme="minorHAnsi"/>
          <w:sz w:val="24"/>
          <w:szCs w:val="24"/>
          <w:lang w:val="lv-LV" w:eastAsia="en-US"/>
        </w:rPr>
      </w:pPr>
      <w:r w:rsidRPr="00BC16C8">
        <w:rPr>
          <w:rFonts w:eastAsiaTheme="minorHAnsi"/>
          <w:sz w:val="24"/>
          <w:szCs w:val="24"/>
          <w:lang w:val="lv-LV" w:eastAsia="en-US"/>
        </w:rPr>
        <w:t>Rīcības plāna izstrāde veselības sistēmas darbības novērtēšanas sistēmas ieviešanai.</w:t>
      </w:r>
    </w:p>
    <w:p w:rsidR="00A97D82" w:rsidRPr="00BC16C8" w:rsidP="001D20BA">
      <w:pPr>
        <w:pStyle w:val="Default"/>
        <w:ind w:firstLine="720"/>
        <w:jc w:val="both"/>
        <w:rPr>
          <w:color w:val="auto"/>
        </w:rPr>
      </w:pPr>
      <w:r w:rsidRPr="00BC16C8">
        <w:rPr>
          <w:color w:val="auto"/>
        </w:rPr>
        <w:t>Veselības sistēmas veiktspējas novērtējuma izstrāde (turpmāk tekstā –</w:t>
      </w:r>
      <w:r w:rsidRPr="00BC16C8">
        <w:rPr>
          <w:i/>
          <w:color w:val="auto"/>
        </w:rPr>
        <w:t xml:space="preserve"> </w:t>
      </w:r>
      <w:r w:rsidRPr="00BC16C8" w:rsidR="00531DC3">
        <w:rPr>
          <w:color w:val="auto"/>
        </w:rPr>
        <w:t>HSPA</w:t>
      </w:r>
      <w:r w:rsidRPr="00BC16C8">
        <w:rPr>
          <w:color w:val="auto"/>
        </w:rPr>
        <w:t>)</w:t>
      </w:r>
      <w:r w:rsidRPr="00BC16C8" w:rsidR="00531DC3">
        <w:rPr>
          <w:color w:val="auto"/>
        </w:rPr>
        <w:t xml:space="preserve"> ir nozīmīga reformas daļa</w:t>
      </w:r>
      <w:r w:rsidRPr="00BC16C8" w:rsidR="00B86286">
        <w:rPr>
          <w:color w:val="auto"/>
        </w:rPr>
        <w:t>,</w:t>
      </w:r>
      <w:r w:rsidRPr="00BC16C8">
        <w:rPr>
          <w:color w:val="auto"/>
        </w:rPr>
        <w:t xml:space="preserve"> nodrošinot </w:t>
      </w:r>
      <w:r w:rsidRPr="00BC16C8" w:rsidR="00531DC3">
        <w:rPr>
          <w:color w:val="auto"/>
        </w:rPr>
        <w:t>fiskāl</w:t>
      </w:r>
      <w:r w:rsidRPr="00BC16C8" w:rsidR="00B86286">
        <w:rPr>
          <w:color w:val="auto"/>
        </w:rPr>
        <w:t>o</w:t>
      </w:r>
      <w:r w:rsidRPr="00BC16C8" w:rsidR="00531DC3">
        <w:rPr>
          <w:color w:val="auto"/>
        </w:rPr>
        <w:t xml:space="preserve"> ilgtspējīb</w:t>
      </w:r>
      <w:r w:rsidRPr="00BC16C8">
        <w:rPr>
          <w:color w:val="auto"/>
        </w:rPr>
        <w:t>u</w:t>
      </w:r>
      <w:r w:rsidRPr="00BC16C8" w:rsidR="00531DC3">
        <w:rPr>
          <w:color w:val="auto"/>
        </w:rPr>
        <w:t xml:space="preserve"> un Latvijas veselības sistēmas efektivitāti.</w:t>
      </w:r>
    </w:p>
    <w:p w:rsidR="00023B3A" w:rsidRPr="00BC16C8" w:rsidP="00E62C6E">
      <w:pPr>
        <w:pStyle w:val="Default"/>
        <w:jc w:val="both"/>
        <w:rPr>
          <w:color w:val="auto"/>
        </w:rPr>
      </w:pPr>
    </w:p>
    <w:p w:rsidR="00B86286" w:rsidRPr="00BC16C8" w:rsidP="00BA6AC6">
      <w:pPr>
        <w:pStyle w:val="ListBullet"/>
        <w:numPr>
          <w:ilvl w:val="0"/>
          <w:numId w:val="0"/>
        </w:numPr>
        <w:tabs>
          <w:tab w:val="clear" w:pos="850"/>
        </w:tabs>
        <w:spacing w:after="0"/>
        <w:ind w:firstLine="709"/>
        <w:rPr>
          <w:sz w:val="24"/>
          <w:szCs w:val="24"/>
          <w:lang w:val="lv-LV"/>
        </w:rPr>
      </w:pPr>
      <w:r w:rsidRPr="00BC16C8">
        <w:rPr>
          <w:sz w:val="24"/>
          <w:szCs w:val="24"/>
          <w:lang w:val="lv-LV"/>
        </w:rPr>
        <w:t xml:space="preserve">Attiecībā uz </w:t>
      </w:r>
      <w:r w:rsidRPr="00BC16C8">
        <w:rPr>
          <w:sz w:val="24"/>
          <w:szCs w:val="24"/>
          <w:u w:val="single"/>
          <w:lang w:val="lv-LV"/>
        </w:rPr>
        <w:t xml:space="preserve">darbības </w:t>
      </w:r>
      <w:r w:rsidRPr="00BC16C8" w:rsidR="00023B3A">
        <w:rPr>
          <w:sz w:val="24"/>
          <w:szCs w:val="24"/>
          <w:u w:val="single"/>
          <w:lang w:val="lv-LV"/>
        </w:rPr>
        <w:t>indikator</w:t>
      </w:r>
      <w:r w:rsidRPr="00BC16C8">
        <w:rPr>
          <w:sz w:val="24"/>
          <w:szCs w:val="24"/>
          <w:u w:val="single"/>
          <w:lang w:val="lv-LV"/>
        </w:rPr>
        <w:t>u</w:t>
      </w:r>
      <w:r w:rsidRPr="00BC16C8">
        <w:rPr>
          <w:sz w:val="24"/>
          <w:szCs w:val="24"/>
          <w:lang w:val="lv-LV"/>
        </w:rPr>
        <w:t xml:space="preserve"> izstrādi, </w:t>
      </w:r>
      <w:r w:rsidRPr="00BC16C8" w:rsidR="00023B3A">
        <w:rPr>
          <w:sz w:val="24"/>
          <w:szCs w:val="24"/>
          <w:lang w:val="lv-LV"/>
        </w:rPr>
        <w:t xml:space="preserve">2017. gada janvārī Veselības ministrija apstiprināja </w:t>
      </w:r>
      <w:r w:rsidRPr="00511E1E" w:rsidR="00511E1E">
        <w:rPr>
          <w:i/>
          <w:sz w:val="24"/>
          <w:szCs w:val="24"/>
          <w:lang w:val="lv-LV"/>
        </w:rPr>
        <w:t>Veselības aprūpes sistēmas kvalitātes pilnveidošanas</w:t>
      </w:r>
      <w:r w:rsidR="00511E1E">
        <w:rPr>
          <w:i/>
          <w:sz w:val="24"/>
          <w:szCs w:val="24"/>
          <w:lang w:val="lv-LV"/>
        </w:rPr>
        <w:t xml:space="preserve"> un pacientu drošības koncepciju</w:t>
      </w:r>
      <w:r w:rsidRPr="00511E1E" w:rsidR="00511E1E">
        <w:rPr>
          <w:i/>
          <w:sz w:val="24"/>
          <w:szCs w:val="24"/>
          <w:lang w:val="lv-LV"/>
        </w:rPr>
        <w:t xml:space="preserve"> </w:t>
      </w:r>
      <w:r w:rsidRPr="00BC16C8">
        <w:rPr>
          <w:sz w:val="24"/>
          <w:szCs w:val="24"/>
          <w:lang w:val="lv-LV"/>
        </w:rPr>
        <w:t>(turpmāk tekstā – Pacientu drošības koncepcija)</w:t>
      </w:r>
      <w:r>
        <w:rPr>
          <w:rStyle w:val="FootnoteReference"/>
          <w:sz w:val="24"/>
          <w:szCs w:val="24"/>
          <w:lang w:val="lv-LV"/>
        </w:rPr>
        <w:footnoteReference w:id="3"/>
      </w:r>
      <w:r w:rsidRPr="00BC16C8" w:rsidR="00023B3A">
        <w:rPr>
          <w:sz w:val="24"/>
          <w:szCs w:val="24"/>
          <w:lang w:val="lv-LV"/>
        </w:rPr>
        <w:t xml:space="preserve">. Tās mērķis ir nodrošināt atklātību un </w:t>
      </w:r>
      <w:r w:rsidRPr="00BC16C8" w:rsidR="00023B3A">
        <w:rPr>
          <w:sz w:val="24"/>
          <w:szCs w:val="24"/>
          <w:lang w:val="lv-LV"/>
        </w:rPr>
        <w:t>pārredzamību</w:t>
      </w:r>
      <w:r w:rsidRPr="00BC16C8" w:rsidR="00023B3A">
        <w:rPr>
          <w:sz w:val="24"/>
          <w:szCs w:val="24"/>
          <w:lang w:val="lv-LV"/>
        </w:rPr>
        <w:t xml:space="preserve">, publicējot kvalitātes un drošības rādītājus. </w:t>
      </w:r>
    </w:p>
    <w:p w:rsidR="00C90BC6" w:rsidP="001D20BA">
      <w:pPr>
        <w:pStyle w:val="ListBullet"/>
        <w:numPr>
          <w:ilvl w:val="0"/>
          <w:numId w:val="0"/>
        </w:numPr>
        <w:tabs>
          <w:tab w:val="clear" w:pos="850"/>
        </w:tabs>
        <w:spacing w:after="0"/>
        <w:ind w:firstLine="709"/>
        <w:rPr>
          <w:sz w:val="24"/>
          <w:szCs w:val="24"/>
          <w:lang w:val="lv-LV"/>
        </w:rPr>
      </w:pPr>
      <w:r w:rsidRPr="00BC16C8">
        <w:rPr>
          <w:sz w:val="24"/>
          <w:szCs w:val="24"/>
          <w:lang w:val="lv-LV"/>
        </w:rPr>
        <w:t>Ir arī</w:t>
      </w:r>
      <w:r w:rsidRPr="00BC16C8" w:rsidR="00023B3A">
        <w:rPr>
          <w:sz w:val="24"/>
          <w:szCs w:val="24"/>
          <w:lang w:val="lv-LV"/>
        </w:rPr>
        <w:t xml:space="preserve"> </w:t>
      </w:r>
      <w:r w:rsidRPr="00BC16C8" w:rsidR="001D20BA">
        <w:rPr>
          <w:sz w:val="24"/>
          <w:szCs w:val="24"/>
          <w:lang w:val="lv-LV"/>
        </w:rPr>
        <w:t>uz</w:t>
      </w:r>
      <w:r w:rsidRPr="00BC16C8" w:rsidR="00023B3A">
        <w:rPr>
          <w:sz w:val="24"/>
          <w:szCs w:val="24"/>
          <w:lang w:val="lv-LV"/>
        </w:rPr>
        <w:t>sākts darbs pie slimnīcu kvalitātes rādītāju indikatoru identifikācijas, apraksta un aprēķina metodikas, lai varētu salīdzināt šos rādītājus pakalpojumu sniedzēja līmenī. Šajā darbā ir izstrādāti ieteikumi slimnīcām par 15 kvalitātes rādītājiem, kas iekļauti veselības aprūpes organizēšanas un finansēšanas regulējumā</w:t>
      </w:r>
      <w:r w:rsidRPr="00BC16C8" w:rsidR="00F731AA">
        <w:rPr>
          <w:sz w:val="24"/>
          <w:szCs w:val="24"/>
          <w:lang w:val="lv-LV"/>
        </w:rPr>
        <w:t xml:space="preserve"> un tiks iekļauti iepriekš minētajā </w:t>
      </w:r>
      <w:r w:rsidR="000A0B6F">
        <w:rPr>
          <w:rFonts w:eastAsiaTheme="minorHAnsi"/>
          <w:sz w:val="24"/>
          <w:szCs w:val="24"/>
          <w:lang w:val="lv-LV" w:eastAsia="en-US"/>
        </w:rPr>
        <w:t>HSPA</w:t>
      </w:r>
      <w:r w:rsidRPr="00BC16C8" w:rsidR="00F731AA">
        <w:rPr>
          <w:rFonts w:eastAsiaTheme="minorHAnsi"/>
          <w:sz w:val="24"/>
          <w:szCs w:val="24"/>
          <w:lang w:val="lv-LV" w:eastAsia="en-US"/>
        </w:rPr>
        <w:t xml:space="preserve"> indikatoru ietvarā</w:t>
      </w:r>
      <w:r w:rsidRPr="00BC16C8" w:rsidR="00023B3A">
        <w:rPr>
          <w:sz w:val="24"/>
          <w:szCs w:val="24"/>
          <w:lang w:val="lv-LV"/>
        </w:rPr>
        <w:t>. Šie ieteikumi ir pieejami Slimību profilakses un kontroles centr</w:t>
      </w:r>
      <w:r w:rsidRPr="00BC16C8" w:rsidR="009728AC">
        <w:rPr>
          <w:sz w:val="24"/>
          <w:szCs w:val="24"/>
          <w:lang w:val="lv-LV"/>
        </w:rPr>
        <w:t>a</w:t>
      </w:r>
      <w:r w:rsidRPr="00BC16C8" w:rsidR="00023B3A">
        <w:rPr>
          <w:sz w:val="24"/>
          <w:szCs w:val="24"/>
          <w:lang w:val="lv-LV"/>
        </w:rPr>
        <w:t xml:space="preserve"> (turpmāk tekstā - SPKC) tīmekļa</w:t>
      </w:r>
      <w:r>
        <w:rPr>
          <w:sz w:val="24"/>
          <w:szCs w:val="24"/>
          <w:lang w:val="lv-LV"/>
        </w:rPr>
        <w:t xml:space="preserve"> </w:t>
      </w:r>
      <w:r w:rsidRPr="00BC16C8" w:rsidR="00023B3A">
        <w:rPr>
          <w:sz w:val="24"/>
          <w:szCs w:val="24"/>
          <w:lang w:val="lv-LV"/>
        </w:rPr>
        <w:t>vietnē</w:t>
      </w:r>
      <w:r>
        <w:rPr>
          <w:sz w:val="24"/>
          <w:szCs w:val="24"/>
          <w:lang w:val="lv-LV"/>
        </w:rPr>
        <w:t xml:space="preserve"> </w:t>
      </w:r>
    </w:p>
    <w:p w:rsidR="00B86286" w:rsidRPr="00BC16C8" w:rsidP="00C90BC6">
      <w:pPr>
        <w:pStyle w:val="ListBullet"/>
        <w:numPr>
          <w:ilvl w:val="0"/>
          <w:numId w:val="0"/>
        </w:numPr>
        <w:tabs>
          <w:tab w:val="clear" w:pos="850"/>
        </w:tabs>
        <w:spacing w:after="0"/>
        <w:rPr>
          <w:sz w:val="24"/>
          <w:szCs w:val="24"/>
          <w:lang w:val="lv-LV"/>
        </w:rPr>
      </w:pPr>
      <w:r>
        <w:fldChar w:fldCharType="begin"/>
      </w:r>
      <w:r>
        <w:instrText xml:space="preserve"> HYPERLINK "https://spkc.gov.lv/upload/Pacientu_drosiba/kodesanas_ieteikumi_raditaju_apraksti_ver1_pedejais.pdf" </w:instrText>
      </w:r>
      <w:r>
        <w:fldChar w:fldCharType="separate"/>
      </w:r>
      <w:r w:rsidRPr="00EF2499" w:rsidR="00736DE4">
        <w:rPr>
          <w:rStyle w:val="Hyperlink"/>
          <w:sz w:val="24"/>
          <w:szCs w:val="24"/>
          <w:lang w:val="lv-LV"/>
        </w:rPr>
        <w:t>https://spkc.gov.lv/upload/Pacientu_drosiba/kodesanas_ieteikumi_raditaju_apraksti_ver1_pedejais.pdf</w:t>
      </w:r>
      <w:r>
        <w:fldChar w:fldCharType="end"/>
      </w:r>
      <w:r w:rsidRPr="00BC16C8" w:rsidR="00F32EE4">
        <w:rPr>
          <w:sz w:val="24"/>
          <w:szCs w:val="24"/>
          <w:lang w:val="lv-LV"/>
        </w:rPr>
        <w:t>.</w:t>
      </w:r>
    </w:p>
    <w:p w:rsidR="007750B3" w:rsidRPr="00BC16C8" w:rsidP="001D20BA">
      <w:pPr>
        <w:pStyle w:val="Default"/>
        <w:jc w:val="both"/>
        <w:rPr>
          <w:b/>
          <w:color w:val="auto"/>
        </w:rPr>
      </w:pPr>
    </w:p>
    <w:p w:rsidR="00BA6AC6" w:rsidRPr="00BC16C8" w:rsidP="00BB13B0">
      <w:pPr>
        <w:pStyle w:val="xmsonormal"/>
        <w:shd w:val="clear" w:color="auto" w:fill="FFFFFF"/>
        <w:spacing w:before="0" w:beforeAutospacing="0" w:after="0" w:afterAutospacing="0"/>
        <w:ind w:firstLine="709"/>
        <w:jc w:val="both"/>
      </w:pPr>
      <w:r w:rsidRPr="00BC16C8">
        <w:t>Neatsverama nozīme uz datiem balstītas veselības aprūpes sistēmas izstrādē ir</w:t>
      </w:r>
      <w:r w:rsidRPr="00BC16C8">
        <w:rPr>
          <w:u w:val="single"/>
        </w:rPr>
        <w:t xml:space="preserve"> </w:t>
      </w:r>
      <w:r w:rsidRPr="00BC16C8" w:rsidR="00600B10">
        <w:rPr>
          <w:u w:val="single"/>
        </w:rPr>
        <w:t>E-veselība</w:t>
      </w:r>
      <w:r w:rsidRPr="00BC16C8">
        <w:rPr>
          <w:u w:val="single"/>
        </w:rPr>
        <w:t>s</w:t>
      </w:r>
      <w:r w:rsidRPr="00BC16C8">
        <w:t xml:space="preserve"> ieviešanai. </w:t>
      </w:r>
      <w:r w:rsidRPr="00BC16C8" w:rsidR="00600B10">
        <w:t xml:space="preserve">Sākot ar 2018. gada 1. janvāri, </w:t>
      </w:r>
      <w:r w:rsidR="000A0B6F">
        <w:t xml:space="preserve">gan </w:t>
      </w:r>
      <w:r w:rsidRPr="00BC16C8" w:rsidR="00600B10">
        <w:t>visiem</w:t>
      </w:r>
      <w:r w:rsidRPr="00BC16C8" w:rsidR="003C214F">
        <w:t xml:space="preserve"> ģimenes</w:t>
      </w:r>
      <w:r w:rsidR="000A0B6F">
        <w:t>, gan</w:t>
      </w:r>
      <w:r w:rsidRPr="00BC16C8" w:rsidR="003C214F">
        <w:t xml:space="preserve"> citiem </w:t>
      </w:r>
      <w:r w:rsidRPr="00BC16C8" w:rsidR="00600B10">
        <w:t xml:space="preserve">ārstiem, </w:t>
      </w:r>
      <w:r w:rsidRPr="00BC16C8" w:rsidR="003C214F">
        <w:t>kā arī ārstu palīgiem ambulatorajās</w:t>
      </w:r>
      <w:r w:rsidR="000A0B6F">
        <w:t xml:space="preserve"> un</w:t>
      </w:r>
      <w:r w:rsidR="00BB13B0">
        <w:t xml:space="preserve"> </w:t>
      </w:r>
      <w:r w:rsidRPr="00BC16C8" w:rsidR="003C214F">
        <w:t xml:space="preserve">stacionārajās ārstniecības iestādēs </w:t>
      </w:r>
      <w:r w:rsidRPr="00BC16C8" w:rsidR="00600B10">
        <w:t xml:space="preserve">ir </w:t>
      </w:r>
      <w:r w:rsidRPr="00BC16C8" w:rsidR="003C214F">
        <w:t xml:space="preserve">pienākums </w:t>
      </w:r>
      <w:r w:rsidRPr="00BC16C8" w:rsidR="00600B10">
        <w:t>izmanto</w:t>
      </w:r>
      <w:r w:rsidRPr="00BC16C8" w:rsidR="003C214F">
        <w:t>t</w:t>
      </w:r>
      <w:r w:rsidRPr="00BC16C8" w:rsidR="00600B10">
        <w:t xml:space="preserve"> e-veselības sistēm</w:t>
      </w:r>
      <w:r w:rsidRPr="00BC16C8" w:rsidR="003C214F">
        <w:t>u, piemēram, darbnespējas lapu un valsts kompensējamo zāļu recepšu izrakstīšanai</w:t>
      </w:r>
      <w:r w:rsidR="005D30D0">
        <w:t>.</w:t>
      </w:r>
      <w:r w:rsidR="00F23059">
        <w:t xml:space="preserve"> </w:t>
      </w:r>
    </w:p>
    <w:p w:rsidR="00600B10" w:rsidRPr="00BC16C8" w:rsidP="00E62C6E">
      <w:pPr>
        <w:rPr>
          <w:color w:val="7030A0"/>
          <w:sz w:val="24"/>
          <w:szCs w:val="24"/>
          <w:lang w:val="lv-LV"/>
        </w:rPr>
      </w:pPr>
      <w:r w:rsidRPr="00BC16C8">
        <w:rPr>
          <w:sz w:val="24"/>
          <w:szCs w:val="24"/>
          <w:lang w:val="lv-LV"/>
        </w:rPr>
        <w:t xml:space="preserve">E-veselības sistēma </w:t>
      </w:r>
      <w:r w:rsidRPr="00BC16C8" w:rsidR="00B2636B">
        <w:rPr>
          <w:sz w:val="24"/>
          <w:szCs w:val="24"/>
          <w:lang w:val="lv-LV"/>
        </w:rPr>
        <w:t xml:space="preserve">ir centralizēta valsts informācijas sistēma, kura </w:t>
      </w:r>
      <w:r w:rsidRPr="00BC16C8">
        <w:rPr>
          <w:sz w:val="24"/>
          <w:szCs w:val="24"/>
          <w:lang w:val="lv-LV"/>
        </w:rPr>
        <w:t xml:space="preserve">nodrošina </w:t>
      </w:r>
      <w:r w:rsidRPr="00BC16C8" w:rsidR="00B2636B">
        <w:rPr>
          <w:sz w:val="24"/>
          <w:szCs w:val="24"/>
          <w:lang w:val="lv-LV"/>
        </w:rPr>
        <w:t xml:space="preserve">dažādu pacienta veselības </w:t>
      </w:r>
      <w:r w:rsidRPr="00BC16C8" w:rsidR="00494BAB">
        <w:rPr>
          <w:sz w:val="24"/>
          <w:szCs w:val="24"/>
          <w:lang w:val="lv-LV"/>
        </w:rPr>
        <w:t>datu elektronisku uzkrāšanu. Šī</w:t>
      </w:r>
      <w:r w:rsidRPr="00BC16C8" w:rsidR="00B2636B">
        <w:rPr>
          <w:sz w:val="24"/>
          <w:szCs w:val="24"/>
          <w:lang w:val="lv-LV"/>
        </w:rPr>
        <w:t xml:space="preserve"> sistēma nodrošina tādu medicīnisko dokumentu elektroniskus sagatavošanu un pieejamību ārstniecības personām, kā </w:t>
      </w:r>
      <w:r w:rsidRPr="00BC16C8">
        <w:rPr>
          <w:sz w:val="24"/>
          <w:szCs w:val="24"/>
          <w:lang w:val="lv-LV"/>
        </w:rPr>
        <w:t>e-receptes, e-slimības lapas, e-nosūtījum</w:t>
      </w:r>
      <w:r w:rsidRPr="00BC16C8" w:rsidR="00B2636B">
        <w:rPr>
          <w:sz w:val="24"/>
          <w:szCs w:val="24"/>
          <w:lang w:val="lv-LV"/>
        </w:rPr>
        <w:t>u</w:t>
      </w:r>
      <w:r w:rsidRPr="00BC16C8">
        <w:rPr>
          <w:sz w:val="24"/>
          <w:szCs w:val="24"/>
          <w:lang w:val="lv-LV"/>
        </w:rPr>
        <w:t>s</w:t>
      </w:r>
      <w:r w:rsidRPr="00BC16C8" w:rsidR="0092025B">
        <w:rPr>
          <w:sz w:val="24"/>
          <w:szCs w:val="24"/>
          <w:lang w:val="lv-LV"/>
        </w:rPr>
        <w:t>,</w:t>
      </w:r>
      <w:r w:rsidRPr="00BC16C8">
        <w:rPr>
          <w:sz w:val="24"/>
          <w:szCs w:val="24"/>
          <w:lang w:val="lv-LV"/>
        </w:rPr>
        <w:t xml:space="preserve"> pārskatus par ambulatoro apmeklējumu, </w:t>
      </w:r>
      <w:r w:rsidRPr="00BC16C8" w:rsidR="0092025B">
        <w:rPr>
          <w:sz w:val="24"/>
          <w:szCs w:val="24"/>
          <w:lang w:val="lv-LV"/>
        </w:rPr>
        <w:t>stacionāru izrak</w:t>
      </w:r>
      <w:r w:rsidRPr="00BC16C8" w:rsidR="00494BAB">
        <w:rPr>
          <w:sz w:val="24"/>
          <w:szCs w:val="24"/>
          <w:lang w:val="lv-LV"/>
        </w:rPr>
        <w:t>s</w:t>
      </w:r>
      <w:r w:rsidRPr="00BC16C8" w:rsidR="0092025B">
        <w:rPr>
          <w:sz w:val="24"/>
          <w:szCs w:val="24"/>
          <w:lang w:val="lv-LV"/>
        </w:rPr>
        <w:t xml:space="preserve">tus – </w:t>
      </w:r>
      <w:r w:rsidRPr="00BC16C8">
        <w:rPr>
          <w:sz w:val="24"/>
          <w:szCs w:val="24"/>
          <w:lang w:val="lv-LV"/>
        </w:rPr>
        <w:t>epikrīzes</w:t>
      </w:r>
      <w:r w:rsidRPr="00BC16C8" w:rsidR="0092025B">
        <w:rPr>
          <w:sz w:val="24"/>
          <w:szCs w:val="24"/>
          <w:lang w:val="lv-LV"/>
        </w:rPr>
        <w:t>,</w:t>
      </w:r>
      <w:r w:rsidRPr="00BC16C8" w:rsidR="0092025B">
        <w:rPr>
          <w:lang w:val="lv-LV"/>
        </w:rPr>
        <w:t xml:space="preserve"> </w:t>
      </w:r>
      <w:r w:rsidRPr="00BC16C8" w:rsidR="0092025B">
        <w:rPr>
          <w:sz w:val="24"/>
          <w:szCs w:val="24"/>
          <w:lang w:val="lv-LV"/>
        </w:rPr>
        <w:t>radioloģisko</w:t>
      </w:r>
      <w:r w:rsidRPr="00BC16C8" w:rsidR="0092025B">
        <w:rPr>
          <w:sz w:val="24"/>
          <w:szCs w:val="24"/>
          <w:lang w:val="lv-LV"/>
        </w:rPr>
        <w:t xml:space="preserve"> izmeklējumu aprakstus, potēšanas pases</w:t>
      </w:r>
      <w:r w:rsidRPr="00BC16C8">
        <w:rPr>
          <w:sz w:val="24"/>
          <w:szCs w:val="24"/>
          <w:lang w:val="lv-LV"/>
        </w:rPr>
        <w:t xml:space="preserve">. Šobrīd jau 13 veselības aprūpes iestādes </w:t>
      </w:r>
      <w:r w:rsidRPr="00BC16C8" w:rsidR="00494BAB">
        <w:rPr>
          <w:sz w:val="24"/>
          <w:szCs w:val="24"/>
          <w:lang w:val="lv-LV"/>
        </w:rPr>
        <w:t>iesūta</w:t>
      </w:r>
      <w:r w:rsidRPr="00BC16C8">
        <w:rPr>
          <w:sz w:val="24"/>
          <w:szCs w:val="24"/>
          <w:lang w:val="lv-LV"/>
        </w:rPr>
        <w:t xml:space="preserve"> vizuālās diagnostikas</w:t>
      </w:r>
      <w:r w:rsidRPr="00BC16C8" w:rsidR="00494BAB">
        <w:rPr>
          <w:lang w:val="lv-LV"/>
        </w:rPr>
        <w:t xml:space="preserve"> </w:t>
      </w:r>
      <w:r w:rsidRPr="00BC16C8" w:rsidR="00494BAB">
        <w:rPr>
          <w:sz w:val="24"/>
          <w:szCs w:val="24"/>
          <w:lang w:val="lv-LV"/>
        </w:rPr>
        <w:t xml:space="preserve">attēlus un aprakstus e-veselības sistēmai. E-veselības sistēmā ir pieejamas arī </w:t>
      </w:r>
      <w:r w:rsidR="00BB13B0">
        <w:rPr>
          <w:sz w:val="24"/>
          <w:szCs w:val="24"/>
          <w:lang w:val="lv-LV"/>
        </w:rPr>
        <w:t>a</w:t>
      </w:r>
      <w:r w:rsidRPr="00BC16C8" w:rsidR="00494BAB">
        <w:rPr>
          <w:sz w:val="24"/>
          <w:szCs w:val="24"/>
          <w:lang w:val="lv-LV"/>
        </w:rPr>
        <w:t>r noteiktām slimībām slim</w:t>
      </w:r>
      <w:r w:rsidR="004A149C">
        <w:rPr>
          <w:sz w:val="24"/>
          <w:szCs w:val="24"/>
          <w:lang w:val="lv-LV"/>
        </w:rPr>
        <w:t>ojošo pacientu reģistra kartes, piemēram,</w:t>
      </w:r>
      <w:r w:rsidRPr="00BC16C8" w:rsidR="00494BAB">
        <w:rPr>
          <w:sz w:val="24"/>
          <w:szCs w:val="24"/>
          <w:lang w:val="lv-LV"/>
        </w:rPr>
        <w:t xml:space="preserve"> traumu ievainojumu un saindēšanās gadījumu uzskaites kart</w:t>
      </w:r>
      <w:r w:rsidR="004A149C">
        <w:rPr>
          <w:sz w:val="24"/>
          <w:szCs w:val="24"/>
          <w:lang w:val="lv-LV"/>
        </w:rPr>
        <w:t>e, narkoloģiskā pacienta karte</w:t>
      </w:r>
      <w:r w:rsidRPr="00BC16C8" w:rsidR="00494BAB">
        <w:rPr>
          <w:sz w:val="24"/>
          <w:szCs w:val="24"/>
          <w:lang w:val="lv-LV"/>
        </w:rPr>
        <w:t>, karte pacientam ar psihiskiem un uzvedības traucējumiem,</w:t>
      </w:r>
      <w:r w:rsidR="00A85EEC">
        <w:rPr>
          <w:sz w:val="24"/>
          <w:szCs w:val="24"/>
          <w:lang w:val="lv-LV"/>
        </w:rPr>
        <w:t xml:space="preserve"> cukura diabēta pacienta karte</w:t>
      </w:r>
      <w:r w:rsidR="004A149C">
        <w:rPr>
          <w:sz w:val="24"/>
          <w:szCs w:val="24"/>
          <w:lang w:val="lv-LV"/>
        </w:rPr>
        <w:t>, onkoloģiskā pacienta karte, u.c. kartes</w:t>
      </w:r>
      <w:r w:rsidRPr="00BC16C8" w:rsidR="00494BAB">
        <w:rPr>
          <w:sz w:val="24"/>
          <w:szCs w:val="24"/>
          <w:lang w:val="lv-LV"/>
        </w:rPr>
        <w:t xml:space="preserve">. Papildus ārstniecības personas E-veselības sistēmā var veikt virkni citu darbību, piemēram, pievienot pacienta pamatdatus (piemēram, diagnozes, brīdinājumus), veidot pierakstus, sniegt e-konsultācijas, veikt pacientu piereģistrēšanu ģimenes ārsta praksē, aplūkot </w:t>
      </w:r>
      <w:r w:rsidRPr="00BC16C8" w:rsidR="00494BAB">
        <w:rPr>
          <w:sz w:val="24"/>
          <w:szCs w:val="24"/>
          <w:lang w:val="lv-LV"/>
        </w:rPr>
        <w:t>radioloģisko</w:t>
      </w:r>
      <w:r w:rsidRPr="00BC16C8" w:rsidR="00494BAB">
        <w:rPr>
          <w:sz w:val="24"/>
          <w:szCs w:val="24"/>
          <w:lang w:val="lv-LV"/>
        </w:rPr>
        <w:t xml:space="preserve"> izmeklējumu attēlus un izpildīt citas darbības, kas saistītas ar pacienta kartes papildināšanu (t.sk. aizliegumu uzlikšanu noteiktu dokumentu apskatei) un ārsta darba procesu vienkāršošanu (piemēram, īso diagnožu, biežāk izrakstīto zāļu un citu sarakstu </w:t>
      </w:r>
      <w:r w:rsidRPr="00BC16C8" w:rsidR="00494BAB">
        <w:rPr>
          <w:sz w:val="24"/>
          <w:szCs w:val="24"/>
          <w:lang w:val="lv-LV"/>
        </w:rPr>
        <w:t>veidošanu/aplūkošanu, nodrošināt pacienta ārstniecības procesa uzraudzību (piemēram, izrakstīto recepšu zāļu iegādi)</w:t>
      </w:r>
      <w:r w:rsidRPr="00BC16C8">
        <w:rPr>
          <w:sz w:val="24"/>
          <w:szCs w:val="24"/>
          <w:lang w:val="lv-LV"/>
        </w:rPr>
        <w:t xml:space="preserve">. </w:t>
      </w:r>
    </w:p>
    <w:p w:rsidR="00600B10" w:rsidRPr="00BC16C8" w:rsidP="00F23059">
      <w:pPr>
        <w:ind w:firstLine="709"/>
        <w:rPr>
          <w:color w:val="7030A0"/>
          <w:sz w:val="24"/>
          <w:szCs w:val="24"/>
          <w:lang w:val="lv-LV"/>
        </w:rPr>
      </w:pPr>
      <w:r w:rsidRPr="00BC16C8">
        <w:rPr>
          <w:sz w:val="24"/>
          <w:szCs w:val="24"/>
          <w:lang w:val="lv-LV"/>
        </w:rPr>
        <w:t xml:space="preserve">Pacientiem </w:t>
      </w:r>
      <w:r w:rsidRPr="00BC16C8" w:rsidR="00650A84">
        <w:rPr>
          <w:sz w:val="24"/>
          <w:szCs w:val="24"/>
          <w:lang w:val="lv-LV"/>
        </w:rPr>
        <w:t xml:space="preserve">e-veselības portālā </w:t>
      </w:r>
      <w:r w:rsidRPr="00BC16C8">
        <w:rPr>
          <w:sz w:val="24"/>
          <w:szCs w:val="24"/>
          <w:lang w:val="lv-LV"/>
        </w:rPr>
        <w:t>ir pieejama viņu elektroniskā veselības</w:t>
      </w:r>
      <w:r w:rsidRPr="00BC16C8" w:rsidR="00650A84">
        <w:rPr>
          <w:sz w:val="24"/>
          <w:szCs w:val="24"/>
          <w:lang w:val="lv-LV"/>
        </w:rPr>
        <w:t xml:space="preserve"> karte</w:t>
      </w:r>
      <w:r w:rsidRPr="00BC16C8">
        <w:rPr>
          <w:sz w:val="24"/>
          <w:szCs w:val="24"/>
          <w:lang w:val="lv-LV"/>
        </w:rPr>
        <w:t>, kur viņi var redzēt visus ārsta izsniegtos medicīniskos dokumentus</w:t>
      </w:r>
      <w:r w:rsidRPr="00BC16C8" w:rsidR="00650A84">
        <w:rPr>
          <w:sz w:val="24"/>
          <w:szCs w:val="24"/>
          <w:lang w:val="lv-LV"/>
        </w:rPr>
        <w:t>, e-receptes un e-slimības lapas.</w:t>
      </w:r>
      <w:r w:rsidRPr="00BC16C8">
        <w:rPr>
          <w:sz w:val="24"/>
          <w:szCs w:val="24"/>
          <w:lang w:val="lv-LV"/>
        </w:rPr>
        <w:t xml:space="preserve"> E-veselības </w:t>
      </w:r>
      <w:r w:rsidRPr="00BC16C8" w:rsidR="00650A84">
        <w:rPr>
          <w:sz w:val="24"/>
          <w:szCs w:val="24"/>
          <w:lang w:val="lv-LV"/>
        </w:rPr>
        <w:t>portālā</w:t>
      </w:r>
      <w:r w:rsidRPr="00BC16C8">
        <w:rPr>
          <w:sz w:val="24"/>
          <w:szCs w:val="24"/>
          <w:lang w:val="lv-LV"/>
        </w:rPr>
        <w:t xml:space="preserve"> pacients var </w:t>
      </w:r>
      <w:r w:rsidRPr="00BC16C8" w:rsidR="00B42C67">
        <w:rPr>
          <w:sz w:val="24"/>
          <w:szCs w:val="24"/>
          <w:lang w:val="lv-LV"/>
        </w:rPr>
        <w:t>arī apskatīt auditācijas pierakstus, uzstādīt pacienta kartē aizliegumu ārstniecības iestādēm piekļūt saviem medicīniskajiem dokumentiem, norādīt kontaktpersonu/</w:t>
      </w:r>
      <w:r w:rsidR="00BB13B0">
        <w:rPr>
          <w:sz w:val="24"/>
          <w:szCs w:val="24"/>
          <w:lang w:val="lv-LV"/>
        </w:rPr>
        <w:t>-</w:t>
      </w:r>
      <w:r w:rsidRPr="00BC16C8" w:rsidR="00B42C67">
        <w:rPr>
          <w:sz w:val="24"/>
          <w:szCs w:val="24"/>
          <w:lang w:val="lv-LV"/>
        </w:rPr>
        <w:t>as</w:t>
      </w:r>
      <w:r w:rsidRPr="00BC16C8" w:rsidR="00B42C67">
        <w:rPr>
          <w:sz w:val="24"/>
          <w:szCs w:val="24"/>
          <w:lang w:val="lv-LV"/>
        </w:rPr>
        <w:t xml:space="preserve"> un to kontaktinformāciju, ievadīt savu kontaktinformāciju, </w:t>
      </w:r>
      <w:r w:rsidRPr="00BC16C8">
        <w:rPr>
          <w:sz w:val="24"/>
          <w:szCs w:val="24"/>
          <w:lang w:val="lv-LV"/>
        </w:rPr>
        <w:t xml:space="preserve">iesniegt pieteikumu </w:t>
      </w:r>
      <w:r w:rsidRPr="00BC16C8" w:rsidR="00B42C67">
        <w:rPr>
          <w:sz w:val="24"/>
          <w:szCs w:val="24"/>
          <w:lang w:val="lv-LV"/>
        </w:rPr>
        <w:t xml:space="preserve">Nacionālajam veselības dienestam (turpmāk – </w:t>
      </w:r>
      <w:r w:rsidRPr="00BC16C8">
        <w:rPr>
          <w:sz w:val="24"/>
          <w:szCs w:val="24"/>
          <w:lang w:val="lv-LV"/>
        </w:rPr>
        <w:t>N</w:t>
      </w:r>
      <w:r w:rsidRPr="00BC16C8" w:rsidR="00BA6AC6">
        <w:rPr>
          <w:sz w:val="24"/>
          <w:szCs w:val="24"/>
          <w:lang w:val="lv-LV"/>
        </w:rPr>
        <w:t>VD</w:t>
      </w:r>
      <w:r w:rsidRPr="00BC16C8" w:rsidR="00B42C67">
        <w:rPr>
          <w:sz w:val="24"/>
          <w:szCs w:val="24"/>
          <w:lang w:val="lv-LV"/>
        </w:rPr>
        <w:t>)</w:t>
      </w:r>
      <w:r w:rsidRPr="00BC16C8">
        <w:rPr>
          <w:sz w:val="24"/>
          <w:szCs w:val="24"/>
          <w:lang w:val="lv-LV"/>
        </w:rPr>
        <w:t xml:space="preserve">, lai saņemtu Eiropas </w:t>
      </w:r>
      <w:r w:rsidRPr="00BC16C8" w:rsidR="00B42C67">
        <w:rPr>
          <w:sz w:val="24"/>
          <w:szCs w:val="24"/>
          <w:lang w:val="lv-LV"/>
        </w:rPr>
        <w:t>V</w:t>
      </w:r>
      <w:r w:rsidRPr="00BC16C8">
        <w:rPr>
          <w:sz w:val="24"/>
          <w:szCs w:val="24"/>
          <w:lang w:val="lv-LV"/>
        </w:rPr>
        <w:t>eselības apdrošināšanas karti</w:t>
      </w:r>
      <w:r w:rsidRPr="00BC16C8" w:rsidR="00B42C67">
        <w:rPr>
          <w:sz w:val="24"/>
          <w:szCs w:val="24"/>
          <w:lang w:val="lv-LV"/>
        </w:rPr>
        <w:t>,</w:t>
      </w:r>
      <w:r w:rsidRPr="00BC16C8">
        <w:rPr>
          <w:sz w:val="24"/>
          <w:szCs w:val="24"/>
          <w:lang w:val="lv-LV"/>
        </w:rPr>
        <w:t xml:space="preserve"> </w:t>
      </w:r>
      <w:r w:rsidRPr="00BC16C8" w:rsidR="00B42C67">
        <w:rPr>
          <w:sz w:val="24"/>
          <w:szCs w:val="24"/>
          <w:lang w:val="lv-LV"/>
        </w:rPr>
        <w:t xml:space="preserve">reģistrācijas </w:t>
      </w:r>
      <w:r w:rsidRPr="00BC16C8">
        <w:rPr>
          <w:sz w:val="24"/>
          <w:szCs w:val="24"/>
          <w:lang w:val="lv-LV"/>
        </w:rPr>
        <w:t xml:space="preserve">pieteikumu </w:t>
      </w:r>
      <w:r w:rsidRPr="00BC16C8" w:rsidR="00B42C67">
        <w:rPr>
          <w:sz w:val="24"/>
          <w:szCs w:val="24"/>
          <w:lang w:val="lv-LV"/>
        </w:rPr>
        <w:t xml:space="preserve">pie </w:t>
      </w:r>
      <w:r w:rsidRPr="00BC16C8">
        <w:rPr>
          <w:sz w:val="24"/>
          <w:szCs w:val="24"/>
          <w:lang w:val="lv-LV"/>
        </w:rPr>
        <w:t>ģimenes ārst</w:t>
      </w:r>
      <w:r w:rsidRPr="00BC16C8" w:rsidR="00B42C67">
        <w:rPr>
          <w:sz w:val="24"/>
          <w:szCs w:val="24"/>
          <w:lang w:val="lv-LV"/>
        </w:rPr>
        <w:t>a</w:t>
      </w:r>
      <w:r w:rsidRPr="00BC16C8">
        <w:rPr>
          <w:sz w:val="24"/>
          <w:szCs w:val="24"/>
          <w:lang w:val="lv-LV"/>
        </w:rPr>
        <w:t>. Pacienti var arī uzdot jautājumu ārstiem, izmantojot e-konsultāciju rīku.</w:t>
      </w:r>
    </w:p>
    <w:p w:rsidR="00B42C67" w:rsidRPr="00BC16C8" w:rsidP="00F23059">
      <w:pPr>
        <w:ind w:firstLine="709"/>
        <w:rPr>
          <w:sz w:val="24"/>
          <w:szCs w:val="24"/>
          <w:lang w:val="lv-LV"/>
        </w:rPr>
      </w:pPr>
      <w:r w:rsidRPr="00BC16C8">
        <w:rPr>
          <w:sz w:val="24"/>
          <w:szCs w:val="24"/>
          <w:lang w:val="lv-LV"/>
        </w:rPr>
        <w:t>Nākamajos gados e-veselības sistēma tiks pilnveidota, ieviešot jaunas funkcijas un uzlabojot jau esošās. Plānoto pasākumu mērķis ir uzlabot veselības aprūpes pakalpojumu kvalitāti, nodrošināt to pieejamību, efektīvāk pārvaldīt finanšu informāciju un informāciju par pakalpojumiem veselības aprūpes nozarē valsts un iestāžu līmenī, kas palīdzētu stratēģisku lēmumu pieņemšanā. E-veselības prioritātes atbilst veselības politikas stratēģijai, kuras mērķis ir uzlabot pacientu veselības aprūpes procesus, atvieglojot piekļuvi pakalpojumiem, pacientu drošību un veselības aprūpes sistēmas finansiālo vadību.</w:t>
      </w:r>
    </w:p>
    <w:p w:rsidR="00B42C67" w:rsidRPr="00BC16C8" w:rsidP="00BB13B0">
      <w:pPr>
        <w:tabs>
          <w:tab w:val="clear" w:pos="850"/>
          <w:tab w:val="clear" w:pos="1191"/>
          <w:tab w:val="clear" w:pos="1531"/>
        </w:tabs>
        <w:ind w:firstLine="709"/>
        <w:rPr>
          <w:sz w:val="24"/>
          <w:szCs w:val="24"/>
          <w:lang w:val="lv-LV"/>
        </w:rPr>
      </w:pPr>
      <w:r w:rsidRPr="00BC16C8">
        <w:rPr>
          <w:sz w:val="24"/>
          <w:szCs w:val="24"/>
          <w:lang w:val="lv-LV"/>
        </w:rPr>
        <w:t>2017.gada augustā Ministru kabinets apstiprināja turpmāko divu e-veselības sistēmas attīstības projektu mērķus un īstenojamās aktivitātes: (1) Veselības nozares informācijas sistēmu (reģistri) modernizācija, attīstība un integrācija ar e-veselības informācijas sistēmu (2) Vienotās veselības nozares elektroniskās informācijas sistēmas tālāka pilnveidošana, sasaistot to ar personas identifikāciju. Projekti tiks īstenoti izmantojot ES finansējumu.</w:t>
      </w:r>
      <w:r w:rsidRPr="00BC16C8">
        <w:rPr>
          <w:lang w:val="lv-LV"/>
        </w:rPr>
        <w:t xml:space="preserve"> </w:t>
      </w:r>
    </w:p>
    <w:p w:rsidR="004D05D4" w:rsidRPr="00BC16C8" w:rsidP="004D05D4">
      <w:pPr>
        <w:ind w:firstLine="709"/>
        <w:rPr>
          <w:sz w:val="24"/>
          <w:szCs w:val="24"/>
          <w:lang w:val="lv-LV"/>
        </w:rPr>
      </w:pPr>
    </w:p>
    <w:p w:rsidR="004D05D4" w:rsidRPr="00BC16C8" w:rsidP="00DC1E59">
      <w:pPr>
        <w:ind w:firstLine="709"/>
        <w:rPr>
          <w:sz w:val="24"/>
          <w:szCs w:val="24"/>
          <w:lang w:val="lv-LV"/>
        </w:rPr>
      </w:pPr>
    </w:p>
    <w:p w:rsidR="004D05D4" w:rsidRPr="00BC16C8" w:rsidP="00DC1E59">
      <w:pPr>
        <w:ind w:firstLine="709"/>
        <w:rPr>
          <w:sz w:val="24"/>
          <w:szCs w:val="24"/>
          <w:lang w:val="lv-LV"/>
        </w:rPr>
      </w:pPr>
      <w:r w:rsidRPr="00BC16C8">
        <w:rPr>
          <w:sz w:val="24"/>
          <w:szCs w:val="24"/>
          <w:lang w:val="lv-LV"/>
        </w:rPr>
        <w:t>OECD ekspertu sagatavotajā ziņojuma projektā par Latvijas sasniegto progresu rekomendāciju izpildē, tiek minēts, ka:</w:t>
      </w:r>
    </w:p>
    <w:p w:rsidR="004D05D4" w:rsidRPr="00BC16C8" w:rsidP="00DC1E59">
      <w:pPr>
        <w:pStyle w:val="Para"/>
        <w:numPr>
          <w:ilvl w:val="0"/>
          <w:numId w:val="61"/>
        </w:numPr>
        <w:spacing w:before="0" w:after="0"/>
        <w:ind w:left="709" w:right="-2" w:hanging="709"/>
        <w:rPr>
          <w:sz w:val="24"/>
          <w:szCs w:val="24"/>
          <w:lang w:val="lv-LV"/>
        </w:rPr>
      </w:pPr>
      <w:r w:rsidRPr="00BC16C8">
        <w:rPr>
          <w:rFonts w:eastAsia="Times New Roman"/>
          <w:sz w:val="24"/>
          <w:szCs w:val="24"/>
          <w:lang w:val="lv-LV" w:eastAsia="zh-CN"/>
        </w:rPr>
        <w:t>ir veikti pasākumi E-veselības un e-recepšu ieviešanai;</w:t>
      </w:r>
    </w:p>
    <w:p w:rsidR="004D05D4" w:rsidRPr="00BC16C8" w:rsidP="00DC1E59">
      <w:pPr>
        <w:pStyle w:val="ListParagraph"/>
        <w:numPr>
          <w:ilvl w:val="0"/>
          <w:numId w:val="61"/>
        </w:numPr>
        <w:ind w:left="709" w:right="-2" w:hanging="709"/>
        <w:rPr>
          <w:sz w:val="24"/>
          <w:szCs w:val="24"/>
          <w:lang w:val="lv-LV"/>
        </w:rPr>
      </w:pPr>
      <w:r w:rsidRPr="00BC16C8">
        <w:rPr>
          <w:sz w:val="24"/>
          <w:szCs w:val="24"/>
          <w:lang w:val="lv-LV"/>
        </w:rPr>
        <w:t>I</w:t>
      </w:r>
      <w:r w:rsidRPr="00BC16C8" w:rsidR="00DC1E59">
        <w:rPr>
          <w:sz w:val="24"/>
          <w:szCs w:val="24"/>
          <w:lang w:val="lv-LV"/>
        </w:rPr>
        <w:t>r</w:t>
      </w:r>
      <w:r w:rsidRPr="00BC16C8">
        <w:rPr>
          <w:sz w:val="24"/>
          <w:szCs w:val="24"/>
          <w:lang w:val="lv-LV"/>
        </w:rPr>
        <w:t xml:space="preserve"> uzsākts darbs</w:t>
      </w:r>
      <w:r w:rsidRPr="00BC16C8" w:rsidR="00DC1E59">
        <w:rPr>
          <w:sz w:val="24"/>
          <w:szCs w:val="24"/>
          <w:lang w:val="lv-LV"/>
        </w:rPr>
        <w:t xml:space="preserve"> </w:t>
      </w:r>
      <w:r w:rsidRPr="00BC16C8">
        <w:rPr>
          <w:sz w:val="24"/>
          <w:szCs w:val="24"/>
          <w:lang w:val="lv-LV"/>
        </w:rPr>
        <w:t>HSPA instrumentu</w:t>
      </w:r>
      <w:r w:rsidRPr="00BC16C8" w:rsidR="00DC1E59">
        <w:rPr>
          <w:sz w:val="24"/>
          <w:szCs w:val="24"/>
          <w:lang w:val="lv-LV"/>
        </w:rPr>
        <w:t xml:space="preserve"> izstrādei</w:t>
      </w:r>
      <w:r w:rsidRPr="00BC16C8">
        <w:rPr>
          <w:sz w:val="24"/>
          <w:szCs w:val="24"/>
          <w:lang w:val="lv-LV"/>
        </w:rPr>
        <w:t xml:space="preserve">, kas </w:t>
      </w:r>
      <w:r w:rsidRPr="00BC16C8" w:rsidR="00DC1E59">
        <w:rPr>
          <w:sz w:val="24"/>
          <w:szCs w:val="24"/>
          <w:lang w:val="lv-LV"/>
        </w:rPr>
        <w:t>turpmāk būtu izmantojams, lai pārraudzītu</w:t>
      </w:r>
      <w:r w:rsidRPr="00BC16C8">
        <w:rPr>
          <w:sz w:val="24"/>
          <w:szCs w:val="24"/>
          <w:lang w:val="lv-LV"/>
        </w:rPr>
        <w:t xml:space="preserve"> </w:t>
      </w:r>
      <w:r w:rsidRPr="00BC16C8" w:rsidR="00DC1E59">
        <w:rPr>
          <w:sz w:val="24"/>
          <w:szCs w:val="24"/>
          <w:lang w:val="lv-LV"/>
        </w:rPr>
        <w:t>veselības aprūpes sistēmas kvalitāti un mērķu sasniegšanu.</w:t>
      </w:r>
    </w:p>
    <w:p w:rsidR="00DC1E59" w:rsidRPr="00BC16C8" w:rsidP="00DC1E59">
      <w:pPr>
        <w:pStyle w:val="ListParagraph"/>
        <w:ind w:left="709" w:right="-2"/>
        <w:rPr>
          <w:sz w:val="24"/>
          <w:szCs w:val="24"/>
          <w:lang w:val="lv-LV"/>
        </w:rPr>
      </w:pPr>
    </w:p>
    <w:p w:rsidR="00DC1E59" w:rsidRPr="00BC16C8" w:rsidP="00DC1E59">
      <w:pPr>
        <w:pStyle w:val="ListParagraph"/>
        <w:tabs>
          <w:tab w:val="clear" w:pos="850"/>
          <w:tab w:val="clear" w:pos="1191"/>
          <w:tab w:val="clear" w:pos="1531"/>
        </w:tabs>
        <w:ind w:left="0" w:right="-2" w:firstLine="709"/>
        <w:rPr>
          <w:sz w:val="24"/>
          <w:szCs w:val="24"/>
          <w:lang w:val="lv-LV"/>
        </w:rPr>
      </w:pPr>
      <w:r w:rsidRPr="00BC16C8">
        <w:rPr>
          <w:sz w:val="24"/>
          <w:szCs w:val="24"/>
          <w:lang w:val="lv-LV"/>
        </w:rPr>
        <w:t>Tomēr tiek minēts, ka joprojām nepieciešams pievērst uzmanību šādām jomām:</w:t>
      </w:r>
    </w:p>
    <w:p w:rsidR="00DC1E59" w:rsidRPr="00BC16C8" w:rsidP="00DC1E59">
      <w:pPr>
        <w:pStyle w:val="Para"/>
        <w:numPr>
          <w:ilvl w:val="0"/>
          <w:numId w:val="61"/>
        </w:numPr>
        <w:spacing w:before="0" w:after="0"/>
        <w:ind w:left="709" w:right="-2" w:hanging="709"/>
        <w:rPr>
          <w:sz w:val="24"/>
          <w:szCs w:val="24"/>
          <w:lang w:val="lv-LV"/>
        </w:rPr>
      </w:pPr>
      <w:r w:rsidRPr="00BC16C8">
        <w:rPr>
          <w:rFonts w:eastAsia="Times New Roman"/>
          <w:sz w:val="24"/>
          <w:szCs w:val="24"/>
          <w:lang w:val="lv-LV" w:eastAsia="zh-CN"/>
        </w:rPr>
        <w:t>turpināt attīstīt e-veselības sistēmu, nodrošinot, ka datu platforma atbilst nepieciešamajiem standartiem;</w:t>
      </w:r>
    </w:p>
    <w:p w:rsidR="00DC1E59" w:rsidRPr="00BC16C8" w:rsidP="00DC1E59">
      <w:pPr>
        <w:pStyle w:val="Para"/>
        <w:numPr>
          <w:ilvl w:val="0"/>
          <w:numId w:val="61"/>
        </w:numPr>
        <w:spacing w:before="0" w:after="0"/>
        <w:ind w:left="709" w:right="-2" w:hanging="709"/>
        <w:rPr>
          <w:sz w:val="24"/>
          <w:szCs w:val="24"/>
          <w:lang w:val="lv-LV"/>
        </w:rPr>
      </w:pPr>
      <w:r w:rsidRPr="00BC16C8">
        <w:rPr>
          <w:rFonts w:eastAsia="Times New Roman"/>
          <w:sz w:val="24"/>
          <w:szCs w:val="24"/>
          <w:lang w:val="lv-LV" w:eastAsia="zh-CN"/>
        </w:rPr>
        <w:t xml:space="preserve">pēc HSPA instrumenta izstrādes, tostarp slimnīcu / pakalpojumu sniedzēju līmenī, par prioritāti ir jānosaka </w:t>
      </w:r>
      <w:r w:rsidR="00D67FD0">
        <w:rPr>
          <w:rFonts w:eastAsia="Times New Roman"/>
          <w:sz w:val="24"/>
          <w:szCs w:val="24"/>
          <w:lang w:val="lv-LV" w:eastAsia="zh-CN"/>
        </w:rPr>
        <w:t xml:space="preserve">datu </w:t>
      </w:r>
      <w:r w:rsidR="00692424">
        <w:rPr>
          <w:rFonts w:eastAsia="Times New Roman"/>
          <w:sz w:val="24"/>
          <w:szCs w:val="24"/>
          <w:lang w:val="lv-LV" w:eastAsia="zh-CN"/>
        </w:rPr>
        <w:t>publiska pieejamība</w:t>
      </w:r>
      <w:r w:rsidR="00BB13B0">
        <w:rPr>
          <w:rFonts w:eastAsia="Times New Roman"/>
          <w:sz w:val="24"/>
          <w:szCs w:val="24"/>
          <w:lang w:val="lv-LV" w:eastAsia="zh-CN"/>
        </w:rPr>
        <w:t>;</w:t>
      </w:r>
    </w:p>
    <w:p w:rsidR="004D05D4" w:rsidRPr="00BC16C8" w:rsidP="00DC1E59">
      <w:pPr>
        <w:pStyle w:val="ListParagraph"/>
        <w:numPr>
          <w:ilvl w:val="0"/>
          <w:numId w:val="61"/>
        </w:numPr>
        <w:ind w:left="709" w:right="-2" w:hanging="709"/>
        <w:rPr>
          <w:sz w:val="24"/>
          <w:szCs w:val="24"/>
          <w:lang w:val="lv-LV"/>
        </w:rPr>
      </w:pPr>
      <w:r w:rsidRPr="00BC16C8">
        <w:rPr>
          <w:sz w:val="24"/>
          <w:szCs w:val="24"/>
          <w:lang w:val="lv-LV"/>
        </w:rPr>
        <w:t>n</w:t>
      </w:r>
      <w:r w:rsidRPr="00BC16C8" w:rsidR="00DC1E59">
        <w:rPr>
          <w:sz w:val="24"/>
          <w:szCs w:val="24"/>
          <w:lang w:val="lv-LV"/>
        </w:rPr>
        <w:t xml:space="preserve">oteikt, ka dati ieņem centrālāku lomu Veselības inspekcijas darbībās, </w:t>
      </w:r>
      <w:r w:rsidRPr="00BC16C8">
        <w:rPr>
          <w:sz w:val="24"/>
          <w:szCs w:val="24"/>
          <w:lang w:val="lv-LV"/>
        </w:rPr>
        <w:t xml:space="preserve">kā sistēmisku </w:t>
      </w:r>
      <w:r w:rsidR="007878C7">
        <w:rPr>
          <w:sz w:val="24"/>
          <w:szCs w:val="24"/>
          <w:lang w:val="lv-LV"/>
        </w:rPr>
        <w:t>pārbaužu (</w:t>
      </w:r>
      <w:r w:rsidRPr="00BC16C8">
        <w:rPr>
          <w:sz w:val="24"/>
          <w:szCs w:val="24"/>
          <w:lang w:val="lv-LV"/>
        </w:rPr>
        <w:t>inspekciju</w:t>
      </w:r>
      <w:r w:rsidR="007878C7">
        <w:rPr>
          <w:sz w:val="24"/>
          <w:szCs w:val="24"/>
          <w:lang w:val="lv-LV"/>
        </w:rPr>
        <w:t>)</w:t>
      </w:r>
      <w:r w:rsidRPr="00BC16C8">
        <w:rPr>
          <w:sz w:val="24"/>
          <w:szCs w:val="24"/>
          <w:lang w:val="lv-LV"/>
        </w:rPr>
        <w:t xml:space="preserve"> daļu, kā arī, lai tie kalpotu kā kritēriji </w:t>
      </w:r>
      <w:r w:rsidRPr="00BC16C8">
        <w:rPr>
          <w:i/>
          <w:sz w:val="24"/>
          <w:szCs w:val="24"/>
          <w:lang w:val="lv-LV"/>
        </w:rPr>
        <w:t>ad-hoc</w:t>
      </w:r>
      <w:r w:rsidRPr="00BC16C8">
        <w:rPr>
          <w:sz w:val="24"/>
          <w:szCs w:val="24"/>
          <w:lang w:val="lv-LV"/>
        </w:rPr>
        <w:t xml:space="preserve"> inspekciju veikšanai.</w:t>
      </w:r>
    </w:p>
    <w:p w:rsidR="004D05D4" w:rsidRPr="00BC16C8" w:rsidP="00DC1E59">
      <w:pPr>
        <w:ind w:left="360" w:right="-2" w:hanging="360"/>
        <w:rPr>
          <w:sz w:val="24"/>
          <w:szCs w:val="24"/>
          <w:lang w:val="lv-LV"/>
        </w:rPr>
      </w:pPr>
    </w:p>
    <w:p w:rsidR="004D05D4" w:rsidRPr="00BC16C8" w:rsidP="00DC1E59">
      <w:pPr>
        <w:pStyle w:val="Default"/>
        <w:ind w:left="360" w:right="-2" w:hanging="360"/>
        <w:jc w:val="both"/>
        <w:rPr>
          <w:rFonts w:eastAsia="Times New Roman"/>
          <w:color w:val="auto"/>
          <w:lang w:eastAsia="zh-CN"/>
        </w:rPr>
      </w:pPr>
    </w:p>
    <w:p w:rsidR="00E62C6E" w:rsidP="00204954">
      <w:pPr>
        <w:pStyle w:val="Default"/>
        <w:keepNext/>
        <w:jc w:val="both"/>
        <w:rPr>
          <w:b/>
          <w:color w:val="auto"/>
          <w:u w:val="single"/>
        </w:rPr>
      </w:pPr>
      <w:r w:rsidRPr="00262C93">
        <w:rPr>
          <w:b/>
          <w:color w:val="auto"/>
          <w:u w:val="single"/>
        </w:rPr>
        <w:t>2.rekomendācija:</w:t>
      </w:r>
    </w:p>
    <w:p w:rsidR="00262C93" w:rsidRPr="00262C93" w:rsidP="00204954">
      <w:pPr>
        <w:pStyle w:val="Default"/>
        <w:keepNext/>
        <w:jc w:val="both"/>
        <w:rPr>
          <w:b/>
          <w:color w:val="auto"/>
          <w:u w:val="single"/>
        </w:rPr>
      </w:pPr>
    </w:p>
    <w:p w:rsidR="00E66F13" w:rsidRPr="00262C93" w:rsidP="00204954">
      <w:pPr>
        <w:pStyle w:val="Default"/>
        <w:keepNext/>
        <w:jc w:val="both"/>
        <w:rPr>
          <w:b/>
          <w:color w:val="auto"/>
        </w:rPr>
      </w:pPr>
      <w:r w:rsidRPr="00262C93">
        <w:rPr>
          <w:b/>
          <w:color w:val="auto"/>
        </w:rPr>
        <w:t xml:space="preserve">Uzlabot piekļuvi aprūpei, jo īpaši samazinot pacienta </w:t>
      </w:r>
      <w:r w:rsidR="00AC57C3">
        <w:rPr>
          <w:b/>
          <w:color w:val="auto"/>
        </w:rPr>
        <w:t>tiešos maksājumus</w:t>
      </w:r>
      <w:r w:rsidRPr="00262C93">
        <w:rPr>
          <w:b/>
          <w:color w:val="auto"/>
        </w:rPr>
        <w:t xml:space="preserve"> un apsverot atkārtotu ieviešanu atbrīvojumam no līdzmaksājuma neaizsar</w:t>
      </w:r>
      <w:r w:rsidRPr="00262C93" w:rsidR="00E62C6E">
        <w:rPr>
          <w:b/>
          <w:color w:val="auto"/>
        </w:rPr>
        <w:t>gātām un maznodrošinātām grupām.</w:t>
      </w:r>
    </w:p>
    <w:p w:rsidR="00204954" w:rsidRPr="00204954" w:rsidP="00204954">
      <w:pPr>
        <w:pStyle w:val="Default"/>
        <w:keepNext/>
        <w:jc w:val="both"/>
        <w:rPr>
          <w:b/>
          <w:i/>
          <w:color w:val="auto"/>
          <w:sz w:val="36"/>
          <w:szCs w:val="28"/>
        </w:rPr>
      </w:pPr>
      <w:r w:rsidRPr="00262C93">
        <w:rPr>
          <w:i/>
          <w:color w:val="auto"/>
          <w:lang w:val="en-GB"/>
        </w:rPr>
        <w:t xml:space="preserve">Improving access to care, </w:t>
      </w:r>
      <w:r w:rsidRPr="00262C93">
        <w:rPr>
          <w:i/>
          <w:color w:val="auto"/>
          <w:lang w:val="en-GB"/>
        </w:rPr>
        <w:t>in particular by</w:t>
      </w:r>
      <w:r w:rsidRPr="00262C93">
        <w:rPr>
          <w:i/>
          <w:color w:val="auto"/>
          <w:lang w:val="en-GB"/>
        </w:rPr>
        <w:t xml:space="preserve"> reducing out-of-pocket health care spending and considering the re-introduction of cost-sharing exemptions for</w:t>
      </w:r>
      <w:r w:rsidRPr="00204954">
        <w:rPr>
          <w:i/>
          <w:color w:val="auto"/>
          <w:sz w:val="28"/>
          <w:szCs w:val="22"/>
          <w:lang w:val="en-GB"/>
        </w:rPr>
        <w:t xml:space="preserve"> vulnerable and low-income groups</w:t>
      </w:r>
      <w:r w:rsidR="00B501C8">
        <w:rPr>
          <w:i/>
          <w:color w:val="auto"/>
          <w:sz w:val="28"/>
          <w:szCs w:val="22"/>
          <w:lang w:val="en-GB"/>
        </w:rPr>
        <w:t>.</w:t>
      </w:r>
    </w:p>
    <w:p w:rsidR="00A97D82" w:rsidRPr="00BB13B0" w:rsidP="00204954">
      <w:pPr>
        <w:keepNext/>
        <w:tabs>
          <w:tab w:val="clear" w:pos="850"/>
          <w:tab w:val="clear" w:pos="1191"/>
          <w:tab w:val="clear" w:pos="1531"/>
        </w:tabs>
        <w:rPr>
          <w:sz w:val="24"/>
          <w:szCs w:val="24"/>
          <w:lang w:val="lv-LV"/>
        </w:rPr>
      </w:pPr>
    </w:p>
    <w:p w:rsidR="00B86286" w:rsidRPr="00BC16C8" w:rsidP="002D6B2D">
      <w:pPr>
        <w:tabs>
          <w:tab w:val="clear" w:pos="850"/>
          <w:tab w:val="clear" w:pos="1191"/>
          <w:tab w:val="clear" w:pos="1531"/>
        </w:tabs>
        <w:ind w:firstLine="709"/>
        <w:rPr>
          <w:sz w:val="24"/>
          <w:szCs w:val="24"/>
          <w:lang w:val="lv-LV"/>
        </w:rPr>
      </w:pPr>
      <w:r w:rsidRPr="00BB13B0">
        <w:rPr>
          <w:sz w:val="24"/>
          <w:szCs w:val="24"/>
          <w:lang w:val="lv-LV"/>
        </w:rPr>
        <w:t xml:space="preserve">Arī </w:t>
      </w:r>
      <w:r w:rsidRPr="00BB13B0">
        <w:rPr>
          <w:rFonts w:eastAsia="Calibri"/>
          <w:sz w:val="24"/>
          <w:szCs w:val="24"/>
          <w:lang w:val="lv-LV" w:eastAsia="en-US"/>
        </w:rPr>
        <w:t xml:space="preserve">šīs rekomendācijas </w:t>
      </w:r>
      <w:r w:rsidRPr="00BC16C8">
        <w:rPr>
          <w:rFonts w:eastAsia="Calibri"/>
          <w:sz w:val="24"/>
          <w:szCs w:val="24"/>
          <w:lang w:val="lv-LV" w:eastAsia="en-US"/>
        </w:rPr>
        <w:t xml:space="preserve">izpildē darbs ir veikts vairākos virzienos. </w:t>
      </w:r>
      <w:r w:rsidRPr="00BC16C8">
        <w:rPr>
          <w:sz w:val="24"/>
          <w:szCs w:val="24"/>
          <w:lang w:val="lv-LV"/>
        </w:rPr>
        <w:t xml:space="preserve">Piemēram, lai palielinātu veselības aprūpei piešķirtā finansējuma izmantošanas efektivitāti, uzlabotu pakalpojumu kvalitāti un palielinātu konkurenci starp veselības aprūpes pakalpojumu sniedzējiem, tiek plānots izmantot </w:t>
      </w:r>
      <w:r w:rsidR="000E549C">
        <w:rPr>
          <w:sz w:val="24"/>
          <w:szCs w:val="24"/>
          <w:u w:val="single"/>
          <w:lang w:val="lv-LV"/>
        </w:rPr>
        <w:t>stratēģisko atlasi</w:t>
      </w:r>
      <w:r w:rsidRPr="00BC16C8">
        <w:rPr>
          <w:sz w:val="24"/>
          <w:szCs w:val="24"/>
          <w:lang w:val="lv-LV"/>
        </w:rPr>
        <w:t xml:space="preserve"> vai pakalpojumu sniedzēju izvēli atbilstoši noteiktiem kritērijiem. Ņemot vērā noteiktās prioritārās</w:t>
      </w:r>
      <w:r w:rsidR="000E549C">
        <w:rPr>
          <w:sz w:val="24"/>
          <w:szCs w:val="24"/>
          <w:lang w:val="lv-LV"/>
        </w:rPr>
        <w:t xml:space="preserve"> jomas veselības nozarē, pirmā stratēģiskā</w:t>
      </w:r>
      <w:r w:rsidRPr="00BC16C8">
        <w:rPr>
          <w:sz w:val="24"/>
          <w:szCs w:val="24"/>
          <w:lang w:val="lv-LV"/>
        </w:rPr>
        <w:t xml:space="preserve"> </w:t>
      </w:r>
      <w:r w:rsidR="000E549C">
        <w:rPr>
          <w:sz w:val="24"/>
          <w:szCs w:val="24"/>
          <w:lang w:val="lv-LV"/>
        </w:rPr>
        <w:t>atlase</w:t>
      </w:r>
      <w:r w:rsidRPr="00BC16C8">
        <w:rPr>
          <w:sz w:val="24"/>
          <w:szCs w:val="24"/>
          <w:lang w:val="lv-LV"/>
        </w:rPr>
        <w:t xml:space="preserve"> 2018.gadā tika veikts šādām trim pakalpojumu sniedzēju grupām:</w:t>
      </w:r>
    </w:p>
    <w:p w:rsidR="00B86286" w:rsidRPr="00BC16C8" w:rsidP="002D6B2D">
      <w:pPr>
        <w:tabs>
          <w:tab w:val="clear" w:pos="850"/>
          <w:tab w:val="clear" w:pos="1191"/>
          <w:tab w:val="clear" w:pos="1531"/>
        </w:tabs>
        <w:ind w:left="709" w:hanging="709"/>
        <w:rPr>
          <w:sz w:val="24"/>
          <w:szCs w:val="24"/>
          <w:lang w:val="lv-LV"/>
        </w:rPr>
      </w:pPr>
      <w:r w:rsidRPr="00BC16C8">
        <w:rPr>
          <w:sz w:val="24"/>
          <w:szCs w:val="24"/>
          <w:lang w:val="lv-LV"/>
        </w:rPr>
        <w:t>1)</w:t>
      </w:r>
      <w:r w:rsidRPr="00BC16C8" w:rsidR="002D6B2D">
        <w:rPr>
          <w:sz w:val="24"/>
          <w:szCs w:val="24"/>
          <w:lang w:val="lv-LV"/>
        </w:rPr>
        <w:tab/>
      </w:r>
      <w:r w:rsidR="000E549C">
        <w:rPr>
          <w:sz w:val="24"/>
          <w:szCs w:val="24"/>
          <w:lang w:val="lv-LV"/>
        </w:rPr>
        <w:t>stacionārā ārstniecības iestādē plānveidā veicamai onkoloģiskai ārstēšanai</w:t>
      </w:r>
      <w:r w:rsidRPr="00BC16C8">
        <w:rPr>
          <w:sz w:val="24"/>
          <w:szCs w:val="24"/>
          <w:lang w:val="lv-LV"/>
        </w:rPr>
        <w:t>;</w:t>
      </w:r>
    </w:p>
    <w:p w:rsidR="00B86286" w:rsidRPr="00BC16C8" w:rsidP="002D6B2D">
      <w:pPr>
        <w:tabs>
          <w:tab w:val="clear" w:pos="850"/>
          <w:tab w:val="clear" w:pos="1191"/>
          <w:tab w:val="clear" w:pos="1531"/>
        </w:tabs>
        <w:ind w:left="709" w:hanging="709"/>
        <w:rPr>
          <w:sz w:val="24"/>
          <w:szCs w:val="24"/>
          <w:lang w:val="lv-LV"/>
        </w:rPr>
      </w:pPr>
      <w:r w:rsidRPr="00BC16C8">
        <w:rPr>
          <w:sz w:val="24"/>
          <w:szCs w:val="24"/>
          <w:lang w:val="lv-LV"/>
        </w:rPr>
        <w:t>2)</w:t>
      </w:r>
      <w:r w:rsidRPr="00BC16C8" w:rsidR="002D6B2D">
        <w:rPr>
          <w:sz w:val="24"/>
          <w:szCs w:val="24"/>
          <w:lang w:val="lv-LV"/>
        </w:rPr>
        <w:tab/>
      </w:r>
      <w:r w:rsidRPr="00BC16C8">
        <w:rPr>
          <w:sz w:val="24"/>
          <w:szCs w:val="24"/>
          <w:lang w:val="lv-LV"/>
        </w:rPr>
        <w:t xml:space="preserve">ambulatoriem pakalpojumu sniedzējiem, lai nodrošinātu </w:t>
      </w:r>
      <w:r w:rsidRPr="00BC16C8">
        <w:rPr>
          <w:sz w:val="24"/>
          <w:szCs w:val="24"/>
          <w:lang w:val="lv-LV"/>
        </w:rPr>
        <w:t>mamogrāfiju</w:t>
      </w:r>
      <w:r w:rsidRPr="00BC16C8">
        <w:rPr>
          <w:sz w:val="24"/>
          <w:szCs w:val="24"/>
          <w:lang w:val="lv-LV"/>
        </w:rPr>
        <w:t>;</w:t>
      </w:r>
    </w:p>
    <w:p w:rsidR="003448C2" w:rsidRPr="00BC16C8" w:rsidP="002D6B2D">
      <w:pPr>
        <w:tabs>
          <w:tab w:val="clear" w:pos="850"/>
          <w:tab w:val="clear" w:pos="1191"/>
          <w:tab w:val="clear" w:pos="1531"/>
        </w:tabs>
        <w:ind w:left="709" w:hanging="709"/>
        <w:rPr>
          <w:sz w:val="24"/>
          <w:szCs w:val="24"/>
          <w:lang w:val="lv-LV"/>
        </w:rPr>
      </w:pPr>
      <w:r w:rsidRPr="00BC16C8">
        <w:rPr>
          <w:sz w:val="24"/>
          <w:szCs w:val="24"/>
          <w:lang w:val="lv-LV"/>
        </w:rPr>
        <w:t>3)</w:t>
      </w:r>
      <w:r w:rsidRPr="00BC16C8" w:rsidR="002D6B2D">
        <w:rPr>
          <w:sz w:val="24"/>
          <w:szCs w:val="24"/>
          <w:lang w:val="lv-LV"/>
        </w:rPr>
        <w:tab/>
      </w:r>
      <w:r w:rsidR="000E549C">
        <w:rPr>
          <w:sz w:val="24"/>
          <w:szCs w:val="24"/>
          <w:lang w:val="lv-LV"/>
        </w:rPr>
        <w:t>medicīniskās apaugļošanā</w:t>
      </w:r>
      <w:r w:rsidRPr="00BC16C8">
        <w:rPr>
          <w:sz w:val="24"/>
          <w:szCs w:val="24"/>
          <w:lang w:val="lv-LV"/>
        </w:rPr>
        <w:t>s pakalpojumu sniedzējiem.</w:t>
      </w:r>
    </w:p>
    <w:p w:rsidR="003448C2" w:rsidRPr="00BC16C8" w:rsidP="00BB13B0">
      <w:pPr>
        <w:pStyle w:val="NormalWeb"/>
        <w:tabs>
          <w:tab w:val="clear" w:pos="850"/>
          <w:tab w:val="clear" w:pos="1191"/>
          <w:tab w:val="clear" w:pos="1531"/>
        </w:tabs>
        <w:ind w:firstLine="709"/>
        <w:rPr>
          <w:lang w:val="lv-LV"/>
        </w:rPr>
      </w:pPr>
      <w:r w:rsidRPr="00BC16C8">
        <w:rPr>
          <w:color w:val="000000"/>
          <w:lang w:val="lv-LV"/>
        </w:rPr>
        <w:t xml:space="preserve">Katrai pakalpojumu grupai ir </w:t>
      </w:r>
      <w:r w:rsidRPr="00BC16C8">
        <w:rPr>
          <w:lang w:val="lv-LV"/>
        </w:rPr>
        <w:t>noteikti pakalpojumu sniedzēju atlases kritēriji un šo kritēriju robežvērtības (mērķa rādītāji).</w:t>
      </w:r>
      <w:r w:rsidR="007878C7">
        <w:rPr>
          <w:lang w:val="lv-LV"/>
        </w:rPr>
        <w:t xml:space="preserve"> NVD ir izsludinājis</w:t>
      </w:r>
      <w:r w:rsidR="000E549C">
        <w:rPr>
          <w:lang w:val="lv-LV"/>
        </w:rPr>
        <w:t xml:space="preserve"> vēl vienu stratēģiskās</w:t>
      </w:r>
      <w:r w:rsidR="007878C7">
        <w:rPr>
          <w:lang w:val="lv-LV"/>
        </w:rPr>
        <w:t xml:space="preserve"> </w:t>
      </w:r>
      <w:r w:rsidRPr="00C6263A" w:rsidR="007878C7">
        <w:rPr>
          <w:lang w:val="lv-LV"/>
        </w:rPr>
        <w:t xml:space="preserve">atlases procedūru par veselības aprūpes pakalpojuma sniedzēju atlasi pakalpojuma </w:t>
      </w:r>
      <w:r w:rsidR="00BB13B0">
        <w:rPr>
          <w:lang w:val="lv-LV"/>
        </w:rPr>
        <w:t>“</w:t>
      </w:r>
      <w:r w:rsidRPr="00C6263A" w:rsidR="007878C7">
        <w:rPr>
          <w:lang w:val="lv-LV"/>
        </w:rPr>
        <w:t>Pozitronu emisijas tomogrāfija ar datortomogrāfiju</w:t>
      </w:r>
      <w:r w:rsidR="00BB13B0">
        <w:rPr>
          <w:lang w:val="lv-LV"/>
        </w:rPr>
        <w:t>”</w:t>
      </w:r>
      <w:r w:rsidRPr="00C6263A" w:rsidR="007878C7">
        <w:rPr>
          <w:lang w:val="lv-LV"/>
        </w:rPr>
        <w:t xml:space="preserve"> sniegšanai no 2018. gada 1. jūlija.</w:t>
      </w:r>
    </w:p>
    <w:p w:rsidR="00531DC3" w:rsidRPr="00BC16C8" w:rsidP="002D6B2D">
      <w:pPr>
        <w:tabs>
          <w:tab w:val="clear" w:pos="850"/>
          <w:tab w:val="clear" w:pos="1191"/>
          <w:tab w:val="clear" w:pos="1531"/>
        </w:tabs>
        <w:ind w:firstLine="709"/>
        <w:rPr>
          <w:sz w:val="24"/>
          <w:szCs w:val="24"/>
          <w:lang w:val="lv-LV"/>
        </w:rPr>
      </w:pPr>
      <w:r w:rsidRPr="00BC16C8">
        <w:rPr>
          <w:sz w:val="24"/>
          <w:szCs w:val="24"/>
          <w:lang w:val="lv-LV"/>
        </w:rPr>
        <w:t xml:space="preserve">Tāpat jāatzīmē, ka </w:t>
      </w:r>
      <w:r w:rsidRPr="00BC16C8" w:rsidR="0024443C">
        <w:rPr>
          <w:sz w:val="24"/>
          <w:szCs w:val="24"/>
          <w:lang w:val="lv-LV"/>
        </w:rPr>
        <w:t xml:space="preserve">papildus finansējums 2017. gadā ļāva būtiski samazināt </w:t>
      </w:r>
      <w:r w:rsidRPr="00BC16C8" w:rsidR="0024443C">
        <w:rPr>
          <w:sz w:val="24"/>
          <w:szCs w:val="24"/>
          <w:u w:val="single"/>
          <w:lang w:val="lv-LV"/>
        </w:rPr>
        <w:t>gaidīšanas laiku</w:t>
      </w:r>
      <w:r w:rsidRPr="00BC16C8" w:rsidR="0024443C">
        <w:rPr>
          <w:sz w:val="24"/>
          <w:szCs w:val="24"/>
          <w:lang w:val="lv-LV"/>
        </w:rPr>
        <w:t xml:space="preserve"> – uz atsevišķām s</w:t>
      </w:r>
      <w:r w:rsidRPr="00BC16C8" w:rsidR="00A6115E">
        <w:rPr>
          <w:sz w:val="24"/>
          <w:szCs w:val="24"/>
          <w:lang w:val="lv-LV"/>
        </w:rPr>
        <w:t>peciālistu konsultācijām par 42</w:t>
      </w:r>
      <w:r w:rsidRPr="00BC16C8" w:rsidR="0024443C">
        <w:rPr>
          <w:sz w:val="24"/>
          <w:szCs w:val="24"/>
          <w:lang w:val="lv-LV"/>
        </w:rPr>
        <w:t xml:space="preserve">%, </w:t>
      </w:r>
      <w:r w:rsidRPr="00BC16C8" w:rsidR="00A6115E">
        <w:rPr>
          <w:sz w:val="24"/>
          <w:szCs w:val="24"/>
          <w:lang w:val="lv-LV"/>
        </w:rPr>
        <w:t>uz izmeklējumiem – par 33</w:t>
      </w:r>
      <w:r w:rsidRPr="00BC16C8" w:rsidR="0024443C">
        <w:rPr>
          <w:sz w:val="24"/>
          <w:szCs w:val="24"/>
          <w:lang w:val="lv-LV"/>
        </w:rPr>
        <w:t xml:space="preserve">%, </w:t>
      </w:r>
      <w:r w:rsidRPr="00BC16C8" w:rsidR="00AC6F3E">
        <w:rPr>
          <w:sz w:val="24"/>
          <w:szCs w:val="24"/>
          <w:lang w:val="lv-LV"/>
        </w:rPr>
        <w:t xml:space="preserve">un </w:t>
      </w:r>
      <w:r w:rsidRPr="00BC16C8" w:rsidR="0024443C">
        <w:rPr>
          <w:sz w:val="24"/>
          <w:szCs w:val="24"/>
          <w:lang w:val="lv-LV"/>
        </w:rPr>
        <w:t>uz atsevišķiem dienas sta</w:t>
      </w:r>
      <w:r w:rsidRPr="00BC16C8" w:rsidR="00A6115E">
        <w:rPr>
          <w:sz w:val="24"/>
          <w:szCs w:val="24"/>
          <w:lang w:val="lv-LV"/>
        </w:rPr>
        <w:t>cionāru pakalpojumiem – par 68</w:t>
      </w:r>
      <w:r w:rsidRPr="00BC16C8" w:rsidR="0024443C">
        <w:rPr>
          <w:sz w:val="24"/>
          <w:szCs w:val="24"/>
          <w:lang w:val="lv-LV"/>
        </w:rPr>
        <w:t>%</w:t>
      </w:r>
      <w:r w:rsidRPr="00BC16C8">
        <w:rPr>
          <w:sz w:val="24"/>
          <w:szCs w:val="24"/>
          <w:lang w:val="lv-LV"/>
        </w:rPr>
        <w:t>,</w:t>
      </w:r>
      <w:r w:rsidRPr="00BC16C8" w:rsidR="00435AE4">
        <w:rPr>
          <w:sz w:val="24"/>
          <w:szCs w:val="24"/>
          <w:lang w:val="lv-LV"/>
        </w:rPr>
        <w:t xml:space="preserve"> </w:t>
      </w:r>
      <w:r w:rsidRPr="00BC16C8">
        <w:rPr>
          <w:sz w:val="24"/>
          <w:szCs w:val="24"/>
          <w:lang w:val="lv-LV"/>
        </w:rPr>
        <w:t>un 2017</w:t>
      </w:r>
      <w:r w:rsidRPr="00BC16C8" w:rsidR="007750B3">
        <w:rPr>
          <w:sz w:val="24"/>
          <w:szCs w:val="24"/>
          <w:lang w:val="lv-LV"/>
        </w:rPr>
        <w:t xml:space="preserve">. </w:t>
      </w:r>
      <w:r w:rsidRPr="00BC16C8">
        <w:rPr>
          <w:sz w:val="24"/>
          <w:szCs w:val="24"/>
          <w:lang w:val="lv-LV"/>
        </w:rPr>
        <w:t xml:space="preserve">gads bija pirmais gads pēc krīzes, kad </w:t>
      </w:r>
      <w:r w:rsidRPr="00BC16C8" w:rsidR="00F416DF">
        <w:rPr>
          <w:sz w:val="24"/>
          <w:szCs w:val="24"/>
          <w:lang w:val="lv-LV"/>
        </w:rPr>
        <w:t xml:space="preserve">atsevišķu </w:t>
      </w:r>
      <w:r w:rsidRPr="00BC16C8">
        <w:rPr>
          <w:sz w:val="24"/>
          <w:szCs w:val="24"/>
          <w:lang w:val="lv-LV"/>
        </w:rPr>
        <w:t>valsts finansēto veselības aprūpes pakalpojumu kvotas</w:t>
      </w:r>
      <w:r w:rsidRPr="00BC16C8" w:rsidR="007750B3">
        <w:rPr>
          <w:sz w:val="24"/>
          <w:szCs w:val="24"/>
          <w:lang w:val="lv-LV"/>
        </w:rPr>
        <w:t xml:space="preserve"> netika izsmeltas pirms gada beigām</w:t>
      </w:r>
      <w:r w:rsidRPr="00BC16C8">
        <w:rPr>
          <w:sz w:val="24"/>
          <w:szCs w:val="24"/>
          <w:lang w:val="lv-LV"/>
        </w:rPr>
        <w:t>.</w:t>
      </w:r>
    </w:p>
    <w:p w:rsidR="00A97D82" w:rsidRPr="00BC16C8" w:rsidP="00E62C6E">
      <w:pPr>
        <w:pStyle w:val="Num-DocParagraph"/>
        <w:spacing w:after="0"/>
        <w:rPr>
          <w:sz w:val="24"/>
          <w:szCs w:val="24"/>
          <w:lang w:val="lv-LV" w:eastAsia="en-US"/>
        </w:rPr>
      </w:pPr>
    </w:p>
    <w:p w:rsidR="0047069C" w:rsidRPr="00BC16C8" w:rsidP="00581C52">
      <w:pPr>
        <w:tabs>
          <w:tab w:val="clear" w:pos="850"/>
          <w:tab w:val="clear" w:pos="1191"/>
          <w:tab w:val="clear" w:pos="1531"/>
        </w:tabs>
        <w:ind w:firstLine="709"/>
        <w:rPr>
          <w:sz w:val="24"/>
          <w:szCs w:val="24"/>
          <w:lang w:val="lv-LV"/>
        </w:rPr>
      </w:pPr>
      <w:r w:rsidRPr="00BC16C8">
        <w:rPr>
          <w:sz w:val="24"/>
          <w:szCs w:val="24"/>
          <w:lang w:val="lv-LV"/>
        </w:rPr>
        <w:t xml:space="preserve">Ar 2018. gada 1. janvāri valsts apmaksāto </w:t>
      </w:r>
      <w:r w:rsidRPr="00BB13B0">
        <w:rPr>
          <w:sz w:val="24"/>
          <w:szCs w:val="24"/>
          <w:u w:val="single"/>
          <w:lang w:val="lv-LV"/>
        </w:rPr>
        <w:t>veselības aprūpes pakalpojumu klāstā</w:t>
      </w:r>
      <w:r w:rsidRPr="00BC16C8">
        <w:rPr>
          <w:sz w:val="24"/>
          <w:szCs w:val="24"/>
          <w:lang w:val="lv-LV"/>
        </w:rPr>
        <w:t xml:space="preserve"> ir iekļauta aknu transplantācija un </w:t>
      </w:r>
      <w:r w:rsidRPr="00BC16C8">
        <w:rPr>
          <w:sz w:val="24"/>
          <w:szCs w:val="24"/>
          <w:lang w:val="lv-LV"/>
        </w:rPr>
        <w:t>aortālā</w:t>
      </w:r>
      <w:r w:rsidRPr="00BC16C8">
        <w:rPr>
          <w:sz w:val="24"/>
          <w:szCs w:val="24"/>
          <w:lang w:val="lv-LV"/>
        </w:rPr>
        <w:t xml:space="preserve"> vārstuļa </w:t>
      </w:r>
      <w:r w:rsidRPr="00BC16C8">
        <w:rPr>
          <w:sz w:val="24"/>
          <w:szCs w:val="24"/>
          <w:lang w:val="lv-LV"/>
        </w:rPr>
        <w:t>transkatetrālā</w:t>
      </w:r>
      <w:r w:rsidRPr="00BC16C8">
        <w:rPr>
          <w:sz w:val="24"/>
          <w:szCs w:val="24"/>
          <w:lang w:val="lv-LV"/>
        </w:rPr>
        <w:t xml:space="preserve"> implantācija, kā arī diabēta apmācības kabineta pakalpojumi. Tāpat ar 2018. gada 1. jūliju tiks nodrošināta pozitronu emisijas tomogrāfijas izmeklējumi personām ar aizdomām par ļaundabīgu audzēju noteiktām lokalizācijām.</w:t>
      </w:r>
      <w:r w:rsidRPr="00BC16C8" w:rsidR="00581C52">
        <w:rPr>
          <w:sz w:val="24"/>
          <w:szCs w:val="24"/>
          <w:lang w:val="lv-LV"/>
        </w:rPr>
        <w:t xml:space="preserve"> </w:t>
      </w:r>
      <w:r w:rsidRPr="00BC16C8">
        <w:rPr>
          <w:sz w:val="24"/>
          <w:szCs w:val="24"/>
          <w:lang w:val="lv-LV"/>
        </w:rPr>
        <w:t xml:space="preserve">Savukārt, lai uzlabotu medikamentu pieejamību Krona slimības, čūlainā kolīta un </w:t>
      </w:r>
      <w:r w:rsidRPr="00BC16C8">
        <w:rPr>
          <w:sz w:val="24"/>
          <w:szCs w:val="24"/>
          <w:lang w:val="lv-LV"/>
        </w:rPr>
        <w:t>psoriāzes</w:t>
      </w:r>
      <w:r w:rsidRPr="00BC16C8">
        <w:rPr>
          <w:sz w:val="24"/>
          <w:szCs w:val="24"/>
          <w:lang w:val="lv-LV"/>
        </w:rPr>
        <w:t xml:space="preserve"> pacientiem, ar 2018.gadu tika paaugstināts zāļu kompensācijas apmērs no 75% uz 100%.</w:t>
      </w:r>
    </w:p>
    <w:p w:rsidR="0047069C" w:rsidRPr="00BC16C8" w:rsidP="00E62C6E">
      <w:pPr>
        <w:pStyle w:val="Num-DocParagraph"/>
        <w:spacing w:after="0"/>
        <w:rPr>
          <w:sz w:val="24"/>
          <w:szCs w:val="24"/>
          <w:lang w:val="lv-LV" w:eastAsia="en-US"/>
        </w:rPr>
      </w:pPr>
    </w:p>
    <w:p w:rsidR="00E30EEE" w:rsidP="00110090">
      <w:pPr>
        <w:ind w:left="142" w:firstLine="578"/>
        <w:rPr>
          <w:rFonts w:eastAsia="Calibri"/>
          <w:bCs/>
          <w:sz w:val="24"/>
          <w:szCs w:val="24"/>
          <w:lang w:val="lv-LV" w:eastAsia="en-US"/>
        </w:rPr>
      </w:pPr>
      <w:r w:rsidRPr="00E30EEE">
        <w:rPr>
          <w:rFonts w:eastAsia="Calibri"/>
          <w:bCs/>
          <w:sz w:val="24"/>
          <w:szCs w:val="24"/>
          <w:lang w:val="lv-LV" w:eastAsia="en-US"/>
        </w:rPr>
        <w:t xml:space="preserve">Ar 2016.gada 1.oktobri tika ieviests arī tā saucamais “zaļais koridors” pacientiem ar aizdomām par onkoloģisku saslimšanu. Tas nozīmē, ka gadījumā, ja ir aizdomas par saslimšanu ar ļaundabīgu audzēju, ģimenes ārsts, vai valsts apmaksāts ginekologs </w:t>
      </w:r>
      <w:r w:rsidRPr="00E30EEE">
        <w:rPr>
          <w:rFonts w:eastAsia="Calibri"/>
          <w:bCs/>
          <w:sz w:val="24"/>
          <w:szCs w:val="24"/>
          <w:lang w:val="lv-LV" w:eastAsia="en-US"/>
        </w:rPr>
        <w:t>nosūta</w:t>
      </w:r>
      <w:r w:rsidRPr="00E30EEE">
        <w:rPr>
          <w:rFonts w:eastAsia="Calibri"/>
          <w:bCs/>
          <w:sz w:val="24"/>
          <w:szCs w:val="24"/>
          <w:lang w:val="lv-LV" w:eastAsia="en-US"/>
        </w:rPr>
        <w:t xml:space="preserve"> pacientu, piešķirot specializētu kodu pēc SSK-10, nepieciešamo diagnostisko izmeklējumu vai citu speciālistu konsultācijas saņemšanai, savukārt ārstniecības iestādei, kurā pacients vērsties, nepieciešamais pakalpojums šādam pacientam jānodrošina 10 darba dienu laikā, tādējādi nodrošinot agrīnu diagnostiku. Tāpat ģimenes ārsts pēc izmeklējumu veikšanas pamatotu aizdomu gadījumā, vienojoties ar pacientu, </w:t>
      </w:r>
      <w:r w:rsidRPr="00E30EEE">
        <w:rPr>
          <w:rFonts w:eastAsia="Calibri"/>
          <w:bCs/>
          <w:sz w:val="24"/>
          <w:szCs w:val="24"/>
          <w:lang w:val="lv-LV" w:eastAsia="en-US"/>
        </w:rPr>
        <w:t>nosūta</w:t>
      </w:r>
      <w:r w:rsidRPr="00E30EEE">
        <w:rPr>
          <w:rFonts w:eastAsia="Calibri"/>
          <w:bCs/>
          <w:sz w:val="24"/>
          <w:szCs w:val="24"/>
          <w:lang w:val="lv-LV" w:eastAsia="en-US"/>
        </w:rPr>
        <w:t xml:space="preserve"> pacientu uz specializēto onkoloģisko medicīnas iestādi speciālista konsultācijas saņemšanai un attiecīgā ārstniecības iestāde pieņem pacientu iespējami prioritāri, bet ne vēlāk kā 10 darba dienu laikā, kā arī mēneša laikā pēc pirmās speciālista konsultācijas speciālists vai ārstu konsilijs pieņem lēmumu </w:t>
      </w:r>
      <w:r>
        <w:rPr>
          <w:rFonts w:eastAsia="Calibri"/>
          <w:bCs/>
          <w:sz w:val="24"/>
          <w:szCs w:val="24"/>
          <w:lang w:val="lv-LV" w:eastAsia="en-US"/>
        </w:rPr>
        <w:t xml:space="preserve">par pacienta ārstēšanas taktiku. </w:t>
      </w:r>
      <w:r w:rsidRPr="00E30EEE">
        <w:rPr>
          <w:rFonts w:eastAsia="Calibri"/>
          <w:bCs/>
          <w:sz w:val="24"/>
          <w:szCs w:val="24"/>
          <w:lang w:val="lv-LV" w:eastAsia="en-US"/>
        </w:rPr>
        <w:t>Šāda pacientu virzības sistēmas ieviešana nodrošina veselības aprūpes pakalpojumu saņemšanas prioritāti, novirzot konkrētos pacientus no kopējās pacientu plūsmas un ļaujot plānot nepieciešamos resursus onkoloģisko pacientu agrīnai diagnosticēšanai.</w:t>
      </w:r>
    </w:p>
    <w:p w:rsidR="003448C2" w:rsidRPr="00BC16C8" w:rsidP="00110090">
      <w:pPr>
        <w:ind w:left="142" w:firstLine="578"/>
        <w:rPr>
          <w:rFonts w:eastAsia="Calibri"/>
          <w:bCs/>
          <w:sz w:val="24"/>
          <w:szCs w:val="24"/>
          <w:lang w:val="lv-LV" w:eastAsia="en-US"/>
        </w:rPr>
      </w:pPr>
      <w:r w:rsidRPr="00BC16C8">
        <w:rPr>
          <w:rFonts w:eastAsia="Calibri"/>
          <w:bCs/>
          <w:sz w:val="24"/>
          <w:szCs w:val="24"/>
          <w:lang w:val="lv-LV" w:eastAsia="en-US"/>
        </w:rPr>
        <w:t>Rezultātā septiņām “zaļā koridora” ļaundabīgo audzēju lokalizācijām ir palielinājies agrīni (I un II stadija) atklāto gadījumu īpatsvars un samazinājies vēlīni (III un IV stadija) atklāto gadījumu īpatsvars (skat. tabulu Nr.1):</w:t>
      </w:r>
    </w:p>
    <w:p w:rsidR="003448C2" w:rsidRPr="00BC16C8" w:rsidP="00110090">
      <w:pPr>
        <w:tabs>
          <w:tab w:val="clear" w:pos="850"/>
          <w:tab w:val="clear" w:pos="1191"/>
          <w:tab w:val="clear" w:pos="1531"/>
        </w:tabs>
        <w:rPr>
          <w:rFonts w:eastAsia="Calibri"/>
          <w:bCs/>
          <w:sz w:val="24"/>
          <w:szCs w:val="24"/>
          <w:lang w:val="lv-LV" w:eastAsia="en-US"/>
        </w:rPr>
      </w:pPr>
    </w:p>
    <w:p w:rsidR="003448C2" w:rsidRPr="00BC16C8" w:rsidP="003D59A3">
      <w:pPr>
        <w:tabs>
          <w:tab w:val="clear" w:pos="850"/>
          <w:tab w:val="clear" w:pos="1191"/>
          <w:tab w:val="clear" w:pos="1531"/>
        </w:tabs>
        <w:jc w:val="left"/>
        <w:rPr>
          <w:rFonts w:eastAsia="Calibri"/>
          <w:b/>
          <w:bCs/>
          <w:sz w:val="24"/>
          <w:szCs w:val="24"/>
          <w:lang w:val="lv-LV" w:eastAsia="en-US"/>
        </w:rPr>
      </w:pPr>
      <w:r w:rsidRPr="00BC16C8">
        <w:rPr>
          <w:rFonts w:eastAsia="Calibri"/>
          <w:b/>
          <w:bCs/>
          <w:sz w:val="24"/>
          <w:szCs w:val="24"/>
          <w:lang w:val="lv-LV" w:eastAsia="en-US"/>
        </w:rPr>
        <w:t>Tabula nr. Agrīni atklāto</w:t>
      </w:r>
      <w:r w:rsidRPr="00BC16C8" w:rsidR="00D20505">
        <w:rPr>
          <w:rFonts w:eastAsia="Calibri"/>
          <w:b/>
          <w:bCs/>
          <w:sz w:val="24"/>
          <w:szCs w:val="24"/>
          <w:lang w:val="lv-LV" w:eastAsia="en-US"/>
        </w:rPr>
        <w:t xml:space="preserve"> un vēlīni atkāto gadījumu skaits onkoloģijā</w:t>
      </w:r>
      <w:r w:rsidRPr="00BC16C8">
        <w:rPr>
          <w:rFonts w:eastAsia="Calibri"/>
          <w:b/>
          <w:bCs/>
          <w:sz w:val="24"/>
          <w:szCs w:val="24"/>
          <w:lang w:val="lv-LV" w:eastAsia="en-US"/>
        </w:rPr>
        <w:t>.</w:t>
      </w:r>
    </w:p>
    <w:tbl>
      <w:tblPr>
        <w:tblStyle w:val="TableGrid"/>
        <w:tblW w:w="0" w:type="auto"/>
        <w:tblLook w:val="04A0"/>
      </w:tblPr>
      <w:tblGrid>
        <w:gridCol w:w="2449"/>
        <w:gridCol w:w="1055"/>
        <w:gridCol w:w="969"/>
        <w:gridCol w:w="2335"/>
        <w:gridCol w:w="1267"/>
        <w:gridCol w:w="1269"/>
      </w:tblGrid>
      <w:tr w:rsidTr="003D59A3">
        <w:tblPrEx>
          <w:tblW w:w="0" w:type="auto"/>
          <w:tblLook w:val="04A0"/>
        </w:tblPrEx>
        <w:tc>
          <w:tcPr>
            <w:tcW w:w="4473" w:type="dxa"/>
            <w:gridSpan w:val="3"/>
          </w:tcPr>
          <w:p w:rsidR="00D20505" w:rsidRPr="00BC16C8" w:rsidP="00110090">
            <w:pPr>
              <w:tabs>
                <w:tab w:val="clear" w:pos="850"/>
                <w:tab w:val="clear" w:pos="1191"/>
                <w:tab w:val="clear" w:pos="1531"/>
              </w:tabs>
              <w:jc w:val="center"/>
              <w:rPr>
                <w:rFonts w:eastAsia="Calibri"/>
                <w:b/>
                <w:sz w:val="24"/>
                <w:szCs w:val="24"/>
                <w:lang w:val="lv-LV" w:eastAsia="en-US"/>
              </w:rPr>
            </w:pPr>
            <w:r w:rsidRPr="00BC16C8">
              <w:rPr>
                <w:rFonts w:eastAsia="Calibri"/>
                <w:b/>
                <w:sz w:val="24"/>
                <w:szCs w:val="24"/>
                <w:lang w:val="lv-LV" w:eastAsia="en-US"/>
              </w:rPr>
              <w:t>Agrīni (I un II stadija) atklāto gadījumu īpatsvars</w:t>
            </w:r>
          </w:p>
        </w:tc>
        <w:tc>
          <w:tcPr>
            <w:tcW w:w="4871" w:type="dxa"/>
            <w:gridSpan w:val="3"/>
            <w:shd w:val="clear" w:color="auto" w:fill="auto"/>
          </w:tcPr>
          <w:p w:rsidR="00D20505" w:rsidRPr="00BC16C8" w:rsidP="00110090">
            <w:pPr>
              <w:tabs>
                <w:tab w:val="clear" w:pos="850"/>
                <w:tab w:val="clear" w:pos="1191"/>
                <w:tab w:val="clear" w:pos="1531"/>
              </w:tabs>
              <w:jc w:val="center"/>
              <w:rPr>
                <w:rFonts w:eastAsia="Calibri"/>
                <w:b/>
                <w:sz w:val="24"/>
                <w:szCs w:val="24"/>
                <w:lang w:val="lv-LV" w:eastAsia="en-US"/>
              </w:rPr>
            </w:pPr>
            <w:r w:rsidRPr="00BC16C8">
              <w:rPr>
                <w:rFonts w:eastAsia="Calibri"/>
                <w:b/>
                <w:sz w:val="24"/>
                <w:szCs w:val="24"/>
                <w:lang w:val="lv-LV" w:eastAsia="en-US"/>
              </w:rPr>
              <w:t>Vēlīni (III un IV stadija) atklāto gadījumu īpatsvars</w:t>
            </w:r>
          </w:p>
        </w:tc>
      </w:tr>
      <w:tr w:rsidTr="003D59A3">
        <w:tblPrEx>
          <w:tblW w:w="0" w:type="auto"/>
          <w:tblLook w:val="04A0"/>
        </w:tblPrEx>
        <w:tc>
          <w:tcPr>
            <w:tcW w:w="2449" w:type="dxa"/>
            <w:vMerge w:val="restart"/>
          </w:tcPr>
          <w:p w:rsidR="003D59A3" w:rsidRPr="00BC16C8" w:rsidP="00110090">
            <w:pPr>
              <w:tabs>
                <w:tab w:val="clear" w:pos="850"/>
                <w:tab w:val="clear" w:pos="1191"/>
                <w:tab w:val="clear" w:pos="1531"/>
              </w:tabs>
              <w:jc w:val="center"/>
              <w:rPr>
                <w:rFonts w:eastAsia="Calibri"/>
                <w:bCs/>
                <w:sz w:val="24"/>
                <w:szCs w:val="24"/>
                <w:lang w:val="lv-LV" w:eastAsia="en-US"/>
              </w:rPr>
            </w:pPr>
            <w:r w:rsidRPr="00BC16C8">
              <w:rPr>
                <w:rFonts w:eastAsia="Calibri"/>
                <w:bCs/>
                <w:sz w:val="24"/>
                <w:szCs w:val="24"/>
                <w:lang w:val="lv-LV" w:eastAsia="en-US"/>
              </w:rPr>
              <w:t>Lokalizācija</w:t>
            </w:r>
          </w:p>
        </w:tc>
        <w:tc>
          <w:tcPr>
            <w:tcW w:w="2024" w:type="dxa"/>
            <w:gridSpan w:val="2"/>
          </w:tcPr>
          <w:p w:rsidR="003D59A3" w:rsidRPr="00BC16C8" w:rsidP="00110090">
            <w:pPr>
              <w:tabs>
                <w:tab w:val="clear" w:pos="850"/>
                <w:tab w:val="clear" w:pos="1191"/>
                <w:tab w:val="clear" w:pos="1531"/>
              </w:tabs>
              <w:jc w:val="center"/>
              <w:rPr>
                <w:rFonts w:eastAsia="Calibri"/>
                <w:bCs/>
                <w:sz w:val="24"/>
                <w:szCs w:val="24"/>
                <w:lang w:val="lv-LV" w:eastAsia="en-US"/>
              </w:rPr>
            </w:pPr>
            <w:r>
              <w:rPr>
                <w:rFonts w:eastAsia="Calibri"/>
                <w:bCs/>
                <w:sz w:val="24"/>
                <w:szCs w:val="24"/>
                <w:lang w:val="lv-LV" w:eastAsia="en-US"/>
              </w:rPr>
              <w:t>Īpatsvars (%)</w:t>
            </w:r>
          </w:p>
        </w:tc>
        <w:tc>
          <w:tcPr>
            <w:tcW w:w="2335" w:type="dxa"/>
            <w:vMerge w:val="restart"/>
          </w:tcPr>
          <w:p w:rsidR="003D59A3" w:rsidRPr="00BC16C8" w:rsidP="00110090">
            <w:pPr>
              <w:tabs>
                <w:tab w:val="clear" w:pos="850"/>
                <w:tab w:val="clear" w:pos="1191"/>
                <w:tab w:val="clear" w:pos="1531"/>
              </w:tabs>
              <w:jc w:val="center"/>
              <w:rPr>
                <w:rFonts w:eastAsia="Calibri"/>
                <w:bCs/>
                <w:sz w:val="24"/>
                <w:szCs w:val="24"/>
                <w:lang w:val="lv-LV" w:eastAsia="en-US"/>
              </w:rPr>
            </w:pPr>
            <w:r w:rsidRPr="00BC16C8">
              <w:rPr>
                <w:rFonts w:eastAsia="Calibri"/>
                <w:bCs/>
                <w:sz w:val="24"/>
                <w:szCs w:val="24"/>
                <w:lang w:val="lv-LV" w:eastAsia="en-US"/>
              </w:rPr>
              <w:t>Lokalizācija</w:t>
            </w:r>
          </w:p>
        </w:tc>
        <w:tc>
          <w:tcPr>
            <w:tcW w:w="2536" w:type="dxa"/>
            <w:gridSpan w:val="2"/>
          </w:tcPr>
          <w:p w:rsidR="003D59A3" w:rsidRPr="00BC16C8" w:rsidP="00110090">
            <w:pPr>
              <w:tabs>
                <w:tab w:val="clear" w:pos="850"/>
                <w:tab w:val="clear" w:pos="1191"/>
                <w:tab w:val="clear" w:pos="1531"/>
              </w:tabs>
              <w:jc w:val="center"/>
              <w:rPr>
                <w:rFonts w:eastAsia="Calibri"/>
                <w:bCs/>
                <w:sz w:val="24"/>
                <w:szCs w:val="24"/>
                <w:lang w:val="lv-LV" w:eastAsia="en-US"/>
              </w:rPr>
            </w:pPr>
            <w:r>
              <w:rPr>
                <w:rFonts w:eastAsia="Calibri"/>
                <w:bCs/>
                <w:sz w:val="24"/>
                <w:szCs w:val="24"/>
                <w:lang w:val="lv-LV" w:eastAsia="en-US"/>
              </w:rPr>
              <w:t>Īpatsvars (%)</w:t>
            </w:r>
          </w:p>
        </w:tc>
      </w:tr>
      <w:tr w:rsidTr="003D59A3">
        <w:tblPrEx>
          <w:tblW w:w="0" w:type="auto"/>
          <w:tblLook w:val="04A0"/>
        </w:tblPrEx>
        <w:tc>
          <w:tcPr>
            <w:tcW w:w="2449" w:type="dxa"/>
            <w:vMerge/>
          </w:tcPr>
          <w:p w:rsidR="003D59A3" w:rsidRPr="00BC16C8" w:rsidP="00D20505">
            <w:pPr>
              <w:tabs>
                <w:tab w:val="clear" w:pos="850"/>
                <w:tab w:val="clear" w:pos="1191"/>
                <w:tab w:val="clear" w:pos="1531"/>
              </w:tabs>
              <w:rPr>
                <w:rFonts w:eastAsia="Calibri"/>
                <w:bCs/>
                <w:sz w:val="24"/>
                <w:szCs w:val="24"/>
                <w:lang w:val="lv-LV" w:eastAsia="en-US"/>
              </w:rPr>
            </w:pPr>
          </w:p>
        </w:tc>
        <w:tc>
          <w:tcPr>
            <w:tcW w:w="1055" w:type="dxa"/>
          </w:tcPr>
          <w:p w:rsidR="003D59A3" w:rsidRPr="00BC16C8" w:rsidP="003D59A3">
            <w:pPr>
              <w:tabs>
                <w:tab w:val="clear" w:pos="850"/>
                <w:tab w:val="clear" w:pos="1191"/>
                <w:tab w:val="clear" w:pos="1531"/>
              </w:tabs>
              <w:jc w:val="center"/>
              <w:rPr>
                <w:rFonts w:eastAsia="Calibri"/>
                <w:bCs/>
                <w:sz w:val="24"/>
                <w:szCs w:val="24"/>
                <w:lang w:val="lv-LV" w:eastAsia="en-US"/>
              </w:rPr>
            </w:pPr>
            <w:r>
              <w:rPr>
                <w:rFonts w:eastAsia="Calibri"/>
                <w:bCs/>
                <w:sz w:val="24"/>
                <w:szCs w:val="24"/>
                <w:lang w:val="lv-LV" w:eastAsia="en-US"/>
              </w:rPr>
              <w:t>2014</w:t>
            </w:r>
          </w:p>
        </w:tc>
        <w:tc>
          <w:tcPr>
            <w:tcW w:w="969" w:type="dxa"/>
          </w:tcPr>
          <w:p w:rsidR="003D59A3" w:rsidRPr="00BC16C8" w:rsidP="003D59A3">
            <w:pPr>
              <w:tabs>
                <w:tab w:val="clear" w:pos="850"/>
                <w:tab w:val="clear" w:pos="1191"/>
                <w:tab w:val="clear" w:pos="1531"/>
              </w:tabs>
              <w:jc w:val="center"/>
              <w:rPr>
                <w:rFonts w:eastAsia="Calibri"/>
                <w:bCs/>
                <w:sz w:val="24"/>
                <w:szCs w:val="24"/>
                <w:lang w:val="lv-LV" w:eastAsia="en-US"/>
              </w:rPr>
            </w:pPr>
            <w:r>
              <w:rPr>
                <w:rFonts w:eastAsia="Calibri"/>
                <w:bCs/>
                <w:sz w:val="24"/>
                <w:szCs w:val="24"/>
                <w:lang w:val="lv-LV" w:eastAsia="en-US"/>
              </w:rPr>
              <w:t>2017</w:t>
            </w:r>
          </w:p>
        </w:tc>
        <w:tc>
          <w:tcPr>
            <w:tcW w:w="2335" w:type="dxa"/>
            <w:vMerge/>
            <w:shd w:val="clear" w:color="auto" w:fill="auto"/>
          </w:tcPr>
          <w:p w:rsidR="003D59A3" w:rsidRPr="00BC16C8" w:rsidP="00D20505">
            <w:pPr>
              <w:tabs>
                <w:tab w:val="clear" w:pos="850"/>
                <w:tab w:val="clear" w:pos="1191"/>
                <w:tab w:val="clear" w:pos="1531"/>
              </w:tabs>
              <w:rPr>
                <w:rFonts w:eastAsia="Calibri"/>
                <w:bCs/>
                <w:sz w:val="24"/>
                <w:szCs w:val="24"/>
                <w:lang w:val="lv-LV" w:eastAsia="en-US"/>
              </w:rPr>
            </w:pPr>
          </w:p>
        </w:tc>
        <w:tc>
          <w:tcPr>
            <w:tcW w:w="1267" w:type="dxa"/>
          </w:tcPr>
          <w:p w:rsidR="003D59A3" w:rsidRPr="00BC16C8" w:rsidP="003D59A3">
            <w:pPr>
              <w:tabs>
                <w:tab w:val="clear" w:pos="850"/>
                <w:tab w:val="clear" w:pos="1191"/>
                <w:tab w:val="clear" w:pos="1531"/>
              </w:tabs>
              <w:ind w:left="360"/>
              <w:rPr>
                <w:rFonts w:eastAsia="Calibri"/>
                <w:bCs/>
                <w:sz w:val="24"/>
                <w:szCs w:val="24"/>
                <w:lang w:val="lv-LV" w:eastAsia="en-US"/>
              </w:rPr>
            </w:pPr>
            <w:r>
              <w:rPr>
                <w:rFonts w:eastAsia="Calibri"/>
                <w:bCs/>
                <w:sz w:val="24"/>
                <w:szCs w:val="24"/>
                <w:lang w:val="lv-LV" w:eastAsia="en-US"/>
              </w:rPr>
              <w:t>2014</w:t>
            </w:r>
          </w:p>
        </w:tc>
        <w:tc>
          <w:tcPr>
            <w:tcW w:w="1269" w:type="dxa"/>
          </w:tcPr>
          <w:p w:rsidR="003D59A3" w:rsidRPr="00BC16C8" w:rsidP="003D59A3">
            <w:pPr>
              <w:tabs>
                <w:tab w:val="clear" w:pos="850"/>
                <w:tab w:val="clear" w:pos="1191"/>
                <w:tab w:val="clear" w:pos="1531"/>
              </w:tabs>
              <w:ind w:left="360"/>
              <w:rPr>
                <w:rFonts w:eastAsia="Calibri"/>
                <w:bCs/>
                <w:sz w:val="24"/>
                <w:szCs w:val="24"/>
                <w:lang w:val="lv-LV" w:eastAsia="en-US"/>
              </w:rPr>
            </w:pPr>
            <w:r>
              <w:rPr>
                <w:rFonts w:eastAsia="Calibri"/>
                <w:bCs/>
                <w:sz w:val="24"/>
                <w:szCs w:val="24"/>
                <w:lang w:val="lv-LV" w:eastAsia="en-US"/>
              </w:rPr>
              <w:t>2017</w:t>
            </w:r>
          </w:p>
        </w:tc>
      </w:tr>
      <w:tr w:rsidTr="003D59A3">
        <w:tblPrEx>
          <w:tblW w:w="0" w:type="auto"/>
          <w:tblLook w:val="04A0"/>
        </w:tblPrEx>
        <w:tc>
          <w:tcPr>
            <w:tcW w:w="2449" w:type="dxa"/>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 xml:space="preserve">Nieres </w:t>
            </w:r>
          </w:p>
        </w:tc>
        <w:tc>
          <w:tcPr>
            <w:tcW w:w="1055"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55,1</w:t>
            </w:r>
          </w:p>
        </w:tc>
        <w:tc>
          <w:tcPr>
            <w:tcW w:w="969"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68,4</w:t>
            </w:r>
          </w:p>
        </w:tc>
        <w:tc>
          <w:tcPr>
            <w:tcW w:w="2335" w:type="dxa"/>
            <w:shd w:val="clear" w:color="auto" w:fill="auto"/>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Prostatas</w:t>
            </w:r>
            <w:r w:rsidRPr="00865589">
              <w:rPr>
                <w:rFonts w:eastAsia="Calibri"/>
                <w:bCs/>
                <w:sz w:val="24"/>
                <w:lang w:val="lv-LV" w:eastAsia="en-US"/>
              </w:rPr>
              <w:t xml:space="preserve"> </w:t>
            </w:r>
          </w:p>
        </w:tc>
        <w:tc>
          <w:tcPr>
            <w:tcW w:w="1267"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29,8</w:t>
            </w:r>
          </w:p>
        </w:tc>
        <w:tc>
          <w:tcPr>
            <w:tcW w:w="1269"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19,8</w:t>
            </w:r>
          </w:p>
        </w:tc>
      </w:tr>
      <w:tr w:rsidTr="003D59A3">
        <w:tblPrEx>
          <w:tblW w:w="0" w:type="auto"/>
          <w:tblLook w:val="04A0"/>
        </w:tblPrEx>
        <w:tc>
          <w:tcPr>
            <w:tcW w:w="2449" w:type="dxa"/>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Prostata</w:t>
            </w:r>
            <w:r w:rsidRPr="00865589">
              <w:rPr>
                <w:rFonts w:eastAsia="Calibri"/>
                <w:bCs/>
                <w:sz w:val="24"/>
                <w:lang w:val="lv-LV" w:eastAsia="en-US"/>
              </w:rPr>
              <w:t xml:space="preserve"> </w:t>
            </w:r>
          </w:p>
        </w:tc>
        <w:tc>
          <w:tcPr>
            <w:tcW w:w="1055"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55,7</w:t>
            </w:r>
          </w:p>
        </w:tc>
        <w:tc>
          <w:tcPr>
            <w:tcW w:w="969"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68,1</w:t>
            </w:r>
          </w:p>
        </w:tc>
        <w:tc>
          <w:tcPr>
            <w:tcW w:w="2335" w:type="dxa"/>
            <w:shd w:val="clear" w:color="auto" w:fill="auto"/>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 xml:space="preserve">Nieres </w:t>
            </w:r>
          </w:p>
        </w:tc>
        <w:tc>
          <w:tcPr>
            <w:tcW w:w="1267"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33,9</w:t>
            </w:r>
          </w:p>
        </w:tc>
        <w:tc>
          <w:tcPr>
            <w:tcW w:w="1269"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22,5</w:t>
            </w:r>
          </w:p>
        </w:tc>
      </w:tr>
      <w:tr w:rsidTr="003D59A3">
        <w:tblPrEx>
          <w:tblW w:w="0" w:type="auto"/>
          <w:tblLook w:val="04A0"/>
        </w:tblPrEx>
        <w:tc>
          <w:tcPr>
            <w:tcW w:w="2449" w:type="dxa"/>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Dzemdes ķerme</w:t>
            </w:r>
            <w:r w:rsidRPr="00865589" w:rsidR="007F30F6">
              <w:rPr>
                <w:rFonts w:eastAsia="Calibri"/>
                <w:bCs/>
                <w:sz w:val="24"/>
                <w:lang w:val="lv-LV" w:eastAsia="en-US"/>
              </w:rPr>
              <w:t>nis</w:t>
            </w:r>
            <w:r w:rsidRPr="00865589">
              <w:rPr>
                <w:rFonts w:eastAsia="Calibri"/>
                <w:bCs/>
                <w:sz w:val="24"/>
                <w:lang w:val="lv-LV" w:eastAsia="en-US"/>
              </w:rPr>
              <w:t xml:space="preserve"> </w:t>
            </w:r>
          </w:p>
        </w:tc>
        <w:tc>
          <w:tcPr>
            <w:tcW w:w="1055"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62,6</w:t>
            </w:r>
          </w:p>
        </w:tc>
        <w:tc>
          <w:tcPr>
            <w:tcW w:w="969"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70,0</w:t>
            </w:r>
          </w:p>
        </w:tc>
        <w:tc>
          <w:tcPr>
            <w:tcW w:w="2335" w:type="dxa"/>
            <w:shd w:val="clear" w:color="auto" w:fill="auto"/>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Olnīcas</w:t>
            </w:r>
          </w:p>
        </w:tc>
        <w:tc>
          <w:tcPr>
            <w:tcW w:w="1267"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21,5</w:t>
            </w:r>
          </w:p>
        </w:tc>
        <w:tc>
          <w:tcPr>
            <w:tcW w:w="1269"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17,9</w:t>
            </w:r>
          </w:p>
        </w:tc>
      </w:tr>
      <w:tr w:rsidTr="003D59A3">
        <w:tblPrEx>
          <w:tblW w:w="0" w:type="auto"/>
          <w:tblLook w:val="04A0"/>
        </w:tblPrEx>
        <w:tc>
          <w:tcPr>
            <w:tcW w:w="2449" w:type="dxa"/>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 xml:space="preserve">Krūts </w:t>
            </w:r>
          </w:p>
        </w:tc>
        <w:tc>
          <w:tcPr>
            <w:tcW w:w="1055"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63,5</w:t>
            </w:r>
          </w:p>
        </w:tc>
        <w:tc>
          <w:tcPr>
            <w:tcW w:w="969"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67,6</w:t>
            </w:r>
          </w:p>
        </w:tc>
        <w:tc>
          <w:tcPr>
            <w:tcW w:w="2335" w:type="dxa"/>
            <w:shd w:val="clear" w:color="auto" w:fill="auto"/>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 xml:space="preserve">Krūts </w:t>
            </w:r>
          </w:p>
        </w:tc>
        <w:tc>
          <w:tcPr>
            <w:tcW w:w="1267"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31,9</w:t>
            </w:r>
          </w:p>
        </w:tc>
        <w:tc>
          <w:tcPr>
            <w:tcW w:w="1269"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27,5</w:t>
            </w:r>
          </w:p>
        </w:tc>
      </w:tr>
      <w:tr w:rsidTr="003D59A3">
        <w:tblPrEx>
          <w:tblW w:w="0" w:type="auto"/>
          <w:tblLook w:val="04A0"/>
        </w:tblPrEx>
        <w:tc>
          <w:tcPr>
            <w:tcW w:w="2449" w:type="dxa"/>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Plauš</w:t>
            </w:r>
            <w:r w:rsidRPr="00865589" w:rsidR="007F30F6">
              <w:rPr>
                <w:rFonts w:eastAsia="Calibri"/>
                <w:bCs/>
                <w:sz w:val="24"/>
                <w:lang w:val="lv-LV" w:eastAsia="en-US"/>
              </w:rPr>
              <w:t>as</w:t>
            </w:r>
          </w:p>
        </w:tc>
        <w:tc>
          <w:tcPr>
            <w:tcW w:w="1055"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22,9</w:t>
            </w:r>
          </w:p>
        </w:tc>
        <w:tc>
          <w:tcPr>
            <w:tcW w:w="969"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25,4</w:t>
            </w:r>
          </w:p>
        </w:tc>
        <w:tc>
          <w:tcPr>
            <w:tcW w:w="2335" w:type="dxa"/>
            <w:shd w:val="clear" w:color="auto" w:fill="auto"/>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Dzemdes ķermenis</w:t>
            </w:r>
          </w:p>
        </w:tc>
        <w:tc>
          <w:tcPr>
            <w:tcW w:w="1267"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60,3</w:t>
            </w:r>
          </w:p>
        </w:tc>
        <w:tc>
          <w:tcPr>
            <w:tcW w:w="1269"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59,6</w:t>
            </w:r>
          </w:p>
        </w:tc>
      </w:tr>
      <w:tr w:rsidTr="003D59A3">
        <w:tblPrEx>
          <w:tblW w:w="0" w:type="auto"/>
          <w:tblLook w:val="04A0"/>
        </w:tblPrEx>
        <w:tc>
          <w:tcPr>
            <w:tcW w:w="2449" w:type="dxa"/>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Olnīc</w:t>
            </w:r>
            <w:r w:rsidRPr="00865589" w:rsidR="007F30F6">
              <w:rPr>
                <w:rFonts w:eastAsia="Calibri"/>
                <w:bCs/>
                <w:sz w:val="24"/>
                <w:lang w:val="lv-LV" w:eastAsia="en-US"/>
              </w:rPr>
              <w:t>as</w:t>
            </w:r>
          </w:p>
        </w:tc>
        <w:tc>
          <w:tcPr>
            <w:tcW w:w="1055"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27,9</w:t>
            </w:r>
          </w:p>
        </w:tc>
        <w:tc>
          <w:tcPr>
            <w:tcW w:w="969" w:type="dxa"/>
          </w:tcPr>
          <w:p w:rsidR="003D59A3" w:rsidRPr="00865589" w:rsidP="003D59A3">
            <w:pPr>
              <w:tabs>
                <w:tab w:val="clear" w:pos="850"/>
                <w:tab w:val="clear" w:pos="1191"/>
                <w:tab w:val="clear" w:pos="1531"/>
              </w:tabs>
              <w:rPr>
                <w:rFonts w:eastAsia="Calibri"/>
                <w:bCs/>
                <w:sz w:val="24"/>
                <w:lang w:val="lv-LV" w:eastAsia="en-US"/>
              </w:rPr>
            </w:pPr>
            <w:r w:rsidRPr="00865589">
              <w:rPr>
                <w:sz w:val="24"/>
              </w:rPr>
              <w:t>29,4</w:t>
            </w:r>
          </w:p>
        </w:tc>
        <w:tc>
          <w:tcPr>
            <w:tcW w:w="2335" w:type="dxa"/>
            <w:shd w:val="clear" w:color="auto" w:fill="auto"/>
          </w:tcPr>
          <w:p w:rsidR="003D59A3" w:rsidRPr="00865589" w:rsidP="003D59A3">
            <w:pPr>
              <w:tabs>
                <w:tab w:val="clear" w:pos="850"/>
                <w:tab w:val="clear" w:pos="1191"/>
                <w:tab w:val="clear" w:pos="1531"/>
              </w:tabs>
              <w:rPr>
                <w:rFonts w:eastAsia="Calibri"/>
                <w:bCs/>
                <w:sz w:val="24"/>
                <w:lang w:val="lv-LV" w:eastAsia="en-US"/>
              </w:rPr>
            </w:pPr>
            <w:r w:rsidRPr="00865589">
              <w:rPr>
                <w:rFonts w:eastAsia="Calibri"/>
                <w:bCs/>
                <w:sz w:val="24"/>
                <w:lang w:val="lv-LV" w:eastAsia="en-US"/>
              </w:rPr>
              <w:t>Kuņģis</w:t>
            </w:r>
          </w:p>
        </w:tc>
        <w:tc>
          <w:tcPr>
            <w:tcW w:w="1267"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62,1</w:t>
            </w:r>
          </w:p>
        </w:tc>
        <w:tc>
          <w:tcPr>
            <w:tcW w:w="1269" w:type="dxa"/>
          </w:tcPr>
          <w:p w:rsidR="003D59A3" w:rsidRPr="00865589" w:rsidP="003D59A3">
            <w:pPr>
              <w:tabs>
                <w:tab w:val="clear" w:pos="850"/>
                <w:tab w:val="clear" w:pos="1191"/>
                <w:tab w:val="clear" w:pos="1531"/>
              </w:tabs>
              <w:ind w:left="360"/>
              <w:rPr>
                <w:rFonts w:eastAsia="Calibri"/>
                <w:bCs/>
                <w:sz w:val="24"/>
                <w:lang w:val="lv-LV" w:eastAsia="en-US"/>
              </w:rPr>
            </w:pPr>
            <w:r w:rsidRPr="00865589">
              <w:rPr>
                <w:sz w:val="24"/>
              </w:rPr>
              <w:t>57,0</w:t>
            </w:r>
          </w:p>
        </w:tc>
      </w:tr>
    </w:tbl>
    <w:p w:rsidR="005843B0" w:rsidRPr="00BC16C8" w:rsidP="00E62C6E">
      <w:pPr>
        <w:tabs>
          <w:tab w:val="clear" w:pos="850"/>
          <w:tab w:val="clear" w:pos="1191"/>
          <w:tab w:val="clear" w:pos="1531"/>
        </w:tabs>
        <w:rPr>
          <w:color w:val="7030A0"/>
          <w:sz w:val="24"/>
          <w:szCs w:val="24"/>
          <w:lang w:val="lv-LV"/>
        </w:rPr>
      </w:pPr>
    </w:p>
    <w:p w:rsidR="005843B0" w:rsidRPr="00BC16C8" w:rsidP="003D59A3">
      <w:pPr>
        <w:tabs>
          <w:tab w:val="clear" w:pos="850"/>
          <w:tab w:val="clear" w:pos="1191"/>
          <w:tab w:val="clear" w:pos="1531"/>
        </w:tabs>
        <w:ind w:firstLine="709"/>
        <w:rPr>
          <w:sz w:val="24"/>
          <w:szCs w:val="24"/>
          <w:lang w:val="lv-LV"/>
        </w:rPr>
      </w:pPr>
      <w:r>
        <w:rPr>
          <w:sz w:val="24"/>
          <w:szCs w:val="24"/>
          <w:lang w:val="lv-LV"/>
        </w:rPr>
        <w:t>Vienlaikus a</w:t>
      </w:r>
      <w:r w:rsidRPr="00BC16C8" w:rsidR="003D59A3">
        <w:rPr>
          <w:sz w:val="24"/>
          <w:szCs w:val="24"/>
          <w:lang w:val="lv-LV"/>
        </w:rPr>
        <w:t>tsaucība piedalīties v</w:t>
      </w:r>
      <w:r w:rsidRPr="00BC16C8">
        <w:rPr>
          <w:sz w:val="24"/>
          <w:szCs w:val="24"/>
          <w:lang w:val="lv-LV"/>
        </w:rPr>
        <w:t>alsts organizēt</w:t>
      </w:r>
      <w:r w:rsidRPr="00BC16C8" w:rsidR="003D59A3">
        <w:rPr>
          <w:sz w:val="24"/>
          <w:szCs w:val="24"/>
          <w:lang w:val="lv-LV"/>
        </w:rPr>
        <w:t>ajā</w:t>
      </w:r>
      <w:r w:rsidRPr="00BC16C8">
        <w:rPr>
          <w:sz w:val="24"/>
          <w:szCs w:val="24"/>
          <w:lang w:val="lv-LV"/>
        </w:rPr>
        <w:t xml:space="preserve"> vēža </w:t>
      </w:r>
      <w:r w:rsidRPr="00BC16C8">
        <w:rPr>
          <w:sz w:val="24"/>
          <w:szCs w:val="24"/>
          <w:lang w:val="lv-LV"/>
        </w:rPr>
        <w:t>skrīning</w:t>
      </w:r>
      <w:r w:rsidRPr="00BC16C8" w:rsidR="003D59A3">
        <w:rPr>
          <w:sz w:val="24"/>
          <w:szCs w:val="24"/>
          <w:lang w:val="lv-LV"/>
        </w:rPr>
        <w:t>ā</w:t>
      </w:r>
      <w:r w:rsidRPr="00BC16C8">
        <w:rPr>
          <w:sz w:val="24"/>
          <w:szCs w:val="24"/>
          <w:lang w:val="lv-LV"/>
        </w:rPr>
        <w:t xml:space="preserve"> pakāpeniski palielinās: 1)</w:t>
      </w:r>
      <w:r w:rsidR="00865589">
        <w:rPr>
          <w:sz w:val="24"/>
          <w:szCs w:val="24"/>
          <w:lang w:val="lv-LV"/>
        </w:rPr>
        <w:t> </w:t>
      </w:r>
      <w:r w:rsidRPr="00BC16C8">
        <w:rPr>
          <w:sz w:val="24"/>
          <w:szCs w:val="24"/>
          <w:lang w:val="lv-LV"/>
        </w:rPr>
        <w:t xml:space="preserve">2012.gadā </w:t>
      </w:r>
      <w:r w:rsidRPr="00BC16C8" w:rsidR="00600B10">
        <w:rPr>
          <w:sz w:val="24"/>
          <w:szCs w:val="24"/>
          <w:lang w:val="lv-LV"/>
        </w:rPr>
        <w:t xml:space="preserve">atsaucība uz </w:t>
      </w:r>
      <w:r>
        <w:rPr>
          <w:sz w:val="24"/>
          <w:szCs w:val="24"/>
          <w:lang w:val="lv-LV"/>
        </w:rPr>
        <w:t>uz</w:t>
      </w:r>
      <w:r w:rsidRPr="00BC16C8" w:rsidR="00600B10">
        <w:rPr>
          <w:sz w:val="24"/>
          <w:szCs w:val="24"/>
          <w:lang w:val="lv-LV"/>
        </w:rPr>
        <w:t>aicinājumu veikt dzemdes kakla</w:t>
      </w:r>
      <w:r w:rsidRPr="00BC16C8">
        <w:rPr>
          <w:sz w:val="24"/>
          <w:szCs w:val="24"/>
          <w:lang w:val="lv-LV"/>
        </w:rPr>
        <w:t xml:space="preserve"> </w:t>
      </w:r>
      <w:r w:rsidRPr="00BC16C8">
        <w:rPr>
          <w:sz w:val="24"/>
          <w:szCs w:val="24"/>
          <w:lang w:val="lv-LV"/>
        </w:rPr>
        <w:t>skrīningu</w:t>
      </w:r>
      <w:r w:rsidRPr="00BC16C8">
        <w:rPr>
          <w:sz w:val="24"/>
          <w:szCs w:val="24"/>
          <w:lang w:val="lv-LV"/>
        </w:rPr>
        <w:t xml:space="preserve"> bija 26,7%, savukārt 2017.</w:t>
      </w:r>
      <w:r w:rsidR="008679D7">
        <w:rPr>
          <w:lang w:val="lv-LV"/>
        </w:rPr>
        <w:t> </w:t>
      </w:r>
      <w:r>
        <w:rPr>
          <w:lang w:val="lv-LV"/>
        </w:rPr>
        <w:t xml:space="preserve">gadā </w:t>
      </w:r>
      <w:r w:rsidRPr="00252032">
        <w:rPr>
          <w:sz w:val="24"/>
          <w:szCs w:val="24"/>
          <w:lang w:val="lv-LV"/>
        </w:rPr>
        <w:t>skrīninga</w:t>
      </w:r>
      <w:r w:rsidRPr="00252032">
        <w:rPr>
          <w:sz w:val="24"/>
          <w:szCs w:val="24"/>
          <w:lang w:val="lv-LV"/>
        </w:rPr>
        <w:t xml:space="preserve"> programmas aptvere pieaugusi, sasniedzot 39%</w:t>
      </w:r>
      <w:r w:rsidRPr="00BC16C8">
        <w:rPr>
          <w:sz w:val="24"/>
          <w:szCs w:val="24"/>
          <w:lang w:val="lv-LV"/>
        </w:rPr>
        <w:t>; 2</w:t>
      </w:r>
      <w:r w:rsidRPr="00BC16C8" w:rsidR="00704534">
        <w:rPr>
          <w:sz w:val="24"/>
          <w:szCs w:val="24"/>
          <w:lang w:val="lv-LV"/>
        </w:rPr>
        <w:t>) </w:t>
      </w:r>
      <w:r w:rsidRPr="00BC16C8">
        <w:rPr>
          <w:sz w:val="24"/>
          <w:szCs w:val="24"/>
          <w:lang w:val="lv-LV"/>
        </w:rPr>
        <w:t xml:space="preserve">2012.gadā </w:t>
      </w:r>
      <w:r w:rsidRPr="00BC16C8" w:rsidR="00600B10">
        <w:rPr>
          <w:sz w:val="24"/>
          <w:szCs w:val="24"/>
          <w:lang w:val="lv-LV"/>
        </w:rPr>
        <w:t>atsaucība veikt</w:t>
      </w:r>
      <w:r w:rsidRPr="00BC16C8">
        <w:rPr>
          <w:sz w:val="24"/>
          <w:szCs w:val="24"/>
          <w:lang w:val="lv-LV"/>
        </w:rPr>
        <w:t xml:space="preserve"> krūts vēža </w:t>
      </w:r>
      <w:r w:rsidRPr="00BC16C8">
        <w:rPr>
          <w:sz w:val="24"/>
          <w:szCs w:val="24"/>
          <w:lang w:val="lv-LV"/>
        </w:rPr>
        <w:t>skrīn</w:t>
      </w:r>
      <w:r w:rsidRPr="00BC16C8" w:rsidR="00600B10">
        <w:rPr>
          <w:sz w:val="24"/>
          <w:szCs w:val="24"/>
          <w:lang w:val="lv-LV"/>
        </w:rPr>
        <w:t>ingu</w:t>
      </w:r>
      <w:r w:rsidRPr="00BC16C8" w:rsidR="00600B10">
        <w:rPr>
          <w:sz w:val="24"/>
          <w:szCs w:val="24"/>
          <w:lang w:val="lv-LV"/>
        </w:rPr>
        <w:t xml:space="preserve"> bija 32,7%, savukārt 2017.</w:t>
      </w:r>
      <w:r w:rsidRPr="00BC16C8">
        <w:rPr>
          <w:sz w:val="24"/>
          <w:szCs w:val="24"/>
          <w:lang w:val="lv-LV"/>
        </w:rPr>
        <w:t xml:space="preserve">gada pirmajos 9 mēnešos tas bija </w:t>
      </w:r>
      <w:r w:rsidRPr="00BC16C8" w:rsidR="00600B10">
        <w:rPr>
          <w:sz w:val="24"/>
          <w:szCs w:val="24"/>
          <w:lang w:val="lv-LV"/>
        </w:rPr>
        <w:t xml:space="preserve">jau </w:t>
      </w:r>
      <w:r w:rsidRPr="00BC16C8">
        <w:rPr>
          <w:sz w:val="24"/>
          <w:szCs w:val="24"/>
          <w:lang w:val="lv-LV"/>
        </w:rPr>
        <w:t>45,9%; 3) 2012.</w:t>
      </w:r>
      <w:r w:rsidRPr="00BC16C8" w:rsidR="00600B10">
        <w:rPr>
          <w:sz w:val="24"/>
          <w:szCs w:val="24"/>
          <w:lang w:val="lv-LV"/>
        </w:rPr>
        <w:t>gadā atsaucība veikt</w:t>
      </w:r>
      <w:r w:rsidRPr="00BC16C8">
        <w:rPr>
          <w:sz w:val="24"/>
          <w:szCs w:val="24"/>
          <w:lang w:val="lv-LV"/>
        </w:rPr>
        <w:t xml:space="preserve"> zarnu vēža </w:t>
      </w:r>
      <w:r w:rsidRPr="00BC16C8" w:rsidR="00600B10">
        <w:rPr>
          <w:sz w:val="24"/>
          <w:szCs w:val="24"/>
          <w:lang w:val="lv-LV"/>
        </w:rPr>
        <w:t>skrīningu</w:t>
      </w:r>
      <w:r w:rsidRPr="00BC16C8" w:rsidR="00600B10">
        <w:rPr>
          <w:sz w:val="24"/>
          <w:szCs w:val="24"/>
          <w:lang w:val="lv-LV"/>
        </w:rPr>
        <w:t xml:space="preserve"> bija 7,63%, bet 201</w:t>
      </w:r>
      <w:r>
        <w:rPr>
          <w:sz w:val="24"/>
          <w:szCs w:val="24"/>
          <w:lang w:val="lv-LV"/>
        </w:rPr>
        <w:t>7</w:t>
      </w:r>
      <w:r w:rsidRPr="00BC16C8" w:rsidR="00600B10">
        <w:rPr>
          <w:sz w:val="24"/>
          <w:szCs w:val="24"/>
          <w:lang w:val="lv-LV"/>
        </w:rPr>
        <w:t>.</w:t>
      </w:r>
      <w:r w:rsidRPr="00BC16C8">
        <w:rPr>
          <w:sz w:val="24"/>
          <w:szCs w:val="24"/>
          <w:lang w:val="lv-LV"/>
        </w:rPr>
        <w:t xml:space="preserve">gadā </w:t>
      </w:r>
      <w:r w:rsidRPr="00252032">
        <w:rPr>
          <w:sz w:val="24"/>
          <w:szCs w:val="24"/>
          <w:lang w:val="lv-LV"/>
        </w:rPr>
        <w:t>palielinājās, sasniedzot 13,4</w:t>
      </w:r>
      <w:r w:rsidRPr="00BC16C8" w:rsidR="00600B10">
        <w:rPr>
          <w:sz w:val="24"/>
          <w:szCs w:val="24"/>
          <w:lang w:val="lv-LV"/>
        </w:rPr>
        <w:t>%</w:t>
      </w:r>
      <w:r w:rsidRPr="00BC16C8">
        <w:rPr>
          <w:sz w:val="24"/>
          <w:szCs w:val="24"/>
          <w:lang w:val="lv-LV"/>
        </w:rPr>
        <w:t>.</w:t>
      </w:r>
    </w:p>
    <w:p w:rsidR="00531DC3" w:rsidRPr="00BC16C8" w:rsidP="00E62C6E">
      <w:pPr>
        <w:pStyle w:val="Num-DocParagraph"/>
        <w:spacing w:after="0"/>
        <w:rPr>
          <w:sz w:val="24"/>
          <w:szCs w:val="24"/>
          <w:lang w:val="lv-LV"/>
        </w:rPr>
      </w:pPr>
    </w:p>
    <w:p w:rsidR="00B86286" w:rsidRPr="00BC16C8" w:rsidP="00704534">
      <w:pPr>
        <w:pStyle w:val="Num-DocParagraph"/>
        <w:spacing w:after="0"/>
        <w:ind w:firstLine="709"/>
        <w:rPr>
          <w:sz w:val="24"/>
          <w:szCs w:val="24"/>
          <w:lang w:val="lv-LV"/>
        </w:rPr>
      </w:pPr>
      <w:r w:rsidRPr="00BC16C8">
        <w:rPr>
          <w:sz w:val="24"/>
          <w:szCs w:val="24"/>
          <w:lang w:val="lv-LV"/>
        </w:rPr>
        <w:t>Lai uzlabotu veselības aprūpes sistēmas efektivitāti, ir plānotas strukturālās reformas slimnīcu aprūpes organizācijā, piemēram, slimnīcu sadarbības teritoriju izveide</w:t>
      </w:r>
      <w:r w:rsidR="0063769A">
        <w:rPr>
          <w:sz w:val="24"/>
          <w:szCs w:val="24"/>
          <w:lang w:val="lv-LV"/>
        </w:rPr>
        <w:t>, kā arī</w:t>
      </w:r>
      <w:r w:rsidRPr="00BC16C8" w:rsidR="009E4EEE">
        <w:rPr>
          <w:sz w:val="24"/>
          <w:szCs w:val="24"/>
          <w:lang w:val="lv-LV"/>
        </w:rPr>
        <w:t xml:space="preserve"> ir pārskatīti un noteikti</w:t>
      </w:r>
      <w:r w:rsidRPr="00BC16C8">
        <w:rPr>
          <w:sz w:val="24"/>
          <w:szCs w:val="24"/>
          <w:lang w:val="lv-LV"/>
        </w:rPr>
        <w:t xml:space="preserve"> slimnīcu aprūpes līme</w:t>
      </w:r>
      <w:r w:rsidRPr="00BC16C8" w:rsidR="00704534">
        <w:rPr>
          <w:sz w:val="24"/>
          <w:szCs w:val="24"/>
          <w:lang w:val="lv-LV"/>
        </w:rPr>
        <w:t>ņ</w:t>
      </w:r>
      <w:r w:rsidRPr="00BC16C8" w:rsidR="009E4EEE">
        <w:rPr>
          <w:sz w:val="24"/>
          <w:szCs w:val="24"/>
          <w:lang w:val="lv-LV"/>
        </w:rPr>
        <w:t>i</w:t>
      </w:r>
      <w:r w:rsidRPr="00BC16C8">
        <w:rPr>
          <w:sz w:val="24"/>
          <w:szCs w:val="24"/>
          <w:lang w:val="lv-LV"/>
        </w:rPr>
        <w:t xml:space="preserve">. </w:t>
      </w:r>
      <w:r w:rsidRPr="00BC16C8" w:rsidR="00704534">
        <w:rPr>
          <w:sz w:val="24"/>
          <w:szCs w:val="24"/>
          <w:lang w:val="lv-LV"/>
        </w:rPr>
        <w:t>Jau iepriekš minētā SRSS programmas ietvaros,</w:t>
      </w:r>
      <w:r w:rsidRPr="00BC16C8" w:rsidR="009E4EEE">
        <w:rPr>
          <w:sz w:val="24"/>
          <w:szCs w:val="24"/>
          <w:lang w:val="lv-LV"/>
        </w:rPr>
        <w:t xml:space="preserve"> 2017.gadā ir uzsākts projekts, kura</w:t>
      </w:r>
      <w:r w:rsidRPr="00BC16C8" w:rsidR="00704534">
        <w:rPr>
          <w:sz w:val="24"/>
          <w:szCs w:val="24"/>
          <w:lang w:val="lv-LV"/>
        </w:rPr>
        <w:t xml:space="preserve"> </w:t>
      </w:r>
      <w:r w:rsidRPr="00BC16C8">
        <w:rPr>
          <w:sz w:val="24"/>
          <w:szCs w:val="24"/>
          <w:u w:val="single"/>
          <w:lang w:val="lv-LV"/>
        </w:rPr>
        <w:t>vispārējais mērķis</w:t>
      </w:r>
      <w:r w:rsidRPr="00BC16C8">
        <w:rPr>
          <w:sz w:val="24"/>
          <w:szCs w:val="24"/>
          <w:lang w:val="lv-LV"/>
        </w:rPr>
        <w:t xml:space="preserve"> ir veicināt kvalitatīvas </w:t>
      </w:r>
      <w:r w:rsidRPr="00BC16C8" w:rsidR="00704534">
        <w:rPr>
          <w:sz w:val="24"/>
          <w:szCs w:val="24"/>
          <w:lang w:val="lv-LV"/>
        </w:rPr>
        <w:t xml:space="preserve">un efektīvas </w:t>
      </w:r>
      <w:r w:rsidRPr="00BC16C8">
        <w:rPr>
          <w:sz w:val="24"/>
          <w:szCs w:val="24"/>
          <w:lang w:val="lv-LV"/>
        </w:rPr>
        <w:t>veselības aprūpes nodrošināšanu, lai uzlabotu institucionālās un administratīvās strukturālās reformas</w:t>
      </w:r>
      <w:r w:rsidR="0063769A">
        <w:rPr>
          <w:sz w:val="24"/>
          <w:szCs w:val="24"/>
          <w:lang w:val="lv-LV"/>
        </w:rPr>
        <w:t xml:space="preserve"> slimnīcu sadarbības teritorijās</w:t>
      </w:r>
      <w:r w:rsidRPr="00BC16C8">
        <w:rPr>
          <w:sz w:val="24"/>
          <w:szCs w:val="24"/>
          <w:lang w:val="lv-LV"/>
        </w:rPr>
        <w:t>.</w:t>
      </w:r>
    </w:p>
    <w:p w:rsidR="00B86286" w:rsidRPr="00BC16C8" w:rsidP="00E62C6E">
      <w:pPr>
        <w:pStyle w:val="Num-DocParagraph"/>
        <w:spacing w:after="0"/>
        <w:rPr>
          <w:sz w:val="24"/>
          <w:szCs w:val="24"/>
          <w:lang w:val="lv-LV"/>
        </w:rPr>
      </w:pPr>
      <w:r w:rsidRPr="00BC16C8">
        <w:rPr>
          <w:sz w:val="24"/>
          <w:szCs w:val="24"/>
          <w:lang w:val="lv-LV"/>
        </w:rPr>
        <w:t>Paredz</w:t>
      </w:r>
      <w:r w:rsidRPr="00BC16C8" w:rsidR="00453E54">
        <w:rPr>
          <w:sz w:val="24"/>
          <w:szCs w:val="24"/>
          <w:lang w:val="lv-LV"/>
        </w:rPr>
        <w:t>amie</w:t>
      </w:r>
      <w:r w:rsidRPr="00BC16C8">
        <w:rPr>
          <w:sz w:val="24"/>
          <w:szCs w:val="24"/>
          <w:lang w:val="lv-LV"/>
        </w:rPr>
        <w:t xml:space="preserve"> projekta rezultāti ir:</w:t>
      </w:r>
    </w:p>
    <w:p w:rsidR="00B86286" w:rsidRPr="00BC16C8" w:rsidP="00E62C6E">
      <w:pPr>
        <w:pStyle w:val="Num-DocParagraph"/>
        <w:tabs>
          <w:tab w:val="clear" w:pos="850"/>
          <w:tab w:val="clear" w:pos="1191"/>
          <w:tab w:val="clear" w:pos="1531"/>
        </w:tabs>
        <w:spacing w:after="0"/>
        <w:ind w:left="709" w:hanging="709"/>
        <w:rPr>
          <w:sz w:val="24"/>
          <w:szCs w:val="24"/>
          <w:lang w:val="lv-LV"/>
        </w:rPr>
      </w:pPr>
      <w:r w:rsidRPr="00BC16C8">
        <w:rPr>
          <w:sz w:val="24"/>
          <w:szCs w:val="24"/>
          <w:lang w:val="lv-LV"/>
        </w:rPr>
        <w:t>1.</w:t>
      </w:r>
      <w:r w:rsidRPr="00BC16C8" w:rsidR="00453E54">
        <w:rPr>
          <w:sz w:val="24"/>
          <w:szCs w:val="24"/>
          <w:lang w:val="lv-LV"/>
        </w:rPr>
        <w:tab/>
        <w:t>D</w:t>
      </w:r>
      <w:r w:rsidRPr="00BC16C8">
        <w:rPr>
          <w:sz w:val="24"/>
          <w:szCs w:val="24"/>
          <w:lang w:val="lv-LV"/>
        </w:rPr>
        <w:t>efinēts integrēta</w:t>
      </w:r>
      <w:r w:rsidRPr="00BC16C8" w:rsidR="00453E54">
        <w:rPr>
          <w:sz w:val="24"/>
          <w:szCs w:val="24"/>
          <w:lang w:val="lv-LV"/>
        </w:rPr>
        <w:t>s</w:t>
      </w:r>
      <w:r w:rsidRPr="00BC16C8">
        <w:rPr>
          <w:sz w:val="24"/>
          <w:szCs w:val="24"/>
          <w:lang w:val="lv-LV"/>
        </w:rPr>
        <w:t xml:space="preserve"> aprūpes modelis;</w:t>
      </w:r>
    </w:p>
    <w:p w:rsidR="00B86286" w:rsidRPr="00BC16C8" w:rsidP="00E62C6E">
      <w:pPr>
        <w:pStyle w:val="Num-DocParagraph"/>
        <w:tabs>
          <w:tab w:val="clear" w:pos="850"/>
          <w:tab w:val="clear" w:pos="1191"/>
          <w:tab w:val="clear" w:pos="1531"/>
        </w:tabs>
        <w:spacing w:after="0"/>
        <w:ind w:left="709" w:hanging="709"/>
        <w:rPr>
          <w:sz w:val="24"/>
          <w:szCs w:val="24"/>
          <w:lang w:val="lv-LV"/>
        </w:rPr>
      </w:pPr>
      <w:r w:rsidRPr="00BC16C8">
        <w:rPr>
          <w:sz w:val="24"/>
          <w:szCs w:val="24"/>
          <w:lang w:val="lv-LV"/>
        </w:rPr>
        <w:t>2.</w:t>
      </w:r>
      <w:r w:rsidRPr="00BC16C8" w:rsidR="00453E54">
        <w:rPr>
          <w:sz w:val="24"/>
          <w:szCs w:val="24"/>
          <w:lang w:val="lv-LV"/>
        </w:rPr>
        <w:tab/>
        <w:t>I</w:t>
      </w:r>
      <w:r w:rsidRPr="00BC16C8">
        <w:rPr>
          <w:sz w:val="24"/>
          <w:szCs w:val="24"/>
          <w:lang w:val="lv-LV"/>
        </w:rPr>
        <w:t>eviesti veselības aprūpes pakalpojumu, cilvēkresursu un tehnoloģiju plānošanas un nodrošināšanas principi;</w:t>
      </w:r>
    </w:p>
    <w:p w:rsidR="00B86286" w:rsidP="00E62C6E">
      <w:pPr>
        <w:pStyle w:val="Num-DocParagraph"/>
        <w:tabs>
          <w:tab w:val="clear" w:pos="850"/>
          <w:tab w:val="clear" w:pos="1191"/>
          <w:tab w:val="clear" w:pos="1531"/>
        </w:tabs>
        <w:spacing w:after="0"/>
        <w:ind w:left="709" w:hanging="709"/>
        <w:rPr>
          <w:sz w:val="24"/>
          <w:szCs w:val="24"/>
          <w:lang w:val="lv-LV"/>
        </w:rPr>
      </w:pPr>
      <w:r w:rsidRPr="00BC16C8">
        <w:rPr>
          <w:sz w:val="24"/>
          <w:szCs w:val="24"/>
          <w:lang w:val="lv-LV"/>
        </w:rPr>
        <w:t>3.</w:t>
      </w:r>
      <w:r w:rsidRPr="00BC16C8" w:rsidR="00453E54">
        <w:rPr>
          <w:sz w:val="24"/>
          <w:szCs w:val="24"/>
          <w:lang w:val="lv-LV"/>
        </w:rPr>
        <w:tab/>
        <w:t>Izmēģinājuma sadarbības zonā pārbaudīti v</w:t>
      </w:r>
      <w:r w:rsidRPr="00BC16C8">
        <w:rPr>
          <w:sz w:val="24"/>
          <w:szCs w:val="24"/>
          <w:lang w:val="lv-LV"/>
        </w:rPr>
        <w:t>eselības aprūpes plānošanas un nodrošināšanas principi.</w:t>
      </w:r>
    </w:p>
    <w:p w:rsidR="00B43705" w:rsidP="00E62C6E">
      <w:pPr>
        <w:pStyle w:val="Num-DocParagraph"/>
        <w:tabs>
          <w:tab w:val="clear" w:pos="850"/>
          <w:tab w:val="clear" w:pos="1191"/>
          <w:tab w:val="clear" w:pos="1531"/>
        </w:tabs>
        <w:spacing w:after="0"/>
        <w:ind w:left="709" w:hanging="709"/>
        <w:rPr>
          <w:sz w:val="24"/>
          <w:szCs w:val="24"/>
          <w:lang w:val="lv-LV"/>
        </w:rPr>
      </w:pPr>
    </w:p>
    <w:p w:rsidR="00B43705" w:rsidRPr="00C90BC6" w:rsidP="00B43705">
      <w:pPr>
        <w:tabs>
          <w:tab w:val="clear" w:pos="850"/>
          <w:tab w:val="clear" w:pos="1191"/>
          <w:tab w:val="clear" w:pos="1531"/>
        </w:tabs>
        <w:ind w:firstLine="709"/>
        <w:rPr>
          <w:rFonts w:eastAsia="Calibri"/>
          <w:bCs/>
          <w:sz w:val="24"/>
          <w:szCs w:val="24"/>
          <w:lang w:val="lv-LV" w:eastAsia="en-US"/>
        </w:rPr>
      </w:pPr>
      <w:r w:rsidRPr="00C90BC6">
        <w:rPr>
          <w:rFonts w:eastAsia="Calibri"/>
          <w:bCs/>
          <w:sz w:val="24"/>
          <w:szCs w:val="24"/>
          <w:lang w:val="lv-LV" w:eastAsia="en-US"/>
        </w:rPr>
        <w:t xml:space="preserve">Primārās veselības aprūpes jomā kopš 2016.gada ir ieviesti </w:t>
      </w:r>
      <w:r>
        <w:rPr>
          <w:rFonts w:eastAsia="Calibri"/>
          <w:bCs/>
          <w:sz w:val="24"/>
          <w:szCs w:val="24"/>
          <w:lang w:val="lv-LV" w:eastAsia="en-US"/>
        </w:rPr>
        <w:t xml:space="preserve">papildus nosacījumi </w:t>
      </w:r>
      <w:r w:rsidRPr="00C90BC6">
        <w:rPr>
          <w:rFonts w:eastAsia="Calibri"/>
          <w:bCs/>
          <w:sz w:val="24"/>
          <w:szCs w:val="24"/>
          <w:lang w:val="lv-LV" w:eastAsia="en-US"/>
        </w:rPr>
        <w:t>par medicīnisko datu nodošanu jaunam ģimenes ārstam:</w:t>
      </w:r>
    </w:p>
    <w:p w:rsidR="00B43705" w:rsidRPr="00C90BC6" w:rsidP="00262C93">
      <w:pPr>
        <w:tabs>
          <w:tab w:val="clear" w:pos="850"/>
          <w:tab w:val="clear" w:pos="1191"/>
          <w:tab w:val="clear" w:pos="1531"/>
        </w:tabs>
        <w:ind w:left="709" w:hanging="709"/>
        <w:rPr>
          <w:rFonts w:eastAsia="Calibri"/>
          <w:bCs/>
          <w:sz w:val="24"/>
          <w:szCs w:val="24"/>
          <w:lang w:val="lv-LV" w:eastAsia="en-US"/>
        </w:rPr>
      </w:pPr>
      <w:r w:rsidRPr="00C90BC6">
        <w:rPr>
          <w:rFonts w:eastAsia="Calibri"/>
          <w:bCs/>
          <w:sz w:val="24"/>
          <w:szCs w:val="24"/>
          <w:lang w:val="lv-LV" w:eastAsia="en-US"/>
        </w:rPr>
        <w:t>-</w:t>
      </w:r>
      <w:r w:rsidR="00262C93">
        <w:rPr>
          <w:rFonts w:eastAsia="Calibri"/>
          <w:bCs/>
          <w:sz w:val="24"/>
          <w:szCs w:val="24"/>
          <w:lang w:val="lv-LV" w:eastAsia="en-US"/>
        </w:rPr>
        <w:tab/>
      </w:r>
      <w:r w:rsidRPr="00C90BC6">
        <w:rPr>
          <w:rFonts w:eastAsia="Calibri"/>
          <w:bCs/>
          <w:sz w:val="24"/>
          <w:szCs w:val="24"/>
          <w:lang w:val="lv-LV" w:eastAsia="en-US"/>
        </w:rPr>
        <w:t>iepriekšējā ģimenes ārsta nāves gadījumā, nodrošinot vienu mēneša garumā finansējumu ģimenes ārsta māsai vai ārsta palīgam šo datu apkopošanai un nodošanai uzskaitē jaunajam ģimenes ārstam;</w:t>
      </w:r>
    </w:p>
    <w:p w:rsidR="00B43705" w:rsidRPr="00E0382C" w:rsidP="00B43705">
      <w:pPr>
        <w:pStyle w:val="Num-DocParagraph"/>
        <w:tabs>
          <w:tab w:val="clear" w:pos="850"/>
          <w:tab w:val="clear" w:pos="1191"/>
          <w:tab w:val="clear" w:pos="1531"/>
        </w:tabs>
        <w:spacing w:after="0"/>
        <w:ind w:left="709" w:hanging="709"/>
        <w:rPr>
          <w:sz w:val="24"/>
          <w:szCs w:val="24"/>
          <w:lang w:val="lv-LV"/>
        </w:rPr>
      </w:pPr>
      <w:r w:rsidRPr="00C90BC6">
        <w:rPr>
          <w:rFonts w:eastAsia="Calibri"/>
          <w:bCs/>
          <w:sz w:val="24"/>
          <w:szCs w:val="24"/>
          <w:lang w:val="lv-LV" w:eastAsia="en-US"/>
        </w:rPr>
        <w:t>-</w:t>
      </w:r>
      <w:r w:rsidR="00262C93">
        <w:rPr>
          <w:rFonts w:eastAsia="Calibri"/>
          <w:bCs/>
          <w:sz w:val="24"/>
          <w:szCs w:val="24"/>
          <w:lang w:val="lv-LV" w:eastAsia="en-US"/>
        </w:rPr>
        <w:tab/>
      </w:r>
      <w:r w:rsidRPr="00C90BC6">
        <w:rPr>
          <w:rFonts w:eastAsia="Calibri"/>
          <w:bCs/>
          <w:sz w:val="24"/>
          <w:szCs w:val="24"/>
          <w:lang w:val="lv-LV" w:eastAsia="en-US"/>
        </w:rPr>
        <w:t>saistībā ar ģimenes ārsta aiziešanu pensijā, ja ģimenes ārsta praksi pārņem normatīvos aktos noteiktā kārtībā cits ģimenes ārsts, ģimenes ārsta praksei par izmaksāto atlaišanas pabalstu praksē nodarbinātajām ārstniecības personām izmaksā kompensācijas maksājumu aprēķinātā māsas un ārsta palīga (feldšera) darbības nodrošinājuma maksājuma divkāršā apmērā</w:t>
      </w:r>
      <w:r>
        <w:rPr>
          <w:rFonts w:eastAsia="Calibri"/>
          <w:bCs/>
          <w:sz w:val="24"/>
          <w:szCs w:val="24"/>
          <w:lang w:val="lv-LV" w:eastAsia="en-US"/>
        </w:rPr>
        <w:t>.</w:t>
      </w:r>
    </w:p>
    <w:p w:rsidR="00023B3A" w:rsidRPr="00BC16C8" w:rsidP="00E62C6E">
      <w:pPr>
        <w:pStyle w:val="Default"/>
        <w:jc w:val="both"/>
        <w:rPr>
          <w:b/>
          <w:color w:val="auto"/>
        </w:rPr>
      </w:pPr>
    </w:p>
    <w:p w:rsidR="00704534" w:rsidRPr="00BC16C8" w:rsidP="00704534">
      <w:pPr>
        <w:ind w:firstLine="709"/>
        <w:rPr>
          <w:sz w:val="24"/>
          <w:szCs w:val="24"/>
          <w:lang w:val="lv-LV"/>
        </w:rPr>
      </w:pPr>
    </w:p>
    <w:p w:rsidR="00704534" w:rsidRPr="00BC16C8" w:rsidP="00704534">
      <w:pPr>
        <w:ind w:firstLine="709"/>
        <w:rPr>
          <w:sz w:val="24"/>
          <w:szCs w:val="24"/>
          <w:lang w:val="lv-LV"/>
        </w:rPr>
      </w:pPr>
      <w:r w:rsidRPr="00BC16C8">
        <w:rPr>
          <w:sz w:val="24"/>
          <w:szCs w:val="24"/>
          <w:lang w:val="lv-LV"/>
        </w:rPr>
        <w:t>OECD ekspertu sagatavotajā ziņojuma projektā par Latvijas sasniegto progresu rekomendāciju izpildē, tiek minēts, ka:</w:t>
      </w:r>
    </w:p>
    <w:p w:rsidR="00704534" w:rsidRPr="00BC16C8" w:rsidP="00384DBC">
      <w:pPr>
        <w:pStyle w:val="ListParagraph"/>
        <w:numPr>
          <w:ilvl w:val="0"/>
          <w:numId w:val="64"/>
        </w:numPr>
        <w:tabs>
          <w:tab w:val="clear" w:pos="850"/>
          <w:tab w:val="clear" w:pos="1191"/>
          <w:tab w:val="clear" w:pos="1531"/>
        </w:tabs>
        <w:ind w:left="709" w:hanging="709"/>
        <w:rPr>
          <w:sz w:val="24"/>
          <w:szCs w:val="24"/>
          <w:lang w:val="lv-LV"/>
        </w:rPr>
      </w:pPr>
      <w:r w:rsidRPr="00BC16C8">
        <w:rPr>
          <w:sz w:val="24"/>
          <w:szCs w:val="24"/>
          <w:lang w:val="lv-LV"/>
        </w:rPr>
        <w:t xml:space="preserve">2017.gadā </w:t>
      </w:r>
      <w:r w:rsidRPr="00BC16C8" w:rsidR="00384DBC">
        <w:rPr>
          <w:sz w:val="24"/>
          <w:szCs w:val="24"/>
          <w:lang w:val="lv-LV"/>
        </w:rPr>
        <w:t xml:space="preserve">tika veikts </w:t>
      </w:r>
      <w:r w:rsidRPr="00BC16C8">
        <w:rPr>
          <w:sz w:val="24"/>
          <w:szCs w:val="24"/>
          <w:lang w:val="lv-LV"/>
        </w:rPr>
        <w:t>mērķtiecīg</w:t>
      </w:r>
      <w:r w:rsidRPr="00BC16C8" w:rsidR="00384DBC">
        <w:rPr>
          <w:sz w:val="24"/>
          <w:szCs w:val="24"/>
          <w:lang w:val="lv-LV"/>
        </w:rPr>
        <w:t>s</w:t>
      </w:r>
      <w:r w:rsidRPr="00BC16C8">
        <w:rPr>
          <w:sz w:val="24"/>
          <w:szCs w:val="24"/>
          <w:lang w:val="lv-LV"/>
        </w:rPr>
        <w:t xml:space="preserve"> finansējuma </w:t>
      </w:r>
      <w:r w:rsidRPr="00BC16C8" w:rsidR="00384DBC">
        <w:rPr>
          <w:sz w:val="24"/>
          <w:szCs w:val="24"/>
          <w:lang w:val="lv-LV"/>
        </w:rPr>
        <w:t>palielinājums</w:t>
      </w:r>
      <w:r w:rsidR="0063769A">
        <w:rPr>
          <w:sz w:val="24"/>
          <w:szCs w:val="24"/>
          <w:lang w:val="lv-LV"/>
        </w:rPr>
        <w:t>, lai</w:t>
      </w:r>
      <w:r w:rsidR="00865589">
        <w:rPr>
          <w:sz w:val="24"/>
          <w:szCs w:val="24"/>
          <w:lang w:val="lv-LV"/>
        </w:rPr>
        <w:t xml:space="preserve"> </w:t>
      </w:r>
      <w:r w:rsidRPr="00BC16C8">
        <w:rPr>
          <w:sz w:val="24"/>
          <w:szCs w:val="24"/>
          <w:lang w:val="lv-LV"/>
        </w:rPr>
        <w:t>samazinā</w:t>
      </w:r>
      <w:r w:rsidRPr="00BC16C8" w:rsidR="00384DBC">
        <w:rPr>
          <w:sz w:val="24"/>
          <w:szCs w:val="24"/>
          <w:lang w:val="lv-LV"/>
        </w:rPr>
        <w:t>t</w:t>
      </w:r>
      <w:r w:rsidR="0063769A">
        <w:rPr>
          <w:sz w:val="24"/>
          <w:szCs w:val="24"/>
          <w:lang w:val="lv-LV"/>
        </w:rPr>
        <w:t>u</w:t>
      </w:r>
      <w:r w:rsidRPr="00BC16C8">
        <w:rPr>
          <w:sz w:val="24"/>
          <w:szCs w:val="24"/>
          <w:lang w:val="lv-LV"/>
        </w:rPr>
        <w:t xml:space="preserve"> gaidīšanas laiku un paaugstinā</w:t>
      </w:r>
      <w:r w:rsidRPr="00BC16C8" w:rsidR="00384DBC">
        <w:rPr>
          <w:sz w:val="24"/>
          <w:szCs w:val="24"/>
          <w:lang w:val="lv-LV"/>
        </w:rPr>
        <w:t>t</w:t>
      </w:r>
      <w:r w:rsidRPr="00BC16C8">
        <w:rPr>
          <w:sz w:val="24"/>
          <w:szCs w:val="24"/>
          <w:lang w:val="lv-LV"/>
        </w:rPr>
        <w:t xml:space="preserve"> galveno pakalpojumu kvotas</w:t>
      </w:r>
      <w:r w:rsidRPr="00BC16C8" w:rsidR="00384DBC">
        <w:rPr>
          <w:sz w:val="24"/>
          <w:szCs w:val="24"/>
          <w:lang w:val="lv-LV"/>
        </w:rPr>
        <w:t>;</w:t>
      </w:r>
    </w:p>
    <w:p w:rsidR="00704534" w:rsidRPr="00BC16C8" w:rsidP="00384DBC">
      <w:pPr>
        <w:pStyle w:val="Para"/>
        <w:numPr>
          <w:ilvl w:val="0"/>
          <w:numId w:val="61"/>
        </w:numPr>
        <w:spacing w:before="0" w:after="0"/>
        <w:ind w:left="709" w:right="-2" w:hanging="709"/>
        <w:rPr>
          <w:rFonts w:eastAsia="Times New Roman"/>
          <w:sz w:val="24"/>
          <w:szCs w:val="24"/>
          <w:lang w:val="lv-LV" w:eastAsia="zh-CN"/>
        </w:rPr>
      </w:pPr>
      <w:r w:rsidRPr="00BC16C8">
        <w:rPr>
          <w:sz w:val="24"/>
          <w:szCs w:val="24"/>
          <w:lang w:val="lv-LV"/>
        </w:rPr>
        <w:t xml:space="preserve">darbinieku trūkums joprojām ir </w:t>
      </w:r>
      <w:r w:rsidRPr="00BC16C8" w:rsidR="00384DBC">
        <w:rPr>
          <w:sz w:val="24"/>
          <w:szCs w:val="24"/>
          <w:lang w:val="lv-LV"/>
        </w:rPr>
        <w:t>nopietns</w:t>
      </w:r>
      <w:r w:rsidRPr="00BC16C8">
        <w:rPr>
          <w:sz w:val="24"/>
          <w:szCs w:val="24"/>
          <w:lang w:val="lv-LV"/>
        </w:rPr>
        <w:t xml:space="preserve"> izaicinājums, taču ir veikti pasākumi</w:t>
      </w:r>
      <w:r w:rsidRPr="00BC16C8" w:rsidR="00384DBC">
        <w:rPr>
          <w:sz w:val="24"/>
          <w:szCs w:val="24"/>
          <w:lang w:val="lv-LV"/>
        </w:rPr>
        <w:t xml:space="preserve"> – algu pielikums, ar mērķi</w:t>
      </w:r>
      <w:r w:rsidRPr="00BC16C8">
        <w:rPr>
          <w:sz w:val="24"/>
          <w:szCs w:val="24"/>
          <w:lang w:val="lv-LV"/>
        </w:rPr>
        <w:t xml:space="preserve"> </w:t>
      </w:r>
      <w:r w:rsidRPr="00BC16C8" w:rsidR="00384DBC">
        <w:rPr>
          <w:sz w:val="24"/>
          <w:szCs w:val="24"/>
          <w:lang w:val="lv-LV"/>
        </w:rPr>
        <w:t>noturēt darbā</w:t>
      </w:r>
      <w:r w:rsidRPr="00BC16C8">
        <w:rPr>
          <w:sz w:val="24"/>
          <w:szCs w:val="24"/>
          <w:lang w:val="lv-LV"/>
        </w:rPr>
        <w:t xml:space="preserve"> </w:t>
      </w:r>
      <w:r w:rsidRPr="00BC16C8" w:rsidR="00384DBC">
        <w:rPr>
          <w:sz w:val="24"/>
          <w:szCs w:val="24"/>
          <w:lang w:val="lv-LV"/>
        </w:rPr>
        <w:t xml:space="preserve">esošos darbiniekus un </w:t>
      </w:r>
      <w:r w:rsidRPr="00BC16C8">
        <w:rPr>
          <w:sz w:val="24"/>
          <w:szCs w:val="24"/>
          <w:lang w:val="lv-LV"/>
        </w:rPr>
        <w:t>pieņem</w:t>
      </w:r>
      <w:r w:rsidRPr="00BC16C8" w:rsidR="00384DBC">
        <w:rPr>
          <w:sz w:val="24"/>
          <w:szCs w:val="24"/>
          <w:lang w:val="lv-LV"/>
        </w:rPr>
        <w:t>tu jaunus.</w:t>
      </w:r>
    </w:p>
    <w:p w:rsidR="00704534" w:rsidRPr="00BC16C8" w:rsidP="00704534">
      <w:pPr>
        <w:pStyle w:val="ListParagraph"/>
        <w:ind w:left="709" w:right="-2"/>
        <w:rPr>
          <w:sz w:val="24"/>
          <w:szCs w:val="24"/>
          <w:lang w:val="lv-LV"/>
        </w:rPr>
      </w:pPr>
    </w:p>
    <w:p w:rsidR="00704534" w:rsidRPr="00BC16C8" w:rsidP="00704534">
      <w:pPr>
        <w:pStyle w:val="ListParagraph"/>
        <w:tabs>
          <w:tab w:val="clear" w:pos="850"/>
          <w:tab w:val="clear" w:pos="1191"/>
          <w:tab w:val="clear" w:pos="1531"/>
        </w:tabs>
        <w:ind w:left="0" w:right="-2" w:firstLine="709"/>
        <w:rPr>
          <w:sz w:val="24"/>
          <w:szCs w:val="24"/>
          <w:lang w:val="lv-LV"/>
        </w:rPr>
      </w:pPr>
      <w:r w:rsidRPr="00BC16C8">
        <w:rPr>
          <w:sz w:val="24"/>
          <w:szCs w:val="24"/>
          <w:lang w:val="lv-LV"/>
        </w:rPr>
        <w:t>Tomēr tiek minēts, ka joprojām nepieciešams pievērst uzmanību šādām jomām:</w:t>
      </w:r>
    </w:p>
    <w:p w:rsidR="00704534" w:rsidRPr="00BC16C8" w:rsidP="008778CA">
      <w:pPr>
        <w:pStyle w:val="Para"/>
        <w:numPr>
          <w:ilvl w:val="0"/>
          <w:numId w:val="61"/>
        </w:numPr>
        <w:spacing w:before="0" w:after="0"/>
        <w:ind w:left="709" w:right="-2" w:hanging="709"/>
        <w:rPr>
          <w:sz w:val="24"/>
          <w:szCs w:val="24"/>
          <w:lang w:val="lv-LV"/>
        </w:rPr>
      </w:pPr>
      <w:r w:rsidRPr="00BC16C8">
        <w:rPr>
          <w:rFonts w:eastAsia="Times New Roman"/>
          <w:sz w:val="24"/>
          <w:szCs w:val="24"/>
          <w:lang w:val="lv-LV" w:eastAsia="zh-CN"/>
        </w:rPr>
        <w:t xml:space="preserve">nodrošināt, ka plānotā </w:t>
      </w:r>
      <w:r w:rsidRPr="00BC16C8" w:rsidR="004639FF">
        <w:rPr>
          <w:rFonts w:eastAsia="Times New Roman"/>
          <w:sz w:val="24"/>
          <w:szCs w:val="24"/>
          <w:lang w:val="lv-LV" w:eastAsia="zh-CN"/>
        </w:rPr>
        <w:t>v</w:t>
      </w:r>
      <w:r w:rsidRPr="00BC16C8">
        <w:rPr>
          <w:rFonts w:eastAsia="Times New Roman"/>
          <w:sz w:val="24"/>
          <w:szCs w:val="24"/>
          <w:lang w:val="lv-LV" w:eastAsia="zh-CN"/>
        </w:rPr>
        <w:t>eselības aprūpes finansēšanas reforma nepasliktin</w:t>
      </w:r>
      <w:r w:rsidRPr="00BC16C8" w:rsidR="008778CA">
        <w:rPr>
          <w:rFonts w:eastAsia="Times New Roman"/>
          <w:sz w:val="24"/>
          <w:szCs w:val="24"/>
          <w:lang w:val="lv-LV" w:eastAsia="zh-CN"/>
        </w:rPr>
        <w:t>ātu</w:t>
      </w:r>
      <w:r w:rsidRPr="00BC16C8">
        <w:rPr>
          <w:rFonts w:eastAsia="Times New Roman"/>
          <w:sz w:val="24"/>
          <w:szCs w:val="24"/>
          <w:lang w:val="lv-LV" w:eastAsia="zh-CN"/>
        </w:rPr>
        <w:t xml:space="preserve"> </w:t>
      </w:r>
      <w:r w:rsidRPr="00BC16C8" w:rsidR="008778CA">
        <w:rPr>
          <w:rFonts w:eastAsia="Times New Roman"/>
          <w:sz w:val="24"/>
          <w:szCs w:val="24"/>
          <w:lang w:val="lv-LV" w:eastAsia="zh-CN"/>
        </w:rPr>
        <w:t>veselības aprūpes pieejamību;</w:t>
      </w:r>
    </w:p>
    <w:p w:rsidR="00704534" w:rsidRPr="00656FA0" w:rsidP="008778CA">
      <w:pPr>
        <w:pStyle w:val="Para"/>
        <w:numPr>
          <w:ilvl w:val="0"/>
          <w:numId w:val="61"/>
        </w:numPr>
        <w:spacing w:before="0" w:after="0"/>
        <w:ind w:left="709" w:right="-2" w:hanging="709"/>
        <w:rPr>
          <w:sz w:val="24"/>
          <w:szCs w:val="24"/>
          <w:lang w:val="lv-LV"/>
        </w:rPr>
      </w:pPr>
      <w:r w:rsidRPr="00BC16C8">
        <w:rPr>
          <w:rFonts w:eastAsia="Times New Roman"/>
          <w:sz w:val="24"/>
          <w:szCs w:val="24"/>
          <w:lang w:val="lv-LV" w:eastAsia="zh-CN"/>
        </w:rPr>
        <w:t xml:space="preserve">rūpīgi </w:t>
      </w:r>
      <w:r w:rsidRPr="00BC16C8" w:rsidR="004639FF">
        <w:rPr>
          <w:rFonts w:eastAsia="Times New Roman"/>
          <w:sz w:val="24"/>
          <w:szCs w:val="24"/>
          <w:lang w:val="lv-LV" w:eastAsia="zh-CN"/>
        </w:rPr>
        <w:t xml:space="preserve">uzraudzīt </w:t>
      </w:r>
      <w:r w:rsidRPr="00BC16C8" w:rsidR="00375BF2">
        <w:rPr>
          <w:rFonts w:eastAsia="Times New Roman"/>
          <w:sz w:val="24"/>
          <w:szCs w:val="24"/>
          <w:lang w:val="lv-LV" w:eastAsia="zh-CN"/>
        </w:rPr>
        <w:t>mājsaimn</w:t>
      </w:r>
      <w:r w:rsidR="00375BF2">
        <w:rPr>
          <w:rFonts w:eastAsia="Times New Roman"/>
          <w:sz w:val="24"/>
          <w:szCs w:val="24"/>
          <w:lang w:val="lv-LV" w:eastAsia="zh-CN"/>
        </w:rPr>
        <w:t>iecību</w:t>
      </w:r>
      <w:r w:rsidRPr="00BC16C8" w:rsidR="00375BF2">
        <w:rPr>
          <w:rFonts w:eastAsia="Times New Roman"/>
          <w:sz w:val="24"/>
          <w:szCs w:val="24"/>
          <w:lang w:val="lv-LV" w:eastAsia="zh-CN"/>
        </w:rPr>
        <w:t xml:space="preserve"> </w:t>
      </w:r>
      <w:r w:rsidRPr="00BC16C8" w:rsidR="004639FF">
        <w:rPr>
          <w:rFonts w:eastAsia="Times New Roman"/>
          <w:sz w:val="24"/>
          <w:szCs w:val="24"/>
          <w:lang w:val="lv-LV" w:eastAsia="zh-CN"/>
        </w:rPr>
        <w:t>tiešo maksājumu un līdzmaksājumu</w:t>
      </w:r>
      <w:r w:rsidRPr="00BC16C8">
        <w:rPr>
          <w:rFonts w:eastAsia="Times New Roman"/>
          <w:sz w:val="24"/>
          <w:szCs w:val="24"/>
          <w:lang w:val="lv-LV" w:eastAsia="zh-CN"/>
        </w:rPr>
        <w:t xml:space="preserve"> ietekmi</w:t>
      </w:r>
      <w:r w:rsidRPr="00BC16C8" w:rsidR="004639FF">
        <w:rPr>
          <w:rFonts w:eastAsia="Times New Roman"/>
          <w:sz w:val="24"/>
          <w:szCs w:val="24"/>
          <w:lang w:val="lv-LV" w:eastAsia="zh-CN"/>
        </w:rPr>
        <w:t xml:space="preserve"> </w:t>
      </w:r>
      <w:r w:rsidRPr="00BC16C8">
        <w:rPr>
          <w:rFonts w:eastAsia="Times New Roman"/>
          <w:sz w:val="24"/>
          <w:szCs w:val="24"/>
          <w:lang w:val="lv-LV" w:eastAsia="zh-CN"/>
        </w:rPr>
        <w:t xml:space="preserve">uz </w:t>
      </w:r>
      <w:r w:rsidRPr="00BC16C8" w:rsidR="004639FF">
        <w:rPr>
          <w:rFonts w:eastAsia="Times New Roman"/>
          <w:sz w:val="24"/>
          <w:szCs w:val="24"/>
          <w:lang w:val="lv-LV" w:eastAsia="zh-CN"/>
        </w:rPr>
        <w:t>maznodrošinātajiem Latvijas iedzīvotājiem.</w:t>
      </w:r>
    </w:p>
    <w:p w:rsidR="00704534" w:rsidRPr="00BC16C8" w:rsidP="00E62C6E">
      <w:pPr>
        <w:pStyle w:val="Default"/>
        <w:jc w:val="both"/>
        <w:rPr>
          <w:color w:val="auto"/>
        </w:rPr>
      </w:pPr>
    </w:p>
    <w:p w:rsidR="00A75BF7" w:rsidRPr="00BC16C8" w:rsidP="00E62C6E">
      <w:pPr>
        <w:pStyle w:val="Default"/>
        <w:jc w:val="both"/>
        <w:rPr>
          <w:b/>
          <w:color w:val="auto"/>
        </w:rPr>
      </w:pPr>
    </w:p>
    <w:p w:rsidR="00E62C6E" w:rsidRPr="00262C93" w:rsidP="00262C93">
      <w:pPr>
        <w:pStyle w:val="Default"/>
        <w:keepNext/>
        <w:jc w:val="both"/>
        <w:rPr>
          <w:b/>
          <w:color w:val="auto"/>
          <w:u w:val="single"/>
        </w:rPr>
      </w:pPr>
      <w:r w:rsidRPr="00262C93">
        <w:rPr>
          <w:b/>
          <w:color w:val="auto"/>
          <w:u w:val="single"/>
        </w:rPr>
        <w:t>3.rekomendācija:</w:t>
      </w:r>
    </w:p>
    <w:p w:rsidR="00262C93" w:rsidRPr="00262C93" w:rsidP="00262C93">
      <w:pPr>
        <w:pStyle w:val="Default"/>
        <w:keepNext/>
        <w:jc w:val="both"/>
        <w:rPr>
          <w:b/>
          <w:color w:val="auto"/>
          <w:u w:val="single"/>
        </w:rPr>
      </w:pPr>
    </w:p>
    <w:p w:rsidR="00E66F13" w:rsidRPr="00262C93" w:rsidP="00262C93">
      <w:pPr>
        <w:pStyle w:val="Default"/>
        <w:keepNext/>
        <w:jc w:val="both"/>
        <w:rPr>
          <w:b/>
          <w:color w:val="auto"/>
        </w:rPr>
      </w:pPr>
      <w:r w:rsidRPr="00262C93">
        <w:rPr>
          <w:b/>
          <w:color w:val="auto"/>
        </w:rPr>
        <w:t>Uzlabot aprūpes kvalitāti, labāk izmantojot valsts pacientu reģistru</w:t>
      </w:r>
      <w:r w:rsidRPr="00262C93" w:rsidR="00B43705">
        <w:rPr>
          <w:b/>
          <w:color w:val="auto"/>
        </w:rPr>
        <w:t>s</w:t>
      </w:r>
      <w:r w:rsidRPr="00262C93">
        <w:rPr>
          <w:b/>
          <w:color w:val="auto"/>
        </w:rPr>
        <w:t>, plašāku kvalitātes un rezultātu datu vākšanu, un ieviešot valsts sistēmu, lai m</w:t>
      </w:r>
      <w:r w:rsidRPr="00262C93" w:rsidR="00E62C6E">
        <w:rPr>
          <w:b/>
          <w:color w:val="auto"/>
        </w:rPr>
        <w:t>ācītos no nevēlamiem notikumiem.</w:t>
      </w:r>
    </w:p>
    <w:p w:rsidR="00B43705" w:rsidRPr="00262C93" w:rsidP="00262C93">
      <w:pPr>
        <w:pStyle w:val="Default"/>
        <w:keepNext/>
        <w:jc w:val="both"/>
        <w:rPr>
          <w:b/>
          <w:i/>
          <w:color w:val="auto"/>
        </w:rPr>
      </w:pPr>
      <w:r w:rsidRPr="00262C93">
        <w:rPr>
          <w:i/>
          <w:color w:val="auto"/>
          <w:lang w:val="en-GB"/>
        </w:rPr>
        <w:t>Improving the quality of care, through better use of national patient registers, wider collection of quality and outcomes data, and implementation of a national system to learn from adverse events</w:t>
      </w:r>
      <w:r w:rsidRPr="00262C93" w:rsidR="00B501C8">
        <w:rPr>
          <w:i/>
          <w:color w:val="auto"/>
          <w:lang w:val="en-GB"/>
        </w:rPr>
        <w:t>.</w:t>
      </w:r>
    </w:p>
    <w:p w:rsidR="00A97D82" w:rsidRPr="00262C93" w:rsidP="00262C93">
      <w:pPr>
        <w:keepNext/>
        <w:ind w:left="720"/>
        <w:rPr>
          <w:i/>
          <w:color w:val="7030A0"/>
          <w:sz w:val="24"/>
          <w:szCs w:val="24"/>
          <w:lang w:val="lv-LV"/>
        </w:rPr>
      </w:pPr>
    </w:p>
    <w:p w:rsidR="00023B3A" w:rsidRPr="00BC16C8" w:rsidP="00A61E96">
      <w:pPr>
        <w:pStyle w:val="ListBullet"/>
        <w:numPr>
          <w:ilvl w:val="0"/>
          <w:numId w:val="0"/>
        </w:numPr>
        <w:tabs>
          <w:tab w:val="clear" w:pos="850"/>
        </w:tabs>
        <w:spacing w:after="0"/>
        <w:ind w:firstLine="709"/>
        <w:rPr>
          <w:sz w:val="24"/>
          <w:szCs w:val="24"/>
          <w:lang w:val="lv-LV"/>
        </w:rPr>
      </w:pPr>
      <w:r w:rsidRPr="00BC16C8">
        <w:rPr>
          <w:sz w:val="24"/>
          <w:szCs w:val="24"/>
          <w:lang w:val="lv-LV"/>
        </w:rPr>
        <w:t xml:space="preserve">Ir uzsākti </w:t>
      </w:r>
      <w:r w:rsidRPr="00BC16C8" w:rsidR="00A61E96">
        <w:rPr>
          <w:sz w:val="24"/>
          <w:szCs w:val="24"/>
          <w:lang w:val="lv-LV"/>
        </w:rPr>
        <w:t xml:space="preserve">vairāki </w:t>
      </w:r>
      <w:r w:rsidRPr="00BC16C8">
        <w:rPr>
          <w:sz w:val="24"/>
          <w:szCs w:val="24"/>
          <w:lang w:val="lv-LV"/>
        </w:rPr>
        <w:t xml:space="preserve">pasākumi, lai uzlabotu veselības kvalitāti, vislielāko uzsvaru liekot uz pacientu drošības </w:t>
      </w:r>
      <w:r w:rsidRPr="00BC16C8" w:rsidR="001B705A">
        <w:rPr>
          <w:sz w:val="24"/>
          <w:szCs w:val="24"/>
          <w:lang w:val="lv-LV"/>
        </w:rPr>
        <w:t>jautājumiem</w:t>
      </w:r>
      <w:r w:rsidRPr="00BC16C8">
        <w:rPr>
          <w:sz w:val="24"/>
          <w:szCs w:val="24"/>
          <w:lang w:val="lv-LV"/>
        </w:rPr>
        <w:t>. Starptautiskie pacientu drošības mērķi tika ieviesti kā obligātas prasības visiem veselības aprūpes pakalpojumu sniedzējiem. Šīs prasības paredz pacientu sūdzību un ieteikumu analīzes sistēmas izveidi, kā arī regulāri vei</w:t>
      </w:r>
      <w:r w:rsidRPr="00BC16C8" w:rsidR="001B705A">
        <w:rPr>
          <w:sz w:val="24"/>
          <w:szCs w:val="24"/>
          <w:lang w:val="lv-LV"/>
        </w:rPr>
        <w:t>kt</w:t>
      </w:r>
      <w:r w:rsidRPr="00BC16C8">
        <w:rPr>
          <w:sz w:val="24"/>
          <w:szCs w:val="24"/>
          <w:lang w:val="lv-LV"/>
        </w:rPr>
        <w:t xml:space="preserve"> pacientu aptauj</w:t>
      </w:r>
      <w:r w:rsidR="008D4AF0">
        <w:rPr>
          <w:sz w:val="24"/>
          <w:szCs w:val="24"/>
          <w:lang w:val="lv-LV"/>
        </w:rPr>
        <w:t>as</w:t>
      </w:r>
      <w:r w:rsidRPr="00BC16C8">
        <w:rPr>
          <w:sz w:val="24"/>
          <w:szCs w:val="24"/>
          <w:lang w:val="lv-LV"/>
        </w:rPr>
        <w:t xml:space="preserve"> par sniegto veselības aprūpi.</w:t>
      </w:r>
    </w:p>
    <w:p w:rsidR="00D32FA4" w:rsidRPr="00BC16C8" w:rsidP="00E62C6E">
      <w:pPr>
        <w:pStyle w:val="ListBullet"/>
        <w:numPr>
          <w:ilvl w:val="0"/>
          <w:numId w:val="0"/>
        </w:numPr>
        <w:tabs>
          <w:tab w:val="clear" w:pos="850"/>
        </w:tabs>
        <w:spacing w:after="0"/>
        <w:rPr>
          <w:sz w:val="24"/>
          <w:szCs w:val="24"/>
          <w:lang w:val="lv-LV"/>
        </w:rPr>
      </w:pPr>
    </w:p>
    <w:p w:rsidR="0087280F" w:rsidRPr="00865589" w:rsidP="00865589">
      <w:pPr>
        <w:pStyle w:val="ListBullet"/>
        <w:numPr>
          <w:ilvl w:val="0"/>
          <w:numId w:val="0"/>
        </w:numPr>
        <w:tabs>
          <w:tab w:val="clear" w:pos="850"/>
        </w:tabs>
        <w:spacing w:after="0"/>
        <w:ind w:firstLine="709"/>
        <w:rPr>
          <w:color w:val="000000"/>
          <w:sz w:val="24"/>
          <w:szCs w:val="24"/>
          <w:lang w:val="lv-LV"/>
        </w:rPr>
      </w:pPr>
      <w:r w:rsidRPr="00865589">
        <w:rPr>
          <w:sz w:val="24"/>
          <w:szCs w:val="24"/>
          <w:lang w:val="lv-LV"/>
        </w:rPr>
        <w:t xml:space="preserve">2017.gada janvārī </w:t>
      </w:r>
      <w:r w:rsidR="00473FE5">
        <w:rPr>
          <w:sz w:val="24"/>
          <w:szCs w:val="24"/>
          <w:lang w:val="lv-LV"/>
        </w:rPr>
        <w:t xml:space="preserve">apstiprinātās Pacientu drošības </w:t>
      </w:r>
      <w:r w:rsidRPr="00865589">
        <w:rPr>
          <w:sz w:val="24"/>
          <w:szCs w:val="24"/>
          <w:lang w:val="lv-LV"/>
        </w:rPr>
        <w:t>koncepcija</w:t>
      </w:r>
      <w:r w:rsidR="00473FE5">
        <w:rPr>
          <w:sz w:val="24"/>
          <w:szCs w:val="24"/>
          <w:lang w:val="lv-LV"/>
        </w:rPr>
        <w:t>s</w:t>
      </w:r>
      <w:r w:rsidRPr="00865589">
        <w:rPr>
          <w:sz w:val="24"/>
          <w:szCs w:val="24"/>
          <w:lang w:val="lv-LV"/>
        </w:rPr>
        <w:t xml:space="preserve"> mērķi</w:t>
      </w:r>
      <w:r w:rsidR="00473FE5">
        <w:rPr>
          <w:sz w:val="24"/>
          <w:szCs w:val="24"/>
          <w:lang w:val="lv-LV"/>
        </w:rPr>
        <w:t>s ir</w:t>
      </w:r>
      <w:r w:rsidRPr="00865589">
        <w:rPr>
          <w:sz w:val="24"/>
          <w:szCs w:val="24"/>
          <w:lang w:val="lv-LV"/>
        </w:rPr>
        <w:t xml:space="preserve"> uzlabot</w:t>
      </w:r>
      <w:r w:rsidRPr="00865589" w:rsidR="00023B3A">
        <w:rPr>
          <w:sz w:val="24"/>
          <w:szCs w:val="24"/>
          <w:lang w:val="lv-LV"/>
        </w:rPr>
        <w:t xml:space="preserve"> pacientu drošību un pacientu uzticēšanos veselības aprūpes sistēmai, kā arī radītu kopēju izpratn</w:t>
      </w:r>
      <w:r w:rsidRPr="00865589" w:rsidR="001B705A">
        <w:rPr>
          <w:sz w:val="24"/>
          <w:szCs w:val="24"/>
          <w:lang w:val="lv-LV"/>
        </w:rPr>
        <w:t>i</w:t>
      </w:r>
      <w:r w:rsidRPr="00865589" w:rsidR="00023B3A">
        <w:rPr>
          <w:sz w:val="24"/>
          <w:szCs w:val="24"/>
          <w:lang w:val="lv-LV"/>
        </w:rPr>
        <w:t xml:space="preserve"> par veselības aprūpes sistēmas kvalitāti un ārstēšanas procesiem. </w:t>
      </w:r>
      <w:r w:rsidRPr="00865589" w:rsidR="00C50301">
        <w:rPr>
          <w:color w:val="000000"/>
          <w:sz w:val="24"/>
          <w:szCs w:val="24"/>
          <w:lang w:val="lv-LV"/>
        </w:rPr>
        <w:t>Minētās</w:t>
      </w:r>
      <w:r w:rsidRPr="00865589" w:rsidR="00A61E96">
        <w:rPr>
          <w:color w:val="000000"/>
          <w:sz w:val="24"/>
          <w:szCs w:val="24"/>
          <w:lang w:val="lv-LV"/>
        </w:rPr>
        <w:t xml:space="preserve"> k</w:t>
      </w:r>
      <w:r w:rsidRPr="00865589">
        <w:rPr>
          <w:color w:val="000000"/>
          <w:sz w:val="24"/>
          <w:szCs w:val="24"/>
          <w:lang w:val="lv-LV"/>
        </w:rPr>
        <w:t>oncepcijas īstenošan</w:t>
      </w:r>
      <w:r w:rsidRPr="00865589" w:rsidR="00A61E96">
        <w:rPr>
          <w:color w:val="000000"/>
          <w:sz w:val="24"/>
          <w:szCs w:val="24"/>
          <w:lang w:val="lv-LV"/>
        </w:rPr>
        <w:t>a</w:t>
      </w:r>
      <w:r w:rsidRPr="00865589">
        <w:rPr>
          <w:color w:val="000000"/>
          <w:sz w:val="24"/>
          <w:szCs w:val="24"/>
          <w:lang w:val="lv-LV"/>
        </w:rPr>
        <w:t xml:space="preserve">s </w:t>
      </w:r>
      <w:r w:rsidRPr="00865589" w:rsidR="00A61E96">
        <w:rPr>
          <w:color w:val="000000"/>
          <w:sz w:val="24"/>
          <w:szCs w:val="24"/>
          <w:lang w:val="lv-LV"/>
        </w:rPr>
        <w:t>ietvaros</w:t>
      </w:r>
      <w:r w:rsidRPr="00865589">
        <w:rPr>
          <w:color w:val="000000"/>
          <w:sz w:val="24"/>
          <w:szCs w:val="24"/>
          <w:lang w:val="lv-LV"/>
        </w:rPr>
        <w:t xml:space="preserve"> </w:t>
      </w:r>
      <w:r w:rsidRPr="00865589" w:rsidR="00A61E96">
        <w:rPr>
          <w:color w:val="000000"/>
          <w:sz w:val="24"/>
          <w:szCs w:val="24"/>
          <w:lang w:val="lv-LV"/>
        </w:rPr>
        <w:t>ir apmācītas</w:t>
      </w:r>
      <w:r w:rsidRPr="00865589">
        <w:rPr>
          <w:b/>
          <w:bCs/>
          <w:color w:val="000000"/>
          <w:sz w:val="24"/>
          <w:szCs w:val="24"/>
          <w:lang w:val="lv-LV"/>
        </w:rPr>
        <w:t xml:space="preserve"> 1438 </w:t>
      </w:r>
      <w:r w:rsidRPr="00865589" w:rsidR="00A61E96">
        <w:rPr>
          <w:b/>
          <w:bCs/>
          <w:color w:val="000000"/>
          <w:sz w:val="24"/>
          <w:szCs w:val="24"/>
          <w:lang w:val="lv-LV"/>
        </w:rPr>
        <w:t xml:space="preserve">medicīnas </w:t>
      </w:r>
      <w:r w:rsidRPr="00865589">
        <w:rPr>
          <w:b/>
          <w:bCs/>
          <w:color w:val="000000"/>
          <w:sz w:val="24"/>
          <w:szCs w:val="24"/>
          <w:lang w:val="lv-LV"/>
        </w:rPr>
        <w:t>personas</w:t>
      </w:r>
      <w:r w:rsidRPr="00865589" w:rsidR="00A61E96">
        <w:rPr>
          <w:b/>
          <w:bCs/>
          <w:color w:val="000000"/>
          <w:sz w:val="24"/>
          <w:szCs w:val="24"/>
          <w:lang w:val="lv-LV"/>
        </w:rPr>
        <w:t xml:space="preserve"> </w:t>
      </w:r>
      <w:r w:rsidRPr="00865589" w:rsidR="00A61E96">
        <w:rPr>
          <w:bCs/>
          <w:color w:val="000000"/>
          <w:sz w:val="24"/>
          <w:szCs w:val="24"/>
          <w:lang w:val="lv-LV"/>
        </w:rPr>
        <w:t>visā Latvijā:</w:t>
      </w:r>
      <w:r w:rsidRPr="00865589">
        <w:rPr>
          <w:color w:val="000000"/>
          <w:sz w:val="24"/>
          <w:szCs w:val="24"/>
          <w:lang w:val="lv-LV"/>
        </w:rPr>
        <w:t xml:space="preserve"> 649 ārsti, tai skaitā 114 NMPD</w:t>
      </w:r>
      <w:r w:rsidRPr="00865589" w:rsidR="00A61E96">
        <w:rPr>
          <w:color w:val="000000"/>
          <w:sz w:val="24"/>
          <w:szCs w:val="24"/>
          <w:lang w:val="lv-LV"/>
        </w:rPr>
        <w:t xml:space="preserve"> ārsti;</w:t>
      </w:r>
      <w:r w:rsidRPr="00865589">
        <w:rPr>
          <w:color w:val="000000"/>
          <w:sz w:val="24"/>
          <w:szCs w:val="24"/>
          <w:lang w:val="lv-LV"/>
        </w:rPr>
        <w:t>  739 māsas, kā arī 50 </w:t>
      </w:r>
      <w:r w:rsidRPr="00865589" w:rsidR="006575CC">
        <w:rPr>
          <w:sz w:val="24"/>
          <w:szCs w:val="24"/>
          <w:lang w:val="lv-LV"/>
        </w:rPr>
        <w:t>Rīgas Stradiņa universitāte</w:t>
      </w:r>
      <w:r w:rsidRPr="00865589" w:rsidR="006575CC">
        <w:rPr>
          <w:color w:val="000000"/>
          <w:sz w:val="24"/>
          <w:szCs w:val="24"/>
          <w:lang w:val="lv-LV"/>
        </w:rPr>
        <w:t xml:space="preserve">s (turpmāk – </w:t>
      </w:r>
      <w:r w:rsidRPr="00865589">
        <w:rPr>
          <w:color w:val="000000"/>
          <w:sz w:val="24"/>
          <w:szCs w:val="24"/>
          <w:lang w:val="lv-LV"/>
        </w:rPr>
        <w:t>RSU</w:t>
      </w:r>
      <w:r w:rsidRPr="00865589" w:rsidR="006575CC">
        <w:rPr>
          <w:color w:val="000000"/>
          <w:sz w:val="24"/>
          <w:szCs w:val="24"/>
          <w:lang w:val="lv-LV"/>
        </w:rPr>
        <w:t>)</w:t>
      </w:r>
      <w:r w:rsidRPr="00865589">
        <w:rPr>
          <w:color w:val="000000"/>
          <w:sz w:val="24"/>
          <w:szCs w:val="24"/>
          <w:lang w:val="lv-LV"/>
        </w:rPr>
        <w:t xml:space="preserve"> pārstāvji. </w:t>
      </w:r>
    </w:p>
    <w:p w:rsidR="002E2EFB" w:rsidRPr="00BC16C8" w:rsidP="00A61E96">
      <w:pPr>
        <w:pStyle w:val="NormalWeb"/>
        <w:tabs>
          <w:tab w:val="clear" w:pos="850"/>
          <w:tab w:val="clear" w:pos="1191"/>
          <w:tab w:val="clear" w:pos="1531"/>
        </w:tabs>
        <w:ind w:firstLine="709"/>
        <w:rPr>
          <w:color w:val="000000"/>
          <w:lang w:val="lv-LV" w:eastAsia="lv-LV" w:bidi="lo-LA"/>
        </w:rPr>
      </w:pPr>
    </w:p>
    <w:p w:rsidR="001A43DD" w:rsidRPr="00BC16C8" w:rsidP="002E2EFB">
      <w:pPr>
        <w:pStyle w:val="NoSpacing"/>
        <w:tabs>
          <w:tab w:val="clear" w:pos="850"/>
          <w:tab w:val="clear" w:pos="1191"/>
          <w:tab w:val="clear" w:pos="1531"/>
        </w:tabs>
        <w:ind w:firstLine="709"/>
        <w:rPr>
          <w:sz w:val="24"/>
          <w:szCs w:val="24"/>
          <w:lang w:val="lv-LV"/>
        </w:rPr>
      </w:pPr>
      <w:r w:rsidRPr="00BC16C8">
        <w:rPr>
          <w:sz w:val="24"/>
          <w:szCs w:val="24"/>
          <w:lang w:val="lv-LV"/>
        </w:rPr>
        <w:t xml:space="preserve">Ir arī uzlabotas perinatālā perioda darba kvalitātes uzraudzības prasības, ieskaitot grūtniecības un dzemdību riska novērtējumu, </w:t>
      </w:r>
      <w:r w:rsidRPr="00511E1E" w:rsidR="00511E1E">
        <w:rPr>
          <w:sz w:val="24"/>
          <w:szCs w:val="24"/>
          <w:lang w:val="lv-LV"/>
        </w:rPr>
        <w:t>sarežģītas un ārkārtas situācijas</w:t>
      </w:r>
      <w:r w:rsidR="008C1D52">
        <w:rPr>
          <w:sz w:val="24"/>
          <w:szCs w:val="24"/>
          <w:lang w:val="lv-LV"/>
        </w:rPr>
        <w:t>, kā arī</w:t>
      </w:r>
      <w:r w:rsidRPr="00BC16C8">
        <w:rPr>
          <w:sz w:val="24"/>
          <w:szCs w:val="24"/>
          <w:lang w:val="lv-LV"/>
        </w:rPr>
        <w:t xml:space="preserve"> noteiktas pacientu drošības prasī</w:t>
      </w:r>
      <w:r w:rsidRPr="00BC16C8" w:rsidR="0066539E">
        <w:rPr>
          <w:sz w:val="24"/>
          <w:szCs w:val="24"/>
          <w:lang w:val="lv-LV"/>
        </w:rPr>
        <w:t>bas veselības aprūpes iestādēm.</w:t>
      </w:r>
    </w:p>
    <w:p w:rsidR="0087280F" w:rsidRPr="00BC16C8" w:rsidP="00110090">
      <w:pPr>
        <w:pStyle w:val="NoSpacing"/>
        <w:tabs>
          <w:tab w:val="clear" w:pos="850"/>
          <w:tab w:val="clear" w:pos="1191"/>
          <w:tab w:val="clear" w:pos="1531"/>
        </w:tabs>
        <w:ind w:left="709" w:hanging="709"/>
        <w:rPr>
          <w:sz w:val="24"/>
          <w:szCs w:val="24"/>
          <w:lang w:val="lv-LV"/>
        </w:rPr>
      </w:pPr>
    </w:p>
    <w:p w:rsidR="0087280F" w:rsidRPr="00BC16C8" w:rsidP="002E2EFB">
      <w:pPr>
        <w:tabs>
          <w:tab w:val="clear" w:pos="850"/>
          <w:tab w:val="clear" w:pos="1191"/>
          <w:tab w:val="clear" w:pos="1531"/>
        </w:tabs>
        <w:ind w:firstLine="709"/>
        <w:rPr>
          <w:rFonts w:eastAsia="Batang"/>
          <w:sz w:val="24"/>
          <w:szCs w:val="24"/>
          <w:lang w:val="lv-LV" w:eastAsia="ko-KR"/>
        </w:rPr>
      </w:pPr>
      <w:r w:rsidRPr="00BC16C8">
        <w:rPr>
          <w:sz w:val="24"/>
          <w:szCs w:val="24"/>
          <w:lang w:val="lv-LV"/>
        </w:rPr>
        <w:t xml:space="preserve">Lai stiprinātu koordināciju un atbalstu nepārtrauktai ārstniecības procesu kvalitātes un pacientu drošības paaugstināšanai, 2017.gada februārī tika grozīts </w:t>
      </w:r>
      <w:r w:rsidRPr="00BC16C8">
        <w:rPr>
          <w:rFonts w:eastAsia="Batang"/>
          <w:sz w:val="24"/>
          <w:szCs w:val="24"/>
          <w:lang w:val="lv-LV" w:eastAsia="ko-KR"/>
        </w:rPr>
        <w:t>SPKC nolikums, kā rezultātā SPKC tika piešķirta jauna funkcija - nodrošināt metodisko atbalstu ārstniecības iestādēm ārstniecības kvalitātes un pacientu drošības jautājumos. Tāpat SPKC</w:t>
      </w:r>
      <w:r w:rsidRPr="00BC16C8">
        <w:rPr>
          <w:rFonts w:eastAsiaTheme="minorHAnsi"/>
          <w:sz w:val="24"/>
          <w:szCs w:val="24"/>
          <w:lang w:val="lv-LV"/>
        </w:rPr>
        <w:t xml:space="preserve"> </w:t>
      </w:r>
      <w:r w:rsidRPr="00BC16C8">
        <w:rPr>
          <w:rFonts w:eastAsia="Batang"/>
          <w:sz w:val="24"/>
          <w:szCs w:val="24"/>
          <w:lang w:val="lv-LV" w:eastAsia="ko-KR"/>
        </w:rPr>
        <w:t>izveidota Pacientu drošības un veselības aprūpes kvalitātes pilnveides nodaļa, kā arī tīmekļa vietnē izveidota sadaļa par pacientu drošību un kvalitāti, kurā iekļauta informācija par starptautiskiem standartiem, aktualitātēm pacientu drošībā un SPKC organizētajiem semināriem par vispārīgiem pacientu drošības un kvalitātes vadības jautājumiem, tai skaitā par normatīvajos aktos iekļautajām prasībām attiecīgajā jomā.</w:t>
      </w:r>
    </w:p>
    <w:p w:rsidR="0087280F" w:rsidRPr="00BC16C8" w:rsidP="002E2EFB">
      <w:pPr>
        <w:tabs>
          <w:tab w:val="clear" w:pos="850"/>
          <w:tab w:val="clear" w:pos="1191"/>
          <w:tab w:val="clear" w:pos="1531"/>
        </w:tabs>
        <w:ind w:firstLine="709"/>
        <w:rPr>
          <w:sz w:val="24"/>
          <w:szCs w:val="24"/>
          <w:lang w:val="lv-LV" w:eastAsia="lv-LV"/>
        </w:rPr>
      </w:pPr>
      <w:r w:rsidRPr="00BC16C8">
        <w:rPr>
          <w:rFonts w:eastAsia="Batang"/>
          <w:sz w:val="24"/>
          <w:szCs w:val="24"/>
          <w:lang w:val="lv-LV" w:eastAsia="ko-KR"/>
        </w:rPr>
        <w:t xml:space="preserve">Vienlaikus 2017.gada 1.oktobrī stājās </w:t>
      </w:r>
      <w:r w:rsidRPr="00BC16C8" w:rsidR="00214177">
        <w:rPr>
          <w:rFonts w:eastAsia="Batang"/>
          <w:sz w:val="24"/>
          <w:szCs w:val="24"/>
          <w:lang w:val="lv-LV" w:eastAsia="ko-KR"/>
        </w:rPr>
        <w:t xml:space="preserve">spēkā </w:t>
      </w:r>
      <w:r w:rsidRPr="00BC16C8">
        <w:rPr>
          <w:rFonts w:eastAsia="Batang"/>
          <w:sz w:val="24"/>
          <w:szCs w:val="24"/>
          <w:lang w:val="lv-LV" w:eastAsia="ko-KR"/>
        </w:rPr>
        <w:t>grozījumi noteikumos Nr.60</w:t>
      </w:r>
      <w:r>
        <w:rPr>
          <w:rStyle w:val="FootnoteReference"/>
          <w:rFonts w:eastAsia="Batang"/>
          <w:sz w:val="24"/>
          <w:szCs w:val="24"/>
          <w:lang w:val="lv-LV" w:eastAsia="ko-KR"/>
        </w:rPr>
        <w:footnoteReference w:id="4"/>
      </w:r>
      <w:r w:rsidRPr="00BC16C8">
        <w:rPr>
          <w:rFonts w:eastAsia="Batang"/>
          <w:sz w:val="24"/>
          <w:szCs w:val="24"/>
          <w:lang w:val="lv-LV" w:eastAsia="ko-KR"/>
        </w:rPr>
        <w:t xml:space="preserve">, ar kuriem tika paplašinātas veselības aprūpes kvalitātes un pacientu drošības </w:t>
      </w:r>
      <w:r w:rsidRPr="00BC16C8" w:rsidR="002451C6">
        <w:rPr>
          <w:rFonts w:eastAsia="Batang"/>
          <w:sz w:val="24"/>
          <w:szCs w:val="24"/>
          <w:lang w:val="lv-LV" w:eastAsia="ko-KR"/>
        </w:rPr>
        <w:t>prasības</w:t>
      </w:r>
      <w:r w:rsidR="000E549C">
        <w:rPr>
          <w:rFonts w:eastAsia="Batang"/>
          <w:sz w:val="24"/>
          <w:szCs w:val="24"/>
          <w:lang w:val="lv-LV" w:eastAsia="ko-KR"/>
        </w:rPr>
        <w:t>. Papildus tam</w:t>
      </w:r>
      <w:r w:rsidRPr="00BC16C8">
        <w:rPr>
          <w:rFonts w:eastAsia="Batang"/>
          <w:sz w:val="24"/>
          <w:szCs w:val="24"/>
          <w:lang w:val="lv-LV" w:eastAsia="ko-KR"/>
        </w:rPr>
        <w:t xml:space="preserve"> tika pilnveidots dzemdību palīdzības pakalpojumu (grūtniecības periodā, dzemdībās un </w:t>
      </w:r>
      <w:r w:rsidRPr="00BC16C8">
        <w:rPr>
          <w:rFonts w:eastAsia="Batang"/>
          <w:sz w:val="24"/>
          <w:szCs w:val="24"/>
          <w:lang w:val="lv-LV" w:eastAsia="ko-KR"/>
        </w:rPr>
        <w:t>pēcdzemdību</w:t>
      </w:r>
      <w:r w:rsidRPr="00BC16C8">
        <w:rPr>
          <w:rFonts w:eastAsia="Batang"/>
          <w:sz w:val="24"/>
          <w:szCs w:val="24"/>
          <w:lang w:val="lv-LV" w:eastAsia="ko-KR"/>
        </w:rPr>
        <w:t xml:space="preserve"> periodā)</w:t>
      </w:r>
      <w:r w:rsidRPr="00BC16C8" w:rsidR="002451C6">
        <w:rPr>
          <w:rFonts w:eastAsia="Batang"/>
          <w:sz w:val="24"/>
          <w:szCs w:val="24"/>
          <w:lang w:val="lv-LV" w:eastAsia="ko-KR"/>
        </w:rPr>
        <w:t xml:space="preserve"> </w:t>
      </w:r>
      <w:r w:rsidRPr="00BC16C8">
        <w:rPr>
          <w:rFonts w:eastAsia="Batang"/>
          <w:sz w:val="24"/>
          <w:szCs w:val="24"/>
          <w:lang w:val="lv-LV" w:eastAsia="ko-KR"/>
        </w:rPr>
        <w:t>normatīvais regulējums,</w:t>
      </w:r>
      <w:r w:rsidRPr="00BC16C8" w:rsidR="002451C6">
        <w:rPr>
          <w:rFonts w:eastAsia="Batang"/>
          <w:sz w:val="24"/>
          <w:szCs w:val="24"/>
          <w:lang w:val="lv-LV" w:eastAsia="ko-KR"/>
        </w:rPr>
        <w:t xml:space="preserve"> </w:t>
      </w:r>
      <w:r w:rsidRPr="00BC16C8">
        <w:rPr>
          <w:rFonts w:eastAsia="Batang"/>
          <w:sz w:val="24"/>
          <w:szCs w:val="24"/>
          <w:lang w:val="lv-LV" w:eastAsia="ko-KR"/>
        </w:rPr>
        <w:t>n</w:t>
      </w:r>
      <w:r w:rsidRPr="00BC16C8" w:rsidR="002451C6">
        <w:rPr>
          <w:rFonts w:eastAsia="Batang"/>
          <w:sz w:val="24"/>
          <w:szCs w:val="24"/>
          <w:lang w:val="lv-LV" w:eastAsia="ko-KR"/>
        </w:rPr>
        <w:t xml:space="preserve">osakot prasības </w:t>
      </w:r>
      <w:r w:rsidRPr="00BC16C8">
        <w:rPr>
          <w:rFonts w:eastAsia="Batang"/>
          <w:sz w:val="24"/>
          <w:szCs w:val="24"/>
          <w:lang w:val="lv-LV" w:eastAsia="ko-KR"/>
        </w:rPr>
        <w:t>pakalpojuma</w:t>
      </w:r>
      <w:r w:rsidRPr="00BC16C8" w:rsidR="002451C6">
        <w:rPr>
          <w:rFonts w:eastAsia="Batang"/>
          <w:sz w:val="24"/>
          <w:szCs w:val="24"/>
          <w:lang w:val="lv-LV" w:eastAsia="ko-KR"/>
        </w:rPr>
        <w:t xml:space="preserve"> </w:t>
      </w:r>
      <w:r w:rsidRPr="00BC16C8">
        <w:rPr>
          <w:rFonts w:eastAsia="Batang"/>
          <w:sz w:val="24"/>
          <w:szCs w:val="24"/>
          <w:lang w:val="lv-LV" w:eastAsia="ko-KR"/>
        </w:rPr>
        <w:t>kvalitātes nodrošināšanai.</w:t>
      </w:r>
    </w:p>
    <w:p w:rsidR="0087280F" w:rsidRPr="00BC16C8" w:rsidP="00110090">
      <w:pPr>
        <w:pStyle w:val="NoSpacing"/>
        <w:tabs>
          <w:tab w:val="clear" w:pos="850"/>
          <w:tab w:val="clear" w:pos="1191"/>
          <w:tab w:val="clear" w:pos="1531"/>
        </w:tabs>
        <w:ind w:left="709" w:hanging="709"/>
        <w:rPr>
          <w:sz w:val="24"/>
          <w:szCs w:val="24"/>
          <w:lang w:val="lv-LV"/>
        </w:rPr>
      </w:pPr>
    </w:p>
    <w:p w:rsidR="00600B10" w:rsidRPr="00BC16C8" w:rsidP="00C90BC6">
      <w:pPr>
        <w:tabs>
          <w:tab w:val="clear" w:pos="850"/>
          <w:tab w:val="clear" w:pos="1191"/>
          <w:tab w:val="clear" w:pos="1531"/>
        </w:tabs>
        <w:ind w:firstLine="709"/>
        <w:rPr>
          <w:rFonts w:eastAsia="Calibri"/>
          <w:bCs/>
          <w:sz w:val="24"/>
          <w:szCs w:val="24"/>
          <w:lang w:val="lv-LV" w:eastAsia="en-US"/>
        </w:rPr>
      </w:pPr>
      <w:r w:rsidRPr="00BC16C8">
        <w:rPr>
          <w:rFonts w:eastAsia="Calibri"/>
          <w:bCs/>
          <w:sz w:val="24"/>
          <w:szCs w:val="24"/>
          <w:lang w:val="lv-LV" w:eastAsia="en-US"/>
        </w:rPr>
        <w:t xml:space="preserve">Ir paaugstināta </w:t>
      </w:r>
      <w:r w:rsidRPr="00BC16C8">
        <w:rPr>
          <w:rFonts w:eastAsia="Calibri"/>
          <w:bCs/>
          <w:sz w:val="24"/>
          <w:szCs w:val="24"/>
          <w:lang w:val="lv-LV" w:eastAsia="en-US"/>
        </w:rPr>
        <w:t>kapitācijas</w:t>
      </w:r>
      <w:r w:rsidRPr="00BC16C8">
        <w:rPr>
          <w:rFonts w:eastAsia="Calibri"/>
          <w:bCs/>
          <w:sz w:val="24"/>
          <w:szCs w:val="24"/>
          <w:lang w:val="lv-LV" w:eastAsia="en-US"/>
        </w:rPr>
        <w:t xml:space="preserve"> nauda ģimenes ārstiem</w:t>
      </w:r>
      <w:r w:rsidR="009A0E4A">
        <w:rPr>
          <w:rFonts w:eastAsia="Calibri"/>
          <w:bCs/>
          <w:sz w:val="24"/>
          <w:szCs w:val="24"/>
          <w:lang w:val="lv-LV" w:eastAsia="en-US"/>
        </w:rPr>
        <w:t>,</w:t>
      </w:r>
      <w:r w:rsidRPr="00BC16C8">
        <w:rPr>
          <w:rFonts w:eastAsia="Calibri"/>
          <w:bCs/>
          <w:sz w:val="24"/>
          <w:szCs w:val="24"/>
          <w:lang w:val="lv-LV" w:eastAsia="en-US"/>
        </w:rPr>
        <w:t xml:space="preserve"> vienlai</w:t>
      </w:r>
      <w:r w:rsidR="009A0E4A">
        <w:rPr>
          <w:rFonts w:eastAsia="Calibri"/>
          <w:bCs/>
          <w:sz w:val="24"/>
          <w:szCs w:val="24"/>
          <w:lang w:val="lv-LV" w:eastAsia="en-US"/>
        </w:rPr>
        <w:t>kus</w:t>
      </w:r>
      <w:r w:rsidRPr="00BC16C8">
        <w:rPr>
          <w:rFonts w:eastAsia="Calibri"/>
          <w:bCs/>
          <w:sz w:val="24"/>
          <w:szCs w:val="24"/>
          <w:lang w:val="lv-LV" w:eastAsia="en-US"/>
        </w:rPr>
        <w:t xml:space="preserve"> nosakot primārās veselības aprūpes pakalpojumu prasības: pamata primārās veselības aprūpes pakalpojumi tiek sniegti piecu darba dienu laikā, un </w:t>
      </w:r>
      <w:r w:rsidRPr="00BC16C8" w:rsidR="00361853">
        <w:rPr>
          <w:rFonts w:eastAsia="Calibri"/>
          <w:bCs/>
          <w:sz w:val="24"/>
          <w:szCs w:val="24"/>
          <w:lang w:val="lv-LV" w:eastAsia="en-US"/>
        </w:rPr>
        <w:t xml:space="preserve">gada laikā </w:t>
      </w:r>
      <w:r w:rsidRPr="00BC16C8">
        <w:rPr>
          <w:rFonts w:eastAsia="Calibri"/>
          <w:bCs/>
          <w:sz w:val="24"/>
          <w:szCs w:val="24"/>
          <w:lang w:val="lv-LV" w:eastAsia="en-US"/>
        </w:rPr>
        <w:t xml:space="preserve">vismaz pusei pacientu, kas reģistrēti attiecīgajā </w:t>
      </w:r>
      <w:r w:rsidRPr="00BC16C8" w:rsidR="00C51AE0">
        <w:rPr>
          <w:rFonts w:eastAsia="Calibri"/>
          <w:bCs/>
          <w:sz w:val="24"/>
          <w:szCs w:val="24"/>
          <w:lang w:val="lv-LV" w:eastAsia="en-US"/>
        </w:rPr>
        <w:t>ģimenes ārsta praksē</w:t>
      </w:r>
      <w:r w:rsidRPr="00BC16C8">
        <w:rPr>
          <w:rFonts w:eastAsia="Calibri"/>
          <w:bCs/>
          <w:sz w:val="24"/>
          <w:szCs w:val="24"/>
          <w:lang w:val="lv-LV" w:eastAsia="en-US"/>
        </w:rPr>
        <w:t xml:space="preserve"> tiek veikta</w:t>
      </w:r>
      <w:r w:rsidRPr="00BC16C8" w:rsidR="00C51AE0">
        <w:rPr>
          <w:rFonts w:eastAsia="Calibri"/>
          <w:bCs/>
          <w:sz w:val="24"/>
          <w:szCs w:val="24"/>
          <w:lang w:val="lv-LV" w:eastAsia="en-US"/>
        </w:rPr>
        <w:t>s</w:t>
      </w:r>
      <w:r w:rsidRPr="00BC16C8">
        <w:rPr>
          <w:rFonts w:eastAsia="Calibri"/>
          <w:bCs/>
          <w:sz w:val="24"/>
          <w:szCs w:val="24"/>
          <w:lang w:val="lv-LV" w:eastAsia="en-US"/>
        </w:rPr>
        <w:t xml:space="preserve"> profilaktiskās pārbaudes</w:t>
      </w:r>
      <w:r w:rsidR="00127237">
        <w:rPr>
          <w:rFonts w:eastAsia="Calibri"/>
          <w:bCs/>
          <w:sz w:val="24"/>
          <w:szCs w:val="24"/>
          <w:lang w:val="lv-LV" w:eastAsia="en-US"/>
        </w:rPr>
        <w:t>. Tāpat veiktas izmaiņas ģimenes ārstu gada darbības novērtēšanas kritērijos un par to izpildi veiktā maksājuma metodikā, veicinot ģimenes ārstu finansiālo motivāciju aktīvāk iesaistīties ne tikai kritēriju izpildē, bet pacientu aprūpē kopumā. Izmaiņas</w:t>
      </w:r>
      <w:r w:rsidRPr="00BC16C8" w:rsidR="00127237">
        <w:rPr>
          <w:rFonts w:eastAsia="Calibri"/>
          <w:bCs/>
          <w:sz w:val="24"/>
          <w:szCs w:val="24"/>
          <w:lang w:val="lv-LV" w:eastAsia="en-US"/>
        </w:rPr>
        <w:t xml:space="preserve"> </w:t>
      </w:r>
      <w:r w:rsidR="00127237">
        <w:rPr>
          <w:rFonts w:eastAsia="Calibri"/>
          <w:bCs/>
          <w:sz w:val="24"/>
          <w:szCs w:val="24"/>
          <w:lang w:val="lv-LV" w:eastAsia="en-US"/>
        </w:rPr>
        <w:t xml:space="preserve">veiktas </w:t>
      </w:r>
      <w:r w:rsidRPr="00BC16C8">
        <w:rPr>
          <w:rFonts w:eastAsia="Calibri"/>
          <w:bCs/>
          <w:sz w:val="24"/>
          <w:szCs w:val="24"/>
          <w:lang w:val="lv-LV" w:eastAsia="en-US"/>
        </w:rPr>
        <w:t xml:space="preserve">ar mērķi uzlabot ģimenes ārstu darbību un kvalitātes kritēriju izpildi, kā arī motivēt ģimenes ārstiem būt aktīvākiem un </w:t>
      </w:r>
      <w:r w:rsidRPr="00BC16C8">
        <w:rPr>
          <w:rFonts w:eastAsia="Calibri"/>
          <w:bCs/>
          <w:sz w:val="24"/>
          <w:szCs w:val="24"/>
          <w:lang w:val="lv-LV" w:eastAsia="en-US"/>
        </w:rPr>
        <w:t>proaktīviem</w:t>
      </w:r>
      <w:r w:rsidRPr="00BC16C8">
        <w:rPr>
          <w:rFonts w:eastAsia="Calibri"/>
          <w:bCs/>
          <w:sz w:val="24"/>
          <w:szCs w:val="24"/>
          <w:lang w:val="lv-LV" w:eastAsia="en-US"/>
        </w:rPr>
        <w:t xml:space="preserve"> pacientu ārstēšanas un aprūpes procesā, tādējādi nodrošinot labāku piekļuvi un pakalpojumu kvalitāti.</w:t>
      </w:r>
    </w:p>
    <w:p w:rsidR="00361853" w:rsidRPr="00BC16C8" w:rsidP="00E62C6E">
      <w:pPr>
        <w:tabs>
          <w:tab w:val="clear" w:pos="850"/>
          <w:tab w:val="clear" w:pos="1191"/>
          <w:tab w:val="clear" w:pos="1531"/>
        </w:tabs>
        <w:autoSpaceDE w:val="0"/>
        <w:autoSpaceDN w:val="0"/>
        <w:adjustRightInd w:val="0"/>
        <w:rPr>
          <w:rFonts w:eastAsia="Calibri"/>
          <w:sz w:val="24"/>
          <w:szCs w:val="24"/>
          <w:lang w:val="lv-LV" w:eastAsia="lv-LV"/>
        </w:rPr>
      </w:pPr>
    </w:p>
    <w:p w:rsidR="00325B41" w:rsidRPr="00BC16C8" w:rsidP="00902601">
      <w:pPr>
        <w:tabs>
          <w:tab w:val="clear" w:pos="850"/>
          <w:tab w:val="clear" w:pos="1191"/>
          <w:tab w:val="clear" w:pos="1531"/>
        </w:tabs>
        <w:autoSpaceDE w:val="0"/>
        <w:autoSpaceDN w:val="0"/>
        <w:adjustRightInd w:val="0"/>
        <w:ind w:firstLine="709"/>
        <w:rPr>
          <w:rFonts w:eastAsia="Calibri"/>
          <w:sz w:val="24"/>
          <w:szCs w:val="24"/>
          <w:lang w:val="lv-LV" w:eastAsia="lv-LV"/>
        </w:rPr>
      </w:pPr>
      <w:r w:rsidRPr="00BC16C8">
        <w:rPr>
          <w:rFonts w:eastAsia="Calibri"/>
          <w:sz w:val="24"/>
          <w:szCs w:val="24"/>
          <w:lang w:val="lv-LV" w:eastAsia="lv-LV"/>
        </w:rPr>
        <w:t xml:space="preserve">Līdz ar Konceptuālā ziņojuma izstrādi </w:t>
      </w:r>
      <w:r w:rsidRPr="009A0E4A">
        <w:rPr>
          <w:rFonts w:eastAsia="Calibri"/>
          <w:sz w:val="24"/>
          <w:szCs w:val="24"/>
          <w:lang w:val="lv-LV" w:eastAsia="lv-LV"/>
        </w:rPr>
        <w:t xml:space="preserve">ir </w:t>
      </w:r>
      <w:r w:rsidRPr="009A0E4A" w:rsidR="009A0E4A">
        <w:rPr>
          <w:sz w:val="24"/>
          <w:szCs w:val="24"/>
          <w:lang w:val="lv-LV"/>
        </w:rPr>
        <w:t>uzsākts darbs, lai ieviestu un attīstītu ģimenes ārstu savstarpējo sadarbību</w:t>
      </w:r>
      <w:r w:rsidR="009A0E4A">
        <w:rPr>
          <w:sz w:val="24"/>
          <w:szCs w:val="24"/>
          <w:lang w:val="lv-LV"/>
        </w:rPr>
        <w:t xml:space="preserve"> (ģimenes ārstu sadarbības tīklu izveide)</w:t>
      </w:r>
      <w:r w:rsidRPr="009A0E4A" w:rsidR="009A0E4A">
        <w:rPr>
          <w:sz w:val="24"/>
          <w:szCs w:val="24"/>
          <w:lang w:val="lv-LV"/>
        </w:rPr>
        <w:t xml:space="preserve">, tādējādi uzlabojot primārās </w:t>
      </w:r>
      <w:r w:rsidRPr="009A0E4A" w:rsidR="009A0E4A">
        <w:rPr>
          <w:sz w:val="24"/>
          <w:szCs w:val="24"/>
          <w:lang w:val="lv-LV"/>
        </w:rPr>
        <w:t>veselības aprūpes pakalpojumu pieejamību</w:t>
      </w:r>
      <w:r w:rsidRPr="00BC16C8">
        <w:rPr>
          <w:rFonts w:eastAsia="Calibri"/>
          <w:sz w:val="24"/>
          <w:szCs w:val="24"/>
          <w:lang w:val="lv-LV" w:eastAsia="lv-LV"/>
        </w:rPr>
        <w:t xml:space="preserve">. Ģimenes ārstu </w:t>
      </w:r>
      <w:r w:rsidR="00127237">
        <w:rPr>
          <w:rFonts w:eastAsia="Calibri"/>
          <w:sz w:val="24"/>
          <w:szCs w:val="24"/>
          <w:lang w:val="lv-LV" w:eastAsia="lv-LV"/>
        </w:rPr>
        <w:t xml:space="preserve">sadarbības </w:t>
      </w:r>
      <w:r w:rsidRPr="00BC16C8">
        <w:rPr>
          <w:rFonts w:eastAsia="Calibri"/>
          <w:sz w:val="24"/>
          <w:szCs w:val="24"/>
          <w:lang w:val="lv-LV" w:eastAsia="lv-LV"/>
        </w:rPr>
        <w:t xml:space="preserve">tīkls paredz </w:t>
      </w:r>
      <w:r w:rsidR="00127237">
        <w:rPr>
          <w:rFonts w:eastAsia="Calibri"/>
          <w:sz w:val="24"/>
          <w:szCs w:val="24"/>
          <w:lang w:val="lv-LV" w:eastAsia="lv-LV"/>
        </w:rPr>
        <w:t xml:space="preserve">arī </w:t>
      </w:r>
      <w:r w:rsidRPr="00BC16C8">
        <w:rPr>
          <w:rFonts w:eastAsia="Calibri"/>
          <w:sz w:val="24"/>
          <w:szCs w:val="24"/>
          <w:lang w:val="lv-LV" w:eastAsia="lv-LV"/>
        </w:rPr>
        <w:t>piesaistīt papildu speciālistus vairākām ģimenes ārstu praksēm</w:t>
      </w:r>
      <w:r w:rsidRPr="00BC16C8" w:rsidR="002415F1">
        <w:rPr>
          <w:rFonts w:eastAsia="Calibri"/>
          <w:sz w:val="24"/>
          <w:szCs w:val="24"/>
          <w:lang w:val="lv-LV" w:eastAsia="lv-LV"/>
        </w:rPr>
        <w:t>, kā arī</w:t>
      </w:r>
      <w:r w:rsidRPr="00BC16C8">
        <w:rPr>
          <w:rFonts w:eastAsia="Calibri"/>
          <w:sz w:val="24"/>
          <w:szCs w:val="24"/>
          <w:lang w:val="lv-LV" w:eastAsia="lv-LV"/>
        </w:rPr>
        <w:t xml:space="preserve"> sadarbību ar sociālajiem dienestiem. </w:t>
      </w:r>
      <w:r w:rsidRPr="00BC16C8" w:rsidR="002415F1">
        <w:rPr>
          <w:rFonts w:eastAsia="Calibri"/>
          <w:sz w:val="24"/>
          <w:szCs w:val="24"/>
          <w:lang w:val="lv-LV" w:eastAsia="lv-LV"/>
        </w:rPr>
        <w:t>Šāda sadarbības</w:t>
      </w:r>
      <w:r w:rsidRPr="00BC16C8">
        <w:rPr>
          <w:rFonts w:eastAsia="Calibri"/>
          <w:sz w:val="24"/>
          <w:szCs w:val="24"/>
          <w:lang w:val="lv-LV" w:eastAsia="lv-LV"/>
        </w:rPr>
        <w:t xml:space="preserve"> tīkla izveide nodrošinās pakalpojumu pieejamību darba dienās un brīvdienās, ģimenes ārsta efektīvu aizstāšanu un telefona konsultāciju sniegšanu.</w:t>
      </w:r>
    </w:p>
    <w:p w:rsidR="00453E54" w:rsidRPr="00BC16C8" w:rsidP="00E62C6E">
      <w:pPr>
        <w:pStyle w:val="ListBullet"/>
        <w:numPr>
          <w:ilvl w:val="0"/>
          <w:numId w:val="0"/>
        </w:numPr>
        <w:spacing w:after="0"/>
        <w:rPr>
          <w:sz w:val="24"/>
          <w:szCs w:val="24"/>
          <w:u w:val="single"/>
          <w:lang w:val="lv-LV"/>
        </w:rPr>
      </w:pPr>
    </w:p>
    <w:p w:rsidR="00A75BF7" w:rsidRPr="00BC16C8" w:rsidP="00A75BF7">
      <w:pPr>
        <w:ind w:firstLine="709"/>
        <w:rPr>
          <w:sz w:val="24"/>
          <w:szCs w:val="24"/>
          <w:lang w:val="lv-LV"/>
        </w:rPr>
      </w:pPr>
    </w:p>
    <w:p w:rsidR="00A75BF7" w:rsidRPr="00BC16C8" w:rsidP="00A75BF7">
      <w:pPr>
        <w:ind w:firstLine="709"/>
        <w:rPr>
          <w:sz w:val="24"/>
          <w:szCs w:val="24"/>
          <w:lang w:val="lv-LV"/>
        </w:rPr>
      </w:pPr>
      <w:r w:rsidRPr="00BC16C8">
        <w:rPr>
          <w:sz w:val="24"/>
          <w:szCs w:val="24"/>
          <w:lang w:val="lv-LV"/>
        </w:rPr>
        <w:t>OECD ekspertu sagatavotajā ziņojuma projektā par Latvijas sasniegto progresu rekomendāciju izpildē, tiek minēts, ka:</w:t>
      </w:r>
    </w:p>
    <w:p w:rsidR="00A75BF7" w:rsidRPr="00BC16C8" w:rsidP="00262C93">
      <w:pPr>
        <w:pStyle w:val="ListParagraph"/>
        <w:numPr>
          <w:ilvl w:val="0"/>
          <w:numId w:val="65"/>
        </w:numPr>
        <w:tabs>
          <w:tab w:val="clear" w:pos="850"/>
          <w:tab w:val="clear" w:pos="1191"/>
          <w:tab w:val="clear" w:pos="1531"/>
        </w:tabs>
        <w:ind w:hanging="720"/>
        <w:rPr>
          <w:sz w:val="24"/>
          <w:szCs w:val="24"/>
          <w:lang w:val="lv-LV"/>
        </w:rPr>
      </w:pPr>
      <w:r w:rsidRPr="00BC16C8">
        <w:rPr>
          <w:sz w:val="24"/>
          <w:szCs w:val="24"/>
          <w:lang w:val="lv-LV"/>
        </w:rPr>
        <w:t>a</w:t>
      </w:r>
      <w:r w:rsidRPr="00BC16C8" w:rsidR="002415F1">
        <w:rPr>
          <w:sz w:val="24"/>
          <w:szCs w:val="24"/>
          <w:lang w:val="lv-LV"/>
        </w:rPr>
        <w:t xml:space="preserve">r </w:t>
      </w:r>
      <w:r w:rsidRPr="00BC16C8" w:rsidR="006975C7">
        <w:rPr>
          <w:sz w:val="24"/>
          <w:szCs w:val="24"/>
          <w:lang w:val="lv-LV"/>
        </w:rPr>
        <w:t xml:space="preserve">2017. gada </w:t>
      </w:r>
      <w:r w:rsidR="00511E1E">
        <w:rPr>
          <w:sz w:val="24"/>
          <w:szCs w:val="24"/>
          <w:lang w:val="lv-LV"/>
        </w:rPr>
        <w:t>Pacientu drošības koncepciju</w:t>
      </w:r>
      <w:r w:rsidRPr="00BC16C8" w:rsidR="006975C7">
        <w:rPr>
          <w:sz w:val="24"/>
          <w:szCs w:val="24"/>
          <w:lang w:val="lv-LV"/>
        </w:rPr>
        <w:t xml:space="preserve"> </w:t>
      </w:r>
      <w:r w:rsidRPr="00BC16C8" w:rsidR="002415F1">
        <w:rPr>
          <w:sz w:val="24"/>
          <w:szCs w:val="24"/>
          <w:lang w:val="lv-LV"/>
        </w:rPr>
        <w:t>veselības</w:t>
      </w:r>
      <w:r w:rsidRPr="00BC16C8" w:rsidR="006975C7">
        <w:rPr>
          <w:sz w:val="24"/>
          <w:szCs w:val="24"/>
          <w:lang w:val="lv-LV"/>
        </w:rPr>
        <w:t xml:space="preserve"> aprūpes kvalitāt</w:t>
      </w:r>
      <w:r w:rsidRPr="00BC16C8" w:rsidR="002415F1">
        <w:rPr>
          <w:sz w:val="24"/>
          <w:szCs w:val="24"/>
          <w:lang w:val="lv-LV"/>
        </w:rPr>
        <w:t>e ir noteikta</w:t>
      </w:r>
      <w:r w:rsidRPr="00BC16C8" w:rsidR="006975C7">
        <w:rPr>
          <w:sz w:val="24"/>
          <w:szCs w:val="24"/>
          <w:lang w:val="lv-LV"/>
        </w:rPr>
        <w:t xml:space="preserve"> par stratēģisku prioritāti</w:t>
      </w:r>
      <w:r w:rsidRPr="00BC16C8" w:rsidR="002415F1">
        <w:rPr>
          <w:sz w:val="24"/>
          <w:szCs w:val="24"/>
          <w:lang w:val="lv-LV"/>
        </w:rPr>
        <w:t>;</w:t>
      </w:r>
    </w:p>
    <w:p w:rsidR="00A75BF7" w:rsidRPr="00BC16C8" w:rsidP="00262C93">
      <w:pPr>
        <w:pStyle w:val="Para"/>
        <w:numPr>
          <w:ilvl w:val="0"/>
          <w:numId w:val="65"/>
        </w:numPr>
        <w:spacing w:before="0" w:after="0"/>
        <w:ind w:right="-2" w:hanging="720"/>
        <w:rPr>
          <w:rFonts w:eastAsia="Times New Roman"/>
          <w:sz w:val="24"/>
          <w:szCs w:val="24"/>
          <w:lang w:val="lv-LV" w:eastAsia="zh-CN"/>
        </w:rPr>
      </w:pPr>
      <w:r w:rsidRPr="00BC16C8">
        <w:rPr>
          <w:sz w:val="24"/>
          <w:szCs w:val="24"/>
          <w:lang w:val="lv-LV"/>
        </w:rPr>
        <w:t xml:space="preserve">ir </w:t>
      </w:r>
      <w:r w:rsidRPr="00BC16C8" w:rsidR="002415F1">
        <w:rPr>
          <w:sz w:val="24"/>
          <w:szCs w:val="24"/>
          <w:lang w:val="lv-LV"/>
        </w:rPr>
        <w:t>uzsākti</w:t>
      </w:r>
      <w:r w:rsidRPr="00BC16C8">
        <w:rPr>
          <w:sz w:val="24"/>
          <w:szCs w:val="24"/>
          <w:lang w:val="lv-LV"/>
        </w:rPr>
        <w:t xml:space="preserve"> vairāki </w:t>
      </w:r>
      <w:r w:rsidRPr="00BC16C8" w:rsidR="002415F1">
        <w:rPr>
          <w:sz w:val="24"/>
          <w:szCs w:val="24"/>
          <w:lang w:val="lv-LV"/>
        </w:rPr>
        <w:t>pasākumi</w:t>
      </w:r>
      <w:r w:rsidRPr="00BC16C8">
        <w:rPr>
          <w:sz w:val="24"/>
          <w:szCs w:val="24"/>
          <w:lang w:val="lv-LV"/>
        </w:rPr>
        <w:t xml:space="preserve">, kas vērsti uz pacientu drošības uzlabošanu, </w:t>
      </w:r>
      <w:r w:rsidRPr="00BC16C8" w:rsidR="00D43DFB">
        <w:rPr>
          <w:sz w:val="24"/>
          <w:szCs w:val="24"/>
          <w:lang w:val="lv-LV"/>
        </w:rPr>
        <w:t xml:space="preserve">kā arī </w:t>
      </w:r>
      <w:r w:rsidRPr="00BC16C8">
        <w:rPr>
          <w:sz w:val="24"/>
          <w:szCs w:val="24"/>
          <w:lang w:val="lv-LV"/>
        </w:rPr>
        <w:t>centieni uzlabot veselības aprūpes speciālistu prasmes un kompetences</w:t>
      </w:r>
      <w:r w:rsidRPr="00BC16C8" w:rsidR="00D43DFB">
        <w:rPr>
          <w:sz w:val="24"/>
          <w:szCs w:val="24"/>
          <w:lang w:val="lv-LV"/>
        </w:rPr>
        <w:t>.</w:t>
      </w:r>
    </w:p>
    <w:p w:rsidR="00A75BF7" w:rsidRPr="00BC16C8" w:rsidP="00A75BF7">
      <w:pPr>
        <w:pStyle w:val="ListParagraph"/>
        <w:ind w:left="709" w:right="-2"/>
        <w:rPr>
          <w:sz w:val="24"/>
          <w:szCs w:val="24"/>
          <w:lang w:val="lv-LV"/>
        </w:rPr>
      </w:pPr>
    </w:p>
    <w:p w:rsidR="00A75BF7" w:rsidRPr="00BC16C8" w:rsidP="00511E1E">
      <w:pPr>
        <w:pStyle w:val="ListParagraph"/>
        <w:tabs>
          <w:tab w:val="clear" w:pos="850"/>
          <w:tab w:val="clear" w:pos="1191"/>
          <w:tab w:val="clear" w:pos="1531"/>
        </w:tabs>
        <w:ind w:right="-2"/>
        <w:rPr>
          <w:sz w:val="24"/>
          <w:szCs w:val="24"/>
          <w:lang w:val="lv-LV"/>
        </w:rPr>
      </w:pPr>
      <w:r w:rsidRPr="00BC16C8">
        <w:rPr>
          <w:sz w:val="24"/>
          <w:szCs w:val="24"/>
          <w:lang w:val="lv-LV"/>
        </w:rPr>
        <w:t>Tomēr tiek minēts, ka joprojām nepieciešams pievērst uzmanību šādām jomām:</w:t>
      </w:r>
    </w:p>
    <w:p w:rsidR="00A75BF7" w:rsidRPr="008C1D52" w:rsidP="00262C93">
      <w:pPr>
        <w:pStyle w:val="Para"/>
        <w:numPr>
          <w:ilvl w:val="0"/>
          <w:numId w:val="65"/>
        </w:numPr>
        <w:spacing w:before="0" w:after="0"/>
        <w:ind w:right="-2" w:hanging="720"/>
        <w:rPr>
          <w:sz w:val="24"/>
          <w:szCs w:val="24"/>
          <w:lang w:val="lv-LV"/>
        </w:rPr>
      </w:pPr>
      <w:r w:rsidRPr="00BC16C8">
        <w:rPr>
          <w:rFonts w:eastAsia="Times New Roman"/>
          <w:sz w:val="24"/>
          <w:szCs w:val="24"/>
          <w:lang w:val="lv-LV" w:eastAsia="zh-CN"/>
        </w:rPr>
        <w:t xml:space="preserve">jāveic pasākumi, lai ieviestu </w:t>
      </w:r>
      <w:r w:rsidRPr="001A79E9" w:rsidR="001A79E9">
        <w:rPr>
          <w:rFonts w:eastAsia="Times New Roman"/>
          <w:sz w:val="24"/>
          <w:szCs w:val="24"/>
          <w:lang w:val="lv-LV" w:eastAsia="zh-CN"/>
        </w:rPr>
        <w:t>pacientu drošības ziņošanas–mācīšanās sistēmu</w:t>
      </w:r>
      <w:r w:rsidR="001A79E9">
        <w:rPr>
          <w:rFonts w:eastAsia="Times New Roman"/>
          <w:sz w:val="24"/>
          <w:szCs w:val="24"/>
          <w:lang w:val="lv-LV" w:eastAsia="zh-CN"/>
        </w:rPr>
        <w:t>,</w:t>
      </w:r>
      <w:r w:rsidRPr="001A79E9" w:rsidR="001A79E9">
        <w:rPr>
          <w:rFonts w:eastAsia="Times New Roman"/>
          <w:sz w:val="24"/>
          <w:szCs w:val="24"/>
          <w:lang w:val="lv-LV" w:eastAsia="zh-CN"/>
        </w:rPr>
        <w:t xml:space="preserve"> kas nodrošina informācijas vākšanu un analīzi par gadījumiem, kuru dēļ radies vai varēja rasties ar veselības aprūpi saistīts kaitējums pacientam (pacientu drošības gadījumiem), un risku mazināšanas pasākumus, lai samazinātu attiecīgu gadījumu atkārtošanās iespējas un nodrošinātu atgriezenisku saiti pacienta drošības jautājumos iesaistītajām ārstniecības personām</w:t>
      </w:r>
      <w:r w:rsidR="00FD0CE1">
        <w:rPr>
          <w:rFonts w:eastAsia="Times New Roman"/>
          <w:sz w:val="24"/>
          <w:szCs w:val="24"/>
          <w:lang w:val="lv-LV" w:eastAsia="zh-CN"/>
        </w:rPr>
        <w:t xml:space="preserve"> </w:t>
      </w:r>
      <w:r w:rsidRPr="00BC16C8">
        <w:rPr>
          <w:rFonts w:eastAsia="Times New Roman"/>
          <w:sz w:val="24"/>
          <w:szCs w:val="24"/>
          <w:lang w:val="lv-LV" w:eastAsia="zh-CN"/>
        </w:rPr>
        <w:t xml:space="preserve">par </w:t>
      </w:r>
      <w:r w:rsidR="008C1D52">
        <w:rPr>
          <w:rFonts w:eastAsia="Times New Roman"/>
          <w:sz w:val="24"/>
          <w:szCs w:val="24"/>
          <w:lang w:val="lv-LV" w:eastAsia="zh-CN"/>
        </w:rPr>
        <w:t xml:space="preserve">nevēlamiem </w:t>
      </w:r>
      <w:r w:rsidRPr="008C1D52" w:rsidR="008C1D52">
        <w:rPr>
          <w:rFonts w:eastAsia="Times New Roman"/>
          <w:sz w:val="24"/>
          <w:szCs w:val="24"/>
          <w:lang w:val="lv-LV" w:eastAsia="zh-CN"/>
        </w:rPr>
        <w:t>notikumiem (</w:t>
      </w:r>
      <w:r w:rsidRPr="00865589" w:rsidR="008C1D52">
        <w:rPr>
          <w:rFonts w:eastAsia="Times New Roman"/>
          <w:color w:val="000000"/>
          <w:kern w:val="24"/>
          <w:sz w:val="24"/>
          <w:szCs w:val="24"/>
          <w:lang w:val="lv-LV"/>
        </w:rPr>
        <w:t>gadījumiem, kuru rezultātā radies vai varēja rasties kaitējums pacientam)</w:t>
      </w:r>
      <w:r w:rsidRPr="008C1D52" w:rsidR="00D43DFB">
        <w:rPr>
          <w:rFonts w:eastAsia="Times New Roman"/>
          <w:sz w:val="24"/>
          <w:szCs w:val="24"/>
          <w:lang w:val="lv-LV" w:eastAsia="zh-CN"/>
        </w:rPr>
        <w:t>;</w:t>
      </w:r>
    </w:p>
    <w:p w:rsidR="00A75BF7" w:rsidRPr="009A0E4A" w:rsidP="00262C93">
      <w:pPr>
        <w:pStyle w:val="Para"/>
        <w:numPr>
          <w:ilvl w:val="0"/>
          <w:numId w:val="65"/>
        </w:numPr>
        <w:spacing w:before="0" w:after="0"/>
        <w:ind w:right="-2" w:hanging="720"/>
        <w:rPr>
          <w:sz w:val="24"/>
          <w:szCs w:val="24"/>
          <w:lang w:val="lv-LV"/>
        </w:rPr>
      </w:pPr>
      <w:r w:rsidRPr="00BC16C8">
        <w:rPr>
          <w:sz w:val="24"/>
          <w:szCs w:val="24"/>
          <w:lang w:val="lv-LV"/>
        </w:rPr>
        <w:t xml:space="preserve">joprojām bažas raisa </w:t>
      </w:r>
      <w:r w:rsidRPr="00BC16C8" w:rsidR="006975C7">
        <w:rPr>
          <w:rFonts w:eastAsia="Times New Roman"/>
          <w:sz w:val="24"/>
          <w:szCs w:val="24"/>
          <w:lang w:val="lv-LV" w:eastAsia="zh-CN"/>
        </w:rPr>
        <w:t>slimnīc</w:t>
      </w:r>
      <w:r w:rsidRPr="00BC16C8">
        <w:rPr>
          <w:rFonts w:eastAsia="Times New Roman"/>
          <w:sz w:val="24"/>
          <w:szCs w:val="24"/>
          <w:lang w:val="lv-LV" w:eastAsia="zh-CN"/>
        </w:rPr>
        <w:t>u</w:t>
      </w:r>
      <w:r w:rsidRPr="00BC16C8" w:rsidR="006975C7">
        <w:rPr>
          <w:rFonts w:eastAsia="Times New Roman"/>
          <w:sz w:val="24"/>
          <w:szCs w:val="24"/>
          <w:lang w:val="lv-LV" w:eastAsia="zh-CN"/>
        </w:rPr>
        <w:t xml:space="preserve"> kvalitātes rādītāji un t</w:t>
      </w:r>
      <w:r w:rsidRPr="00BC16C8">
        <w:rPr>
          <w:rFonts w:eastAsia="Times New Roman"/>
          <w:sz w:val="24"/>
          <w:szCs w:val="24"/>
          <w:lang w:val="lv-LV" w:eastAsia="zh-CN"/>
        </w:rPr>
        <w:t>ie</w:t>
      </w:r>
      <w:r w:rsidRPr="00BC16C8" w:rsidR="006975C7">
        <w:rPr>
          <w:rFonts w:eastAsia="Times New Roman"/>
          <w:sz w:val="24"/>
          <w:szCs w:val="24"/>
          <w:lang w:val="lv-LV" w:eastAsia="zh-CN"/>
        </w:rPr>
        <w:t xml:space="preserve">m </w:t>
      </w:r>
      <w:r w:rsidRPr="00BC16C8">
        <w:rPr>
          <w:rFonts w:eastAsia="Times New Roman"/>
          <w:sz w:val="24"/>
          <w:szCs w:val="24"/>
          <w:lang w:val="lv-LV" w:eastAsia="zh-CN"/>
        </w:rPr>
        <w:t>būtu</w:t>
      </w:r>
      <w:r w:rsidRPr="00BC16C8" w:rsidR="006975C7">
        <w:rPr>
          <w:rFonts w:eastAsia="Times New Roman"/>
          <w:sz w:val="24"/>
          <w:szCs w:val="24"/>
          <w:lang w:val="lv-LV" w:eastAsia="zh-CN"/>
        </w:rPr>
        <w:t xml:space="preserve"> </w:t>
      </w:r>
      <w:r w:rsidRPr="00BC16C8">
        <w:rPr>
          <w:rFonts w:eastAsia="Times New Roman"/>
          <w:sz w:val="24"/>
          <w:szCs w:val="24"/>
          <w:lang w:val="lv-LV" w:eastAsia="zh-CN"/>
        </w:rPr>
        <w:t xml:space="preserve">jābūt </w:t>
      </w:r>
      <w:r w:rsidRPr="00BC16C8" w:rsidR="006975C7">
        <w:rPr>
          <w:rFonts w:eastAsia="Times New Roman"/>
          <w:sz w:val="24"/>
          <w:szCs w:val="24"/>
          <w:lang w:val="lv-LV" w:eastAsia="zh-CN"/>
        </w:rPr>
        <w:t>prioritār</w:t>
      </w:r>
      <w:r w:rsidRPr="00BC16C8">
        <w:rPr>
          <w:rFonts w:eastAsia="Times New Roman"/>
          <w:sz w:val="24"/>
          <w:szCs w:val="24"/>
          <w:lang w:val="lv-LV" w:eastAsia="zh-CN"/>
        </w:rPr>
        <w:t>ie</w:t>
      </w:r>
      <w:r w:rsidRPr="00BC16C8" w:rsidR="006975C7">
        <w:rPr>
          <w:rFonts w:eastAsia="Times New Roman"/>
          <w:sz w:val="24"/>
          <w:szCs w:val="24"/>
          <w:lang w:val="lv-LV" w:eastAsia="zh-CN"/>
        </w:rPr>
        <w:t>m</w:t>
      </w:r>
      <w:r w:rsidRPr="00BC16C8">
        <w:rPr>
          <w:rFonts w:eastAsia="Times New Roman"/>
          <w:sz w:val="24"/>
          <w:szCs w:val="24"/>
          <w:lang w:val="lv-LV" w:eastAsia="zh-CN"/>
        </w:rPr>
        <w:t>, domājot par kvalitātes uzlabošanas pasākumiem un slimnīcu sektora reformu.</w:t>
      </w:r>
    </w:p>
    <w:p w:rsidR="00325B41" w:rsidRPr="00BC16C8" w:rsidP="00E62C6E">
      <w:pPr>
        <w:pStyle w:val="Default"/>
        <w:ind w:left="709" w:hanging="709"/>
        <w:jc w:val="both"/>
        <w:rPr>
          <w:b/>
          <w:color w:val="auto"/>
        </w:rPr>
      </w:pPr>
    </w:p>
    <w:p w:rsidR="00D43DFB" w:rsidRPr="00BC16C8" w:rsidP="00E62C6E">
      <w:pPr>
        <w:pStyle w:val="Default"/>
        <w:ind w:left="709" w:hanging="709"/>
        <w:jc w:val="both"/>
        <w:rPr>
          <w:b/>
          <w:color w:val="auto"/>
        </w:rPr>
      </w:pPr>
    </w:p>
    <w:p w:rsidR="00E62C6E" w:rsidP="009A0E4A">
      <w:pPr>
        <w:pStyle w:val="Default"/>
        <w:keepNext/>
        <w:ind w:left="709" w:hanging="709"/>
        <w:jc w:val="both"/>
        <w:rPr>
          <w:b/>
          <w:color w:val="auto"/>
          <w:u w:val="single"/>
        </w:rPr>
      </w:pPr>
      <w:r w:rsidRPr="00262C93">
        <w:rPr>
          <w:b/>
          <w:color w:val="auto"/>
          <w:u w:val="single"/>
        </w:rPr>
        <w:t>4.rekomendācija:</w:t>
      </w:r>
    </w:p>
    <w:p w:rsidR="00262C93" w:rsidRPr="00262C93" w:rsidP="009A0E4A">
      <w:pPr>
        <w:pStyle w:val="Default"/>
        <w:keepNext/>
        <w:ind w:left="709" w:hanging="709"/>
        <w:jc w:val="both"/>
        <w:rPr>
          <w:b/>
          <w:color w:val="auto"/>
          <w:u w:val="single"/>
        </w:rPr>
      </w:pPr>
    </w:p>
    <w:p w:rsidR="00E66F13" w:rsidRPr="00262C93" w:rsidP="00E62C6E">
      <w:pPr>
        <w:pStyle w:val="Default"/>
        <w:jc w:val="both"/>
        <w:rPr>
          <w:b/>
          <w:color w:val="auto"/>
        </w:rPr>
      </w:pPr>
      <w:r w:rsidRPr="00262C93">
        <w:rPr>
          <w:b/>
          <w:color w:val="auto"/>
        </w:rPr>
        <w:t>Efektīvāk sniegt profilaktisko aprūpi, izmantojot plašāku starpnozaru darbu, labāk izmantojot māsas ģimenes ārstu praksēs un labāk iesaistot farmaceitus profilaktiskajā aprūpē</w:t>
      </w:r>
      <w:r w:rsidRPr="00262C93" w:rsidR="00B501C8">
        <w:rPr>
          <w:b/>
          <w:color w:val="auto"/>
        </w:rPr>
        <w:t>.</w:t>
      </w:r>
    </w:p>
    <w:p w:rsidR="00B501C8" w:rsidRPr="00262C93" w:rsidP="00E62C6E">
      <w:pPr>
        <w:pStyle w:val="Default"/>
        <w:jc w:val="both"/>
        <w:rPr>
          <w:b/>
          <w:i/>
          <w:color w:val="auto"/>
        </w:rPr>
      </w:pPr>
      <w:r w:rsidRPr="00262C93">
        <w:rPr>
          <w:i/>
          <w:color w:val="auto"/>
          <w:lang w:val="en-GB"/>
        </w:rPr>
        <w:t>Delivering preventive care more effectively, through wider inter-sectoral work, better use of nurses in GP practices, and better use of pharmacists for preventive care.</w:t>
      </w:r>
    </w:p>
    <w:p w:rsidR="00E27344" w:rsidP="008E78B4">
      <w:pPr>
        <w:tabs>
          <w:tab w:val="clear" w:pos="850"/>
          <w:tab w:val="clear" w:pos="1191"/>
          <w:tab w:val="clear" w:pos="1531"/>
        </w:tabs>
        <w:ind w:firstLine="709"/>
        <w:rPr>
          <w:rFonts w:eastAsia="MS Mincho"/>
          <w:sz w:val="24"/>
          <w:szCs w:val="24"/>
          <w:lang w:val="lv-LV" w:eastAsia="ja-JP"/>
        </w:rPr>
      </w:pPr>
    </w:p>
    <w:p w:rsidR="00E27344" w:rsidRPr="00B501C8" w:rsidP="00E27344">
      <w:pPr>
        <w:tabs>
          <w:tab w:val="clear" w:pos="850"/>
          <w:tab w:val="clear" w:pos="1191"/>
          <w:tab w:val="clear" w:pos="1531"/>
        </w:tabs>
        <w:ind w:firstLine="709"/>
        <w:rPr>
          <w:rFonts w:eastAsia="MS Mincho"/>
          <w:sz w:val="24"/>
          <w:szCs w:val="24"/>
          <w:lang w:val="lv-LV" w:eastAsia="ja-JP"/>
        </w:rPr>
      </w:pPr>
      <w:r w:rsidRPr="00B501C8">
        <w:rPr>
          <w:rFonts w:eastAsia="MS Mincho"/>
          <w:sz w:val="24"/>
          <w:szCs w:val="24"/>
          <w:lang w:val="lv-LV" w:eastAsia="ja-JP"/>
        </w:rPr>
        <w:t xml:space="preserve">Galvenais sabiedrības veselības politikas plānošanas dokuments Latvijā ir Sabiedrības veselības pamatnostādnes 2014.-2020. gadam (turpmāk </w:t>
      </w:r>
      <w:r w:rsidR="00B501C8">
        <w:rPr>
          <w:rFonts w:eastAsia="MS Mincho"/>
          <w:sz w:val="24"/>
          <w:szCs w:val="24"/>
          <w:lang w:val="lv-LV" w:eastAsia="ja-JP"/>
        </w:rPr>
        <w:t xml:space="preserve">tekstā </w:t>
      </w:r>
      <w:r w:rsidRPr="00B501C8">
        <w:rPr>
          <w:rFonts w:eastAsia="MS Mincho"/>
          <w:sz w:val="24"/>
          <w:szCs w:val="24"/>
          <w:lang w:val="lv-LV" w:eastAsia="ja-JP"/>
        </w:rPr>
        <w:t>– Pamatnostādnes), kur</w:t>
      </w:r>
      <w:r w:rsidR="00B501C8">
        <w:rPr>
          <w:rFonts w:eastAsia="MS Mincho"/>
          <w:sz w:val="24"/>
          <w:szCs w:val="24"/>
          <w:lang w:val="lv-LV" w:eastAsia="ja-JP"/>
        </w:rPr>
        <w:t>u</w:t>
      </w:r>
      <w:r w:rsidRPr="00B501C8">
        <w:rPr>
          <w:rFonts w:eastAsia="MS Mincho"/>
          <w:sz w:val="24"/>
          <w:szCs w:val="24"/>
          <w:lang w:val="lv-LV" w:eastAsia="ja-JP"/>
        </w:rPr>
        <w:t xml:space="preserve"> mērķis ir palielināt Latvijas iedzīvotāju veselīgi nodzīvoto mūža gadu skaitu un novērst priekšlaicīgu nāvi, saglabājot, uzlabojot un atjaunojot veselību. Viens no rīcības virzieniem izvirzītā mērķa sasniegšanai ir “</w:t>
      </w:r>
      <w:r w:rsidRPr="00B501C8">
        <w:rPr>
          <w:rFonts w:eastAsia="MS Mincho"/>
          <w:sz w:val="24"/>
          <w:szCs w:val="24"/>
          <w:lang w:val="lv-LV" w:eastAsia="ja-JP"/>
        </w:rPr>
        <w:t>neinfekciju</w:t>
      </w:r>
      <w:r w:rsidRPr="00B501C8">
        <w:rPr>
          <w:rFonts w:eastAsia="MS Mincho"/>
          <w:sz w:val="24"/>
          <w:szCs w:val="24"/>
          <w:lang w:val="lv-LV" w:eastAsia="ja-JP"/>
        </w:rPr>
        <w:t xml:space="preserve"> slimību riska faktoru izplatības mazināšana” (ieskaitot neveselīgu uzturu, mazkustīgu dzīvesveidu, atkarību izraisošo vielu lietošanu u.c.). Pamatnostādnēs ir definētas četras prioritārās veselības jomas - onkoloģisko slimību novēršana un kontrole (onkoloģija), sirds un asinsvadu veselība, perinatālā un </w:t>
      </w:r>
      <w:r w:rsidRPr="00B501C8">
        <w:rPr>
          <w:rFonts w:eastAsia="MS Mincho"/>
          <w:sz w:val="24"/>
          <w:szCs w:val="24"/>
          <w:lang w:val="lv-LV" w:eastAsia="ja-JP"/>
        </w:rPr>
        <w:t>neonatālā</w:t>
      </w:r>
      <w:r w:rsidRPr="00B501C8">
        <w:rPr>
          <w:rFonts w:eastAsia="MS Mincho"/>
          <w:sz w:val="24"/>
          <w:szCs w:val="24"/>
          <w:lang w:val="lv-LV" w:eastAsia="ja-JP"/>
        </w:rPr>
        <w:t xml:space="preserve"> perioda aprūpe</w:t>
      </w:r>
      <w:r w:rsidRPr="00B501C8">
        <w:rPr>
          <w:rFonts w:eastAsia="MS Mincho"/>
          <w:i/>
          <w:sz w:val="24"/>
          <w:szCs w:val="24"/>
          <w:lang w:val="lv-LV" w:eastAsia="ja-JP"/>
        </w:rPr>
        <w:t xml:space="preserve"> </w:t>
      </w:r>
      <w:r w:rsidRPr="00B501C8">
        <w:rPr>
          <w:rFonts w:eastAsia="MS Mincho"/>
          <w:sz w:val="24"/>
          <w:szCs w:val="24"/>
          <w:lang w:val="lv-LV" w:eastAsia="ja-JP"/>
        </w:rPr>
        <w:t>un psihiskā veselība.</w:t>
      </w:r>
    </w:p>
    <w:p w:rsidR="00E27344" w:rsidRPr="00B501C8" w:rsidP="00E27344">
      <w:pPr>
        <w:tabs>
          <w:tab w:val="clear" w:pos="850"/>
          <w:tab w:val="clear" w:pos="1191"/>
          <w:tab w:val="clear" w:pos="1531"/>
        </w:tabs>
        <w:rPr>
          <w:rFonts w:eastAsia="MS Mincho"/>
          <w:sz w:val="24"/>
          <w:szCs w:val="24"/>
          <w:lang w:val="lv-LV" w:eastAsia="ja-JP"/>
        </w:rPr>
      </w:pPr>
    </w:p>
    <w:p w:rsidR="00E27344" w:rsidRPr="00B501C8" w:rsidP="00E27344">
      <w:pPr>
        <w:tabs>
          <w:tab w:val="clear" w:pos="850"/>
          <w:tab w:val="clear" w:pos="1191"/>
          <w:tab w:val="clear" w:pos="1531"/>
        </w:tabs>
        <w:ind w:firstLine="709"/>
        <w:rPr>
          <w:rFonts w:eastAsia="MS Mincho"/>
          <w:sz w:val="24"/>
          <w:szCs w:val="24"/>
          <w:lang w:val="lv-LV" w:eastAsia="ja-JP"/>
        </w:rPr>
      </w:pPr>
      <w:r w:rsidRPr="00B501C8">
        <w:rPr>
          <w:rFonts w:eastAsia="MS Mincho"/>
          <w:sz w:val="24"/>
          <w:szCs w:val="24"/>
          <w:lang w:val="lv-LV" w:eastAsia="ja-JP"/>
        </w:rPr>
        <w:t xml:space="preserve">Saskaņā ar Pamatnostādnēm, sākot no 2016. gada novembra, Latvijā notiek darbs pie veselības veicināšanas un slimību profilakses pasākumu plānošanas un īstenošanas gan nacionālā, gan vietējā līmenī. Lai veicinātu veselīga dzīvesveida paradumus un mazinātu riska faktoru izplatību iedzīvotājiem, ir piešķirti ievērojami finanšu resursi (gan Eiropas Savienības fondi, gan valsts budžets), īpašu uzmanību pievēršot </w:t>
      </w:r>
      <w:r w:rsidRPr="00B501C8">
        <w:rPr>
          <w:bCs/>
          <w:spacing w:val="-2"/>
          <w:sz w:val="24"/>
          <w:szCs w:val="24"/>
          <w:lang w:val="lv-LV"/>
        </w:rPr>
        <w:t>sociālās atstumtības un nabadzības riskam pakļautajiem iedzīvotājiem,</w:t>
      </w:r>
      <w:r w:rsidRPr="00B501C8">
        <w:rPr>
          <w:rFonts w:eastAsia="MS Mincho"/>
          <w:sz w:val="24"/>
          <w:szCs w:val="24"/>
          <w:lang w:val="lv-LV" w:eastAsia="ja-JP"/>
        </w:rPr>
        <w:t xml:space="preserve"> piemēram, bērniem, vecāka gadagājuma cilvēkiem, bezdarbniekiem, nabadzīgajiem cilvēkiem, personām ar invaliditāti un cilvēkiem, kas dzīvo lauku un attālos rajonos. Šīs veselības veicināšanas darbības ir vērstas uz tādām jomām kā atkarību izraisošo vielu lietošanas un procesu </w:t>
      </w:r>
      <w:r w:rsidRPr="00B501C8">
        <w:rPr>
          <w:rFonts w:eastAsia="MS Mincho"/>
          <w:sz w:val="24"/>
          <w:szCs w:val="24"/>
          <w:lang w:val="lv-LV" w:eastAsia="ja-JP"/>
        </w:rPr>
        <w:t>izplatības mazināšana, veselīga uztura</w:t>
      </w:r>
      <w:r w:rsidRPr="00B501C8" w:rsidR="002E4CF0">
        <w:rPr>
          <w:rFonts w:eastAsia="MS Mincho"/>
          <w:sz w:val="24"/>
          <w:szCs w:val="24"/>
          <w:lang w:val="lv-LV" w:eastAsia="ja-JP"/>
        </w:rPr>
        <w:t xml:space="preserve"> </w:t>
      </w:r>
      <w:r w:rsidRPr="00B501C8">
        <w:rPr>
          <w:rFonts w:eastAsia="MS Mincho"/>
          <w:sz w:val="24"/>
          <w:szCs w:val="24"/>
          <w:lang w:val="lv-LV" w:eastAsia="ja-JP"/>
        </w:rPr>
        <w:t>un fiziskās aktivitātes veicināšana, seksuālās un reproduktīvās veselības un psihiskās veselības veicināšana. Aktivitātes tiek īstenotas:</w:t>
      </w:r>
    </w:p>
    <w:p w:rsidR="00E27344" w:rsidRPr="00B501C8" w:rsidP="00E27344">
      <w:pPr>
        <w:pStyle w:val="ListParagraph"/>
        <w:tabs>
          <w:tab w:val="clear" w:pos="850"/>
          <w:tab w:val="clear" w:pos="1191"/>
          <w:tab w:val="clear" w:pos="1531"/>
        </w:tabs>
        <w:rPr>
          <w:rFonts w:eastAsia="MS Mincho"/>
          <w:sz w:val="24"/>
          <w:szCs w:val="24"/>
          <w:lang w:val="lv-LV" w:eastAsia="ja-JP"/>
        </w:rPr>
      </w:pPr>
    </w:p>
    <w:p w:rsidR="00E27344" w:rsidRPr="00B501C8" w:rsidP="00E27344">
      <w:pPr>
        <w:pStyle w:val="ListParagraph"/>
        <w:tabs>
          <w:tab w:val="clear" w:pos="850"/>
          <w:tab w:val="clear" w:pos="1191"/>
          <w:tab w:val="clear" w:pos="1531"/>
        </w:tabs>
        <w:ind w:hanging="720"/>
        <w:rPr>
          <w:rFonts w:eastAsia="MS Mincho"/>
          <w:sz w:val="24"/>
          <w:szCs w:val="24"/>
          <w:lang w:val="lv-LV" w:eastAsia="ja-JP"/>
        </w:rPr>
      </w:pPr>
      <w:r w:rsidRPr="00B501C8">
        <w:rPr>
          <w:rFonts w:eastAsia="MS Mincho"/>
          <w:sz w:val="24"/>
          <w:szCs w:val="24"/>
          <w:lang w:val="lv-LV" w:eastAsia="ja-JP"/>
        </w:rPr>
        <w:t>1)</w:t>
      </w:r>
      <w:r w:rsidRPr="00B501C8">
        <w:rPr>
          <w:rFonts w:eastAsia="MS Mincho"/>
          <w:sz w:val="24"/>
          <w:szCs w:val="24"/>
          <w:lang w:val="lv-LV" w:eastAsia="ja-JP"/>
        </w:rPr>
        <w:tab/>
      </w:r>
      <w:r w:rsidRPr="00B501C8">
        <w:rPr>
          <w:rFonts w:eastAsia="MS Mincho"/>
          <w:sz w:val="24"/>
          <w:szCs w:val="24"/>
          <w:u w:val="single"/>
          <w:lang w:val="lv-LV" w:eastAsia="ja-JP"/>
        </w:rPr>
        <w:t>Nacionālā līmenī</w:t>
      </w:r>
      <w:r w:rsidRPr="00B501C8">
        <w:rPr>
          <w:rFonts w:eastAsia="MS Mincho"/>
          <w:sz w:val="24"/>
          <w:szCs w:val="24"/>
          <w:lang w:val="lv-LV" w:eastAsia="ja-JP"/>
        </w:rPr>
        <w:t>:</w:t>
      </w:r>
    </w:p>
    <w:p w:rsidR="00E27344" w:rsidRPr="00B501C8" w:rsidP="00E27344">
      <w:pPr>
        <w:pStyle w:val="ListParagraph"/>
        <w:tabs>
          <w:tab w:val="clear" w:pos="850"/>
          <w:tab w:val="clear" w:pos="1191"/>
          <w:tab w:val="clear" w:pos="1531"/>
        </w:tabs>
        <w:ind w:hanging="720"/>
        <w:rPr>
          <w:rFonts w:eastAsia="MS Mincho"/>
          <w:sz w:val="24"/>
          <w:szCs w:val="24"/>
          <w:lang w:val="lv-LV" w:eastAsia="ja-JP"/>
        </w:rPr>
      </w:pPr>
    </w:p>
    <w:p w:rsidR="00E27344" w:rsidRPr="00B501C8" w:rsidP="00E27344">
      <w:pPr>
        <w:pStyle w:val="ListParagraph"/>
        <w:tabs>
          <w:tab w:val="clear" w:pos="850"/>
          <w:tab w:val="clear" w:pos="1191"/>
          <w:tab w:val="clear" w:pos="1531"/>
        </w:tabs>
        <w:ind w:left="709" w:hanging="698"/>
        <w:rPr>
          <w:rFonts w:eastAsia="MS Mincho"/>
          <w:sz w:val="24"/>
          <w:szCs w:val="24"/>
          <w:lang w:val="lv-LV" w:eastAsia="ja-JP"/>
        </w:rPr>
      </w:pPr>
      <w:r w:rsidRPr="00B501C8">
        <w:rPr>
          <w:rFonts w:eastAsia="MS Mincho"/>
          <w:sz w:val="24"/>
          <w:szCs w:val="24"/>
          <w:lang w:val="lv-LV" w:eastAsia="ja-JP"/>
        </w:rPr>
        <w:t>1.1.</w:t>
      </w:r>
      <w:r w:rsidRPr="00B501C8">
        <w:rPr>
          <w:rFonts w:eastAsia="MS Mincho"/>
          <w:sz w:val="24"/>
          <w:szCs w:val="24"/>
          <w:lang w:val="lv-LV" w:eastAsia="ja-JP"/>
        </w:rPr>
        <w:tab/>
        <w:t>Sabiedrības informēšanas kampaņas par veselīga uztura un fizisko aktivitāšu veicināšanu, atkarību izraisošo vielu lietošanas un procesu izplatības mazināšanu, seksuālās un reproduktīvās veselības un psihiskās veselības veicinā</w:t>
      </w:r>
      <w:r w:rsidRPr="00B501C8" w:rsidR="002E4CF0">
        <w:rPr>
          <w:rFonts w:eastAsia="MS Mincho"/>
          <w:sz w:val="24"/>
          <w:szCs w:val="24"/>
          <w:lang w:val="lv-LV" w:eastAsia="ja-JP"/>
        </w:rPr>
        <w:t>šanu</w:t>
      </w:r>
      <w:r w:rsidRPr="00B501C8">
        <w:rPr>
          <w:rFonts w:eastAsia="MS Mincho"/>
          <w:sz w:val="24"/>
          <w:szCs w:val="24"/>
          <w:lang w:val="lv-LV" w:eastAsia="ja-JP"/>
        </w:rPr>
        <w:t>.</w:t>
      </w:r>
    </w:p>
    <w:p w:rsidR="00E27344" w:rsidRPr="00B501C8" w:rsidP="00E27344">
      <w:pPr>
        <w:pStyle w:val="ListParagraph"/>
        <w:tabs>
          <w:tab w:val="clear" w:pos="850"/>
          <w:tab w:val="clear" w:pos="1191"/>
          <w:tab w:val="clear" w:pos="1531"/>
        </w:tabs>
        <w:ind w:left="709" w:hanging="698"/>
        <w:rPr>
          <w:rFonts w:eastAsia="MS Mincho"/>
          <w:sz w:val="24"/>
          <w:szCs w:val="24"/>
          <w:lang w:val="lv-LV" w:eastAsia="ja-JP"/>
        </w:rPr>
      </w:pPr>
      <w:r w:rsidRPr="00B501C8">
        <w:rPr>
          <w:rFonts w:eastAsia="MS Mincho"/>
          <w:sz w:val="24"/>
          <w:szCs w:val="24"/>
          <w:lang w:val="lv-LV" w:eastAsia="ja-JP"/>
        </w:rPr>
        <w:t>1.2.</w:t>
      </w:r>
      <w:r w:rsidRPr="00B501C8">
        <w:rPr>
          <w:rFonts w:eastAsia="MS Mincho"/>
          <w:sz w:val="24"/>
          <w:szCs w:val="24"/>
          <w:lang w:val="lv-LV" w:eastAsia="ja-JP"/>
        </w:rPr>
        <w:tab/>
        <w:t xml:space="preserve">Izglītojoši pasākumi cilvēkiem, kas koordinē veselības veicināšanas un slimību profilakses pasākumus pašvaldībās, </w:t>
      </w:r>
      <w:r w:rsidRPr="007C198B" w:rsidR="007C198B">
        <w:rPr>
          <w:rFonts w:eastAsia="MS Mincho"/>
          <w:sz w:val="24"/>
          <w:szCs w:val="24"/>
          <w:lang w:val="lv-LV" w:eastAsia="ja-JP"/>
        </w:rPr>
        <w:t>piemēram, pašvaldību veselības veicināšanas koordinatoriem,</w:t>
      </w:r>
      <w:r w:rsidR="007C198B">
        <w:rPr>
          <w:rFonts w:eastAsia="MS Mincho"/>
          <w:sz w:val="24"/>
          <w:szCs w:val="24"/>
          <w:lang w:val="lv-LV" w:eastAsia="ja-JP"/>
        </w:rPr>
        <w:t xml:space="preserve"> </w:t>
      </w:r>
      <w:r w:rsidRPr="007C198B" w:rsidR="007C198B">
        <w:rPr>
          <w:rFonts w:eastAsia="MS Mincho"/>
          <w:sz w:val="24"/>
          <w:szCs w:val="24"/>
          <w:lang w:val="lv-LV" w:eastAsia="ja-JP"/>
        </w:rPr>
        <w:t>skolotājiem un ēdināšanas darbiniekiem</w:t>
      </w:r>
      <w:r w:rsidRPr="00B501C8">
        <w:rPr>
          <w:rFonts w:eastAsia="MS Mincho"/>
          <w:sz w:val="24"/>
          <w:szCs w:val="24"/>
          <w:lang w:val="lv-LV" w:eastAsia="ja-JP"/>
        </w:rPr>
        <w:t>.</w:t>
      </w:r>
    </w:p>
    <w:p w:rsidR="00E27344" w:rsidRPr="00B501C8" w:rsidP="00E27344">
      <w:pPr>
        <w:pStyle w:val="ListParagraph"/>
        <w:tabs>
          <w:tab w:val="clear" w:pos="850"/>
          <w:tab w:val="clear" w:pos="1191"/>
          <w:tab w:val="clear" w:pos="1531"/>
        </w:tabs>
        <w:ind w:left="709" w:hanging="698"/>
        <w:rPr>
          <w:rFonts w:eastAsia="MS Mincho"/>
          <w:sz w:val="24"/>
          <w:szCs w:val="24"/>
          <w:lang w:val="lv-LV" w:eastAsia="ja-JP"/>
        </w:rPr>
      </w:pPr>
      <w:r w:rsidRPr="00B501C8">
        <w:rPr>
          <w:rFonts w:eastAsia="MS Mincho"/>
          <w:sz w:val="24"/>
          <w:szCs w:val="24"/>
          <w:lang w:val="lv-LV" w:eastAsia="ja-JP"/>
        </w:rPr>
        <w:t>1.3.</w:t>
      </w:r>
      <w:r w:rsidRPr="00B501C8">
        <w:rPr>
          <w:rFonts w:eastAsia="MS Mincho"/>
          <w:sz w:val="24"/>
          <w:szCs w:val="24"/>
          <w:lang w:val="lv-LV" w:eastAsia="ja-JP"/>
        </w:rPr>
        <w:tab/>
        <w:t>Slimību profilakses pasākumi, lai īstenotu konkrētas intervences riska faktoru mazināšanai.</w:t>
      </w:r>
    </w:p>
    <w:p w:rsidR="00E27344" w:rsidRPr="00B501C8" w:rsidP="00E27344">
      <w:pPr>
        <w:pStyle w:val="ListParagraph"/>
        <w:tabs>
          <w:tab w:val="clear" w:pos="850"/>
          <w:tab w:val="clear" w:pos="1191"/>
          <w:tab w:val="clear" w:pos="1531"/>
        </w:tabs>
        <w:ind w:left="709" w:hanging="698"/>
        <w:rPr>
          <w:rFonts w:eastAsia="MS Mincho"/>
          <w:sz w:val="24"/>
          <w:szCs w:val="24"/>
          <w:lang w:val="lv-LV" w:eastAsia="ja-JP"/>
        </w:rPr>
      </w:pPr>
      <w:r w:rsidRPr="00B501C8">
        <w:rPr>
          <w:rFonts w:eastAsia="MS Mincho"/>
          <w:sz w:val="24"/>
          <w:szCs w:val="24"/>
          <w:lang w:val="lv-LV" w:eastAsia="ja-JP"/>
        </w:rPr>
        <w:t>1.4.</w:t>
      </w:r>
      <w:r w:rsidRPr="00B501C8">
        <w:rPr>
          <w:rFonts w:eastAsia="MS Mincho"/>
          <w:sz w:val="24"/>
          <w:szCs w:val="24"/>
          <w:lang w:val="lv-LV" w:eastAsia="ja-JP"/>
        </w:rPr>
        <w:tab/>
        <w:t>Pētījumi sabiedrības veselības jomā.</w:t>
      </w:r>
    </w:p>
    <w:p w:rsidR="00E27344" w:rsidRPr="00B501C8" w:rsidP="00E27344">
      <w:pPr>
        <w:pStyle w:val="ListParagraph"/>
        <w:tabs>
          <w:tab w:val="clear" w:pos="850"/>
          <w:tab w:val="clear" w:pos="1191"/>
          <w:tab w:val="clear" w:pos="1531"/>
        </w:tabs>
        <w:rPr>
          <w:rFonts w:eastAsia="MS Mincho"/>
          <w:sz w:val="24"/>
          <w:szCs w:val="24"/>
          <w:lang w:val="lv-LV" w:eastAsia="ja-JP"/>
        </w:rPr>
      </w:pPr>
    </w:p>
    <w:p w:rsidR="00E27344" w:rsidRPr="00B501C8" w:rsidP="00E27344">
      <w:pPr>
        <w:pStyle w:val="ListParagraph"/>
        <w:tabs>
          <w:tab w:val="clear" w:pos="850"/>
          <w:tab w:val="clear" w:pos="1191"/>
          <w:tab w:val="clear" w:pos="1531"/>
        </w:tabs>
        <w:ind w:left="0"/>
        <w:rPr>
          <w:rFonts w:eastAsia="MS Mincho"/>
          <w:sz w:val="24"/>
          <w:szCs w:val="24"/>
          <w:lang w:val="lv-LV" w:eastAsia="ja-JP"/>
        </w:rPr>
      </w:pPr>
      <w:r w:rsidRPr="00B501C8">
        <w:rPr>
          <w:rFonts w:eastAsia="MS Mincho"/>
          <w:sz w:val="24"/>
          <w:szCs w:val="24"/>
          <w:lang w:val="lv-LV" w:eastAsia="ja-JP"/>
        </w:rPr>
        <w:t>2)</w:t>
      </w:r>
      <w:r w:rsidRPr="00B501C8">
        <w:rPr>
          <w:rFonts w:eastAsia="MS Mincho"/>
          <w:sz w:val="24"/>
          <w:szCs w:val="24"/>
          <w:lang w:val="lv-LV" w:eastAsia="ja-JP"/>
        </w:rPr>
        <w:tab/>
      </w:r>
      <w:r w:rsidRPr="00B501C8">
        <w:rPr>
          <w:rFonts w:eastAsia="MS Mincho"/>
          <w:sz w:val="24"/>
          <w:szCs w:val="24"/>
          <w:u w:val="single"/>
          <w:lang w:val="lv-LV" w:eastAsia="ja-JP"/>
        </w:rPr>
        <w:t>Pašvaldību līmenī</w:t>
      </w:r>
      <w:r w:rsidRPr="00B501C8">
        <w:rPr>
          <w:rFonts w:eastAsia="MS Mincho"/>
          <w:sz w:val="24"/>
          <w:szCs w:val="24"/>
          <w:lang w:val="lv-LV" w:eastAsia="ja-JP"/>
        </w:rPr>
        <w:t xml:space="preserve">: pasākumus organizē pašvaldības un SPKC. Šīs aktivitātes </w:t>
      </w:r>
      <w:r w:rsidRPr="00F55684" w:rsidR="007C198B">
        <w:rPr>
          <w:rFonts w:eastAsia="MS Mincho"/>
          <w:color w:val="171717" w:themeColor="background2" w:themeShade="1A"/>
          <w:sz w:val="24"/>
          <w:szCs w:val="24"/>
          <w:lang w:val="lv-LV" w:eastAsia="ja-JP"/>
        </w:rPr>
        <w:t>( ~ 3000 mēnesī)</w:t>
      </w:r>
      <w:r w:rsidR="007C198B">
        <w:rPr>
          <w:rFonts w:eastAsia="MS Mincho"/>
          <w:sz w:val="24"/>
          <w:szCs w:val="24"/>
          <w:lang w:val="lv-LV" w:eastAsia="ja-JP"/>
        </w:rPr>
        <w:t xml:space="preserve"> </w:t>
      </w:r>
      <w:r w:rsidRPr="00B501C8">
        <w:rPr>
          <w:rFonts w:eastAsia="MS Mincho"/>
          <w:sz w:val="24"/>
          <w:szCs w:val="24"/>
          <w:lang w:val="lv-LV" w:eastAsia="ja-JP"/>
        </w:rPr>
        <w:t>ietver izglītojošas un praktiskas nodarbības, lekcijas u.c., piemēram, veselīga uztura nodarbības, pasākumus fizisko aktivitāšu veicināšanai, atkarību izraisošo vielu lietošanas  mazināšanai, psihiskās veselības un seksuālās un reproduktīvas veselības veicināšanai.</w:t>
      </w:r>
    </w:p>
    <w:p w:rsidR="00902601" w:rsidRPr="00BC16C8" w:rsidP="00E62C6E">
      <w:pPr>
        <w:pStyle w:val="ListParagraph"/>
        <w:tabs>
          <w:tab w:val="clear" w:pos="850"/>
          <w:tab w:val="clear" w:pos="1191"/>
          <w:tab w:val="clear" w:pos="1531"/>
        </w:tabs>
        <w:ind w:left="0"/>
        <w:rPr>
          <w:rFonts w:eastAsia="MS Mincho"/>
          <w:sz w:val="24"/>
          <w:szCs w:val="24"/>
          <w:u w:val="single"/>
          <w:lang w:val="lv-LV" w:eastAsia="ja-JP"/>
        </w:rPr>
      </w:pPr>
    </w:p>
    <w:p w:rsidR="000B7603" w:rsidRPr="00BC16C8" w:rsidP="00902601">
      <w:pPr>
        <w:pStyle w:val="ListParagraph"/>
        <w:tabs>
          <w:tab w:val="clear" w:pos="850"/>
          <w:tab w:val="clear" w:pos="1191"/>
          <w:tab w:val="clear" w:pos="1531"/>
        </w:tabs>
        <w:ind w:left="0" w:firstLine="709"/>
        <w:rPr>
          <w:rFonts w:eastAsia="MS Mincho"/>
          <w:sz w:val="24"/>
          <w:szCs w:val="24"/>
          <w:lang w:val="lv-LV" w:eastAsia="ja-JP"/>
        </w:rPr>
      </w:pPr>
      <w:r w:rsidRPr="00BC16C8">
        <w:rPr>
          <w:rFonts w:eastAsia="MS Mincho"/>
          <w:sz w:val="24"/>
          <w:szCs w:val="24"/>
          <w:lang w:val="lv-LV" w:eastAsia="ja-JP"/>
        </w:rPr>
        <w:t xml:space="preserve">Noteikti ir pieminami arī sasniegumi </w:t>
      </w:r>
      <w:r w:rsidRPr="00BC16C8">
        <w:rPr>
          <w:rFonts w:eastAsia="MS Mincho"/>
          <w:sz w:val="24"/>
          <w:szCs w:val="24"/>
          <w:u w:val="single"/>
          <w:lang w:val="lv-LV" w:eastAsia="ja-JP"/>
        </w:rPr>
        <w:t xml:space="preserve">imunizācijas jomā. </w:t>
      </w:r>
      <w:r w:rsidRPr="00BC16C8">
        <w:rPr>
          <w:rFonts w:eastAsia="MS Mincho"/>
          <w:sz w:val="24"/>
          <w:szCs w:val="24"/>
          <w:lang w:val="lv-LV" w:eastAsia="ja-JP"/>
        </w:rPr>
        <w:t xml:space="preserve">Saskaņā ar statistikas datiem par </w:t>
      </w:r>
      <w:r w:rsidRPr="00BC16C8">
        <w:rPr>
          <w:rFonts w:eastAsia="MS Mincho"/>
          <w:sz w:val="24"/>
          <w:szCs w:val="24"/>
          <w:lang w:val="lv-LV" w:eastAsia="ja-JP"/>
        </w:rPr>
        <w:t>rotavīrusa</w:t>
      </w:r>
      <w:r w:rsidRPr="00BC16C8">
        <w:rPr>
          <w:rFonts w:eastAsia="MS Mincho"/>
          <w:sz w:val="24"/>
          <w:szCs w:val="24"/>
          <w:lang w:val="lv-LV" w:eastAsia="ja-JP"/>
        </w:rPr>
        <w:t xml:space="preserve"> infekcijas </w:t>
      </w:r>
      <w:r w:rsidRPr="00BC16C8" w:rsidR="00A47B1A">
        <w:rPr>
          <w:rFonts w:eastAsia="MS Mincho"/>
          <w:sz w:val="24"/>
          <w:szCs w:val="24"/>
          <w:lang w:val="lv-LV" w:eastAsia="ja-JP"/>
        </w:rPr>
        <w:t>izplatību</w:t>
      </w:r>
      <w:r w:rsidRPr="00BC16C8">
        <w:rPr>
          <w:rFonts w:eastAsia="MS Mincho"/>
          <w:sz w:val="24"/>
          <w:szCs w:val="24"/>
          <w:lang w:val="lv-LV" w:eastAsia="ja-JP"/>
        </w:rPr>
        <w:t xml:space="preserve"> pēc </w:t>
      </w:r>
      <w:r w:rsidRPr="00BC16C8" w:rsidR="00A47B1A">
        <w:rPr>
          <w:rFonts w:eastAsia="MS Mincho"/>
          <w:sz w:val="24"/>
          <w:szCs w:val="24"/>
          <w:lang w:val="lv-LV" w:eastAsia="ja-JP"/>
        </w:rPr>
        <w:t xml:space="preserve">zīdaiņu </w:t>
      </w:r>
      <w:r w:rsidRPr="00BC16C8">
        <w:rPr>
          <w:rFonts w:eastAsia="MS Mincho"/>
          <w:sz w:val="24"/>
          <w:szCs w:val="24"/>
          <w:lang w:val="lv-LV" w:eastAsia="ja-JP"/>
        </w:rPr>
        <w:t xml:space="preserve">vakcinācijas </w:t>
      </w:r>
      <w:r w:rsidRPr="00BC16C8" w:rsidR="00A47B1A">
        <w:rPr>
          <w:rFonts w:eastAsia="MS Mincho"/>
          <w:sz w:val="24"/>
          <w:szCs w:val="24"/>
          <w:lang w:val="lv-LV" w:eastAsia="ja-JP"/>
        </w:rPr>
        <w:t>pret</w:t>
      </w:r>
      <w:r w:rsidRPr="00BC16C8">
        <w:rPr>
          <w:rFonts w:eastAsia="MS Mincho"/>
          <w:sz w:val="24"/>
          <w:szCs w:val="24"/>
          <w:lang w:val="lv-LV" w:eastAsia="ja-JP"/>
        </w:rPr>
        <w:t xml:space="preserve"> </w:t>
      </w:r>
      <w:r w:rsidRPr="00BC16C8" w:rsidR="00A47B1A">
        <w:rPr>
          <w:rFonts w:eastAsia="MS Mincho"/>
          <w:sz w:val="24"/>
          <w:szCs w:val="24"/>
          <w:lang w:val="lv-LV" w:eastAsia="ja-JP"/>
        </w:rPr>
        <w:t>rotavīrusa</w:t>
      </w:r>
      <w:r w:rsidRPr="00BC16C8" w:rsidR="00A47B1A">
        <w:rPr>
          <w:rFonts w:eastAsia="MS Mincho"/>
          <w:sz w:val="24"/>
          <w:szCs w:val="24"/>
          <w:lang w:val="lv-LV" w:eastAsia="ja-JP"/>
        </w:rPr>
        <w:t xml:space="preserve"> infekciju</w:t>
      </w:r>
      <w:r w:rsidRPr="00BC16C8">
        <w:rPr>
          <w:rFonts w:eastAsia="MS Mincho"/>
          <w:sz w:val="24"/>
          <w:szCs w:val="24"/>
          <w:lang w:val="lv-LV" w:eastAsia="ja-JP"/>
        </w:rPr>
        <w:t xml:space="preserve"> ieviešanas 2015.gadā</w:t>
      </w:r>
      <w:r w:rsidRPr="00BC16C8" w:rsidR="00A47B1A">
        <w:rPr>
          <w:rFonts w:eastAsia="MS Mincho"/>
          <w:sz w:val="24"/>
          <w:szCs w:val="24"/>
          <w:lang w:val="lv-LV" w:eastAsia="ja-JP"/>
        </w:rPr>
        <w:t>,</w:t>
      </w:r>
      <w:r w:rsidRPr="00BC16C8">
        <w:rPr>
          <w:rFonts w:eastAsia="MS Mincho"/>
          <w:sz w:val="24"/>
          <w:szCs w:val="24"/>
          <w:lang w:val="lv-LV" w:eastAsia="ja-JP"/>
        </w:rPr>
        <w:t xml:space="preserve"> saslimstības rādītājs ar </w:t>
      </w:r>
      <w:r w:rsidRPr="00BC16C8">
        <w:rPr>
          <w:rFonts w:eastAsia="MS Mincho"/>
          <w:sz w:val="24"/>
          <w:szCs w:val="24"/>
          <w:lang w:val="lv-LV" w:eastAsia="ja-JP"/>
        </w:rPr>
        <w:t>rotavīrusa</w:t>
      </w:r>
      <w:r w:rsidRPr="00BC16C8">
        <w:rPr>
          <w:rFonts w:eastAsia="MS Mincho"/>
          <w:sz w:val="24"/>
          <w:szCs w:val="24"/>
          <w:lang w:val="lv-LV" w:eastAsia="ja-JP"/>
        </w:rPr>
        <w:t xml:space="preserve"> gastroenterītu ir samazinājies divas reizes (2014.gadā - 3556, 2015.gadā - 2989 gadījumi, 2016.gadā - 1407 gadījumi, 2017.gada janvāris-novembris - 1547 gadījumi), kā arī hospitalizēto bērnu skaits ir ievērojami samazinājies (2014.gadā - 3134 gadījumi, 2015.gadā - 2596 gadījumi, 2016.gadā - 1333 gadījumi).</w:t>
      </w:r>
    </w:p>
    <w:p w:rsidR="00902601" w:rsidRPr="00BC16C8" w:rsidP="00902601">
      <w:pPr>
        <w:tabs>
          <w:tab w:val="clear" w:pos="850"/>
          <w:tab w:val="clear" w:pos="1191"/>
          <w:tab w:val="clear" w:pos="1531"/>
        </w:tabs>
        <w:ind w:firstLine="709"/>
        <w:rPr>
          <w:rFonts w:eastAsia="MS Mincho"/>
          <w:sz w:val="24"/>
          <w:szCs w:val="24"/>
          <w:lang w:val="lv-LV" w:eastAsia="ja-JP"/>
        </w:rPr>
      </w:pPr>
    </w:p>
    <w:p w:rsidR="000B7603" w:rsidRPr="00BC16C8" w:rsidP="00902601">
      <w:pPr>
        <w:tabs>
          <w:tab w:val="clear" w:pos="850"/>
          <w:tab w:val="clear" w:pos="1191"/>
          <w:tab w:val="clear" w:pos="1531"/>
        </w:tabs>
        <w:ind w:firstLine="709"/>
        <w:rPr>
          <w:rFonts w:eastAsia="MS Mincho"/>
          <w:sz w:val="24"/>
          <w:szCs w:val="24"/>
          <w:lang w:val="lv-LV" w:eastAsia="ja-JP"/>
        </w:rPr>
      </w:pPr>
      <w:r w:rsidRPr="00BC16C8">
        <w:rPr>
          <w:rFonts w:eastAsia="MS Mincho"/>
          <w:sz w:val="24"/>
          <w:szCs w:val="24"/>
          <w:lang w:val="lv-LV" w:eastAsia="ja-JP"/>
        </w:rPr>
        <w:t xml:space="preserve">2016.gadā </w:t>
      </w:r>
      <w:r w:rsidRPr="00BC16C8" w:rsidR="00A47B1A">
        <w:rPr>
          <w:rFonts w:eastAsia="MS Mincho"/>
          <w:sz w:val="24"/>
          <w:szCs w:val="24"/>
          <w:lang w:val="lv-LV" w:eastAsia="ja-JP"/>
        </w:rPr>
        <w:t>SPKC</w:t>
      </w:r>
      <w:r w:rsidRPr="00BC16C8">
        <w:rPr>
          <w:rFonts w:eastAsia="MS Mincho"/>
          <w:sz w:val="24"/>
          <w:szCs w:val="24"/>
          <w:lang w:val="lv-LV" w:eastAsia="ja-JP"/>
        </w:rPr>
        <w:t xml:space="preserve"> veica pētījumu, kurā noskaidroti galvenie atteikumu iemesli vakcinēt bērnus 2015.gadā. Secinājumi tika izdarīti gan par praktizējošiem ārstiem, gan vecāku atteikumiem. Dažas personas ietekmē</w:t>
      </w:r>
      <w:r w:rsidRPr="00BC16C8" w:rsidR="00A47B1A">
        <w:rPr>
          <w:rFonts w:eastAsia="MS Mincho"/>
          <w:sz w:val="24"/>
          <w:szCs w:val="24"/>
          <w:lang w:val="lv-LV" w:eastAsia="ja-JP"/>
        </w:rPr>
        <w:t>juši</w:t>
      </w:r>
      <w:r w:rsidRPr="00BC16C8">
        <w:rPr>
          <w:rFonts w:eastAsia="MS Mincho"/>
          <w:sz w:val="24"/>
          <w:szCs w:val="24"/>
          <w:lang w:val="lv-LV" w:eastAsia="ja-JP"/>
        </w:rPr>
        <w:t xml:space="preserve"> anti-va</w:t>
      </w:r>
      <w:r w:rsidRPr="00BC16C8" w:rsidR="00A47B1A">
        <w:rPr>
          <w:rFonts w:eastAsia="MS Mincho"/>
          <w:sz w:val="24"/>
          <w:szCs w:val="24"/>
          <w:lang w:val="lv-LV" w:eastAsia="ja-JP"/>
        </w:rPr>
        <w:t>kcīnu veicinātāji un ir atradušas</w:t>
      </w:r>
      <w:r w:rsidRPr="00BC16C8">
        <w:rPr>
          <w:rFonts w:eastAsia="MS Mincho"/>
          <w:sz w:val="24"/>
          <w:szCs w:val="24"/>
          <w:lang w:val="lv-LV" w:eastAsia="ja-JP"/>
        </w:rPr>
        <w:t xml:space="preserve"> attiecīgo informāciju internetā. Lielākajai daļai vecāku ir šaubas par vakcīnu drošumu un efektivitāti, kā arī par tā dēvēto jauno vakcīnu nopietnām blakusparādībām, bet daži no </w:t>
      </w:r>
      <w:r w:rsidRPr="00BC16C8" w:rsidR="00A47B1A">
        <w:rPr>
          <w:rFonts w:eastAsia="MS Mincho"/>
          <w:sz w:val="24"/>
          <w:szCs w:val="24"/>
          <w:lang w:val="lv-LV" w:eastAsia="ja-JP"/>
        </w:rPr>
        <w:t>ģimenes ārstiem</w:t>
      </w:r>
      <w:r w:rsidRPr="00BC16C8">
        <w:rPr>
          <w:rFonts w:eastAsia="MS Mincho"/>
          <w:sz w:val="24"/>
          <w:szCs w:val="24"/>
          <w:lang w:val="lv-LV" w:eastAsia="ja-JP"/>
        </w:rPr>
        <w:t xml:space="preserve"> uzskata, ka viņiem ir nepietiekamas vai novecojušas zināšanas par vakcinācijas problēmām. </w:t>
      </w:r>
    </w:p>
    <w:p w:rsidR="008C1F5B" w:rsidRPr="00BC16C8" w:rsidP="00E62C6E">
      <w:pPr>
        <w:tabs>
          <w:tab w:val="clear" w:pos="850"/>
          <w:tab w:val="clear" w:pos="1191"/>
          <w:tab w:val="clear" w:pos="1531"/>
        </w:tabs>
        <w:rPr>
          <w:rFonts w:eastAsia="MS Mincho"/>
          <w:sz w:val="24"/>
          <w:szCs w:val="24"/>
          <w:lang w:val="lv-LV" w:eastAsia="ja-JP"/>
        </w:rPr>
      </w:pPr>
    </w:p>
    <w:p w:rsidR="000B7603" w:rsidRPr="00BC16C8" w:rsidP="0016302D">
      <w:pPr>
        <w:tabs>
          <w:tab w:val="clear" w:pos="850"/>
          <w:tab w:val="clear" w:pos="1191"/>
          <w:tab w:val="clear" w:pos="1531"/>
        </w:tabs>
        <w:ind w:firstLine="709"/>
        <w:rPr>
          <w:rFonts w:eastAsia="MS Mincho"/>
          <w:sz w:val="24"/>
          <w:szCs w:val="24"/>
          <w:lang w:val="lv-LV" w:eastAsia="ja-JP"/>
        </w:rPr>
      </w:pPr>
      <w:r w:rsidRPr="00BC16C8">
        <w:rPr>
          <w:rFonts w:eastAsia="MS Mincho"/>
          <w:sz w:val="24"/>
          <w:szCs w:val="24"/>
          <w:lang w:val="lv-LV" w:eastAsia="ja-JP"/>
        </w:rPr>
        <w:t xml:space="preserve">Veselības ministrija un </w:t>
      </w:r>
      <w:r w:rsidRPr="00BC16C8" w:rsidR="00A47B1A">
        <w:rPr>
          <w:rFonts w:eastAsia="MS Mincho"/>
          <w:sz w:val="24"/>
          <w:szCs w:val="24"/>
          <w:lang w:val="lv-LV" w:eastAsia="ja-JP"/>
        </w:rPr>
        <w:t>SPKC ir organizējuši</w:t>
      </w:r>
      <w:r w:rsidRPr="00BC16C8">
        <w:rPr>
          <w:rFonts w:eastAsia="MS Mincho"/>
          <w:sz w:val="24"/>
          <w:szCs w:val="24"/>
          <w:lang w:val="lv-LV" w:eastAsia="ja-JP"/>
        </w:rPr>
        <w:t xml:space="preserve"> </w:t>
      </w:r>
      <w:r w:rsidRPr="00BC16C8" w:rsidR="0016302D">
        <w:rPr>
          <w:rFonts w:eastAsia="MS Mincho"/>
          <w:sz w:val="24"/>
          <w:szCs w:val="24"/>
          <w:lang w:val="lv-LV" w:eastAsia="ja-JP"/>
        </w:rPr>
        <w:t xml:space="preserve">arī </w:t>
      </w:r>
      <w:r w:rsidRPr="00BC16C8">
        <w:rPr>
          <w:rFonts w:eastAsia="MS Mincho"/>
          <w:sz w:val="24"/>
          <w:szCs w:val="24"/>
          <w:lang w:val="lv-LV" w:eastAsia="ja-JP"/>
        </w:rPr>
        <w:t>divas lielas informatīvas kampaņas 2016.gada r</w:t>
      </w:r>
      <w:r w:rsidRPr="00BC16C8" w:rsidR="00A47B1A">
        <w:rPr>
          <w:rFonts w:eastAsia="MS Mincho"/>
          <w:sz w:val="24"/>
          <w:szCs w:val="24"/>
          <w:lang w:val="lv-LV" w:eastAsia="ja-JP"/>
        </w:rPr>
        <w:t>udenī - 2017.gada 1. ceturksnī</w:t>
      </w:r>
      <w:r w:rsidRPr="00BC16C8">
        <w:rPr>
          <w:rFonts w:eastAsia="MS Mincho"/>
          <w:sz w:val="24"/>
          <w:szCs w:val="24"/>
          <w:lang w:val="lv-LV" w:eastAsia="ja-JP"/>
        </w:rPr>
        <w:t>:</w:t>
      </w:r>
    </w:p>
    <w:p w:rsidR="000B7603" w:rsidRPr="00BC16C8" w:rsidP="00E62C6E">
      <w:pPr>
        <w:pStyle w:val="ListParagraph"/>
        <w:numPr>
          <w:ilvl w:val="0"/>
          <w:numId w:val="24"/>
        </w:numPr>
        <w:tabs>
          <w:tab w:val="clear" w:pos="850"/>
          <w:tab w:val="clear" w:pos="1191"/>
          <w:tab w:val="clear" w:pos="1531"/>
        </w:tabs>
        <w:ind w:left="709" w:hanging="709"/>
        <w:rPr>
          <w:rFonts w:eastAsia="MS Mincho"/>
          <w:sz w:val="24"/>
          <w:szCs w:val="24"/>
          <w:lang w:val="lv-LV" w:eastAsia="ja-JP"/>
        </w:rPr>
      </w:pPr>
      <w:r w:rsidRPr="00BC16C8">
        <w:rPr>
          <w:rFonts w:eastAsia="MS Mincho"/>
          <w:sz w:val="24"/>
          <w:szCs w:val="24"/>
          <w:lang w:val="lv-LV" w:eastAsia="ja-JP"/>
        </w:rPr>
        <w:t xml:space="preserve">vakcinācijas </w:t>
      </w:r>
      <w:r w:rsidRPr="00BC16C8" w:rsidR="0016302D">
        <w:rPr>
          <w:rFonts w:eastAsia="MS Mincho"/>
          <w:sz w:val="24"/>
          <w:szCs w:val="24"/>
          <w:lang w:val="lv-LV" w:eastAsia="ja-JP"/>
        </w:rPr>
        <w:t xml:space="preserve">kampaņu </w:t>
      </w:r>
      <w:r w:rsidRPr="00BC16C8">
        <w:rPr>
          <w:rFonts w:eastAsia="MS Mincho"/>
          <w:sz w:val="24"/>
          <w:szCs w:val="24"/>
          <w:lang w:val="lv-LV" w:eastAsia="ja-JP"/>
        </w:rPr>
        <w:t xml:space="preserve">par sezonālu gripu ar vairākiem izpratnes veicināšanas pasākumiem, </w:t>
      </w:r>
    </w:p>
    <w:p w:rsidR="000B7603" w:rsidRPr="00BC16C8" w:rsidP="00E62C6E">
      <w:pPr>
        <w:pStyle w:val="ListParagraph"/>
        <w:numPr>
          <w:ilvl w:val="0"/>
          <w:numId w:val="24"/>
        </w:numPr>
        <w:tabs>
          <w:tab w:val="clear" w:pos="850"/>
          <w:tab w:val="clear" w:pos="1191"/>
          <w:tab w:val="clear" w:pos="1531"/>
        </w:tabs>
        <w:ind w:left="709" w:hanging="709"/>
        <w:rPr>
          <w:rFonts w:eastAsia="MS Mincho"/>
          <w:sz w:val="24"/>
          <w:szCs w:val="24"/>
          <w:lang w:val="lv-LV" w:eastAsia="ja-JP"/>
        </w:rPr>
      </w:pPr>
      <w:r w:rsidRPr="00BC16C8">
        <w:rPr>
          <w:rFonts w:eastAsia="MS Mincho"/>
          <w:sz w:val="24"/>
          <w:szCs w:val="24"/>
          <w:lang w:val="lv-LV" w:eastAsia="ja-JP"/>
        </w:rPr>
        <w:t>mērķtiecīg</w:t>
      </w:r>
      <w:r w:rsidRPr="00BC16C8" w:rsidR="0016302D">
        <w:rPr>
          <w:rFonts w:eastAsia="MS Mincho"/>
          <w:sz w:val="24"/>
          <w:szCs w:val="24"/>
          <w:lang w:val="lv-LV" w:eastAsia="ja-JP"/>
        </w:rPr>
        <w:t>u</w:t>
      </w:r>
      <w:r w:rsidRPr="00BC16C8">
        <w:rPr>
          <w:rFonts w:eastAsia="MS Mincho"/>
          <w:sz w:val="24"/>
          <w:szCs w:val="24"/>
          <w:lang w:val="lv-LV" w:eastAsia="ja-JP"/>
        </w:rPr>
        <w:t xml:space="preserve"> difterijas vakcinācijas izpratnes veidošanas k</w:t>
      </w:r>
      <w:r w:rsidRPr="00BC16C8" w:rsidR="00885AE2">
        <w:rPr>
          <w:rFonts w:eastAsia="MS Mincho"/>
          <w:sz w:val="24"/>
          <w:szCs w:val="24"/>
          <w:lang w:val="lv-LV" w:eastAsia="ja-JP"/>
        </w:rPr>
        <w:t>ampaņ</w:t>
      </w:r>
      <w:r w:rsidRPr="00BC16C8" w:rsidR="0016302D">
        <w:rPr>
          <w:rFonts w:eastAsia="MS Mincho"/>
          <w:sz w:val="24"/>
          <w:szCs w:val="24"/>
          <w:lang w:val="lv-LV" w:eastAsia="ja-JP"/>
        </w:rPr>
        <w:t>u</w:t>
      </w:r>
      <w:r w:rsidRPr="00BC16C8" w:rsidR="00885AE2">
        <w:rPr>
          <w:rFonts w:eastAsia="MS Mincho"/>
          <w:sz w:val="24"/>
          <w:szCs w:val="24"/>
          <w:lang w:val="lv-LV" w:eastAsia="ja-JP"/>
        </w:rPr>
        <w:t xml:space="preserve"> </w:t>
      </w:r>
      <w:r w:rsidRPr="00BC16C8" w:rsidR="0016302D">
        <w:rPr>
          <w:rFonts w:eastAsia="MS Mincho"/>
          <w:sz w:val="24"/>
          <w:szCs w:val="24"/>
          <w:lang w:val="lv-LV" w:eastAsia="ja-JP"/>
        </w:rPr>
        <w:t>“</w:t>
      </w:r>
      <w:r w:rsidRPr="00BC16C8" w:rsidR="00885AE2">
        <w:rPr>
          <w:rFonts w:eastAsia="MS Mincho"/>
          <w:sz w:val="24"/>
          <w:szCs w:val="24"/>
          <w:lang w:val="lv-LV" w:eastAsia="ja-JP"/>
        </w:rPr>
        <w:t>Aizsargāti, jo vakcinēti</w:t>
      </w:r>
      <w:r w:rsidRPr="00BC16C8" w:rsidR="0016302D">
        <w:rPr>
          <w:rFonts w:eastAsia="MS Mincho"/>
          <w:sz w:val="24"/>
          <w:szCs w:val="24"/>
          <w:lang w:val="lv-LV" w:eastAsia="ja-JP"/>
        </w:rPr>
        <w:t>”</w:t>
      </w:r>
      <w:r w:rsidRPr="00BC16C8">
        <w:rPr>
          <w:rFonts w:eastAsia="MS Mincho"/>
          <w:sz w:val="24"/>
          <w:szCs w:val="24"/>
          <w:lang w:val="lv-LV" w:eastAsia="ja-JP"/>
        </w:rPr>
        <w:t xml:space="preserve"> pieaugušajiem, uzsvaru liekot uz regulāru revakcināciju kā ilgtermiņa aizsardzību.</w:t>
      </w:r>
    </w:p>
    <w:p w:rsidR="008C1F5B" w:rsidRPr="00BC16C8" w:rsidP="00E62C6E">
      <w:pPr>
        <w:pStyle w:val="ListParagraph"/>
        <w:tabs>
          <w:tab w:val="clear" w:pos="850"/>
          <w:tab w:val="clear" w:pos="1191"/>
          <w:tab w:val="clear" w:pos="1531"/>
        </w:tabs>
        <w:ind w:left="0"/>
        <w:rPr>
          <w:rFonts w:eastAsia="MS Mincho"/>
          <w:color w:val="7030A0"/>
          <w:sz w:val="24"/>
          <w:szCs w:val="24"/>
          <w:lang w:val="lv-LV" w:eastAsia="ja-JP"/>
        </w:rPr>
      </w:pPr>
    </w:p>
    <w:p w:rsidR="00004744" w:rsidRPr="00BC16C8" w:rsidP="0016302D">
      <w:pPr>
        <w:pStyle w:val="ListParagraph"/>
        <w:tabs>
          <w:tab w:val="clear" w:pos="850"/>
          <w:tab w:val="clear" w:pos="1191"/>
          <w:tab w:val="clear" w:pos="1531"/>
        </w:tabs>
        <w:ind w:left="0" w:firstLine="709"/>
        <w:rPr>
          <w:rFonts w:eastAsia="MS Mincho"/>
          <w:sz w:val="24"/>
          <w:szCs w:val="24"/>
          <w:lang w:val="lv-LV" w:eastAsia="ja-JP"/>
        </w:rPr>
      </w:pPr>
      <w:r w:rsidRPr="00BC16C8">
        <w:rPr>
          <w:rFonts w:eastAsia="MS Mincho"/>
          <w:sz w:val="24"/>
          <w:szCs w:val="24"/>
          <w:lang w:val="lv-LV" w:eastAsia="ja-JP"/>
        </w:rPr>
        <w:t>Sezonālās gripas vakcinācijas kampaņas rezultātā cilvēku skaits dažādās riska grupās (izmantojot kompensējamu vakcīnu) ir pieaudzis par gandrīz 65% salīdzinājumā ar iepriekšējiem trim gadiem. Ievērojami pieauga pret gripu vakcinētu grūtnieču skaits - gandrīz 10 reizes vairāk nekā divos iepriekšējos gados. Salīdzinot ar iepriekšējo gripas sezonu, Latvijā izplatīto gripas vakcīnas devu skaits 2016.-2017. gada gripas sezonā ir palielinājies par 80%. Sezonālās vakcinācijas kampaņa par gripu arī noteica, cik svarīgi ir sadarboties ar vakcīnu piegādātājiem, lai novērstu vakcīnas trūkumu nākotnē.</w:t>
      </w:r>
    </w:p>
    <w:p w:rsidR="00E62C6E" w:rsidRPr="00BC16C8" w:rsidP="00E62C6E">
      <w:pPr>
        <w:pStyle w:val="ListParagraph"/>
        <w:tabs>
          <w:tab w:val="clear" w:pos="850"/>
          <w:tab w:val="clear" w:pos="1191"/>
          <w:tab w:val="clear" w:pos="1531"/>
        </w:tabs>
        <w:ind w:left="0"/>
        <w:rPr>
          <w:rFonts w:eastAsia="MS Mincho"/>
          <w:sz w:val="24"/>
          <w:szCs w:val="24"/>
          <w:lang w:val="lv-LV" w:eastAsia="ja-JP"/>
        </w:rPr>
      </w:pPr>
    </w:p>
    <w:p w:rsidR="00004744" w:rsidRPr="00BC16C8" w:rsidP="0016302D">
      <w:pPr>
        <w:pStyle w:val="ListParagraph"/>
        <w:tabs>
          <w:tab w:val="clear" w:pos="850"/>
          <w:tab w:val="clear" w:pos="1191"/>
          <w:tab w:val="clear" w:pos="1531"/>
        </w:tabs>
        <w:ind w:left="0" w:firstLine="709"/>
        <w:rPr>
          <w:rFonts w:eastAsia="MS Mincho"/>
          <w:sz w:val="24"/>
          <w:szCs w:val="24"/>
          <w:lang w:val="lv-LV" w:eastAsia="ja-JP"/>
        </w:rPr>
      </w:pPr>
      <w:r w:rsidRPr="00BC16C8">
        <w:rPr>
          <w:rFonts w:eastAsia="MS Mincho"/>
          <w:sz w:val="24"/>
          <w:szCs w:val="24"/>
          <w:lang w:val="lv-LV" w:eastAsia="ja-JP"/>
        </w:rPr>
        <w:t xml:space="preserve">Kampaņas par vakcināciju pret difteriju rezultātā 2017.gada pirmajā ceturksnī pret difteriju vakcinēto pieaugušo skaits pieauga par 49,2% salīdzinājumā ar iepriekšējiem trim gadiem. </w:t>
      </w:r>
      <w:r w:rsidRPr="00BC16C8" w:rsidR="00306903">
        <w:rPr>
          <w:rFonts w:eastAsia="MS Mincho"/>
          <w:sz w:val="24"/>
          <w:szCs w:val="24"/>
          <w:lang w:val="lv-LV" w:eastAsia="ja-JP"/>
        </w:rPr>
        <w:t>P</w:t>
      </w:r>
      <w:r w:rsidRPr="00BC16C8">
        <w:rPr>
          <w:rFonts w:eastAsia="MS Mincho"/>
          <w:sz w:val="24"/>
          <w:szCs w:val="24"/>
          <w:lang w:val="lv-LV" w:eastAsia="ja-JP"/>
        </w:rPr>
        <w:t>ieaugušo skait</w:t>
      </w:r>
      <w:r w:rsidRPr="00BC16C8" w:rsidR="00306903">
        <w:rPr>
          <w:rFonts w:eastAsia="MS Mincho"/>
          <w:sz w:val="24"/>
          <w:szCs w:val="24"/>
          <w:lang w:val="lv-LV" w:eastAsia="ja-JP"/>
        </w:rPr>
        <w:t>s, kas vakcinēti pret difteriju</w:t>
      </w:r>
      <w:r w:rsidRPr="00BC16C8">
        <w:rPr>
          <w:rFonts w:eastAsia="MS Mincho"/>
          <w:sz w:val="24"/>
          <w:szCs w:val="24"/>
          <w:lang w:val="lv-LV" w:eastAsia="ja-JP"/>
        </w:rPr>
        <w:t xml:space="preserve"> Rīgas </w:t>
      </w:r>
      <w:r w:rsidRPr="00BC16C8" w:rsidR="00306903">
        <w:rPr>
          <w:rFonts w:eastAsia="MS Mincho"/>
          <w:sz w:val="24"/>
          <w:szCs w:val="24"/>
          <w:lang w:val="lv-LV" w:eastAsia="ja-JP"/>
        </w:rPr>
        <w:t>reģionā</w:t>
      </w:r>
      <w:r w:rsidRPr="00BC16C8">
        <w:rPr>
          <w:rFonts w:eastAsia="MS Mincho"/>
          <w:sz w:val="24"/>
          <w:szCs w:val="24"/>
          <w:lang w:val="lv-LV" w:eastAsia="ja-JP"/>
        </w:rPr>
        <w:t xml:space="preserve"> ir palielinājies par 76,1% (kampaņa galvenokārt bija vērsta uz Rīgas </w:t>
      </w:r>
      <w:r w:rsidRPr="00BC16C8" w:rsidR="00306903">
        <w:rPr>
          <w:rFonts w:eastAsia="MS Mincho"/>
          <w:sz w:val="24"/>
          <w:szCs w:val="24"/>
          <w:lang w:val="lv-LV" w:eastAsia="ja-JP"/>
        </w:rPr>
        <w:t>reģiona</w:t>
      </w:r>
      <w:r w:rsidRPr="00BC16C8">
        <w:rPr>
          <w:rFonts w:eastAsia="MS Mincho"/>
          <w:sz w:val="24"/>
          <w:szCs w:val="24"/>
          <w:lang w:val="lv-LV" w:eastAsia="ja-JP"/>
        </w:rPr>
        <w:t xml:space="preserve"> iedzīvotājiem). Latvijā 2017.gada 1.ceturksnī difterijas </w:t>
      </w:r>
      <w:r w:rsidRPr="00BC16C8">
        <w:rPr>
          <w:rFonts w:eastAsia="MS Mincho"/>
          <w:sz w:val="24"/>
          <w:szCs w:val="24"/>
          <w:lang w:val="lv-LV" w:eastAsia="ja-JP"/>
        </w:rPr>
        <w:t xml:space="preserve">vakcīnas devas tika pasūtītas </w:t>
      </w:r>
      <w:r w:rsidRPr="00BC16C8" w:rsidR="00306903">
        <w:rPr>
          <w:rFonts w:eastAsia="MS Mincho"/>
          <w:sz w:val="24"/>
          <w:szCs w:val="24"/>
          <w:lang w:val="lv-LV" w:eastAsia="ja-JP"/>
        </w:rPr>
        <w:t xml:space="preserve">par </w:t>
      </w:r>
      <w:r w:rsidRPr="00BC16C8">
        <w:rPr>
          <w:rFonts w:eastAsia="MS Mincho"/>
          <w:sz w:val="24"/>
          <w:szCs w:val="24"/>
          <w:lang w:val="lv-LV" w:eastAsia="ja-JP"/>
        </w:rPr>
        <w:t xml:space="preserve">vairāk nekā 35,4% salīdzinājumā ar iepriekšējiem trim gadiem, bet Rīgas </w:t>
      </w:r>
      <w:r w:rsidRPr="00BC16C8" w:rsidR="00306903">
        <w:rPr>
          <w:rFonts w:eastAsia="MS Mincho"/>
          <w:sz w:val="24"/>
          <w:szCs w:val="24"/>
          <w:lang w:val="lv-LV" w:eastAsia="ja-JP"/>
        </w:rPr>
        <w:t>reģionā</w:t>
      </w:r>
      <w:r w:rsidRPr="00BC16C8">
        <w:rPr>
          <w:rFonts w:eastAsia="MS Mincho"/>
          <w:sz w:val="24"/>
          <w:szCs w:val="24"/>
          <w:lang w:val="lv-LV" w:eastAsia="ja-JP"/>
        </w:rPr>
        <w:t xml:space="preserve"> - vairāk nekā 40,5%.</w:t>
      </w:r>
    </w:p>
    <w:p w:rsidR="00E62C6E" w:rsidRPr="00BC16C8" w:rsidP="00E62C6E">
      <w:pPr>
        <w:pStyle w:val="ListParagraph"/>
        <w:tabs>
          <w:tab w:val="clear" w:pos="850"/>
          <w:tab w:val="clear" w:pos="1191"/>
          <w:tab w:val="clear" w:pos="1531"/>
        </w:tabs>
        <w:ind w:left="0"/>
        <w:rPr>
          <w:rFonts w:eastAsia="MS Mincho"/>
          <w:sz w:val="24"/>
          <w:szCs w:val="24"/>
          <w:lang w:val="lv-LV" w:eastAsia="ja-JP"/>
        </w:rPr>
      </w:pPr>
    </w:p>
    <w:p w:rsidR="00004744" w:rsidRPr="00BC16C8" w:rsidP="0016302D">
      <w:pPr>
        <w:pStyle w:val="ListParagraph"/>
        <w:tabs>
          <w:tab w:val="clear" w:pos="850"/>
          <w:tab w:val="clear" w:pos="1191"/>
          <w:tab w:val="clear" w:pos="1531"/>
        </w:tabs>
        <w:ind w:left="0" w:firstLine="709"/>
        <w:rPr>
          <w:rFonts w:eastAsia="MS Mincho"/>
          <w:sz w:val="24"/>
          <w:szCs w:val="24"/>
          <w:lang w:val="lv-LV" w:eastAsia="ja-JP"/>
        </w:rPr>
      </w:pPr>
      <w:r w:rsidRPr="00BC16C8">
        <w:rPr>
          <w:rFonts w:eastAsia="MS Mincho"/>
          <w:sz w:val="24"/>
          <w:szCs w:val="24"/>
          <w:lang w:val="lv-LV" w:eastAsia="ja-JP"/>
        </w:rPr>
        <w:t xml:space="preserve">Veselības ministrija turpinās nostiprināt </w:t>
      </w:r>
      <w:r w:rsidRPr="00BC16C8" w:rsidR="00306903">
        <w:rPr>
          <w:rFonts w:eastAsia="MS Mincho"/>
          <w:sz w:val="24"/>
          <w:szCs w:val="24"/>
          <w:lang w:val="lv-LV" w:eastAsia="ja-JP"/>
        </w:rPr>
        <w:t>standarta</w:t>
      </w:r>
      <w:r w:rsidRPr="00BC16C8">
        <w:rPr>
          <w:rFonts w:eastAsia="MS Mincho"/>
          <w:sz w:val="24"/>
          <w:szCs w:val="24"/>
          <w:lang w:val="lv-LV" w:eastAsia="ja-JP"/>
        </w:rPr>
        <w:t xml:space="preserve"> imunizāciju, lai sasniegtu cilvēkus, kuri nav vakcinēti vai ir nepilnīgi vakcinēti. Lai sniegtu detalizētu informāciju par cilvēka </w:t>
      </w:r>
      <w:r w:rsidRPr="00BC16C8">
        <w:rPr>
          <w:rFonts w:eastAsia="MS Mincho"/>
          <w:sz w:val="24"/>
          <w:szCs w:val="24"/>
          <w:lang w:val="lv-LV" w:eastAsia="ja-JP"/>
        </w:rPr>
        <w:t>papilomas</w:t>
      </w:r>
      <w:r w:rsidRPr="00BC16C8">
        <w:rPr>
          <w:rFonts w:eastAsia="MS Mincho"/>
          <w:sz w:val="24"/>
          <w:szCs w:val="24"/>
          <w:lang w:val="lv-LV" w:eastAsia="ja-JP"/>
        </w:rPr>
        <w:t xml:space="preserve"> vīrusa (turpmāk - HPV) vakcīnu, vakcinācijas nepieciešamību, tās klīniskos aspektus, lai novērstu mītus un dezinformāciju par vakcināciju, kā arī to, kā ar pacientiem runāt par HPV vakcināciju, </w:t>
      </w:r>
      <w:r w:rsidRPr="00BC16C8" w:rsidR="00306903">
        <w:rPr>
          <w:rFonts w:eastAsia="MS Mincho"/>
          <w:sz w:val="24"/>
          <w:szCs w:val="24"/>
          <w:lang w:val="lv-LV" w:eastAsia="ja-JP"/>
        </w:rPr>
        <w:t>SPKC</w:t>
      </w:r>
      <w:r w:rsidRPr="00BC16C8">
        <w:rPr>
          <w:rFonts w:eastAsia="MS Mincho"/>
          <w:sz w:val="24"/>
          <w:szCs w:val="24"/>
          <w:lang w:val="lv-LV" w:eastAsia="ja-JP"/>
        </w:rPr>
        <w:t xml:space="preserve"> organizēja pirmo semināru veselības aprūpes speciālistiem 2017.gada novembrī</w:t>
      </w:r>
      <w:r w:rsidRPr="00BC16C8" w:rsidR="0016302D">
        <w:rPr>
          <w:rFonts w:eastAsia="MS Mincho"/>
          <w:sz w:val="24"/>
          <w:szCs w:val="24"/>
          <w:lang w:val="lv-LV" w:eastAsia="ja-JP"/>
        </w:rPr>
        <w:t>, Rīgā</w:t>
      </w:r>
      <w:r w:rsidRPr="00BC16C8">
        <w:rPr>
          <w:rFonts w:eastAsia="MS Mincho"/>
          <w:sz w:val="24"/>
          <w:szCs w:val="24"/>
          <w:lang w:val="lv-LV" w:eastAsia="ja-JP"/>
        </w:rPr>
        <w:t>. Plānots organizēt līdzīgus seminārus arī citās lielākajās pilsētās.</w:t>
      </w:r>
    </w:p>
    <w:p w:rsidR="00E62C6E" w:rsidRPr="00BC16C8" w:rsidP="00E62C6E">
      <w:pPr>
        <w:pStyle w:val="ListParagraph"/>
        <w:tabs>
          <w:tab w:val="clear" w:pos="850"/>
          <w:tab w:val="clear" w:pos="1191"/>
          <w:tab w:val="clear" w:pos="1531"/>
        </w:tabs>
        <w:ind w:left="0"/>
        <w:rPr>
          <w:rFonts w:eastAsia="MS Mincho"/>
          <w:sz w:val="24"/>
          <w:szCs w:val="24"/>
          <w:lang w:val="lv-LV" w:eastAsia="ja-JP"/>
        </w:rPr>
      </w:pPr>
    </w:p>
    <w:p w:rsidR="00004744" w:rsidRPr="00BC16C8" w:rsidP="0016302D">
      <w:pPr>
        <w:pStyle w:val="ListParagraph"/>
        <w:tabs>
          <w:tab w:val="clear" w:pos="850"/>
          <w:tab w:val="clear" w:pos="1191"/>
          <w:tab w:val="clear" w:pos="1531"/>
        </w:tabs>
        <w:ind w:left="0" w:firstLine="709"/>
        <w:rPr>
          <w:rFonts w:eastAsia="MS Mincho"/>
          <w:sz w:val="24"/>
          <w:szCs w:val="24"/>
          <w:lang w:val="lv-LV" w:eastAsia="ja-JP"/>
        </w:rPr>
      </w:pPr>
      <w:r w:rsidRPr="00BC16C8">
        <w:rPr>
          <w:rFonts w:eastAsia="MS Mincho"/>
          <w:sz w:val="24"/>
          <w:szCs w:val="24"/>
          <w:u w:val="single"/>
          <w:lang w:val="lv-LV" w:eastAsia="ja-JP"/>
        </w:rPr>
        <w:t>HIV agrīna diagnostika un ārstēšana</w:t>
      </w:r>
      <w:r w:rsidRPr="00BC16C8">
        <w:rPr>
          <w:rFonts w:eastAsia="MS Mincho"/>
          <w:sz w:val="24"/>
          <w:szCs w:val="24"/>
          <w:lang w:val="lv-LV" w:eastAsia="ja-JP"/>
        </w:rPr>
        <w:t xml:space="preserve"> ir vissvarīgākais profilakses pasākums, lai samazinātu HIV izplatību sabiedrībā. Sākot no 2016.gada, Latvija ir </w:t>
      </w:r>
      <w:r w:rsidR="006E7DD6">
        <w:rPr>
          <w:rFonts w:eastAsia="MS Mincho"/>
          <w:sz w:val="24"/>
          <w:szCs w:val="24"/>
          <w:lang w:val="lv-LV" w:eastAsia="ja-JP"/>
        </w:rPr>
        <w:t>uzlabojusi</w:t>
      </w:r>
      <w:r w:rsidRPr="00BC16C8" w:rsidR="006E7DD6">
        <w:rPr>
          <w:rFonts w:eastAsia="MS Mincho"/>
          <w:sz w:val="24"/>
          <w:szCs w:val="24"/>
          <w:lang w:val="lv-LV" w:eastAsia="ja-JP"/>
        </w:rPr>
        <w:t xml:space="preserve"> </w:t>
      </w:r>
      <w:r w:rsidRPr="00BC16C8">
        <w:rPr>
          <w:rFonts w:eastAsia="MS Mincho"/>
          <w:sz w:val="24"/>
          <w:szCs w:val="24"/>
          <w:lang w:val="lv-LV" w:eastAsia="ja-JP"/>
        </w:rPr>
        <w:t xml:space="preserve">piekļuvi HIV ārstēšanai, un HIV inficēto personu skaits, kas saņem ārstēšanu, </w:t>
      </w:r>
      <w:r w:rsidRPr="00BC16C8" w:rsidR="0016302D">
        <w:rPr>
          <w:rFonts w:eastAsia="MS Mincho"/>
          <w:sz w:val="24"/>
          <w:szCs w:val="24"/>
          <w:lang w:val="lv-LV" w:eastAsia="ja-JP"/>
        </w:rPr>
        <w:t xml:space="preserve">ir </w:t>
      </w:r>
      <w:r w:rsidRPr="00BC16C8">
        <w:rPr>
          <w:rFonts w:eastAsia="MS Mincho"/>
          <w:sz w:val="24"/>
          <w:szCs w:val="24"/>
          <w:lang w:val="lv-LV" w:eastAsia="ja-JP"/>
        </w:rPr>
        <w:t>pieau</w:t>
      </w:r>
      <w:r w:rsidRPr="00BC16C8" w:rsidR="0016302D">
        <w:rPr>
          <w:rFonts w:eastAsia="MS Mincho"/>
          <w:sz w:val="24"/>
          <w:szCs w:val="24"/>
          <w:lang w:val="lv-LV" w:eastAsia="ja-JP"/>
        </w:rPr>
        <w:t>dzis</w:t>
      </w:r>
      <w:r w:rsidRPr="00BC16C8">
        <w:rPr>
          <w:rFonts w:eastAsia="MS Mincho"/>
          <w:sz w:val="24"/>
          <w:szCs w:val="24"/>
          <w:lang w:val="lv-LV" w:eastAsia="ja-JP"/>
        </w:rPr>
        <w:t xml:space="preserve"> no 27% līdz 38%.</w:t>
      </w:r>
    </w:p>
    <w:p w:rsidR="00E62C6E" w:rsidRPr="00BC16C8" w:rsidP="00E62C6E">
      <w:pPr>
        <w:pStyle w:val="ListParagraph"/>
        <w:tabs>
          <w:tab w:val="clear" w:pos="850"/>
          <w:tab w:val="clear" w:pos="1191"/>
          <w:tab w:val="clear" w:pos="1531"/>
        </w:tabs>
        <w:ind w:left="0"/>
        <w:rPr>
          <w:rFonts w:eastAsia="MS Mincho"/>
          <w:sz w:val="24"/>
          <w:szCs w:val="24"/>
          <w:lang w:val="lv-LV" w:eastAsia="ja-JP"/>
        </w:rPr>
      </w:pPr>
    </w:p>
    <w:p w:rsidR="00004744" w:rsidRPr="00BC16C8" w:rsidP="0016302D">
      <w:pPr>
        <w:pStyle w:val="ListParagraph"/>
        <w:tabs>
          <w:tab w:val="clear" w:pos="850"/>
          <w:tab w:val="clear" w:pos="1191"/>
          <w:tab w:val="clear" w:pos="1531"/>
        </w:tabs>
        <w:ind w:left="0" w:firstLine="709"/>
        <w:rPr>
          <w:rFonts w:eastAsia="MS Mincho"/>
          <w:sz w:val="24"/>
          <w:szCs w:val="24"/>
          <w:lang w:val="lv-LV" w:eastAsia="ja-JP"/>
        </w:rPr>
      </w:pPr>
      <w:r w:rsidRPr="00BC16C8">
        <w:rPr>
          <w:rFonts w:eastAsia="MS Mincho"/>
          <w:sz w:val="24"/>
          <w:szCs w:val="24"/>
          <w:lang w:val="lv-LV" w:eastAsia="ja-JP"/>
        </w:rPr>
        <w:t xml:space="preserve">2017.gada 31.oktobrī </w:t>
      </w:r>
      <w:r w:rsidRPr="00BC16C8" w:rsidR="00306903">
        <w:rPr>
          <w:rFonts w:eastAsia="MS Mincho"/>
          <w:sz w:val="24"/>
          <w:szCs w:val="24"/>
          <w:lang w:val="lv-LV" w:eastAsia="ja-JP"/>
        </w:rPr>
        <w:t xml:space="preserve">Ministru kabinets apstiprināja </w:t>
      </w:r>
      <w:r w:rsidRPr="00BC16C8" w:rsidR="00306903">
        <w:rPr>
          <w:rFonts w:eastAsia="MS Mincho"/>
          <w:b/>
          <w:sz w:val="24"/>
          <w:szCs w:val="24"/>
          <w:lang w:val="lv-LV" w:eastAsia="ja-JP"/>
        </w:rPr>
        <w:t>R</w:t>
      </w:r>
      <w:r w:rsidRPr="00BC16C8">
        <w:rPr>
          <w:rFonts w:eastAsia="MS Mincho"/>
          <w:b/>
          <w:sz w:val="24"/>
          <w:szCs w:val="24"/>
          <w:lang w:val="lv-LV" w:eastAsia="ja-JP"/>
        </w:rPr>
        <w:t>īcības plānu HIV infekcijas, seksuāli transmisīvo infekciju un B un C h</w:t>
      </w:r>
      <w:r w:rsidRPr="00BC16C8" w:rsidR="00306903">
        <w:rPr>
          <w:rFonts w:eastAsia="MS Mincho"/>
          <w:b/>
          <w:sz w:val="24"/>
          <w:szCs w:val="24"/>
          <w:lang w:val="lv-LV" w:eastAsia="ja-JP"/>
        </w:rPr>
        <w:t>epatīta novēršanai 2018.-2020. g</w:t>
      </w:r>
      <w:r w:rsidRPr="00BC16C8">
        <w:rPr>
          <w:rFonts w:eastAsia="MS Mincho"/>
          <w:b/>
          <w:sz w:val="24"/>
          <w:szCs w:val="24"/>
          <w:lang w:val="lv-LV" w:eastAsia="ja-JP"/>
        </w:rPr>
        <w:t>adam</w:t>
      </w:r>
      <w:r w:rsidRPr="00BC16C8">
        <w:rPr>
          <w:rFonts w:eastAsia="MS Mincho"/>
          <w:sz w:val="24"/>
          <w:szCs w:val="24"/>
          <w:lang w:val="lv-LV" w:eastAsia="ja-JP"/>
        </w:rPr>
        <w:t xml:space="preserve">. Šajā rīcības plānā ir ierosināts </w:t>
      </w:r>
      <w:r w:rsidRPr="00BC16C8" w:rsidR="00306903">
        <w:rPr>
          <w:rFonts w:eastAsia="MS Mincho"/>
          <w:sz w:val="24"/>
          <w:szCs w:val="24"/>
          <w:lang w:val="lv-LV" w:eastAsia="ja-JP"/>
        </w:rPr>
        <w:t xml:space="preserve">no 2018.gada </w:t>
      </w:r>
      <w:r w:rsidRPr="00BC16C8">
        <w:rPr>
          <w:rFonts w:eastAsia="MS Mincho"/>
          <w:sz w:val="24"/>
          <w:szCs w:val="24"/>
          <w:lang w:val="lv-LV" w:eastAsia="ja-JP"/>
        </w:rPr>
        <w:t xml:space="preserve">uzlabot to zāļu pieejamību, kuras nepieciešamas </w:t>
      </w:r>
      <w:r w:rsidR="008E06D1">
        <w:rPr>
          <w:rFonts w:eastAsia="MS Mincho"/>
          <w:sz w:val="24"/>
          <w:szCs w:val="24"/>
          <w:lang w:val="lv-LV" w:eastAsia="ja-JP"/>
        </w:rPr>
        <w:t>antiretrovirālai</w:t>
      </w:r>
      <w:r w:rsidRPr="008E06D1" w:rsidR="008E06D1">
        <w:rPr>
          <w:rFonts w:eastAsia="MS Mincho"/>
          <w:sz w:val="24"/>
          <w:szCs w:val="24"/>
          <w:lang w:val="lv-LV" w:eastAsia="ja-JP"/>
        </w:rPr>
        <w:t xml:space="preserve"> </w:t>
      </w:r>
      <w:r w:rsidR="008E06D1">
        <w:rPr>
          <w:rFonts w:eastAsia="MS Mincho"/>
          <w:sz w:val="24"/>
          <w:szCs w:val="24"/>
          <w:lang w:val="lv-LV" w:eastAsia="ja-JP"/>
        </w:rPr>
        <w:t xml:space="preserve">(turpmāk – </w:t>
      </w:r>
      <w:r w:rsidRPr="00BC16C8">
        <w:rPr>
          <w:rFonts w:eastAsia="MS Mincho"/>
          <w:sz w:val="24"/>
          <w:szCs w:val="24"/>
          <w:lang w:val="lv-LV" w:eastAsia="ja-JP"/>
        </w:rPr>
        <w:t>ARV</w:t>
      </w:r>
      <w:r w:rsidR="008E06D1">
        <w:rPr>
          <w:rFonts w:eastAsia="MS Mincho"/>
          <w:sz w:val="24"/>
          <w:szCs w:val="24"/>
          <w:lang w:val="lv-LV" w:eastAsia="ja-JP"/>
        </w:rPr>
        <w:t>)</w:t>
      </w:r>
      <w:r w:rsidRPr="00BC16C8">
        <w:rPr>
          <w:rFonts w:eastAsia="MS Mincho"/>
          <w:sz w:val="24"/>
          <w:szCs w:val="24"/>
          <w:lang w:val="lv-LV" w:eastAsia="ja-JP"/>
        </w:rPr>
        <w:t xml:space="preserve"> terapijai, sākot ar CD4 šūnu skaitu 500. Tāpat </w:t>
      </w:r>
      <w:r w:rsidRPr="00BC16C8" w:rsidR="00306903">
        <w:rPr>
          <w:rFonts w:eastAsia="MS Mincho"/>
          <w:sz w:val="24"/>
          <w:szCs w:val="24"/>
          <w:lang w:val="lv-LV" w:eastAsia="ja-JP"/>
        </w:rPr>
        <w:t>tas paredz</w:t>
      </w:r>
      <w:r w:rsidRPr="00BC16C8">
        <w:rPr>
          <w:rFonts w:eastAsia="MS Mincho"/>
          <w:sz w:val="24"/>
          <w:szCs w:val="24"/>
          <w:lang w:val="lv-LV" w:eastAsia="ja-JP"/>
        </w:rPr>
        <w:t xml:space="preserve"> nodrošināt HIV ārstēšanu 200 jauniem pacientiem un vismaz 500 HIV / AIDS slimniekiem ar </w:t>
      </w:r>
      <w:r w:rsidRPr="00BC16C8" w:rsidR="00306903">
        <w:rPr>
          <w:rFonts w:eastAsia="MS Mincho"/>
          <w:sz w:val="24"/>
          <w:szCs w:val="24"/>
          <w:lang w:val="lv-LV" w:eastAsia="ja-JP"/>
        </w:rPr>
        <w:t>līdz</w:t>
      </w:r>
      <w:r w:rsidRPr="00BC16C8">
        <w:rPr>
          <w:rFonts w:eastAsia="MS Mincho"/>
          <w:sz w:val="24"/>
          <w:szCs w:val="24"/>
          <w:lang w:val="lv-LV" w:eastAsia="ja-JP"/>
        </w:rPr>
        <w:t>infekciju</w:t>
      </w:r>
      <w:r w:rsidRPr="00BC16C8">
        <w:rPr>
          <w:rFonts w:eastAsia="MS Mincho"/>
          <w:sz w:val="24"/>
          <w:szCs w:val="24"/>
          <w:lang w:val="lv-LV" w:eastAsia="ja-JP"/>
        </w:rPr>
        <w:t xml:space="preserve">. 2018.gadā plānots ārstēt 800 HIV </w:t>
      </w:r>
      <w:bookmarkStart w:id="1" w:name="_Hlk513112253"/>
      <w:r w:rsidRPr="00BC16C8">
        <w:rPr>
          <w:rFonts w:eastAsia="MS Mincho"/>
          <w:sz w:val="24"/>
          <w:szCs w:val="24"/>
          <w:lang w:val="lv-LV" w:eastAsia="ja-JP"/>
        </w:rPr>
        <w:t>pozitīvus pacientus</w:t>
      </w:r>
      <w:bookmarkEnd w:id="1"/>
      <w:r w:rsidRPr="00BC16C8">
        <w:rPr>
          <w:rFonts w:eastAsia="MS Mincho"/>
          <w:sz w:val="24"/>
          <w:szCs w:val="24"/>
          <w:lang w:val="lv-LV" w:eastAsia="ja-JP"/>
        </w:rPr>
        <w:t>, 2</w:t>
      </w:r>
      <w:r w:rsidRPr="00BC16C8" w:rsidR="00306903">
        <w:rPr>
          <w:rFonts w:eastAsia="MS Mincho"/>
          <w:sz w:val="24"/>
          <w:szCs w:val="24"/>
          <w:lang w:val="lv-LV" w:eastAsia="ja-JP"/>
        </w:rPr>
        <w:t xml:space="preserve">019.gadā - 1320 HIV pozitīvus pacientus un </w:t>
      </w:r>
      <w:r w:rsidRPr="00BC16C8">
        <w:rPr>
          <w:rFonts w:eastAsia="MS Mincho"/>
          <w:sz w:val="24"/>
          <w:szCs w:val="24"/>
          <w:lang w:val="lv-LV" w:eastAsia="ja-JP"/>
        </w:rPr>
        <w:t xml:space="preserve">2019.gadā 1840 HIV </w:t>
      </w:r>
      <w:r w:rsidRPr="00BC16C8" w:rsidR="00306903">
        <w:rPr>
          <w:rFonts w:eastAsia="MS Mincho"/>
          <w:sz w:val="24"/>
          <w:szCs w:val="24"/>
          <w:lang w:val="lv-LV" w:eastAsia="ja-JP"/>
        </w:rPr>
        <w:t>pozitīvus pacientus</w:t>
      </w:r>
      <w:r w:rsidRPr="00BC16C8">
        <w:rPr>
          <w:rFonts w:eastAsia="MS Mincho"/>
          <w:sz w:val="24"/>
          <w:szCs w:val="24"/>
          <w:lang w:val="lv-LV" w:eastAsia="ja-JP"/>
        </w:rPr>
        <w:t>.</w:t>
      </w:r>
    </w:p>
    <w:p w:rsidR="00240271" w:rsidRPr="00BC16C8" w:rsidP="00E62C6E">
      <w:pPr>
        <w:pStyle w:val="ListParagraph"/>
        <w:tabs>
          <w:tab w:val="clear" w:pos="850"/>
          <w:tab w:val="clear" w:pos="1191"/>
          <w:tab w:val="clear" w:pos="1531"/>
        </w:tabs>
        <w:ind w:left="0"/>
        <w:rPr>
          <w:rFonts w:eastAsia="MS Mincho"/>
          <w:sz w:val="24"/>
          <w:szCs w:val="24"/>
          <w:lang w:val="lv-LV" w:eastAsia="ja-JP"/>
        </w:rPr>
      </w:pPr>
    </w:p>
    <w:p w:rsidR="00240271" w:rsidRPr="00BC16C8" w:rsidP="0016302D">
      <w:pPr>
        <w:tabs>
          <w:tab w:val="clear" w:pos="850"/>
          <w:tab w:val="clear" w:pos="1191"/>
          <w:tab w:val="clear" w:pos="1531"/>
          <w:tab w:val="center" w:pos="4678"/>
          <w:tab w:val="right" w:pos="9072"/>
        </w:tabs>
        <w:ind w:firstLine="709"/>
        <w:rPr>
          <w:rFonts w:eastAsia="MS Mincho"/>
          <w:sz w:val="24"/>
          <w:szCs w:val="24"/>
          <w:lang w:val="lv-LV" w:eastAsia="ja-JP"/>
        </w:rPr>
      </w:pPr>
      <w:r w:rsidRPr="00BC16C8">
        <w:rPr>
          <w:rFonts w:eastAsia="MS Mincho"/>
          <w:sz w:val="24"/>
          <w:szCs w:val="24"/>
          <w:lang w:val="lv-LV" w:eastAsia="ja-JP"/>
        </w:rPr>
        <w:t xml:space="preserve">Rezultātā par valsts kompensējamo medikamentu izlietojumu HIV/AIDS pacientu ārstēšanai 2018.gada pirmajā ceturksnī ārstēto HIV/AIDS pacientu skaits ir palielinājies par </w:t>
      </w:r>
      <w:r w:rsidRPr="00BC16C8" w:rsidR="0016302D">
        <w:rPr>
          <w:rFonts w:eastAsia="MS Mincho"/>
          <w:sz w:val="24"/>
          <w:szCs w:val="24"/>
          <w:lang w:val="lv-LV" w:eastAsia="ja-JP"/>
        </w:rPr>
        <w:t>~</w:t>
      </w:r>
      <w:r w:rsidRPr="00BC16C8">
        <w:rPr>
          <w:rFonts w:eastAsia="MS Mincho"/>
          <w:sz w:val="24"/>
          <w:szCs w:val="24"/>
          <w:lang w:val="lv-LV" w:eastAsia="ja-JP"/>
        </w:rPr>
        <w:t>20%, salīdzinot ar attiecīgo periodu 2017.gadā. Kopumā uz 2018.gada 30.aprīli</w:t>
      </w:r>
      <w:r w:rsidRPr="00BC16C8" w:rsidR="0016302D">
        <w:rPr>
          <w:rFonts w:eastAsia="MS Mincho"/>
          <w:sz w:val="24"/>
          <w:szCs w:val="24"/>
          <w:lang w:val="lv-LV" w:eastAsia="ja-JP"/>
        </w:rPr>
        <w:t xml:space="preserve"> </w:t>
      </w:r>
      <w:r w:rsidRPr="00BC16C8">
        <w:rPr>
          <w:rFonts w:eastAsia="MS Mincho"/>
          <w:sz w:val="24"/>
          <w:szCs w:val="24"/>
          <w:lang w:val="lv-LV" w:eastAsia="ja-JP"/>
        </w:rPr>
        <w:t>ARV terapij</w:t>
      </w:r>
      <w:bookmarkStart w:id="2" w:name="_Hlk513555863"/>
      <w:r w:rsidRPr="00BC16C8" w:rsidR="0016302D">
        <w:rPr>
          <w:rFonts w:eastAsia="MS Mincho"/>
          <w:sz w:val="24"/>
          <w:szCs w:val="24"/>
          <w:lang w:val="lv-LV" w:eastAsia="ja-JP"/>
        </w:rPr>
        <w:t xml:space="preserve">u saņem 2023 HIV/AIDS pacienti. </w:t>
      </w:r>
      <w:r w:rsidRPr="00BC16C8">
        <w:rPr>
          <w:rFonts w:eastAsia="MS Mincho"/>
          <w:sz w:val="24"/>
          <w:szCs w:val="24"/>
          <w:lang w:val="lv-LV" w:eastAsia="ja-JP"/>
        </w:rPr>
        <w:t>2018.gada pirmajo</w:t>
      </w:r>
      <w:r w:rsidRPr="00BC16C8" w:rsidR="0016302D">
        <w:rPr>
          <w:rFonts w:eastAsia="MS Mincho"/>
          <w:sz w:val="24"/>
          <w:szCs w:val="24"/>
          <w:lang w:val="lv-LV" w:eastAsia="ja-JP"/>
        </w:rPr>
        <w:t xml:space="preserve">s 4 mēnešos ARV terapiju saņēma </w:t>
      </w:r>
      <w:r w:rsidRPr="00BC16C8">
        <w:rPr>
          <w:rFonts w:eastAsia="MS Mincho"/>
          <w:sz w:val="24"/>
          <w:szCs w:val="24"/>
          <w:lang w:val="lv-LV" w:eastAsia="ja-JP"/>
        </w:rPr>
        <w:t>292 HIV/AIDS</w:t>
      </w:r>
      <w:r w:rsidRPr="00BC16C8" w:rsidR="0016302D">
        <w:rPr>
          <w:rFonts w:eastAsia="MS Mincho"/>
          <w:sz w:val="24"/>
          <w:szCs w:val="24"/>
          <w:lang w:val="lv-LV" w:eastAsia="ja-JP"/>
        </w:rPr>
        <w:t xml:space="preserve"> </w:t>
      </w:r>
      <w:r w:rsidRPr="00BC16C8">
        <w:rPr>
          <w:rFonts w:eastAsia="MS Mincho"/>
          <w:sz w:val="24"/>
          <w:szCs w:val="24"/>
          <w:lang w:val="lv-LV" w:eastAsia="ja-JP"/>
        </w:rPr>
        <w:t>pacienti, no kuriem 2018.gada</w:t>
      </w:r>
      <w:r w:rsidRPr="00BC16C8" w:rsidR="0016302D">
        <w:rPr>
          <w:rFonts w:eastAsia="MS Mincho"/>
          <w:sz w:val="24"/>
          <w:szCs w:val="24"/>
          <w:lang w:val="lv-LV" w:eastAsia="ja-JP"/>
        </w:rPr>
        <w:t xml:space="preserve"> </w:t>
      </w:r>
      <w:r w:rsidRPr="00BC16C8">
        <w:rPr>
          <w:rFonts w:eastAsia="MS Mincho"/>
          <w:sz w:val="24"/>
          <w:szCs w:val="24"/>
          <w:lang w:val="lv-LV" w:eastAsia="ja-JP"/>
        </w:rPr>
        <w:t>pirmajos 4 mēnešos ARV terapiju</w:t>
      </w:r>
      <w:r w:rsidRPr="00BC16C8" w:rsidR="0016302D">
        <w:rPr>
          <w:rFonts w:eastAsia="MS Mincho"/>
          <w:sz w:val="24"/>
          <w:szCs w:val="24"/>
          <w:lang w:val="lv-LV" w:eastAsia="ja-JP"/>
        </w:rPr>
        <w:t xml:space="preserve"> </w:t>
      </w:r>
      <w:r w:rsidRPr="00BC16C8">
        <w:rPr>
          <w:rFonts w:eastAsia="MS Mincho"/>
          <w:sz w:val="24"/>
          <w:szCs w:val="24"/>
          <w:lang w:val="lv-LV" w:eastAsia="ja-JP"/>
        </w:rPr>
        <w:t>pirmreizēji</w:t>
      </w:r>
      <w:r w:rsidRPr="00BC16C8" w:rsidR="0016302D">
        <w:rPr>
          <w:rFonts w:eastAsia="MS Mincho"/>
          <w:sz w:val="24"/>
          <w:szCs w:val="24"/>
          <w:lang w:val="lv-LV" w:eastAsia="ja-JP"/>
        </w:rPr>
        <w:t xml:space="preserve"> </w:t>
      </w:r>
      <w:r w:rsidRPr="00BC16C8">
        <w:rPr>
          <w:rFonts w:eastAsia="MS Mincho"/>
          <w:sz w:val="24"/>
          <w:szCs w:val="24"/>
          <w:lang w:val="lv-LV" w:eastAsia="ja-JP"/>
        </w:rPr>
        <w:t>saņēma</w:t>
      </w:r>
      <w:r w:rsidRPr="00BC16C8" w:rsidR="0016302D">
        <w:rPr>
          <w:rFonts w:eastAsia="MS Mincho"/>
          <w:sz w:val="24"/>
          <w:szCs w:val="24"/>
          <w:lang w:val="lv-LV" w:eastAsia="ja-JP"/>
        </w:rPr>
        <w:t xml:space="preserve"> </w:t>
      </w:r>
      <w:r w:rsidRPr="00BC16C8">
        <w:rPr>
          <w:rFonts w:eastAsia="MS Mincho"/>
          <w:sz w:val="24"/>
          <w:szCs w:val="24"/>
          <w:lang w:val="lv-LV" w:eastAsia="ja-JP"/>
        </w:rPr>
        <w:t>176</w:t>
      </w:r>
      <w:r w:rsidRPr="00BC16C8" w:rsidR="0016302D">
        <w:rPr>
          <w:rFonts w:eastAsia="MS Mincho"/>
          <w:sz w:val="24"/>
          <w:szCs w:val="24"/>
          <w:lang w:val="lv-LV" w:eastAsia="ja-JP"/>
        </w:rPr>
        <w:t xml:space="preserve"> </w:t>
      </w:r>
      <w:r w:rsidRPr="00BC16C8">
        <w:rPr>
          <w:rFonts w:eastAsia="MS Mincho"/>
          <w:sz w:val="24"/>
          <w:szCs w:val="24"/>
          <w:lang w:val="lv-LV" w:eastAsia="ja-JP"/>
        </w:rPr>
        <w:t>HIV/AIDS</w:t>
      </w:r>
      <w:r w:rsidRPr="00BC16C8" w:rsidR="0016302D">
        <w:rPr>
          <w:rFonts w:eastAsia="MS Mincho"/>
          <w:sz w:val="24"/>
          <w:szCs w:val="24"/>
          <w:lang w:val="lv-LV" w:eastAsia="ja-JP"/>
        </w:rPr>
        <w:t xml:space="preserve"> </w:t>
      </w:r>
      <w:r w:rsidRPr="00BC16C8">
        <w:rPr>
          <w:rFonts w:eastAsia="MS Mincho"/>
          <w:sz w:val="24"/>
          <w:szCs w:val="24"/>
          <w:lang w:val="lv-LV" w:eastAsia="ja-JP"/>
        </w:rPr>
        <w:t>pacienti</w:t>
      </w:r>
      <w:bookmarkEnd w:id="2"/>
      <w:r w:rsidRPr="00BC16C8">
        <w:rPr>
          <w:rFonts w:eastAsia="MS Mincho"/>
          <w:sz w:val="24"/>
          <w:szCs w:val="24"/>
          <w:lang w:val="lv-LV" w:eastAsia="ja-JP"/>
        </w:rPr>
        <w:t>.</w:t>
      </w:r>
      <w:r w:rsidRPr="00BC16C8" w:rsidR="0016302D">
        <w:rPr>
          <w:rFonts w:eastAsia="MS Mincho"/>
          <w:sz w:val="24"/>
          <w:szCs w:val="24"/>
          <w:lang w:val="lv-LV" w:eastAsia="ja-JP"/>
        </w:rPr>
        <w:t xml:space="preserve"> </w:t>
      </w:r>
      <w:r w:rsidRPr="00BC16C8">
        <w:rPr>
          <w:rFonts w:eastAsia="MS Mincho"/>
          <w:sz w:val="24"/>
          <w:szCs w:val="24"/>
          <w:lang w:val="lv-LV" w:eastAsia="ja-JP"/>
        </w:rPr>
        <w:t>No tiem</w:t>
      </w:r>
      <w:r w:rsidRPr="00BC16C8" w:rsidR="0016302D">
        <w:rPr>
          <w:rFonts w:eastAsia="MS Mincho"/>
          <w:sz w:val="24"/>
          <w:szCs w:val="24"/>
          <w:lang w:val="lv-LV" w:eastAsia="ja-JP"/>
        </w:rPr>
        <w:t>,</w:t>
      </w:r>
      <w:r w:rsidRPr="00BC16C8">
        <w:rPr>
          <w:rFonts w:eastAsia="MS Mincho"/>
          <w:sz w:val="24"/>
          <w:szCs w:val="24"/>
          <w:lang w:val="lv-LV" w:eastAsia="ja-JP"/>
        </w:rPr>
        <w:t xml:space="preserve"> pēc jaunajiem ARV terapijas nozīmēšanas kritērijiem, terapiju uzsāka kopumā 85 HIV</w:t>
      </w:r>
      <w:r w:rsidRPr="00BC16C8" w:rsidR="0016302D">
        <w:rPr>
          <w:rFonts w:eastAsia="MS Mincho"/>
          <w:sz w:val="24"/>
          <w:szCs w:val="24"/>
          <w:lang w:val="lv-LV" w:eastAsia="ja-JP"/>
        </w:rPr>
        <w:t xml:space="preserve"> </w:t>
      </w:r>
      <w:r w:rsidRPr="00BC16C8">
        <w:rPr>
          <w:rFonts w:eastAsia="MS Mincho"/>
          <w:sz w:val="24"/>
          <w:szCs w:val="24"/>
          <w:lang w:val="lv-LV" w:eastAsia="ja-JP"/>
        </w:rPr>
        <w:t>pacienti (saskaņā ar HIV plānu gadā plānoti 200).</w:t>
      </w:r>
    </w:p>
    <w:p w:rsidR="0066539E" w:rsidRPr="00BC16C8" w:rsidP="0016302D">
      <w:pPr>
        <w:tabs>
          <w:tab w:val="clear" w:pos="850"/>
          <w:tab w:val="clear" w:pos="1191"/>
          <w:tab w:val="clear" w:pos="1531"/>
          <w:tab w:val="center" w:pos="4678"/>
          <w:tab w:val="right" w:pos="9072"/>
        </w:tabs>
        <w:ind w:firstLine="709"/>
        <w:rPr>
          <w:rFonts w:eastAsia="MS Mincho"/>
          <w:sz w:val="24"/>
          <w:szCs w:val="24"/>
          <w:lang w:val="lv-LV" w:eastAsia="ja-JP"/>
        </w:rPr>
      </w:pPr>
    </w:p>
    <w:p w:rsidR="002E4CF0" w:rsidP="002E4CF0">
      <w:pPr>
        <w:pStyle w:val="ListParagraph"/>
        <w:tabs>
          <w:tab w:val="clear" w:pos="850"/>
          <w:tab w:val="clear" w:pos="1191"/>
          <w:tab w:val="clear" w:pos="1531"/>
        </w:tabs>
        <w:ind w:left="0" w:firstLine="709"/>
        <w:rPr>
          <w:rFonts w:eastAsia="MS Mincho"/>
          <w:sz w:val="24"/>
          <w:szCs w:val="24"/>
          <w:lang w:val="lv-LV" w:eastAsia="ja-JP"/>
        </w:rPr>
      </w:pPr>
      <w:r w:rsidRPr="00BC16C8">
        <w:rPr>
          <w:rFonts w:eastAsia="MS Mincho"/>
          <w:sz w:val="24"/>
          <w:szCs w:val="24"/>
          <w:lang w:val="lv-LV" w:eastAsia="ja-JP"/>
        </w:rPr>
        <w:t xml:space="preserve">Sākot ar 2016.gadu, </w:t>
      </w:r>
      <w:r w:rsidRPr="00BC16C8">
        <w:rPr>
          <w:rFonts w:eastAsia="MS Mincho"/>
          <w:sz w:val="24"/>
          <w:szCs w:val="24"/>
          <w:u w:val="single"/>
          <w:lang w:val="lv-LV" w:eastAsia="ja-JP"/>
        </w:rPr>
        <w:t>C</w:t>
      </w:r>
      <w:r w:rsidR="00262C93">
        <w:rPr>
          <w:rFonts w:eastAsia="MS Mincho"/>
          <w:sz w:val="24"/>
          <w:szCs w:val="24"/>
          <w:u w:val="single"/>
          <w:lang w:val="lv-LV" w:eastAsia="ja-JP"/>
        </w:rPr>
        <w:t xml:space="preserve"> </w:t>
      </w:r>
      <w:r w:rsidRPr="00BC16C8">
        <w:rPr>
          <w:rFonts w:eastAsia="MS Mincho"/>
          <w:sz w:val="24"/>
          <w:szCs w:val="24"/>
          <w:u w:val="single"/>
          <w:lang w:val="lv-LV" w:eastAsia="ja-JP"/>
        </w:rPr>
        <w:t>hepatīta</w:t>
      </w:r>
      <w:r w:rsidRPr="00BC16C8">
        <w:rPr>
          <w:rFonts w:eastAsia="MS Mincho"/>
          <w:sz w:val="24"/>
          <w:szCs w:val="24"/>
          <w:lang w:val="lv-LV" w:eastAsia="ja-JP"/>
        </w:rPr>
        <w:t xml:space="preserve"> ārstēšana</w:t>
      </w:r>
      <w:r w:rsidRPr="00BC16C8" w:rsidR="0016302D">
        <w:rPr>
          <w:rFonts w:eastAsia="MS Mincho"/>
          <w:sz w:val="24"/>
          <w:szCs w:val="24"/>
          <w:lang w:val="lv-LV" w:eastAsia="ja-JP"/>
        </w:rPr>
        <w:t>i</w:t>
      </w:r>
      <w:r w:rsidRPr="00BC16C8">
        <w:rPr>
          <w:rFonts w:eastAsia="MS Mincho"/>
          <w:sz w:val="24"/>
          <w:szCs w:val="24"/>
          <w:lang w:val="lv-LV" w:eastAsia="ja-JP"/>
        </w:rPr>
        <w:t xml:space="preserve"> </w:t>
      </w:r>
      <w:r w:rsidRPr="00BC16C8" w:rsidR="0016302D">
        <w:rPr>
          <w:rFonts w:eastAsia="MS Mincho"/>
          <w:sz w:val="24"/>
          <w:szCs w:val="24"/>
          <w:lang w:val="lv-LV" w:eastAsia="ja-JP"/>
        </w:rPr>
        <w:t>medikamentus</w:t>
      </w:r>
      <w:r w:rsidRPr="00BC16C8">
        <w:rPr>
          <w:rFonts w:eastAsia="MS Mincho"/>
          <w:sz w:val="24"/>
          <w:szCs w:val="24"/>
          <w:lang w:val="lv-LV" w:eastAsia="ja-JP"/>
        </w:rPr>
        <w:t xml:space="preserve"> pilnībā finansē no valsts pamatbudžeta un tiek ieviesti tiešās darbības pretvīrusu līdzekļi.</w:t>
      </w:r>
    </w:p>
    <w:p w:rsidR="002E4CF0" w:rsidRPr="00BC16C8" w:rsidP="002E4CF0">
      <w:pPr>
        <w:tabs>
          <w:tab w:val="clear" w:pos="850"/>
          <w:tab w:val="clear" w:pos="1191"/>
          <w:tab w:val="clear" w:pos="1531"/>
        </w:tabs>
        <w:rPr>
          <w:sz w:val="24"/>
          <w:szCs w:val="24"/>
          <w:u w:val="single"/>
          <w:lang w:val="lv-LV"/>
        </w:rPr>
      </w:pPr>
      <w:r w:rsidRPr="00BC16C8">
        <w:rPr>
          <w:sz w:val="24"/>
          <w:szCs w:val="24"/>
          <w:u w:val="single"/>
          <w:lang w:val="lv-LV"/>
        </w:rPr>
        <w:t>Sasniegumi uztur</w:t>
      </w:r>
      <w:r>
        <w:rPr>
          <w:sz w:val="24"/>
          <w:szCs w:val="24"/>
          <w:u w:val="single"/>
          <w:lang w:val="lv-LV"/>
        </w:rPr>
        <w:t>a</w:t>
      </w:r>
      <w:r w:rsidRPr="00BC16C8">
        <w:rPr>
          <w:sz w:val="24"/>
          <w:szCs w:val="24"/>
          <w:u w:val="single"/>
          <w:lang w:val="lv-LV"/>
        </w:rPr>
        <w:t xml:space="preserve"> un fiziskās aktivitātes jomā:</w:t>
      </w:r>
    </w:p>
    <w:p w:rsidR="002E4CF0" w:rsidRPr="00BC16C8" w:rsidP="002E4CF0">
      <w:pPr>
        <w:pStyle w:val="ListParagraph"/>
        <w:numPr>
          <w:ilvl w:val="0"/>
          <w:numId w:val="53"/>
        </w:numPr>
        <w:tabs>
          <w:tab w:val="clear" w:pos="850"/>
          <w:tab w:val="clear" w:pos="1191"/>
          <w:tab w:val="clear" w:pos="1531"/>
        </w:tabs>
        <w:ind w:hanging="720"/>
        <w:rPr>
          <w:sz w:val="24"/>
          <w:szCs w:val="24"/>
          <w:lang w:val="lv-LV"/>
        </w:rPr>
      </w:pPr>
      <w:r w:rsidRPr="00BC16C8">
        <w:rPr>
          <w:sz w:val="24"/>
          <w:szCs w:val="24"/>
          <w:lang w:val="lv-LV"/>
        </w:rPr>
        <w:t xml:space="preserve">2016.gada 21.janvārī Saeimā tika apstiprināts </w:t>
      </w:r>
      <w:r w:rsidRPr="00BC16C8">
        <w:rPr>
          <w:sz w:val="24"/>
          <w:szCs w:val="24"/>
          <w:u w:val="single"/>
          <w:lang w:val="lv-LV"/>
        </w:rPr>
        <w:t xml:space="preserve">Enerģijas dzērienu </w:t>
      </w:r>
      <w:r>
        <w:rPr>
          <w:sz w:val="24"/>
          <w:szCs w:val="24"/>
          <w:u w:val="single"/>
          <w:lang w:val="lv-LV"/>
        </w:rPr>
        <w:t>aprites</w:t>
      </w:r>
      <w:r w:rsidRPr="00BC16C8">
        <w:rPr>
          <w:sz w:val="24"/>
          <w:szCs w:val="24"/>
          <w:u w:val="single"/>
          <w:lang w:val="lv-LV"/>
        </w:rPr>
        <w:t xml:space="preserve"> likums</w:t>
      </w:r>
      <w:r w:rsidRPr="00BC16C8">
        <w:rPr>
          <w:sz w:val="24"/>
          <w:szCs w:val="24"/>
          <w:lang w:val="lv-LV"/>
        </w:rPr>
        <w:t xml:space="preserve">. Likums aizliedz enerģijas dzērienu pārdošanu personām, </w:t>
      </w:r>
      <w:r>
        <w:rPr>
          <w:sz w:val="24"/>
          <w:szCs w:val="24"/>
          <w:lang w:val="lv-LV"/>
        </w:rPr>
        <w:t>kuras</w:t>
      </w:r>
      <w:r w:rsidRPr="00BC16C8">
        <w:rPr>
          <w:sz w:val="24"/>
          <w:szCs w:val="24"/>
          <w:lang w:val="lv-LV"/>
        </w:rPr>
        <w:t xml:space="preserve"> jaunākas par 18 gadiem</w:t>
      </w:r>
      <w:r>
        <w:rPr>
          <w:sz w:val="24"/>
          <w:szCs w:val="24"/>
          <w:lang w:val="lv-LV"/>
        </w:rPr>
        <w:t xml:space="preserve"> un šīs personas nedrīkst tos iegādāties</w:t>
      </w:r>
      <w:r w:rsidRPr="00BC16C8">
        <w:rPr>
          <w:sz w:val="24"/>
          <w:szCs w:val="24"/>
          <w:lang w:val="lv-LV"/>
        </w:rPr>
        <w:t xml:space="preserve">. Saskaņā ar </w:t>
      </w:r>
      <w:r>
        <w:rPr>
          <w:sz w:val="24"/>
          <w:szCs w:val="24"/>
          <w:lang w:val="lv-LV"/>
        </w:rPr>
        <w:t>l</w:t>
      </w:r>
      <w:r w:rsidRPr="00BC16C8">
        <w:rPr>
          <w:sz w:val="24"/>
          <w:szCs w:val="24"/>
          <w:lang w:val="lv-LV"/>
        </w:rPr>
        <w:t>ikumu izglītības iestādēs nav atļauts reklamēt enerģijas dzērienus (ieskaitot reklāmu uz šo iestāžu sienām)</w:t>
      </w:r>
      <w:r>
        <w:rPr>
          <w:sz w:val="24"/>
          <w:szCs w:val="24"/>
          <w:lang w:val="lv-LV"/>
        </w:rPr>
        <w:t>, kā arī likums paredz citus reklāmas ierobežojumus</w:t>
      </w:r>
      <w:r w:rsidRPr="00BC16C8">
        <w:rPr>
          <w:sz w:val="24"/>
          <w:szCs w:val="24"/>
          <w:lang w:val="lv-LV"/>
        </w:rPr>
        <w:t>.</w:t>
      </w:r>
    </w:p>
    <w:p w:rsidR="002E4CF0" w:rsidRPr="00BC16C8" w:rsidP="00B501C8">
      <w:pPr>
        <w:pStyle w:val="ListParagraph"/>
        <w:numPr>
          <w:ilvl w:val="0"/>
          <w:numId w:val="52"/>
        </w:numPr>
        <w:tabs>
          <w:tab w:val="clear" w:pos="850"/>
          <w:tab w:val="clear" w:pos="1191"/>
          <w:tab w:val="clear" w:pos="1531"/>
        </w:tabs>
        <w:ind w:hanging="720"/>
        <w:rPr>
          <w:sz w:val="24"/>
          <w:szCs w:val="24"/>
          <w:lang w:val="lv-LV"/>
        </w:rPr>
      </w:pPr>
      <w:r w:rsidRPr="00BC16C8">
        <w:rPr>
          <w:sz w:val="24"/>
          <w:szCs w:val="24"/>
          <w:lang w:val="lv-LV"/>
        </w:rPr>
        <w:t xml:space="preserve">No 2016.gada ir spēkā Ministru kabineta noteikumi Nr. 301 </w:t>
      </w:r>
      <w:r w:rsidRPr="00BC16C8">
        <w:rPr>
          <w:sz w:val="24"/>
          <w:szCs w:val="24"/>
          <w:u w:val="single"/>
          <w:lang w:val="lv-LV"/>
        </w:rPr>
        <w:t xml:space="preserve">par maksimāli pieļaujamo </w:t>
      </w:r>
      <w:r w:rsidRPr="00BC16C8">
        <w:rPr>
          <w:sz w:val="24"/>
          <w:szCs w:val="24"/>
          <w:u w:val="single"/>
          <w:lang w:val="lv-LV"/>
        </w:rPr>
        <w:t>transtaukskābju</w:t>
      </w:r>
      <w:r w:rsidRPr="00BC16C8">
        <w:rPr>
          <w:sz w:val="24"/>
          <w:szCs w:val="24"/>
          <w:u w:val="single"/>
          <w:lang w:val="lv-LV"/>
        </w:rPr>
        <w:t xml:space="preserve"> saturu pārtikas produktos</w:t>
      </w:r>
      <w:r w:rsidRPr="00BC16C8">
        <w:rPr>
          <w:sz w:val="24"/>
          <w:szCs w:val="24"/>
          <w:lang w:val="lv-LV"/>
        </w:rPr>
        <w:t>. Sākot ar 2018.gada</w:t>
      </w:r>
      <w:r>
        <w:rPr>
          <w:sz w:val="24"/>
          <w:szCs w:val="24"/>
          <w:lang w:val="lv-LV"/>
        </w:rPr>
        <w:t xml:space="preserve"> 1.</w:t>
      </w:r>
      <w:r w:rsidRPr="00BC16C8">
        <w:rPr>
          <w:sz w:val="24"/>
          <w:szCs w:val="24"/>
          <w:lang w:val="lv-LV"/>
        </w:rPr>
        <w:t>jūniju,</w:t>
      </w:r>
      <w:r>
        <w:rPr>
          <w:sz w:val="24"/>
          <w:szCs w:val="24"/>
          <w:lang w:val="lv-LV"/>
        </w:rPr>
        <w:t xml:space="preserve"> pārtikas produktiem,</w:t>
      </w:r>
      <w:r w:rsidRPr="00BC16C8">
        <w:rPr>
          <w:sz w:val="24"/>
          <w:szCs w:val="24"/>
          <w:lang w:val="lv-LV"/>
        </w:rPr>
        <w:t xml:space="preserve"> </w:t>
      </w:r>
      <w:r w:rsidRPr="00873EC8">
        <w:rPr>
          <w:sz w:val="24"/>
          <w:szCs w:val="24"/>
          <w:lang w:val="lv-LV"/>
        </w:rPr>
        <w:t>kas ražoti Latvijā, tai skaitā sabiedriskās ēdināšanas uzņēmumos, ievesti no citām Eiropas Savienības dalībvalstīm un Eiropas Ekonomikas zonas valstīm vai trešajām valstīm un</w:t>
      </w:r>
      <w:r>
        <w:rPr>
          <w:sz w:val="24"/>
          <w:szCs w:val="24"/>
          <w:lang w:val="lv-LV"/>
        </w:rPr>
        <w:t xml:space="preserve"> paredzēti izplatīšanai Latvijā </w:t>
      </w:r>
      <w:r w:rsidRPr="00BC16C8">
        <w:rPr>
          <w:sz w:val="24"/>
          <w:szCs w:val="24"/>
          <w:lang w:val="lv-LV"/>
        </w:rPr>
        <w:t xml:space="preserve"> jāatbilst maksimāli pieļaujamam </w:t>
      </w:r>
      <w:r w:rsidRPr="00BC16C8">
        <w:rPr>
          <w:sz w:val="24"/>
          <w:szCs w:val="24"/>
          <w:lang w:val="lv-LV"/>
        </w:rPr>
        <w:t>transtaukskābju</w:t>
      </w:r>
      <w:r w:rsidRPr="00BC16C8">
        <w:rPr>
          <w:sz w:val="24"/>
          <w:szCs w:val="24"/>
          <w:lang w:val="lv-LV"/>
        </w:rPr>
        <w:t xml:space="preserve"> </w:t>
      </w:r>
      <w:r>
        <w:rPr>
          <w:sz w:val="24"/>
          <w:szCs w:val="24"/>
          <w:lang w:val="lv-LV"/>
        </w:rPr>
        <w:t>daudzumam</w:t>
      </w:r>
      <w:r w:rsidRPr="00BC16C8">
        <w:rPr>
          <w:sz w:val="24"/>
          <w:szCs w:val="24"/>
          <w:lang w:val="lv-LV"/>
        </w:rPr>
        <w:t>.</w:t>
      </w:r>
    </w:p>
    <w:p w:rsidR="002E4CF0" w:rsidRPr="00BC16C8" w:rsidP="002E4CF0">
      <w:pPr>
        <w:pStyle w:val="ListParagraph"/>
        <w:numPr>
          <w:ilvl w:val="0"/>
          <w:numId w:val="52"/>
        </w:numPr>
        <w:tabs>
          <w:tab w:val="clear" w:pos="850"/>
          <w:tab w:val="clear" w:pos="1191"/>
          <w:tab w:val="clear" w:pos="1531"/>
        </w:tabs>
        <w:ind w:hanging="720"/>
        <w:rPr>
          <w:sz w:val="24"/>
          <w:szCs w:val="24"/>
          <w:lang w:val="lv-LV"/>
        </w:rPr>
      </w:pPr>
      <w:r w:rsidRPr="00BC16C8">
        <w:rPr>
          <w:sz w:val="24"/>
          <w:szCs w:val="24"/>
          <w:lang w:val="lv-LV"/>
        </w:rPr>
        <w:t xml:space="preserve">2015., 2016. un 2017. gadā Latvijas valdība apstiprināja grozījumus </w:t>
      </w:r>
      <w:r w:rsidRPr="00BC16C8">
        <w:rPr>
          <w:sz w:val="24"/>
          <w:szCs w:val="24"/>
          <w:u w:val="single"/>
          <w:lang w:val="lv-LV"/>
        </w:rPr>
        <w:t>uztura normās</w:t>
      </w:r>
      <w:r w:rsidRPr="00BC16C8">
        <w:rPr>
          <w:sz w:val="24"/>
          <w:szCs w:val="24"/>
          <w:lang w:val="lv-LV"/>
        </w:rPr>
        <w:t xml:space="preserve">, lai uzlabotu </w:t>
      </w:r>
      <w:r>
        <w:rPr>
          <w:sz w:val="24"/>
          <w:szCs w:val="24"/>
          <w:lang w:val="lv-LV"/>
        </w:rPr>
        <w:t>ēdināšanas pakalpojumu</w:t>
      </w:r>
      <w:r w:rsidRPr="00BC16C8">
        <w:rPr>
          <w:sz w:val="24"/>
          <w:szCs w:val="24"/>
          <w:lang w:val="lv-LV"/>
        </w:rPr>
        <w:t xml:space="preserve"> kvalitāti skolās, </w:t>
      </w:r>
      <w:r>
        <w:rPr>
          <w:sz w:val="24"/>
          <w:szCs w:val="24"/>
          <w:lang w:val="lv-LV"/>
        </w:rPr>
        <w:t>ārstniecības</w:t>
      </w:r>
      <w:r w:rsidRPr="00BC16C8">
        <w:rPr>
          <w:sz w:val="24"/>
          <w:szCs w:val="24"/>
          <w:lang w:val="lv-LV"/>
        </w:rPr>
        <w:t xml:space="preserve"> iestādēs, kā arī </w:t>
      </w:r>
      <w:r>
        <w:rPr>
          <w:sz w:val="24"/>
          <w:szCs w:val="24"/>
          <w:lang w:val="lv-LV"/>
        </w:rPr>
        <w:t xml:space="preserve">ilgstošas </w:t>
      </w:r>
      <w:r w:rsidRPr="00BC16C8">
        <w:rPr>
          <w:sz w:val="24"/>
          <w:szCs w:val="24"/>
          <w:lang w:val="lv-LV"/>
        </w:rPr>
        <w:t>sociālās aprūpes un sociālās rehabilitācijas iestādēs.</w:t>
      </w:r>
    </w:p>
    <w:p w:rsidR="002E4CF0" w:rsidRPr="00BC16C8" w:rsidP="002E4CF0">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2017.gadā pārskatīti ieteikumi </w:t>
      </w:r>
      <w:r>
        <w:rPr>
          <w:sz w:val="24"/>
          <w:szCs w:val="24"/>
          <w:lang w:val="lv-LV"/>
        </w:rPr>
        <w:t xml:space="preserve">par ieteicamām enerģijas un uzturvielu devām </w:t>
      </w:r>
      <w:r w:rsidRPr="00BC16C8">
        <w:rPr>
          <w:sz w:val="24"/>
          <w:szCs w:val="24"/>
          <w:lang w:val="lv-LV"/>
        </w:rPr>
        <w:t>Latvijas iedzīvotājiem. Saskaņā ar pārskatītajiem ieteikumiem , Veselības ministrija pašlaik strādā pie grozījum</w:t>
      </w:r>
      <w:r>
        <w:rPr>
          <w:sz w:val="24"/>
          <w:szCs w:val="24"/>
          <w:lang w:val="lv-LV"/>
        </w:rPr>
        <w:t>u</w:t>
      </w:r>
      <w:r w:rsidRPr="00BC16C8">
        <w:rPr>
          <w:sz w:val="24"/>
          <w:szCs w:val="24"/>
          <w:lang w:val="lv-LV"/>
        </w:rPr>
        <w:t xml:space="preserve"> </w:t>
      </w:r>
      <w:r>
        <w:rPr>
          <w:sz w:val="24"/>
          <w:szCs w:val="24"/>
          <w:lang w:val="lv-LV"/>
        </w:rPr>
        <w:t>izstrādes  uztura normās, kas attiecas uz enerģijas un uzturvielu devām</w:t>
      </w:r>
      <w:r w:rsidRPr="00BC16C8">
        <w:rPr>
          <w:sz w:val="24"/>
          <w:szCs w:val="24"/>
          <w:lang w:val="lv-LV"/>
        </w:rPr>
        <w:t xml:space="preserve"> , </w:t>
      </w:r>
      <w:r>
        <w:rPr>
          <w:sz w:val="24"/>
          <w:szCs w:val="24"/>
          <w:lang w:val="lv-LV"/>
        </w:rPr>
        <w:t xml:space="preserve">izglītojamiem, </w:t>
      </w:r>
      <w:r w:rsidRPr="00BC16C8">
        <w:rPr>
          <w:sz w:val="24"/>
          <w:szCs w:val="24"/>
          <w:lang w:val="lv-LV"/>
        </w:rPr>
        <w:t xml:space="preserve">ārstniecības iestāžu pacientiem un </w:t>
      </w:r>
      <w:r>
        <w:rPr>
          <w:sz w:val="24"/>
          <w:szCs w:val="24"/>
          <w:lang w:val="lv-LV"/>
        </w:rPr>
        <w:t xml:space="preserve">ilgstošas </w:t>
      </w:r>
      <w:r w:rsidRPr="00BC16C8">
        <w:rPr>
          <w:sz w:val="24"/>
          <w:szCs w:val="24"/>
          <w:lang w:val="lv-LV"/>
        </w:rPr>
        <w:t>sociālās aprūpes un sociālās rehabilitācijas institūciju klientiem.</w:t>
      </w:r>
    </w:p>
    <w:p w:rsidR="002E4CF0" w:rsidRPr="00BC16C8" w:rsidP="002E4CF0">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2017.gadā ir izstrādāti ieteikumi par </w:t>
      </w:r>
      <w:r w:rsidRPr="00BC16C8">
        <w:rPr>
          <w:sz w:val="24"/>
          <w:szCs w:val="24"/>
          <w:u w:val="single"/>
          <w:lang w:val="lv-LV"/>
        </w:rPr>
        <w:t xml:space="preserve">veselīgu uzturu </w:t>
      </w:r>
      <w:r>
        <w:rPr>
          <w:sz w:val="24"/>
          <w:szCs w:val="24"/>
          <w:u w:val="single"/>
          <w:lang w:val="lv-LV"/>
        </w:rPr>
        <w:t>sievietēm grūtniecības laikā</w:t>
      </w:r>
      <w:r w:rsidRPr="00BC16C8">
        <w:rPr>
          <w:sz w:val="24"/>
          <w:szCs w:val="24"/>
          <w:lang w:val="lv-LV"/>
        </w:rPr>
        <w:t xml:space="preserve">, kā arī ieteikumi par </w:t>
      </w:r>
      <w:r w:rsidRPr="00BC16C8">
        <w:rPr>
          <w:sz w:val="24"/>
          <w:szCs w:val="24"/>
          <w:u w:val="single"/>
          <w:lang w:val="lv-LV"/>
        </w:rPr>
        <w:t>veselīgu uzturu veģetāriešiem</w:t>
      </w:r>
      <w:r w:rsidRPr="00BC16C8">
        <w:rPr>
          <w:sz w:val="24"/>
          <w:szCs w:val="24"/>
          <w:lang w:val="lv-LV"/>
        </w:rPr>
        <w:t>.</w:t>
      </w:r>
    </w:p>
    <w:p w:rsidR="002E4CF0" w:rsidRPr="00BC16C8" w:rsidP="00B501C8">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2017.gadā </w:t>
      </w:r>
      <w:r>
        <w:rPr>
          <w:sz w:val="24"/>
          <w:szCs w:val="24"/>
          <w:lang w:val="lv-LV"/>
        </w:rPr>
        <w:t xml:space="preserve">VM sadarbībā ar </w:t>
      </w:r>
      <w:r w:rsidRPr="00BC16C8">
        <w:rPr>
          <w:sz w:val="24"/>
          <w:szCs w:val="24"/>
          <w:lang w:val="lv-LV"/>
        </w:rPr>
        <w:t>SPKC</w:t>
      </w:r>
      <w:r>
        <w:rPr>
          <w:sz w:val="24"/>
          <w:szCs w:val="24"/>
          <w:lang w:val="lv-LV"/>
        </w:rPr>
        <w:t>,</w:t>
      </w:r>
      <w:r w:rsidR="00B501C8">
        <w:rPr>
          <w:sz w:val="24"/>
          <w:szCs w:val="24"/>
          <w:lang w:val="lv-LV"/>
        </w:rPr>
        <w:t xml:space="preserve"> </w:t>
      </w:r>
      <w:r w:rsidRPr="00BC16C8">
        <w:rPr>
          <w:sz w:val="24"/>
          <w:szCs w:val="24"/>
          <w:lang w:val="lv-LV"/>
        </w:rPr>
        <w:t>Izglītības un zinātnes ministrij</w:t>
      </w:r>
      <w:r>
        <w:rPr>
          <w:sz w:val="24"/>
          <w:szCs w:val="24"/>
          <w:lang w:val="lv-LV"/>
        </w:rPr>
        <w:t>u un</w:t>
      </w:r>
      <w:r w:rsidRPr="00BC16C8">
        <w:rPr>
          <w:sz w:val="24"/>
          <w:szCs w:val="24"/>
          <w:lang w:val="lv-LV"/>
        </w:rPr>
        <w:t xml:space="preserve"> ar Pasaules Veselības organizācijas (turpmāk tekstā – PVO) atbalstu izstrādāja </w:t>
      </w:r>
      <w:r w:rsidRPr="00524D29">
        <w:rPr>
          <w:sz w:val="24"/>
          <w:szCs w:val="24"/>
          <w:lang w:val="lv-LV"/>
        </w:rPr>
        <w:t>Rekomendācijas politikas veidotājiem un īstenotājiem fizisko aktivitāšu v</w:t>
      </w:r>
      <w:r>
        <w:rPr>
          <w:sz w:val="24"/>
          <w:szCs w:val="24"/>
          <w:lang w:val="lv-LV"/>
        </w:rPr>
        <w:t>eicināšanai Latvijas iedzīvotājiem</w:t>
      </w:r>
      <w:r w:rsidRPr="00BC16C8">
        <w:rPr>
          <w:sz w:val="24"/>
          <w:szCs w:val="24"/>
          <w:lang w:val="lv-LV"/>
        </w:rPr>
        <w:t>, kas tiek plānot</w:t>
      </w:r>
      <w:r>
        <w:rPr>
          <w:sz w:val="24"/>
          <w:szCs w:val="24"/>
          <w:lang w:val="lv-LV"/>
        </w:rPr>
        <w:t>a</w:t>
      </w:r>
      <w:r w:rsidRPr="00BC16C8">
        <w:rPr>
          <w:sz w:val="24"/>
          <w:szCs w:val="24"/>
          <w:lang w:val="lv-LV"/>
        </w:rPr>
        <w:t xml:space="preserve">s kā galvenais ieteikumu dokuments  </w:t>
      </w:r>
      <w:r>
        <w:rPr>
          <w:sz w:val="24"/>
          <w:szCs w:val="24"/>
          <w:lang w:val="lv-LV"/>
        </w:rPr>
        <w:t>nacionālā</w:t>
      </w:r>
      <w:r w:rsidRPr="00BC16C8">
        <w:rPr>
          <w:sz w:val="24"/>
          <w:szCs w:val="24"/>
          <w:lang w:val="lv-LV"/>
        </w:rPr>
        <w:t xml:space="preserve"> un vietējā līmenī, lai nodrošinātu </w:t>
      </w:r>
      <w:r>
        <w:rPr>
          <w:sz w:val="24"/>
          <w:szCs w:val="24"/>
          <w:lang w:val="lv-LV"/>
        </w:rPr>
        <w:t>koordinētu un ilgtspējīgu</w:t>
      </w:r>
      <w:r w:rsidRPr="00BC16C8">
        <w:rPr>
          <w:sz w:val="24"/>
          <w:szCs w:val="24"/>
          <w:lang w:val="lv-LV"/>
        </w:rPr>
        <w:t xml:space="preserve"> politikas</w:t>
      </w:r>
      <w:r>
        <w:rPr>
          <w:sz w:val="24"/>
          <w:szCs w:val="24"/>
          <w:lang w:val="lv-LV"/>
        </w:rPr>
        <w:t xml:space="preserve"> plānošanu un</w:t>
      </w:r>
      <w:r w:rsidRPr="00BC16C8">
        <w:rPr>
          <w:sz w:val="24"/>
          <w:szCs w:val="24"/>
          <w:lang w:val="lv-LV"/>
        </w:rPr>
        <w:t xml:space="preserve"> īstenošanu Latvijā fizisko aktivitāšu veicināšana</w:t>
      </w:r>
      <w:r>
        <w:rPr>
          <w:sz w:val="24"/>
          <w:szCs w:val="24"/>
          <w:lang w:val="lv-LV"/>
        </w:rPr>
        <w:t>s jomā</w:t>
      </w:r>
      <w:r w:rsidRPr="00BC16C8">
        <w:rPr>
          <w:sz w:val="24"/>
          <w:szCs w:val="24"/>
          <w:lang w:val="lv-LV"/>
        </w:rPr>
        <w:t>.</w:t>
      </w:r>
      <w:r>
        <w:rPr>
          <w:sz w:val="24"/>
          <w:szCs w:val="24"/>
          <w:lang w:val="lv-LV"/>
        </w:rPr>
        <w:t xml:space="preserve"> </w:t>
      </w:r>
    </w:p>
    <w:p w:rsidR="002E4CF0" w:rsidRPr="00BC16C8" w:rsidP="002E4CF0">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Zemkopības ministrija sadarbībā ar citām ministrijām īstenoja </w:t>
      </w:r>
      <w:r w:rsidRPr="00BC16C8">
        <w:rPr>
          <w:sz w:val="24"/>
          <w:szCs w:val="24"/>
          <w:u w:val="single"/>
          <w:lang w:val="lv-LV"/>
        </w:rPr>
        <w:t xml:space="preserve">ES </w:t>
      </w:r>
      <w:r>
        <w:rPr>
          <w:sz w:val="24"/>
          <w:szCs w:val="24"/>
          <w:u w:val="single"/>
          <w:lang w:val="lv-LV"/>
        </w:rPr>
        <w:t xml:space="preserve">atbalsta programmu skolu apgādei ar </w:t>
      </w:r>
      <w:r w:rsidRPr="00BC16C8">
        <w:rPr>
          <w:sz w:val="24"/>
          <w:szCs w:val="24"/>
          <w:u w:val="single"/>
          <w:lang w:val="lv-LV"/>
        </w:rPr>
        <w:t>pien</w:t>
      </w:r>
      <w:r>
        <w:rPr>
          <w:sz w:val="24"/>
          <w:szCs w:val="24"/>
          <w:u w:val="single"/>
          <w:lang w:val="lv-LV"/>
        </w:rPr>
        <w:t>u</w:t>
      </w:r>
      <w:r w:rsidRPr="00BC16C8">
        <w:rPr>
          <w:sz w:val="24"/>
          <w:szCs w:val="24"/>
          <w:u w:val="single"/>
          <w:lang w:val="lv-LV"/>
        </w:rPr>
        <w:t>, augļ</w:t>
      </w:r>
      <w:r>
        <w:rPr>
          <w:sz w:val="24"/>
          <w:szCs w:val="24"/>
          <w:u w:val="single"/>
          <w:lang w:val="lv-LV"/>
        </w:rPr>
        <w:t>iem</w:t>
      </w:r>
      <w:r w:rsidRPr="00BC16C8">
        <w:rPr>
          <w:sz w:val="24"/>
          <w:szCs w:val="24"/>
          <w:u w:val="single"/>
          <w:lang w:val="lv-LV"/>
        </w:rPr>
        <w:t xml:space="preserve"> un dārzeņ</w:t>
      </w:r>
      <w:r>
        <w:rPr>
          <w:sz w:val="24"/>
          <w:szCs w:val="24"/>
          <w:u w:val="single"/>
          <w:lang w:val="lv-LV"/>
        </w:rPr>
        <w:t>iem</w:t>
      </w:r>
      <w:r w:rsidRPr="00BC16C8">
        <w:rPr>
          <w:sz w:val="24"/>
          <w:szCs w:val="24"/>
          <w:lang w:val="lv-LV"/>
        </w:rPr>
        <w:t>.</w:t>
      </w:r>
    </w:p>
    <w:p w:rsidR="002E4CF0" w:rsidRPr="00BC16C8" w:rsidP="002E4CF0">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2013.gadā tika uzsākta sabiedrības informēšanas </w:t>
      </w:r>
      <w:r w:rsidRPr="00BC16C8">
        <w:rPr>
          <w:sz w:val="24"/>
          <w:szCs w:val="24"/>
          <w:u w:val="single"/>
          <w:lang w:val="lv-LV"/>
        </w:rPr>
        <w:t>kampaņa par sirds un asinsvadu slimību risku faktoriem “Mīli savu sirdi”</w:t>
      </w:r>
      <w:r w:rsidRPr="00BC16C8">
        <w:rPr>
          <w:sz w:val="24"/>
          <w:szCs w:val="24"/>
          <w:lang w:val="lv-LV"/>
        </w:rPr>
        <w:t xml:space="preserve">, kura turpinājās arī 2017.gadā. Tās ietvaros </w:t>
      </w:r>
      <w:r>
        <w:rPr>
          <w:sz w:val="24"/>
          <w:szCs w:val="24"/>
          <w:lang w:val="lv-LV"/>
        </w:rPr>
        <w:t>, tai skaitā</w:t>
      </w:r>
      <w:r w:rsidR="00B501C8">
        <w:rPr>
          <w:sz w:val="24"/>
          <w:szCs w:val="24"/>
          <w:lang w:val="lv-LV"/>
        </w:rPr>
        <w:t xml:space="preserve"> </w:t>
      </w:r>
      <w:r w:rsidRPr="00BC16C8">
        <w:rPr>
          <w:sz w:val="24"/>
          <w:szCs w:val="24"/>
          <w:lang w:val="lv-LV"/>
        </w:rPr>
        <w:t xml:space="preserve">tika izplatītas sirdij draudzīgu ēdienu receptes un citi informatīvi materiāli par veselīgu un sirdij draudzīgu </w:t>
      </w:r>
      <w:r>
        <w:rPr>
          <w:sz w:val="24"/>
          <w:szCs w:val="24"/>
          <w:lang w:val="lv-LV"/>
        </w:rPr>
        <w:t>uzturu</w:t>
      </w:r>
      <w:r w:rsidRPr="00BC16C8">
        <w:rPr>
          <w:sz w:val="24"/>
          <w:szCs w:val="24"/>
          <w:lang w:val="lv-LV"/>
        </w:rPr>
        <w:t xml:space="preserve">. </w:t>
      </w:r>
    </w:p>
    <w:p w:rsidR="002E4CF0" w:rsidRPr="00BC16C8" w:rsidP="002E4CF0">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2016. un 2017.gadā SPKC organizēja apmēram 530 mācību pasākumus par </w:t>
      </w:r>
      <w:r w:rsidRPr="00BC16C8">
        <w:rPr>
          <w:sz w:val="24"/>
          <w:szCs w:val="24"/>
          <w:u w:val="single"/>
          <w:lang w:val="lv-LV"/>
        </w:rPr>
        <w:t>personīgo higiēnu</w:t>
      </w:r>
      <w:r w:rsidRPr="00BC16C8">
        <w:rPr>
          <w:sz w:val="24"/>
          <w:szCs w:val="24"/>
          <w:lang w:val="lv-LV"/>
        </w:rPr>
        <w:t xml:space="preserve"> un roku mazgāšanu bērnudārzos un pamatskolās (1.-2.klasē).</w:t>
      </w:r>
    </w:p>
    <w:p w:rsidR="002E4CF0" w:rsidP="002E4CF0">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2017.gadā SPKC organizēja apmēram 1216 mācību pasākumus par </w:t>
      </w:r>
      <w:r w:rsidRPr="00BC16C8">
        <w:rPr>
          <w:sz w:val="24"/>
          <w:szCs w:val="24"/>
          <w:u w:val="single"/>
          <w:lang w:val="lv-LV"/>
        </w:rPr>
        <w:t>mutes dobuma labu higiēnu</w:t>
      </w:r>
      <w:r w:rsidRPr="00BC16C8">
        <w:rPr>
          <w:sz w:val="24"/>
          <w:szCs w:val="24"/>
          <w:lang w:val="lv-LV"/>
        </w:rPr>
        <w:t xml:space="preserve"> un zobu veselību bērnudārziem un pamatskolām (1.-2. klasē).</w:t>
      </w:r>
    </w:p>
    <w:p w:rsidR="007C198B" w:rsidRPr="00F55684" w:rsidP="007C198B">
      <w:pPr>
        <w:pStyle w:val="ListParagraph"/>
        <w:numPr>
          <w:ilvl w:val="0"/>
          <w:numId w:val="51"/>
        </w:numPr>
        <w:tabs>
          <w:tab w:val="clear" w:pos="850"/>
          <w:tab w:val="clear" w:pos="1191"/>
          <w:tab w:val="clear" w:pos="1531"/>
        </w:tabs>
        <w:ind w:left="709" w:hanging="709"/>
        <w:rPr>
          <w:rFonts w:eastAsia="MS Mincho"/>
          <w:color w:val="171717" w:themeColor="background2" w:themeShade="1A"/>
          <w:sz w:val="24"/>
          <w:szCs w:val="24"/>
          <w:lang w:val="lv-LV" w:eastAsia="ja-JP"/>
        </w:rPr>
      </w:pPr>
      <w:r w:rsidRPr="00F55684">
        <w:rPr>
          <w:rFonts w:eastAsia="MS Mincho"/>
          <w:color w:val="171717" w:themeColor="background2" w:themeShade="1A"/>
          <w:sz w:val="24"/>
          <w:szCs w:val="24"/>
          <w:lang w:val="lv-LV" w:eastAsia="ja-JP"/>
        </w:rPr>
        <w:t>Programma pirmsskolas un sākumskolas vecuma bērniem Latvijā par mutes un zobu veselības veicināšanu saistībā ar veselīga uztura paradumiem</w:t>
      </w:r>
    </w:p>
    <w:p w:rsidR="007C198B" w:rsidRPr="00F55684" w:rsidP="007C198B">
      <w:pPr>
        <w:pStyle w:val="ListParagraph"/>
        <w:numPr>
          <w:ilvl w:val="0"/>
          <w:numId w:val="51"/>
        </w:numPr>
        <w:tabs>
          <w:tab w:val="clear" w:pos="850"/>
          <w:tab w:val="clear" w:pos="1191"/>
          <w:tab w:val="clear" w:pos="1531"/>
        </w:tabs>
        <w:ind w:left="709" w:hanging="709"/>
        <w:rPr>
          <w:rFonts w:eastAsia="MS Mincho"/>
          <w:color w:val="171717" w:themeColor="background2" w:themeShade="1A"/>
          <w:sz w:val="24"/>
          <w:szCs w:val="24"/>
          <w:lang w:val="lv-LV" w:eastAsia="ja-JP"/>
        </w:rPr>
      </w:pPr>
      <w:r w:rsidRPr="00F55684">
        <w:rPr>
          <w:rFonts w:eastAsia="MS Mincho"/>
          <w:color w:val="171717" w:themeColor="background2" w:themeShade="1A"/>
          <w:sz w:val="24"/>
          <w:szCs w:val="24"/>
          <w:lang w:val="lv-LV" w:eastAsia="ja-JP"/>
        </w:rPr>
        <w:t>12 semināri 300 pirmsskolas un sākumskolas izglītības iestāžu pedagogiem par mutes un zobu veselības veicināšanu saistībā ar veselīga uztura paradumiem</w:t>
      </w:r>
    </w:p>
    <w:p w:rsidR="007C198B" w:rsidRPr="00F55684" w:rsidP="007C198B">
      <w:pPr>
        <w:pStyle w:val="ListParagraph"/>
        <w:numPr>
          <w:ilvl w:val="0"/>
          <w:numId w:val="51"/>
        </w:numPr>
        <w:tabs>
          <w:tab w:val="clear" w:pos="850"/>
          <w:tab w:val="clear" w:pos="1191"/>
          <w:tab w:val="clear" w:pos="1531"/>
        </w:tabs>
        <w:ind w:left="709" w:hanging="709"/>
        <w:rPr>
          <w:rFonts w:eastAsia="MS Mincho"/>
          <w:color w:val="171717" w:themeColor="background2" w:themeShade="1A"/>
          <w:sz w:val="24"/>
          <w:szCs w:val="24"/>
          <w:lang w:val="lv-LV" w:eastAsia="ja-JP"/>
        </w:rPr>
      </w:pPr>
      <w:r w:rsidRPr="00F55684">
        <w:rPr>
          <w:rFonts w:eastAsia="MS Mincho"/>
          <w:color w:val="171717" w:themeColor="background2" w:themeShade="1A"/>
          <w:sz w:val="24"/>
          <w:szCs w:val="24"/>
          <w:lang w:val="lv-LV" w:eastAsia="ja-JP"/>
        </w:rPr>
        <w:t>Apmācības 1200 izglītības iestāžu pedagogiem par veselības izglītības jautājumiem;</w:t>
      </w:r>
    </w:p>
    <w:p w:rsidR="007C198B" w:rsidRPr="00F55684" w:rsidP="007C198B">
      <w:pPr>
        <w:pStyle w:val="ListParagraph"/>
        <w:numPr>
          <w:ilvl w:val="0"/>
          <w:numId w:val="51"/>
        </w:numPr>
        <w:tabs>
          <w:tab w:val="clear" w:pos="850"/>
          <w:tab w:val="clear" w:pos="1191"/>
          <w:tab w:val="clear" w:pos="1531"/>
        </w:tabs>
        <w:ind w:left="709" w:hanging="709"/>
        <w:rPr>
          <w:sz w:val="24"/>
          <w:szCs w:val="24"/>
          <w:lang w:val="lv-LV"/>
        </w:rPr>
      </w:pPr>
      <w:r w:rsidRPr="00F55684">
        <w:rPr>
          <w:rFonts w:eastAsia="MS Mincho"/>
          <w:color w:val="171717" w:themeColor="background2" w:themeShade="1A"/>
          <w:sz w:val="24"/>
          <w:szCs w:val="24"/>
          <w:lang w:val="lv-LV" w:eastAsia="ja-JP"/>
        </w:rPr>
        <w:t>Semināri izglītības  un sociālo iestāžu ēdināšanas uzņēmumos strādājošiem pavāriem, pārtikas tehnologiem u.c. speciālistiem, kā arī sociālās aprūpes un sociālās rehabilitācijas institūciju (jauniešu māju un SOS ciematu) darbiniekiem un klientiem par veselīga uztura jautājumiem</w:t>
      </w:r>
    </w:p>
    <w:p w:rsidR="002E4CF0" w:rsidRPr="00BC16C8" w:rsidP="002E4CF0">
      <w:pPr>
        <w:pStyle w:val="ListParagraph"/>
        <w:numPr>
          <w:ilvl w:val="0"/>
          <w:numId w:val="51"/>
        </w:numPr>
        <w:tabs>
          <w:tab w:val="clear" w:pos="850"/>
          <w:tab w:val="clear" w:pos="1191"/>
          <w:tab w:val="clear" w:pos="1531"/>
        </w:tabs>
        <w:ind w:left="709" w:hanging="709"/>
        <w:rPr>
          <w:sz w:val="24"/>
          <w:szCs w:val="24"/>
          <w:lang w:val="lv-LV"/>
        </w:rPr>
      </w:pPr>
      <w:r>
        <w:rPr>
          <w:sz w:val="24"/>
          <w:szCs w:val="24"/>
          <w:lang w:val="lv-LV"/>
        </w:rPr>
        <w:t xml:space="preserve">2016.gadā </w:t>
      </w:r>
      <w:r w:rsidRPr="00BC16C8">
        <w:rPr>
          <w:sz w:val="24"/>
          <w:szCs w:val="24"/>
          <w:lang w:val="lv-LV"/>
        </w:rPr>
        <w:t>SPKC organizēja 26 izglītības pasākumus par barošanu ar krūti grūtniecēm un jauniem vecākiem.</w:t>
      </w:r>
    </w:p>
    <w:p w:rsidR="002E4CF0" w:rsidRPr="00BC16C8" w:rsidP="002E4CF0">
      <w:pPr>
        <w:pStyle w:val="ListParagraph"/>
        <w:numPr>
          <w:ilvl w:val="0"/>
          <w:numId w:val="51"/>
        </w:numPr>
        <w:tabs>
          <w:tab w:val="clear" w:pos="850"/>
          <w:tab w:val="clear" w:pos="1191"/>
          <w:tab w:val="clear" w:pos="1531"/>
        </w:tabs>
        <w:ind w:left="709" w:hanging="709"/>
        <w:rPr>
          <w:sz w:val="24"/>
          <w:szCs w:val="24"/>
          <w:lang w:val="lv-LV"/>
        </w:rPr>
      </w:pPr>
      <w:r w:rsidRPr="00BC16C8">
        <w:rPr>
          <w:sz w:val="24"/>
          <w:szCs w:val="24"/>
          <w:lang w:val="lv-LV"/>
        </w:rPr>
        <w:t xml:space="preserve">2016.gadā SPKC organizēja 30 seminārus skolotājiem par </w:t>
      </w:r>
      <w:r w:rsidRPr="00BC16C8">
        <w:rPr>
          <w:sz w:val="24"/>
          <w:szCs w:val="24"/>
          <w:u w:val="single"/>
          <w:lang w:val="lv-LV"/>
        </w:rPr>
        <w:t>profesionālo izdegšanu</w:t>
      </w:r>
      <w:r w:rsidRPr="00BC16C8">
        <w:rPr>
          <w:sz w:val="24"/>
          <w:szCs w:val="24"/>
          <w:lang w:val="lv-LV"/>
        </w:rPr>
        <w:t>, kā arī par pozitīv</w:t>
      </w:r>
      <w:r>
        <w:rPr>
          <w:sz w:val="24"/>
          <w:szCs w:val="24"/>
          <w:lang w:val="lv-LV"/>
        </w:rPr>
        <w:t>u</w:t>
      </w:r>
      <w:r w:rsidRPr="00BC16C8">
        <w:rPr>
          <w:sz w:val="24"/>
          <w:szCs w:val="24"/>
          <w:lang w:val="lv-LV"/>
        </w:rPr>
        <w:t xml:space="preserve"> </w:t>
      </w:r>
      <w:r>
        <w:rPr>
          <w:sz w:val="24"/>
          <w:szCs w:val="24"/>
          <w:lang w:val="lv-LV"/>
        </w:rPr>
        <w:t xml:space="preserve">savstarpējo </w:t>
      </w:r>
      <w:r w:rsidRPr="00BC16C8">
        <w:rPr>
          <w:sz w:val="24"/>
          <w:szCs w:val="24"/>
          <w:lang w:val="lv-LV"/>
        </w:rPr>
        <w:t>attiecību starp skolēniem nozīmi.</w:t>
      </w:r>
    </w:p>
    <w:p w:rsidR="002E4CF0" w:rsidRPr="00BC16C8" w:rsidP="002E4CF0">
      <w:pPr>
        <w:tabs>
          <w:tab w:val="clear" w:pos="850"/>
          <w:tab w:val="clear" w:pos="1191"/>
          <w:tab w:val="clear" w:pos="1531"/>
        </w:tabs>
        <w:rPr>
          <w:sz w:val="24"/>
          <w:szCs w:val="24"/>
          <w:lang w:val="lv-LV"/>
        </w:rPr>
      </w:pPr>
    </w:p>
    <w:p w:rsidR="002E4CF0" w:rsidRPr="00BC16C8" w:rsidP="002E4CF0">
      <w:pPr>
        <w:pStyle w:val="ListParagraph"/>
        <w:tabs>
          <w:tab w:val="clear" w:pos="850"/>
          <w:tab w:val="clear" w:pos="1191"/>
          <w:tab w:val="clear" w:pos="1531"/>
        </w:tabs>
        <w:ind w:left="0" w:firstLine="709"/>
        <w:rPr>
          <w:sz w:val="24"/>
          <w:szCs w:val="24"/>
          <w:lang w:val="lv-LV"/>
        </w:rPr>
      </w:pPr>
      <w:r w:rsidRPr="00BC16C8">
        <w:rPr>
          <w:sz w:val="24"/>
          <w:szCs w:val="24"/>
          <w:lang w:val="lv-LV"/>
        </w:rPr>
        <w:t>Kā daļ</w:t>
      </w:r>
      <w:r>
        <w:rPr>
          <w:sz w:val="24"/>
          <w:szCs w:val="24"/>
          <w:lang w:val="lv-LV"/>
        </w:rPr>
        <w:t>u</w:t>
      </w:r>
      <w:r w:rsidRPr="00BC16C8">
        <w:rPr>
          <w:sz w:val="24"/>
          <w:szCs w:val="24"/>
          <w:lang w:val="lv-LV"/>
        </w:rPr>
        <w:t xml:space="preserve"> no minētajiem valsts mēroga veselības veicināšanas un profilakses pasākumiem turpmākajos gados ir plānots sabiedrības informēšanas kampaņas par </w:t>
      </w:r>
      <w:r w:rsidRPr="00BC16C8">
        <w:rPr>
          <w:sz w:val="24"/>
          <w:szCs w:val="24"/>
          <w:u w:val="single"/>
          <w:lang w:val="lv-LV"/>
        </w:rPr>
        <w:t>smēķēšanas un alkohola patēriņa samazināšanu</w:t>
      </w:r>
      <w:r w:rsidRPr="00BC16C8">
        <w:rPr>
          <w:sz w:val="24"/>
          <w:szCs w:val="24"/>
          <w:lang w:val="lv-LV"/>
        </w:rPr>
        <w:t>. Īpašās mērķa grupas šajās kampaņās būs jaunieši.</w:t>
      </w:r>
    </w:p>
    <w:p w:rsidR="002E4CF0" w:rsidRPr="00BC16C8" w:rsidP="002E4CF0">
      <w:pPr>
        <w:pStyle w:val="ListParagraph"/>
        <w:rPr>
          <w:color w:val="7030A0"/>
          <w:sz w:val="24"/>
          <w:szCs w:val="24"/>
          <w:lang w:val="lv-LV"/>
        </w:rPr>
      </w:pPr>
    </w:p>
    <w:p w:rsidR="002E4CF0" w:rsidRPr="00BC16C8" w:rsidP="002E4CF0">
      <w:pPr>
        <w:tabs>
          <w:tab w:val="clear" w:pos="850"/>
          <w:tab w:val="clear" w:pos="1191"/>
          <w:tab w:val="clear" w:pos="1531"/>
        </w:tabs>
        <w:rPr>
          <w:sz w:val="24"/>
          <w:szCs w:val="24"/>
          <w:u w:val="single"/>
          <w:lang w:val="lv-LV"/>
        </w:rPr>
      </w:pPr>
      <w:r w:rsidRPr="00BC16C8">
        <w:rPr>
          <w:sz w:val="24"/>
          <w:szCs w:val="24"/>
          <w:u w:val="single"/>
          <w:lang w:val="lv-LV"/>
        </w:rPr>
        <w:t>Dažas no intervencēm smēķēšanas samazināšanai:</w:t>
      </w:r>
    </w:p>
    <w:p w:rsidR="002E4CF0" w:rsidRPr="007B0082" w:rsidP="002E4CF0">
      <w:pPr>
        <w:pStyle w:val="Num-DocParagraph"/>
        <w:numPr>
          <w:ilvl w:val="0"/>
          <w:numId w:val="54"/>
        </w:numPr>
        <w:tabs>
          <w:tab w:val="clear" w:pos="850"/>
          <w:tab w:val="clear" w:pos="1191"/>
          <w:tab w:val="clear" w:pos="1531"/>
        </w:tabs>
        <w:spacing w:after="0"/>
        <w:ind w:hanging="720"/>
        <w:rPr>
          <w:sz w:val="24"/>
          <w:szCs w:val="24"/>
          <w:lang w:val="lv-LV"/>
        </w:rPr>
      </w:pPr>
      <w:r w:rsidRPr="007B0082">
        <w:rPr>
          <w:sz w:val="24"/>
          <w:szCs w:val="24"/>
          <w:lang w:val="lv-LV"/>
        </w:rPr>
        <w:t xml:space="preserve">Kopš 2015. gada SPKC darbojas konsultatīvais tālrunis smēķēšanas atmešanai un kopš 2016.gada 20.maija šīs līnijas numurs ir norādīts uz katra smēķēšanai paredzētā tabakas izstrādājuma iepakojuma. 2016.gada 20.maijā stājās spēkā jaunais </w:t>
      </w:r>
      <w:r w:rsidRPr="007B0082">
        <w:rPr>
          <w:i/>
          <w:sz w:val="24"/>
          <w:szCs w:val="24"/>
          <w:lang w:val="lv-LV"/>
        </w:rPr>
        <w:t xml:space="preserve">Tabakas izstrādājumu, augu smēķēšanas produktu, elektronisko smēķēšanas ierīču un to šķidrumu aprites likums </w:t>
      </w:r>
      <w:r w:rsidRPr="007B0082">
        <w:rPr>
          <w:sz w:val="24"/>
          <w:szCs w:val="24"/>
          <w:lang w:val="lv-LV"/>
        </w:rPr>
        <w:t>(turpmāk - Tabakas likums), ar kuru arī tika pārņemtas Direktīvas 2014/40/EK prasības.</w:t>
      </w:r>
    </w:p>
    <w:p w:rsidR="002E4CF0" w:rsidP="002E4CF0">
      <w:pPr>
        <w:pStyle w:val="ListParagraph"/>
        <w:numPr>
          <w:ilvl w:val="0"/>
          <w:numId w:val="54"/>
        </w:numPr>
        <w:tabs>
          <w:tab w:val="clear" w:pos="850"/>
          <w:tab w:val="clear" w:pos="1191"/>
          <w:tab w:val="clear" w:pos="1531"/>
        </w:tabs>
        <w:ind w:hanging="720"/>
        <w:rPr>
          <w:sz w:val="24"/>
          <w:szCs w:val="24"/>
          <w:lang w:val="lv-LV"/>
        </w:rPr>
      </w:pPr>
      <w:r w:rsidRPr="00BC16C8">
        <w:rPr>
          <w:sz w:val="24"/>
          <w:szCs w:val="24"/>
          <w:lang w:val="lv-LV"/>
        </w:rPr>
        <w:t>2017.gadā Saeimā tika iesniegt</w:t>
      </w:r>
      <w:r>
        <w:rPr>
          <w:sz w:val="24"/>
          <w:szCs w:val="24"/>
          <w:lang w:val="lv-LV"/>
        </w:rPr>
        <w:t>s</w:t>
      </w:r>
      <w:r w:rsidRPr="00BC16C8">
        <w:rPr>
          <w:sz w:val="24"/>
          <w:szCs w:val="24"/>
          <w:lang w:val="lv-LV"/>
        </w:rPr>
        <w:t xml:space="preserve"> Tabakas likuma </w:t>
      </w:r>
      <w:r w:rsidRPr="00BC16C8">
        <w:rPr>
          <w:sz w:val="24"/>
          <w:szCs w:val="24"/>
          <w:u w:val="single"/>
          <w:lang w:val="lv-LV"/>
        </w:rPr>
        <w:t>grozījumu</w:t>
      </w:r>
      <w:r w:rsidRPr="00BC16C8">
        <w:rPr>
          <w:sz w:val="24"/>
          <w:szCs w:val="24"/>
          <w:lang w:val="lv-LV"/>
        </w:rPr>
        <w:t xml:space="preserve"> projekts, uzliekot stingrākus ierobežojumus, tostarp aizliegumu ražot un laist tirgū nepilngadīgajiem pievilcīgus priekšmetus, kas vizuāli atgādina cigaretes un var radīt interesi nepilngadīgām personām smēķēt.</w:t>
      </w:r>
    </w:p>
    <w:p w:rsidR="007C198B" w:rsidRPr="00F55684" w:rsidP="007C198B">
      <w:pPr>
        <w:pStyle w:val="ListParagraph"/>
        <w:numPr>
          <w:ilvl w:val="0"/>
          <w:numId w:val="54"/>
        </w:numPr>
        <w:rPr>
          <w:rFonts w:eastAsia="MS Mincho"/>
          <w:color w:val="171717" w:themeColor="background2" w:themeShade="1A"/>
          <w:sz w:val="24"/>
          <w:szCs w:val="24"/>
          <w:lang w:val="lv-LV" w:eastAsia="ja-JP"/>
        </w:rPr>
      </w:pPr>
      <w:r w:rsidRPr="00F55684">
        <w:rPr>
          <w:rFonts w:eastAsia="MS Mincho"/>
          <w:color w:val="171717" w:themeColor="background2" w:themeShade="1A"/>
          <w:sz w:val="24"/>
          <w:szCs w:val="24"/>
          <w:lang w:val="lv-LV" w:eastAsia="ja-JP"/>
        </w:rPr>
        <w:t>2017.g. uzsākts Pilotprojekts smēķēšanas atmešanai, kura ietvaros Kopumā organizētas 50 smēķēšanas atmešanas grupas,  sagatavoti: Rīcības rokasgrāmata grupas vadītājiem - 150 eksemplāri, Metodiskā rokasgrāmata ārstiem - 2500 eksemplāri,  rokasgrāmata atbalsta grupu dalībniekiem 1100 eksemplāri.</w:t>
      </w:r>
    </w:p>
    <w:p w:rsidR="007C198B" w:rsidRPr="00ED3A6D" w:rsidP="00ED3A6D">
      <w:pPr>
        <w:tabs>
          <w:tab w:val="clear" w:pos="850"/>
          <w:tab w:val="clear" w:pos="1191"/>
          <w:tab w:val="clear" w:pos="1531"/>
        </w:tabs>
        <w:ind w:left="360"/>
        <w:rPr>
          <w:sz w:val="24"/>
          <w:szCs w:val="24"/>
          <w:lang w:val="lv-LV"/>
        </w:rPr>
      </w:pPr>
    </w:p>
    <w:p w:rsidR="002E4CF0" w:rsidRPr="00BC16C8" w:rsidP="002E4CF0">
      <w:pPr>
        <w:pStyle w:val="ListParagraph"/>
        <w:ind w:left="0"/>
        <w:rPr>
          <w:b/>
          <w:sz w:val="24"/>
          <w:szCs w:val="24"/>
          <w:u w:val="single"/>
          <w:lang w:val="lv-LV"/>
        </w:rPr>
      </w:pPr>
    </w:p>
    <w:p w:rsidR="002E4CF0" w:rsidRPr="00BC16C8" w:rsidP="009F4A45">
      <w:pPr>
        <w:tabs>
          <w:tab w:val="clear" w:pos="850"/>
          <w:tab w:val="clear" w:pos="1191"/>
          <w:tab w:val="clear" w:pos="1531"/>
        </w:tabs>
        <w:ind w:firstLine="709"/>
        <w:rPr>
          <w:sz w:val="24"/>
          <w:szCs w:val="24"/>
          <w:lang w:val="lv-LV"/>
        </w:rPr>
      </w:pPr>
      <w:r w:rsidRPr="00BC16C8">
        <w:rPr>
          <w:sz w:val="24"/>
          <w:szCs w:val="24"/>
          <w:lang w:val="lv-LV"/>
        </w:rPr>
        <w:t xml:space="preserve">Attiecībā uz </w:t>
      </w:r>
      <w:r w:rsidRPr="00BC16C8">
        <w:rPr>
          <w:sz w:val="24"/>
          <w:szCs w:val="24"/>
          <w:u w:val="single"/>
          <w:lang w:val="lv-LV"/>
        </w:rPr>
        <w:t>alkohola lietošanas samazināšanu</w:t>
      </w:r>
      <w:r w:rsidRPr="00BC16C8">
        <w:rPr>
          <w:sz w:val="24"/>
          <w:szCs w:val="24"/>
          <w:lang w:val="lv-LV"/>
        </w:rPr>
        <w:t xml:space="preserve">, no 2018.gada 1.aprīļa </w:t>
      </w:r>
      <w:r w:rsidRPr="00BC16C8">
        <w:rPr>
          <w:sz w:val="24"/>
          <w:szCs w:val="24"/>
          <w:u w:val="single"/>
          <w:lang w:val="lv-LV"/>
        </w:rPr>
        <w:t>alkoholisko dzērienu pudeles maksimālais tilpums</w:t>
      </w:r>
      <w:r w:rsidRPr="00BC16C8">
        <w:rPr>
          <w:sz w:val="24"/>
          <w:szCs w:val="24"/>
          <w:lang w:val="lv-LV"/>
        </w:rPr>
        <w:t xml:space="preserve"> nedrīkst pārsniegt 1 litru, j</w:t>
      </w:r>
      <w:r w:rsidR="009F4A45">
        <w:rPr>
          <w:sz w:val="24"/>
          <w:szCs w:val="24"/>
          <w:lang w:val="lv-LV"/>
        </w:rPr>
        <w:t xml:space="preserve">a alkohola saturs ir līdz 5,8% vai </w:t>
      </w:r>
      <w:r w:rsidRPr="00BC16C8">
        <w:rPr>
          <w:sz w:val="24"/>
          <w:szCs w:val="24"/>
          <w:lang w:val="lv-LV"/>
        </w:rPr>
        <w:t>0,5 litrus, ja alkohola saturs pārsniedz 5,8%</w:t>
      </w:r>
      <w:r w:rsidR="008E0855">
        <w:rPr>
          <w:sz w:val="24"/>
          <w:szCs w:val="24"/>
          <w:lang w:val="lv-LV"/>
        </w:rPr>
        <w:t xml:space="preserve"> </w:t>
      </w:r>
      <w:r w:rsidR="009F4A45">
        <w:rPr>
          <w:sz w:val="24"/>
          <w:szCs w:val="24"/>
          <w:lang w:val="lv-LV"/>
        </w:rPr>
        <w:t>(neattiecas alkoholisko dzērienu iepakojuma no stikla, keramikas, koka, metāla vai kompleksā iepakojuma, kas sastāv no polimēra vai lamināta maisa, kas iepakots kartona kastē)</w:t>
      </w:r>
      <w:r w:rsidRPr="00BC16C8">
        <w:rPr>
          <w:sz w:val="24"/>
          <w:szCs w:val="24"/>
          <w:lang w:val="lv-LV"/>
        </w:rPr>
        <w:t xml:space="preserve">. </w:t>
      </w:r>
    </w:p>
    <w:p w:rsidR="00E62C6E" w:rsidRPr="00BC16C8" w:rsidP="00E62C6E">
      <w:pPr>
        <w:rPr>
          <w:sz w:val="24"/>
          <w:szCs w:val="24"/>
          <w:u w:val="single"/>
          <w:lang w:val="lv-LV"/>
        </w:rPr>
      </w:pPr>
    </w:p>
    <w:p w:rsidR="00C15658" w:rsidRPr="00BC16C8" w:rsidP="0096056F">
      <w:pPr>
        <w:tabs>
          <w:tab w:val="clear" w:pos="850"/>
          <w:tab w:val="clear" w:pos="1191"/>
          <w:tab w:val="clear" w:pos="1531"/>
        </w:tabs>
        <w:ind w:firstLine="709"/>
        <w:rPr>
          <w:sz w:val="24"/>
          <w:szCs w:val="24"/>
          <w:lang w:val="lv-LV"/>
        </w:rPr>
      </w:pPr>
      <w:r w:rsidRPr="00BC16C8">
        <w:rPr>
          <w:sz w:val="24"/>
          <w:szCs w:val="24"/>
          <w:lang w:val="lv-LV"/>
        </w:rPr>
        <w:t xml:space="preserve">Attiecībā uz </w:t>
      </w:r>
      <w:r w:rsidRPr="00B501C8">
        <w:rPr>
          <w:sz w:val="24"/>
          <w:szCs w:val="24"/>
          <w:u w:val="single"/>
          <w:lang w:val="lv-LV"/>
        </w:rPr>
        <w:t>farmaceitisko profilaktisko aprūpi</w:t>
      </w:r>
      <w:r w:rsidRPr="00BC16C8">
        <w:rPr>
          <w:sz w:val="24"/>
          <w:szCs w:val="24"/>
          <w:lang w:val="lv-LV"/>
        </w:rPr>
        <w:t xml:space="preserve">, jāatzīmē, ka sākot ar 2016.gada 1.janvāri, aptieka var piedāvāt klientiem </w:t>
      </w:r>
      <w:r w:rsidRPr="00BC16C8" w:rsidR="00A220C4">
        <w:rPr>
          <w:sz w:val="24"/>
          <w:szCs w:val="24"/>
          <w:lang w:val="lv-LV"/>
        </w:rPr>
        <w:t xml:space="preserve">izmērīt </w:t>
      </w:r>
      <w:r w:rsidRPr="00BC16C8">
        <w:rPr>
          <w:sz w:val="24"/>
          <w:szCs w:val="24"/>
          <w:lang w:val="lv-LV"/>
        </w:rPr>
        <w:t xml:space="preserve">holesterīna, </w:t>
      </w:r>
      <w:r w:rsidRPr="00BC16C8">
        <w:rPr>
          <w:sz w:val="24"/>
          <w:szCs w:val="24"/>
          <w:lang w:val="lv-LV"/>
        </w:rPr>
        <w:t>triglicerīdu</w:t>
      </w:r>
      <w:r w:rsidRPr="00BC16C8">
        <w:rPr>
          <w:sz w:val="24"/>
          <w:szCs w:val="24"/>
          <w:lang w:val="lv-LV"/>
        </w:rPr>
        <w:t xml:space="preserve"> un glikozes </w:t>
      </w:r>
      <w:r w:rsidRPr="00BC16C8" w:rsidR="00A220C4">
        <w:rPr>
          <w:sz w:val="24"/>
          <w:szCs w:val="24"/>
          <w:lang w:val="lv-LV"/>
        </w:rPr>
        <w:t>līmeni</w:t>
      </w:r>
      <w:r w:rsidRPr="00BC16C8">
        <w:rPr>
          <w:sz w:val="24"/>
          <w:szCs w:val="24"/>
          <w:lang w:val="lv-LV"/>
        </w:rPr>
        <w:t xml:space="preserve"> asinīs, pulsa ātrumu un asinsspiedienu, kā arī svara / ķermeņa masas indeksu. Tas veicina farmaceita lomu, sniedzot atbalstu pacientu </w:t>
      </w:r>
      <w:r w:rsidRPr="00BC16C8" w:rsidR="00A220C4">
        <w:rPr>
          <w:sz w:val="24"/>
          <w:szCs w:val="24"/>
          <w:lang w:val="lv-LV"/>
        </w:rPr>
        <w:t>pašaprūp</w:t>
      </w:r>
      <w:r w:rsidR="001F6BA4">
        <w:rPr>
          <w:sz w:val="24"/>
          <w:szCs w:val="24"/>
          <w:lang w:val="lv-LV"/>
        </w:rPr>
        <w:t>e</w:t>
      </w:r>
      <w:r w:rsidRPr="00BC16C8" w:rsidR="00A220C4">
        <w:rPr>
          <w:sz w:val="24"/>
          <w:szCs w:val="24"/>
          <w:lang w:val="lv-LV"/>
        </w:rPr>
        <w:t>i</w:t>
      </w:r>
      <w:r w:rsidRPr="00BC16C8">
        <w:rPr>
          <w:sz w:val="24"/>
          <w:szCs w:val="24"/>
          <w:lang w:val="lv-LV"/>
        </w:rPr>
        <w:t xml:space="preserve"> un primārās veselības aprūpes nostiprināšanā.</w:t>
      </w:r>
    </w:p>
    <w:p w:rsidR="009F7C52" w:rsidRPr="00BC16C8" w:rsidP="0096056F">
      <w:pPr>
        <w:tabs>
          <w:tab w:val="clear" w:pos="850"/>
          <w:tab w:val="clear" w:pos="1191"/>
          <w:tab w:val="clear" w:pos="1531"/>
        </w:tabs>
        <w:ind w:firstLine="709"/>
        <w:rPr>
          <w:sz w:val="24"/>
          <w:szCs w:val="24"/>
          <w:lang w:val="lv-LV"/>
        </w:rPr>
      </w:pPr>
      <w:r>
        <w:rPr>
          <w:sz w:val="24"/>
          <w:szCs w:val="24"/>
          <w:lang w:val="lv-LV"/>
        </w:rPr>
        <w:t>RSU</w:t>
      </w:r>
      <w:r w:rsidRPr="00BC16C8">
        <w:rPr>
          <w:sz w:val="24"/>
          <w:szCs w:val="24"/>
          <w:lang w:val="lv-LV"/>
        </w:rPr>
        <w:t xml:space="preserve"> </w:t>
      </w:r>
      <w:r w:rsidRPr="00BC16C8" w:rsidR="0096056F">
        <w:rPr>
          <w:sz w:val="24"/>
          <w:szCs w:val="24"/>
          <w:lang w:val="lv-LV"/>
        </w:rPr>
        <w:t xml:space="preserve">jau </w:t>
      </w:r>
      <w:r w:rsidRPr="00BC16C8">
        <w:rPr>
          <w:sz w:val="24"/>
          <w:szCs w:val="24"/>
          <w:lang w:val="lv-LV"/>
        </w:rPr>
        <w:t xml:space="preserve">vairākus gadus piedāvā klīniskās farmācijas profesionālo maģistra programmu. Palielinoties pieejamo zāļu un zāļu patēriņa klāstam, klīniskais farmaceits var sniegt nozīmīgu ieguldījumu pacientu konsultēšanā, lai samazinātu pārmērīgas zāļu lietošanas risku, novērstu nesaderīgu zāļu lietošanu, medikamentu dublēšanos utt. Pašlaik tikai divas </w:t>
      </w:r>
      <w:r w:rsidR="001F6BA4">
        <w:rPr>
          <w:sz w:val="24"/>
          <w:szCs w:val="24"/>
          <w:lang w:val="lv-LV"/>
        </w:rPr>
        <w:t>slimnīcas</w:t>
      </w:r>
      <w:r w:rsidRPr="00BC16C8" w:rsidR="001F6BA4">
        <w:rPr>
          <w:sz w:val="24"/>
          <w:szCs w:val="24"/>
          <w:lang w:val="lv-LV"/>
        </w:rPr>
        <w:t xml:space="preserve"> </w:t>
      </w:r>
      <w:r w:rsidR="009F4A45">
        <w:rPr>
          <w:sz w:val="24"/>
          <w:szCs w:val="24"/>
          <w:lang w:val="lv-LV"/>
        </w:rPr>
        <w:t>–</w:t>
      </w:r>
      <w:r w:rsidRPr="00BC16C8">
        <w:rPr>
          <w:sz w:val="24"/>
          <w:szCs w:val="24"/>
          <w:lang w:val="lv-LV"/>
        </w:rPr>
        <w:t xml:space="preserve"> </w:t>
      </w:r>
      <w:r w:rsidR="009F4A45">
        <w:rPr>
          <w:sz w:val="24"/>
          <w:szCs w:val="24"/>
          <w:lang w:val="lv-LV"/>
        </w:rPr>
        <w:t>VSIA “</w:t>
      </w:r>
      <w:r w:rsidRPr="00BC16C8">
        <w:rPr>
          <w:sz w:val="24"/>
          <w:szCs w:val="24"/>
          <w:lang w:val="lv-LV"/>
        </w:rPr>
        <w:t xml:space="preserve">Bērnu </w:t>
      </w:r>
      <w:r w:rsidR="009F4A45">
        <w:rPr>
          <w:sz w:val="24"/>
          <w:szCs w:val="24"/>
          <w:lang w:val="lv-LV"/>
        </w:rPr>
        <w:t>klīniskā universitātes slimnīca”</w:t>
      </w:r>
      <w:r w:rsidRPr="00BC16C8">
        <w:rPr>
          <w:sz w:val="24"/>
          <w:szCs w:val="24"/>
          <w:lang w:val="lv-LV"/>
        </w:rPr>
        <w:t xml:space="preserve"> un </w:t>
      </w:r>
      <w:r w:rsidR="009F4A45">
        <w:rPr>
          <w:sz w:val="24"/>
          <w:szCs w:val="24"/>
          <w:lang w:val="lv-LV"/>
        </w:rPr>
        <w:t>VSIA “</w:t>
      </w:r>
      <w:r w:rsidRPr="00BC16C8">
        <w:rPr>
          <w:sz w:val="24"/>
          <w:szCs w:val="24"/>
          <w:lang w:val="lv-LV"/>
        </w:rPr>
        <w:t>Paula Stradiņa klīniskā universitātes slimnīca</w:t>
      </w:r>
      <w:r w:rsidR="009F4A45">
        <w:rPr>
          <w:sz w:val="24"/>
          <w:szCs w:val="24"/>
          <w:lang w:val="lv-LV"/>
        </w:rPr>
        <w:t>”</w:t>
      </w:r>
      <w:r w:rsidRPr="00BC16C8">
        <w:rPr>
          <w:sz w:val="24"/>
          <w:szCs w:val="24"/>
          <w:lang w:val="lv-LV"/>
        </w:rPr>
        <w:t xml:space="preserve"> - nodarbina klīniskos farmaceitus, lai gan šādam speciālistam vajadzētu būt arī citās lielākajās slimnīcās un ambulatorās aprūpes iestādēs. Ņemot vērā, ka daļu klīnisko farmaceitu izglītības apmaksā no valsts budžeta, šo speciālistu zināšanām vajadzētu būt pacientu, nevis aptieku un farmācijas uzņēmumu interesēs.</w:t>
      </w:r>
    </w:p>
    <w:p w:rsidR="009F7C52" w:rsidRPr="00BC16C8" w:rsidP="0096056F">
      <w:pPr>
        <w:ind w:firstLine="709"/>
        <w:rPr>
          <w:sz w:val="24"/>
          <w:szCs w:val="24"/>
          <w:lang w:val="lv-LV"/>
        </w:rPr>
      </w:pPr>
      <w:r w:rsidRPr="00BC16C8">
        <w:rPr>
          <w:sz w:val="24"/>
          <w:szCs w:val="24"/>
          <w:lang w:val="lv-LV"/>
        </w:rPr>
        <w:t xml:space="preserve">Lai uzlabotu pārklājumu pacientiem rajonos ar nepietiekamu iedzīvotāju veselības aprūpes pieejamību, Latvijas Farmaceitu biedrība sadarbībā ar Latvijas Kardioloģijas asociāciju ir izstrādājusi farmaceitu apmācību programmu par </w:t>
      </w:r>
      <w:r w:rsidRPr="00BC16C8">
        <w:rPr>
          <w:sz w:val="24"/>
          <w:szCs w:val="24"/>
          <w:lang w:val="lv-LV"/>
        </w:rPr>
        <w:t>kardiovaskulāro</w:t>
      </w:r>
      <w:r w:rsidRPr="00BC16C8">
        <w:rPr>
          <w:sz w:val="24"/>
          <w:szCs w:val="24"/>
          <w:lang w:val="lv-LV"/>
        </w:rPr>
        <w:t xml:space="preserve"> risku noteikšanu, </w:t>
      </w:r>
      <w:r w:rsidRPr="00BC16C8">
        <w:rPr>
          <w:sz w:val="24"/>
          <w:szCs w:val="24"/>
          <w:lang w:val="lv-LV"/>
        </w:rPr>
        <w:t>pašnovērošanas</w:t>
      </w:r>
      <w:r w:rsidRPr="00BC16C8">
        <w:rPr>
          <w:sz w:val="24"/>
          <w:szCs w:val="24"/>
          <w:lang w:val="lv-LV"/>
        </w:rPr>
        <w:t xml:space="preserve"> mērījumiem, dokumentāciju un vadlīnijas. Apmācības tika uzsāktas 2015.gada septembrī, un līdz 2017.gadam farmaceitiem izsniegti 172 sertifikāti par veiksmīgi pabeigtu mācību programmu. </w:t>
      </w:r>
    </w:p>
    <w:p w:rsidR="005636F3" w:rsidRPr="00BC16C8" w:rsidP="00E62C6E">
      <w:pPr>
        <w:pStyle w:val="Default"/>
        <w:jc w:val="both"/>
        <w:rPr>
          <w:b/>
          <w:color w:val="auto"/>
        </w:rPr>
      </w:pPr>
    </w:p>
    <w:p w:rsidR="00EF57C5" w:rsidP="00A75BF7">
      <w:pPr>
        <w:ind w:firstLine="709"/>
        <w:rPr>
          <w:sz w:val="24"/>
          <w:szCs w:val="24"/>
          <w:lang w:val="lv-LV"/>
        </w:rPr>
      </w:pPr>
    </w:p>
    <w:p w:rsidR="00A75BF7" w:rsidRPr="00BC16C8" w:rsidP="00A75BF7">
      <w:pPr>
        <w:ind w:firstLine="709"/>
        <w:rPr>
          <w:sz w:val="24"/>
          <w:szCs w:val="24"/>
          <w:lang w:val="lv-LV"/>
        </w:rPr>
      </w:pPr>
      <w:r w:rsidRPr="00BC16C8">
        <w:rPr>
          <w:sz w:val="24"/>
          <w:szCs w:val="24"/>
          <w:lang w:val="lv-LV"/>
        </w:rPr>
        <w:t>OECD ekspertu sagatavotajā ziņojuma projektā par Latvijas sasniegto progresu rekomendāciju izpildē, tiek minēts, ka:</w:t>
      </w:r>
    </w:p>
    <w:p w:rsidR="002E4CF0" w:rsidRPr="00BC16C8" w:rsidP="00181CC7">
      <w:pPr>
        <w:pStyle w:val="ListParagraph"/>
        <w:numPr>
          <w:ilvl w:val="0"/>
          <w:numId w:val="63"/>
        </w:numPr>
        <w:tabs>
          <w:tab w:val="clear" w:pos="850"/>
          <w:tab w:val="clear" w:pos="1191"/>
          <w:tab w:val="clear" w:pos="1531"/>
        </w:tabs>
        <w:ind w:left="709" w:hanging="709"/>
        <w:rPr>
          <w:sz w:val="24"/>
          <w:szCs w:val="24"/>
          <w:lang w:val="lv-LV"/>
        </w:rPr>
      </w:pPr>
      <w:r>
        <w:rPr>
          <w:sz w:val="24"/>
          <w:szCs w:val="24"/>
          <w:lang w:val="lv-LV"/>
        </w:rPr>
        <w:t>pamatnostādņu</w:t>
      </w:r>
      <w:r w:rsidRPr="00BC16C8">
        <w:rPr>
          <w:sz w:val="24"/>
          <w:szCs w:val="24"/>
          <w:lang w:val="lv-LV"/>
        </w:rPr>
        <w:t xml:space="preserve"> ietvaros ir piešķirti resursi veselības veicināšanas </w:t>
      </w:r>
      <w:r>
        <w:rPr>
          <w:sz w:val="24"/>
          <w:szCs w:val="24"/>
          <w:lang w:val="lv-LV"/>
        </w:rPr>
        <w:t xml:space="preserve">un slimību profilakses </w:t>
      </w:r>
      <w:r w:rsidRPr="00BC16C8">
        <w:rPr>
          <w:sz w:val="24"/>
          <w:szCs w:val="24"/>
          <w:lang w:val="lv-LV"/>
        </w:rPr>
        <w:t xml:space="preserve">pasākumiem atkarību izraisošu vielu lietošanas </w:t>
      </w:r>
      <w:r>
        <w:rPr>
          <w:sz w:val="24"/>
          <w:szCs w:val="24"/>
          <w:lang w:val="lv-LV"/>
        </w:rPr>
        <w:t xml:space="preserve">un procesu izplatības </w:t>
      </w:r>
      <w:r w:rsidRPr="00BC16C8">
        <w:rPr>
          <w:sz w:val="24"/>
          <w:szCs w:val="24"/>
          <w:lang w:val="lv-LV"/>
        </w:rPr>
        <w:t>mazināšana</w:t>
      </w:r>
      <w:r>
        <w:rPr>
          <w:sz w:val="24"/>
          <w:szCs w:val="24"/>
          <w:lang w:val="lv-LV"/>
        </w:rPr>
        <w:t>s</w:t>
      </w:r>
      <w:r w:rsidRPr="00BC16C8">
        <w:rPr>
          <w:sz w:val="24"/>
          <w:szCs w:val="24"/>
          <w:lang w:val="lv-LV"/>
        </w:rPr>
        <w:t>, veselīg</w:t>
      </w:r>
      <w:r>
        <w:rPr>
          <w:sz w:val="24"/>
          <w:szCs w:val="24"/>
          <w:lang w:val="lv-LV"/>
        </w:rPr>
        <w:t>a</w:t>
      </w:r>
      <w:r w:rsidRPr="00BC16C8">
        <w:rPr>
          <w:sz w:val="24"/>
          <w:szCs w:val="24"/>
          <w:lang w:val="lv-LV"/>
        </w:rPr>
        <w:t xml:space="preserve"> uztur</w:t>
      </w:r>
      <w:r>
        <w:rPr>
          <w:sz w:val="24"/>
          <w:szCs w:val="24"/>
          <w:lang w:val="lv-LV"/>
        </w:rPr>
        <w:t>a un</w:t>
      </w:r>
      <w:r w:rsidRPr="00BC16C8">
        <w:rPr>
          <w:sz w:val="24"/>
          <w:szCs w:val="24"/>
          <w:lang w:val="lv-LV"/>
        </w:rPr>
        <w:t xml:space="preserve"> fizisk</w:t>
      </w:r>
      <w:r>
        <w:rPr>
          <w:sz w:val="24"/>
          <w:szCs w:val="24"/>
          <w:lang w:val="lv-LV"/>
        </w:rPr>
        <w:t>o</w:t>
      </w:r>
      <w:r w:rsidRPr="00BC16C8">
        <w:rPr>
          <w:sz w:val="24"/>
          <w:szCs w:val="24"/>
          <w:lang w:val="lv-LV"/>
        </w:rPr>
        <w:t xml:space="preserve"> aktivitā</w:t>
      </w:r>
      <w:r>
        <w:rPr>
          <w:sz w:val="24"/>
          <w:szCs w:val="24"/>
          <w:lang w:val="lv-LV"/>
        </w:rPr>
        <w:t>šu veic</w:t>
      </w:r>
      <w:r w:rsidR="00181CC7">
        <w:rPr>
          <w:sz w:val="24"/>
          <w:szCs w:val="24"/>
          <w:lang w:val="lv-LV"/>
        </w:rPr>
        <w:t>i</w:t>
      </w:r>
      <w:r>
        <w:rPr>
          <w:sz w:val="24"/>
          <w:szCs w:val="24"/>
          <w:lang w:val="lv-LV"/>
        </w:rPr>
        <w:t>nāšanas</w:t>
      </w:r>
      <w:r w:rsidRPr="00BC16C8">
        <w:rPr>
          <w:sz w:val="24"/>
          <w:szCs w:val="24"/>
          <w:lang w:val="lv-LV"/>
        </w:rPr>
        <w:t>, seksuālā</w:t>
      </w:r>
      <w:r>
        <w:rPr>
          <w:sz w:val="24"/>
          <w:szCs w:val="24"/>
          <w:lang w:val="lv-LV"/>
        </w:rPr>
        <w:t>s</w:t>
      </w:r>
      <w:r w:rsidRPr="00BC16C8">
        <w:rPr>
          <w:sz w:val="24"/>
          <w:szCs w:val="24"/>
          <w:lang w:val="lv-LV"/>
        </w:rPr>
        <w:t xml:space="preserve"> un reproduktīvā</w:t>
      </w:r>
      <w:r>
        <w:rPr>
          <w:sz w:val="24"/>
          <w:szCs w:val="24"/>
          <w:lang w:val="lv-LV"/>
        </w:rPr>
        <w:t>s</w:t>
      </w:r>
      <w:r w:rsidRPr="00BC16C8">
        <w:rPr>
          <w:sz w:val="24"/>
          <w:szCs w:val="24"/>
          <w:lang w:val="lv-LV"/>
        </w:rPr>
        <w:t xml:space="preserve"> veselība</w:t>
      </w:r>
      <w:r>
        <w:rPr>
          <w:sz w:val="24"/>
          <w:szCs w:val="24"/>
          <w:lang w:val="lv-LV"/>
        </w:rPr>
        <w:t>s</w:t>
      </w:r>
      <w:r w:rsidRPr="00BC16C8">
        <w:rPr>
          <w:sz w:val="24"/>
          <w:szCs w:val="24"/>
          <w:lang w:val="lv-LV"/>
        </w:rPr>
        <w:t xml:space="preserve"> un </w:t>
      </w:r>
      <w:r>
        <w:rPr>
          <w:sz w:val="24"/>
          <w:szCs w:val="24"/>
          <w:lang w:val="lv-LV"/>
        </w:rPr>
        <w:t>psihiskās</w:t>
      </w:r>
      <w:r w:rsidRPr="00BC16C8">
        <w:rPr>
          <w:sz w:val="24"/>
          <w:szCs w:val="24"/>
          <w:lang w:val="lv-LV"/>
        </w:rPr>
        <w:t xml:space="preserve"> veselības veicināšana</w:t>
      </w:r>
      <w:r>
        <w:rPr>
          <w:sz w:val="24"/>
          <w:szCs w:val="24"/>
          <w:lang w:val="lv-LV"/>
        </w:rPr>
        <w:t>s jomās</w:t>
      </w:r>
      <w:r w:rsidRPr="00BC16C8">
        <w:rPr>
          <w:sz w:val="24"/>
          <w:szCs w:val="24"/>
          <w:lang w:val="lv-LV"/>
        </w:rPr>
        <w:t>;</w:t>
      </w:r>
    </w:p>
    <w:p w:rsidR="00A75BF7" w:rsidRPr="00BC16C8" w:rsidP="00311158">
      <w:pPr>
        <w:pStyle w:val="Para"/>
        <w:numPr>
          <w:ilvl w:val="0"/>
          <w:numId w:val="61"/>
        </w:numPr>
        <w:spacing w:before="0" w:after="0"/>
        <w:ind w:left="709" w:right="-2" w:hanging="709"/>
        <w:rPr>
          <w:rFonts w:eastAsia="Times New Roman"/>
          <w:sz w:val="24"/>
          <w:szCs w:val="24"/>
          <w:lang w:val="lv-LV" w:eastAsia="zh-CN"/>
        </w:rPr>
      </w:pPr>
      <w:r w:rsidRPr="00BC16C8">
        <w:rPr>
          <w:sz w:val="24"/>
          <w:szCs w:val="24"/>
          <w:lang w:val="lv-LV"/>
        </w:rPr>
        <w:t xml:space="preserve">ziņojumi liecina, ka </w:t>
      </w:r>
      <w:r w:rsidRPr="00BC16C8" w:rsidR="00311158">
        <w:rPr>
          <w:sz w:val="24"/>
          <w:szCs w:val="24"/>
          <w:lang w:val="lv-LV"/>
        </w:rPr>
        <w:t xml:space="preserve">šobrīd labi strādā medicīnas </w:t>
      </w:r>
      <w:r w:rsidRPr="00BC16C8">
        <w:rPr>
          <w:sz w:val="24"/>
          <w:szCs w:val="24"/>
          <w:lang w:val="lv-LV"/>
        </w:rPr>
        <w:t xml:space="preserve">māsu </w:t>
      </w:r>
      <w:r w:rsidR="001F6BA4">
        <w:rPr>
          <w:sz w:val="24"/>
          <w:szCs w:val="24"/>
          <w:lang w:val="lv-LV"/>
        </w:rPr>
        <w:t>iesaiste</w:t>
      </w:r>
      <w:r w:rsidRPr="00BC16C8" w:rsidR="001F6BA4">
        <w:rPr>
          <w:sz w:val="24"/>
          <w:szCs w:val="24"/>
          <w:lang w:val="lv-LV"/>
        </w:rPr>
        <w:t xml:space="preserve"> </w:t>
      </w:r>
      <w:r w:rsidRPr="00BC16C8">
        <w:rPr>
          <w:sz w:val="24"/>
          <w:szCs w:val="24"/>
          <w:lang w:val="lv-LV"/>
        </w:rPr>
        <w:t>primār</w:t>
      </w:r>
      <w:r w:rsidRPr="00BC16C8" w:rsidR="00311158">
        <w:rPr>
          <w:sz w:val="24"/>
          <w:szCs w:val="24"/>
          <w:lang w:val="lv-LV"/>
        </w:rPr>
        <w:t>ās veselības aprūpes līmenī</w:t>
      </w:r>
      <w:r w:rsidRPr="00BC16C8">
        <w:rPr>
          <w:sz w:val="24"/>
          <w:szCs w:val="24"/>
          <w:lang w:val="lv-LV"/>
        </w:rPr>
        <w:t xml:space="preserve"> </w:t>
      </w:r>
      <w:r w:rsidRPr="00BC16C8" w:rsidR="00311158">
        <w:rPr>
          <w:sz w:val="24"/>
          <w:szCs w:val="24"/>
          <w:lang w:val="lv-LV"/>
        </w:rPr>
        <w:t>profilakses nodrošināšanai, kā arī</w:t>
      </w:r>
      <w:r w:rsidRPr="00BC16C8">
        <w:rPr>
          <w:sz w:val="24"/>
          <w:szCs w:val="24"/>
          <w:lang w:val="lv-LV"/>
        </w:rPr>
        <w:t xml:space="preserve"> farmaceitiem ir ieviestas dažas kompetences, kas saistītas ar profilaksi un slimību ārstēšanu</w:t>
      </w:r>
      <w:r w:rsidRPr="00BC16C8" w:rsidR="00311158">
        <w:rPr>
          <w:sz w:val="24"/>
          <w:szCs w:val="24"/>
          <w:lang w:val="lv-LV"/>
        </w:rPr>
        <w:t>.</w:t>
      </w:r>
    </w:p>
    <w:p w:rsidR="00A75BF7" w:rsidRPr="00BC16C8" w:rsidP="00A75BF7">
      <w:pPr>
        <w:pStyle w:val="ListParagraph"/>
        <w:ind w:left="709" w:right="-2"/>
        <w:rPr>
          <w:sz w:val="24"/>
          <w:szCs w:val="24"/>
          <w:lang w:val="lv-LV"/>
        </w:rPr>
      </w:pPr>
    </w:p>
    <w:p w:rsidR="00A75BF7" w:rsidRPr="00BC16C8" w:rsidP="00A75BF7">
      <w:pPr>
        <w:pStyle w:val="ListParagraph"/>
        <w:tabs>
          <w:tab w:val="clear" w:pos="850"/>
          <w:tab w:val="clear" w:pos="1191"/>
          <w:tab w:val="clear" w:pos="1531"/>
        </w:tabs>
        <w:ind w:left="0" w:right="-2" w:firstLine="709"/>
        <w:rPr>
          <w:sz w:val="24"/>
          <w:szCs w:val="24"/>
          <w:lang w:val="lv-LV"/>
        </w:rPr>
      </w:pPr>
      <w:r w:rsidRPr="00BC16C8">
        <w:rPr>
          <w:sz w:val="24"/>
          <w:szCs w:val="24"/>
          <w:lang w:val="lv-LV"/>
        </w:rPr>
        <w:t>Tomēr tiek minēts, ka joprojām nepieciešams pievērst uzmanību šādām jomām:</w:t>
      </w:r>
    </w:p>
    <w:p w:rsidR="00A75BF7" w:rsidRPr="00BC16C8" w:rsidP="008D6813">
      <w:pPr>
        <w:pStyle w:val="Para"/>
        <w:numPr>
          <w:ilvl w:val="0"/>
          <w:numId w:val="61"/>
        </w:numPr>
        <w:spacing w:before="0" w:after="0"/>
        <w:ind w:left="709" w:right="-2" w:hanging="709"/>
        <w:rPr>
          <w:sz w:val="24"/>
          <w:szCs w:val="24"/>
          <w:lang w:val="lv-LV"/>
        </w:rPr>
      </w:pPr>
      <w:r w:rsidRPr="00BC16C8">
        <w:rPr>
          <w:sz w:val="24"/>
          <w:szCs w:val="24"/>
          <w:lang w:val="lv-LV"/>
        </w:rPr>
        <w:t>ņ</w:t>
      </w:r>
      <w:r w:rsidRPr="00BC16C8" w:rsidR="006975C7">
        <w:rPr>
          <w:rFonts w:eastAsia="Times New Roman"/>
          <w:sz w:val="24"/>
          <w:szCs w:val="24"/>
          <w:lang w:val="lv-LV" w:eastAsia="zh-CN"/>
        </w:rPr>
        <w:t xml:space="preserve">emot vērā augsto smēķēšanas, alkohola patēriņa un </w:t>
      </w:r>
      <w:r w:rsidR="00181CC7">
        <w:rPr>
          <w:rFonts w:eastAsia="Times New Roman"/>
          <w:sz w:val="24"/>
          <w:szCs w:val="24"/>
          <w:lang w:val="lv-LV" w:eastAsia="zh-CN"/>
        </w:rPr>
        <w:t xml:space="preserve">liekā svara un </w:t>
      </w:r>
      <w:r w:rsidRPr="00BC16C8" w:rsidR="006975C7">
        <w:rPr>
          <w:rFonts w:eastAsia="Times New Roman"/>
          <w:sz w:val="24"/>
          <w:szCs w:val="24"/>
          <w:lang w:val="lv-LV" w:eastAsia="zh-CN"/>
        </w:rPr>
        <w:t xml:space="preserve">aptaukošanās līmeni Latvijā, sabiedrības veselības un profilakses politikai joprojām jābūt </w:t>
      </w:r>
      <w:r w:rsidRPr="00BC16C8">
        <w:rPr>
          <w:rFonts w:eastAsia="Times New Roman"/>
          <w:sz w:val="24"/>
          <w:szCs w:val="24"/>
          <w:lang w:val="lv-LV" w:eastAsia="zh-CN"/>
        </w:rPr>
        <w:t>augsta līmeņa</w:t>
      </w:r>
      <w:r w:rsidRPr="00BC16C8" w:rsidR="006975C7">
        <w:rPr>
          <w:rFonts w:eastAsia="Times New Roman"/>
          <w:sz w:val="24"/>
          <w:szCs w:val="24"/>
          <w:lang w:val="lv-LV" w:eastAsia="zh-CN"/>
        </w:rPr>
        <w:t xml:space="preserve"> prioritātei</w:t>
      </w:r>
      <w:r w:rsidRPr="00BC16C8">
        <w:rPr>
          <w:rFonts w:eastAsia="Times New Roman"/>
          <w:sz w:val="24"/>
          <w:szCs w:val="24"/>
          <w:lang w:val="lv-LV" w:eastAsia="zh-CN"/>
        </w:rPr>
        <w:t>;</w:t>
      </w:r>
    </w:p>
    <w:p w:rsidR="00A75BF7" w:rsidRPr="00BC16C8" w:rsidP="008D6813">
      <w:pPr>
        <w:pStyle w:val="Para"/>
        <w:numPr>
          <w:ilvl w:val="0"/>
          <w:numId w:val="61"/>
        </w:numPr>
        <w:spacing w:before="0" w:after="0"/>
        <w:ind w:left="709" w:right="-2" w:hanging="709"/>
        <w:rPr>
          <w:sz w:val="24"/>
          <w:szCs w:val="24"/>
          <w:lang w:val="lv-LV"/>
        </w:rPr>
      </w:pPr>
      <w:r w:rsidRPr="00BC16C8">
        <w:rPr>
          <w:rFonts w:eastAsia="Times New Roman"/>
          <w:sz w:val="24"/>
          <w:szCs w:val="24"/>
          <w:lang w:val="lv-LV" w:eastAsia="zh-CN"/>
        </w:rPr>
        <w:t>veselības aprūpes sistēm</w:t>
      </w:r>
      <w:r w:rsidRPr="00BC16C8" w:rsidR="008D6813">
        <w:rPr>
          <w:rFonts w:eastAsia="Times New Roman"/>
          <w:sz w:val="24"/>
          <w:szCs w:val="24"/>
          <w:lang w:val="lv-LV" w:eastAsia="zh-CN"/>
        </w:rPr>
        <w:t>as</w:t>
      </w:r>
      <w:r w:rsidRPr="00BC16C8">
        <w:rPr>
          <w:rFonts w:eastAsia="Times New Roman"/>
          <w:sz w:val="24"/>
          <w:szCs w:val="24"/>
          <w:lang w:val="lv-LV" w:eastAsia="zh-CN"/>
        </w:rPr>
        <w:t xml:space="preserve"> reform</w:t>
      </w:r>
      <w:r w:rsidRPr="00BC16C8" w:rsidR="008D6813">
        <w:rPr>
          <w:rFonts w:eastAsia="Times New Roman"/>
          <w:sz w:val="24"/>
          <w:szCs w:val="24"/>
          <w:lang w:val="lv-LV" w:eastAsia="zh-CN"/>
        </w:rPr>
        <w:t>as ietvaros</w:t>
      </w:r>
      <w:r w:rsidRPr="00BC16C8">
        <w:rPr>
          <w:rFonts w:eastAsia="Times New Roman"/>
          <w:sz w:val="24"/>
          <w:szCs w:val="24"/>
          <w:lang w:val="lv-LV" w:eastAsia="zh-CN"/>
        </w:rPr>
        <w:t xml:space="preserve"> galvenā loma jāpiešķir primārās aprūpes stiprināšanai un </w:t>
      </w:r>
      <w:r w:rsidR="001F6BA4">
        <w:rPr>
          <w:rFonts w:eastAsia="Times New Roman"/>
          <w:sz w:val="24"/>
          <w:szCs w:val="24"/>
          <w:lang w:val="lv-LV" w:eastAsia="zh-CN"/>
        </w:rPr>
        <w:t>kapacitātes</w:t>
      </w:r>
      <w:r w:rsidR="00181CC7">
        <w:rPr>
          <w:rFonts w:eastAsia="Times New Roman"/>
          <w:sz w:val="24"/>
          <w:szCs w:val="24"/>
          <w:lang w:val="lv-LV" w:eastAsia="zh-CN"/>
        </w:rPr>
        <w:t xml:space="preserve"> </w:t>
      </w:r>
      <w:r w:rsidRPr="00BC16C8">
        <w:rPr>
          <w:rFonts w:eastAsia="Times New Roman"/>
          <w:sz w:val="24"/>
          <w:szCs w:val="24"/>
          <w:lang w:val="lv-LV" w:eastAsia="zh-CN"/>
        </w:rPr>
        <w:t>veidošanai</w:t>
      </w:r>
      <w:r w:rsidRPr="00BC16C8" w:rsidR="008D6813">
        <w:rPr>
          <w:rFonts w:eastAsia="Times New Roman"/>
          <w:sz w:val="24"/>
          <w:szCs w:val="24"/>
          <w:lang w:val="lv-LV" w:eastAsia="zh-CN"/>
        </w:rPr>
        <w:t>.</w:t>
      </w:r>
    </w:p>
    <w:p w:rsidR="00E62C6E" w:rsidRPr="00BC16C8" w:rsidP="00E62C6E">
      <w:pPr>
        <w:pStyle w:val="Default"/>
        <w:jc w:val="both"/>
        <w:rPr>
          <w:b/>
          <w:color w:val="auto"/>
        </w:rPr>
      </w:pPr>
    </w:p>
    <w:p w:rsidR="00A75BF7" w:rsidRPr="00BC16C8" w:rsidP="00E62C6E">
      <w:pPr>
        <w:pStyle w:val="Default"/>
        <w:jc w:val="both"/>
        <w:rPr>
          <w:b/>
          <w:color w:val="auto"/>
        </w:rPr>
      </w:pPr>
    </w:p>
    <w:p w:rsidR="00F23659" w:rsidP="00F23659">
      <w:pPr>
        <w:pStyle w:val="Default"/>
        <w:keepNext/>
        <w:jc w:val="both"/>
        <w:rPr>
          <w:b/>
          <w:color w:val="auto"/>
          <w:u w:val="single"/>
        </w:rPr>
      </w:pPr>
      <w:r>
        <w:rPr>
          <w:b/>
          <w:color w:val="auto"/>
          <w:u w:val="single"/>
        </w:rPr>
        <w:t xml:space="preserve">5. </w:t>
      </w:r>
      <w:r w:rsidRPr="00262C93" w:rsidR="00F32EE4">
        <w:rPr>
          <w:b/>
          <w:color w:val="auto"/>
          <w:u w:val="single"/>
        </w:rPr>
        <w:t>rekomendācija:</w:t>
      </w:r>
    </w:p>
    <w:p w:rsidR="00262C93" w:rsidRPr="00262C93" w:rsidP="00F23659">
      <w:pPr>
        <w:pStyle w:val="Default"/>
        <w:keepNext/>
        <w:jc w:val="both"/>
        <w:rPr>
          <w:b/>
          <w:color w:val="auto"/>
          <w:u w:val="single"/>
        </w:rPr>
      </w:pPr>
    </w:p>
    <w:p w:rsidR="00E66F13" w:rsidRPr="00262C93" w:rsidP="00F23659">
      <w:pPr>
        <w:pStyle w:val="Default"/>
        <w:keepNext/>
        <w:jc w:val="both"/>
        <w:rPr>
          <w:b/>
          <w:color w:val="auto"/>
        </w:rPr>
      </w:pPr>
      <w:r w:rsidRPr="00262C93">
        <w:rPr>
          <w:b/>
          <w:color w:val="auto"/>
        </w:rPr>
        <w:t>Palielināt veselības izdevumus uz vienu iedzīvotāju līdz līmenim, kas tuvinās OECD vidējam rādītājam, izmantojot mērķtiecīgu un regulāru izdevumu pieaugumu.</w:t>
      </w:r>
    </w:p>
    <w:p w:rsidR="00736DE4" w:rsidRPr="00262C93" w:rsidP="00F23659">
      <w:pPr>
        <w:pStyle w:val="Default"/>
        <w:keepNext/>
        <w:jc w:val="both"/>
        <w:rPr>
          <w:b/>
          <w:i/>
          <w:color w:val="auto"/>
        </w:rPr>
      </w:pPr>
      <w:r w:rsidRPr="00262C93">
        <w:rPr>
          <w:i/>
          <w:color w:val="auto"/>
          <w:lang w:val="en-GB"/>
        </w:rPr>
        <w:t>Increasing health spending per capita to a level closer to the OECD average through a targeted, incremental increase in spending.</w:t>
      </w:r>
    </w:p>
    <w:p w:rsidR="00902CD6" w:rsidRPr="00BC16C8" w:rsidP="00F23659">
      <w:pPr>
        <w:pStyle w:val="Default"/>
        <w:keepNext/>
        <w:jc w:val="both"/>
        <w:rPr>
          <w:b/>
          <w:color w:val="auto"/>
        </w:rPr>
      </w:pPr>
    </w:p>
    <w:p w:rsidR="00082D4B" w:rsidRPr="00BC16C8" w:rsidP="008D6813">
      <w:pPr>
        <w:tabs>
          <w:tab w:val="clear" w:pos="850"/>
          <w:tab w:val="clear" w:pos="1191"/>
          <w:tab w:val="clear" w:pos="1531"/>
        </w:tabs>
        <w:ind w:firstLine="709"/>
        <w:rPr>
          <w:sz w:val="24"/>
          <w:szCs w:val="24"/>
          <w:lang w:val="lv-LV"/>
        </w:rPr>
      </w:pPr>
      <w:r w:rsidRPr="00BC16C8">
        <w:rPr>
          <w:sz w:val="24"/>
          <w:szCs w:val="24"/>
          <w:lang w:val="lv-LV"/>
        </w:rPr>
        <w:t>Ir panākts būtisks progress, lai uzlabotu veselības aprūpes pakalpojumu pieejamību, kvalitāti un rentabilitāti, ko atbalsta būtisks finansējuma pieaugums, daļēji no 2017. gada, bet galvenokārt no 2018. gada.</w:t>
      </w:r>
    </w:p>
    <w:p w:rsidR="008D6813" w:rsidRPr="00BC16C8" w:rsidP="008D6813">
      <w:pPr>
        <w:tabs>
          <w:tab w:val="clear" w:pos="850"/>
          <w:tab w:val="clear" w:pos="1191"/>
          <w:tab w:val="clear" w:pos="1531"/>
        </w:tabs>
        <w:ind w:firstLine="709"/>
        <w:rPr>
          <w:sz w:val="24"/>
          <w:szCs w:val="24"/>
          <w:lang w:val="lv-LV"/>
        </w:rPr>
      </w:pPr>
      <w:bookmarkStart w:id="3" w:name="_Hlk513464700"/>
    </w:p>
    <w:p w:rsidR="00082D4B" w:rsidRPr="00BC16C8" w:rsidP="008D6813">
      <w:pPr>
        <w:tabs>
          <w:tab w:val="clear" w:pos="850"/>
          <w:tab w:val="clear" w:pos="1191"/>
          <w:tab w:val="clear" w:pos="1531"/>
        </w:tabs>
        <w:ind w:firstLine="709"/>
        <w:rPr>
          <w:sz w:val="24"/>
          <w:szCs w:val="24"/>
          <w:lang w:val="lv-LV"/>
        </w:rPr>
      </w:pPr>
      <w:r w:rsidRPr="00BC16C8">
        <w:rPr>
          <w:sz w:val="24"/>
          <w:szCs w:val="24"/>
          <w:lang w:val="lv-LV"/>
        </w:rPr>
        <w:t>Saskaņā ar Veselības reformas mērķiem un pasākumiem papildu finansējums jau bija pieejams 2017. gadā, un valdība ir apstiprinājusi šādu turpmāku veselības aprūpes budžeta finansēšanas plāna palielinājumu:</w:t>
      </w:r>
    </w:p>
    <w:p w:rsidR="00082D4B" w:rsidRPr="00ED3A6D" w:rsidP="00E62C6E">
      <w:pPr>
        <w:tabs>
          <w:tab w:val="clear" w:pos="850"/>
          <w:tab w:val="clear" w:pos="1191"/>
          <w:tab w:val="clear" w:pos="1531"/>
        </w:tabs>
        <w:rPr>
          <w:sz w:val="24"/>
          <w:szCs w:val="24"/>
          <w:lang w:val="lv-LV"/>
        </w:rPr>
      </w:pPr>
      <w:r w:rsidRPr="00ED3A6D">
        <w:rPr>
          <w:sz w:val="24"/>
          <w:szCs w:val="24"/>
          <w:lang w:val="lv-LV"/>
        </w:rPr>
        <w:t>+ 42,0 miljoni EUR 2017. gadā;</w:t>
      </w:r>
    </w:p>
    <w:p w:rsidR="00082D4B" w:rsidRPr="00ED3A6D" w:rsidP="00E62C6E">
      <w:pPr>
        <w:tabs>
          <w:tab w:val="clear" w:pos="850"/>
          <w:tab w:val="clear" w:pos="1191"/>
          <w:tab w:val="clear" w:pos="1531"/>
        </w:tabs>
        <w:rPr>
          <w:sz w:val="24"/>
          <w:szCs w:val="24"/>
          <w:lang w:val="lv-LV"/>
        </w:rPr>
      </w:pPr>
      <w:r w:rsidRPr="00ED3A6D">
        <w:rPr>
          <w:sz w:val="24"/>
          <w:szCs w:val="24"/>
          <w:lang w:val="lv-LV"/>
        </w:rPr>
        <w:t>+ 221,</w:t>
      </w:r>
      <w:r w:rsidR="00530272">
        <w:rPr>
          <w:sz w:val="24"/>
          <w:szCs w:val="24"/>
          <w:lang w:val="lv-LV"/>
        </w:rPr>
        <w:t>8</w:t>
      </w:r>
      <w:r w:rsidRPr="00ED3A6D" w:rsidR="00530272">
        <w:rPr>
          <w:sz w:val="24"/>
          <w:szCs w:val="24"/>
          <w:lang w:val="lv-LV"/>
        </w:rPr>
        <w:t xml:space="preserve"> </w:t>
      </w:r>
      <w:r w:rsidRPr="00ED3A6D">
        <w:rPr>
          <w:sz w:val="24"/>
          <w:szCs w:val="24"/>
          <w:lang w:val="lv-LV"/>
        </w:rPr>
        <w:t>miljoni EUR 2018. gadā;</w:t>
      </w:r>
    </w:p>
    <w:p w:rsidR="00082D4B" w:rsidRPr="00ED3A6D" w:rsidP="00E62C6E">
      <w:pPr>
        <w:tabs>
          <w:tab w:val="clear" w:pos="850"/>
          <w:tab w:val="clear" w:pos="1191"/>
          <w:tab w:val="clear" w:pos="1531"/>
        </w:tabs>
        <w:rPr>
          <w:sz w:val="24"/>
          <w:szCs w:val="24"/>
          <w:lang w:val="lv-LV"/>
        </w:rPr>
      </w:pPr>
      <w:r w:rsidRPr="00ED3A6D">
        <w:rPr>
          <w:sz w:val="24"/>
          <w:szCs w:val="24"/>
          <w:lang w:val="lv-LV"/>
        </w:rPr>
        <w:t>+ 271,9 miljoni EUR</w:t>
      </w:r>
      <w:r w:rsidRPr="00ED3A6D" w:rsidR="009F4A45">
        <w:rPr>
          <w:sz w:val="24"/>
          <w:szCs w:val="24"/>
          <w:lang w:val="lv-LV"/>
        </w:rPr>
        <w:t xml:space="preserve"> </w:t>
      </w:r>
      <w:r w:rsidRPr="00ED3A6D" w:rsidR="00B9710B">
        <w:rPr>
          <w:sz w:val="24"/>
          <w:szCs w:val="24"/>
          <w:lang w:val="lv-LV"/>
        </w:rPr>
        <w:t>2019.gadā</w:t>
      </w:r>
      <w:r w:rsidRPr="00ED3A6D">
        <w:rPr>
          <w:sz w:val="24"/>
          <w:szCs w:val="24"/>
          <w:lang w:val="lv-LV"/>
        </w:rPr>
        <w:t>;</w:t>
      </w:r>
    </w:p>
    <w:p w:rsidR="00082D4B" w:rsidRPr="00BC16C8" w:rsidP="00E62C6E">
      <w:pPr>
        <w:tabs>
          <w:tab w:val="clear" w:pos="850"/>
          <w:tab w:val="clear" w:pos="1191"/>
          <w:tab w:val="clear" w:pos="1531"/>
        </w:tabs>
        <w:rPr>
          <w:sz w:val="24"/>
          <w:szCs w:val="24"/>
          <w:lang w:val="lv-LV"/>
        </w:rPr>
      </w:pPr>
      <w:r w:rsidRPr="00ED3A6D">
        <w:rPr>
          <w:sz w:val="24"/>
          <w:szCs w:val="24"/>
          <w:lang w:val="lv-LV"/>
        </w:rPr>
        <w:t>+ 271,9 miljoni EUR 2020. gadā.</w:t>
      </w:r>
    </w:p>
    <w:p w:rsidR="008D6813" w:rsidRPr="00BC16C8" w:rsidP="00E62C6E">
      <w:pPr>
        <w:tabs>
          <w:tab w:val="clear" w:pos="850"/>
          <w:tab w:val="clear" w:pos="1191"/>
          <w:tab w:val="clear" w:pos="1531"/>
        </w:tabs>
        <w:rPr>
          <w:sz w:val="24"/>
          <w:szCs w:val="24"/>
          <w:lang w:val="lv-LV"/>
        </w:rPr>
      </w:pPr>
    </w:p>
    <w:p w:rsidR="00082D4B" w:rsidRPr="00BC16C8" w:rsidP="008D6813">
      <w:pPr>
        <w:tabs>
          <w:tab w:val="clear" w:pos="850"/>
          <w:tab w:val="clear" w:pos="1191"/>
          <w:tab w:val="clear" w:pos="1531"/>
        </w:tabs>
        <w:ind w:firstLine="709"/>
        <w:rPr>
          <w:sz w:val="24"/>
          <w:szCs w:val="24"/>
          <w:lang w:val="lv-LV"/>
        </w:rPr>
      </w:pPr>
      <w:r w:rsidRPr="00BC16C8">
        <w:rPr>
          <w:sz w:val="24"/>
          <w:szCs w:val="24"/>
          <w:lang w:val="lv-LV"/>
        </w:rPr>
        <w:t xml:space="preserve">Finansējumu veido: I) </w:t>
      </w:r>
      <w:r w:rsidRPr="003A43E1" w:rsidR="00AA5795">
        <w:rPr>
          <w:sz w:val="24"/>
          <w:szCs w:val="24"/>
          <w:lang w:val="lv-LV"/>
        </w:rPr>
        <w:t>veselības aprūpes budžeta palielinājum</w:t>
      </w:r>
      <w:r w:rsidR="00AA5795">
        <w:rPr>
          <w:sz w:val="24"/>
          <w:szCs w:val="24"/>
          <w:lang w:val="lv-LV"/>
        </w:rPr>
        <w:t>s</w:t>
      </w:r>
      <w:r w:rsidRPr="003A43E1" w:rsidR="00AA5795">
        <w:rPr>
          <w:sz w:val="24"/>
          <w:szCs w:val="24"/>
          <w:lang w:val="lv-LV"/>
        </w:rPr>
        <w:t xml:space="preserve"> atsevišķiem pasākumiem</w:t>
      </w:r>
      <w:r w:rsidR="00AA5795">
        <w:rPr>
          <w:sz w:val="24"/>
          <w:szCs w:val="24"/>
          <w:lang w:val="lv-LV"/>
        </w:rPr>
        <w:t xml:space="preserve">; </w:t>
      </w:r>
      <w:r w:rsidRPr="00BC16C8" w:rsidR="00AA5795">
        <w:rPr>
          <w:sz w:val="24"/>
          <w:szCs w:val="24"/>
          <w:lang w:val="lv-LV"/>
        </w:rPr>
        <w:t xml:space="preserve">II) </w:t>
      </w:r>
      <w:r w:rsidRPr="00736DE4" w:rsidR="00AA5795">
        <w:rPr>
          <w:sz w:val="24"/>
          <w:szCs w:val="24"/>
          <w:lang w:val="lv-LV"/>
        </w:rPr>
        <w:t>izdevumu segšana no ieņēmumiem no valsts sociālās apdrošināšanas iemaksu sadales veselības aprūpes finansēšanai</w:t>
      </w:r>
      <w:r w:rsidRPr="00BC16C8" w:rsidR="00B9710B">
        <w:rPr>
          <w:sz w:val="24"/>
          <w:szCs w:val="24"/>
          <w:lang w:val="lv-LV"/>
        </w:rPr>
        <w:t>; III) Eiropas Komisija</w:t>
      </w:r>
      <w:r w:rsidR="00AA5795">
        <w:rPr>
          <w:sz w:val="24"/>
          <w:szCs w:val="24"/>
          <w:lang w:val="lv-LV"/>
        </w:rPr>
        <w:t>s</w:t>
      </w:r>
      <w:r w:rsidRPr="00BC16C8" w:rsidR="00B9710B">
        <w:rPr>
          <w:sz w:val="24"/>
          <w:szCs w:val="24"/>
          <w:lang w:val="lv-LV"/>
        </w:rPr>
        <w:t xml:space="preserve"> pieļautā novirze</w:t>
      </w:r>
      <w:r w:rsidRPr="00BC16C8">
        <w:rPr>
          <w:sz w:val="24"/>
          <w:szCs w:val="24"/>
          <w:lang w:val="lv-LV"/>
        </w:rPr>
        <w:t xml:space="preserve"> budžeta deficīta palielināšanai.</w:t>
      </w:r>
    </w:p>
    <w:p w:rsidR="005636F3" w:rsidRPr="00BC16C8" w:rsidP="00E62C6E">
      <w:pPr>
        <w:pStyle w:val="ListBullet"/>
        <w:numPr>
          <w:ilvl w:val="0"/>
          <w:numId w:val="0"/>
        </w:numPr>
        <w:spacing w:after="0"/>
        <w:rPr>
          <w:b/>
          <w:sz w:val="24"/>
          <w:szCs w:val="24"/>
          <w:lang w:val="lv-LV"/>
        </w:rPr>
      </w:pPr>
      <w:bookmarkEnd w:id="3"/>
    </w:p>
    <w:p w:rsidR="00B9710B" w:rsidRPr="00BC16C8" w:rsidP="00B0141B">
      <w:pPr>
        <w:tabs>
          <w:tab w:val="clear" w:pos="850"/>
          <w:tab w:val="clear" w:pos="1191"/>
          <w:tab w:val="clear" w:pos="1531"/>
        </w:tabs>
        <w:ind w:firstLine="709"/>
        <w:rPr>
          <w:sz w:val="24"/>
          <w:szCs w:val="24"/>
          <w:lang w:val="lv-LV"/>
        </w:rPr>
      </w:pPr>
      <w:r w:rsidRPr="00BC16C8">
        <w:rPr>
          <w:sz w:val="24"/>
          <w:szCs w:val="24"/>
          <w:lang w:val="lv-LV"/>
        </w:rPr>
        <w:t xml:space="preserve">Lai palielinātu finansējumu veselības aprūpes nozarei 2017.gadā, </w:t>
      </w:r>
      <w:r w:rsidRPr="00BC16C8" w:rsidR="00B0141B">
        <w:rPr>
          <w:sz w:val="24"/>
          <w:szCs w:val="24"/>
          <w:lang w:val="lv-LV"/>
        </w:rPr>
        <w:t>tika</w:t>
      </w:r>
      <w:r w:rsidRPr="00BC16C8">
        <w:rPr>
          <w:sz w:val="24"/>
          <w:szCs w:val="24"/>
          <w:lang w:val="lv-LV"/>
        </w:rPr>
        <w:t xml:space="preserve"> nolemts piešķirt papildu finansējumu no sociālajām iemaksām, vienlaicīgi piesaistot tiesības saņemt pilnīgu veselības aprūpes pakalpojumu grozu sociālo iemaksu maksājumiem.</w:t>
      </w:r>
    </w:p>
    <w:p w:rsidR="00B0141B" w:rsidRPr="00BC16C8" w:rsidP="00DF0578">
      <w:pPr>
        <w:ind w:firstLine="709"/>
        <w:rPr>
          <w:sz w:val="24"/>
          <w:szCs w:val="24"/>
          <w:lang w:val="lv-LV"/>
        </w:rPr>
      </w:pPr>
    </w:p>
    <w:p w:rsidR="00B9710B" w:rsidRPr="00BC16C8" w:rsidP="00DF0578">
      <w:pPr>
        <w:ind w:firstLine="709"/>
        <w:rPr>
          <w:sz w:val="24"/>
          <w:szCs w:val="24"/>
          <w:lang w:val="lv-LV"/>
        </w:rPr>
      </w:pPr>
      <w:r w:rsidRPr="00BC16C8">
        <w:rPr>
          <w:sz w:val="24"/>
          <w:szCs w:val="24"/>
          <w:lang w:val="lv-LV"/>
        </w:rPr>
        <w:t xml:space="preserve">Tādējādi 2017. gada decembrī Saeima pieņēma Veselības aprūpes finansēšanas likumu (turpmāk - Likums). Likums nosaka valsts </w:t>
      </w:r>
      <w:r w:rsidR="009A1D61">
        <w:rPr>
          <w:sz w:val="24"/>
          <w:szCs w:val="24"/>
          <w:lang w:val="lv-LV"/>
        </w:rPr>
        <w:t>apmaksāto</w:t>
      </w:r>
      <w:r w:rsidRPr="00BC16C8" w:rsidR="009A1D61">
        <w:rPr>
          <w:sz w:val="24"/>
          <w:szCs w:val="24"/>
          <w:lang w:val="lv-LV"/>
        </w:rPr>
        <w:t xml:space="preserve"> </w:t>
      </w:r>
      <w:r w:rsidRPr="00BC16C8">
        <w:rPr>
          <w:sz w:val="24"/>
          <w:szCs w:val="24"/>
          <w:lang w:val="lv-LV"/>
        </w:rPr>
        <w:t>veselības aprūpes pakalpojumu finansēšanas un saņemšanas principus, tai skaitā veselības aprūpes finansējuma avotus, veselības aprūpes pakalpojumu klāstu un to, cik lielā mērā likumā noteiktās iedzīvotāju grupas un personas būs tiesīgas saņemt valsts apmaksātos veselības aprūpes pakalpojumus.</w:t>
      </w:r>
    </w:p>
    <w:p w:rsidR="00B0141B" w:rsidRPr="00BC16C8" w:rsidP="00E62C6E">
      <w:pPr>
        <w:rPr>
          <w:sz w:val="24"/>
          <w:szCs w:val="24"/>
          <w:lang w:val="lv-LV"/>
        </w:rPr>
      </w:pPr>
    </w:p>
    <w:p w:rsidR="00B9710B" w:rsidRPr="00BC16C8" w:rsidP="00B0141B">
      <w:pPr>
        <w:tabs>
          <w:tab w:val="clear" w:pos="850"/>
          <w:tab w:val="clear" w:pos="1191"/>
          <w:tab w:val="clear" w:pos="1531"/>
        </w:tabs>
        <w:ind w:firstLine="709"/>
        <w:rPr>
          <w:sz w:val="24"/>
          <w:szCs w:val="24"/>
          <w:lang w:val="lv-LV"/>
        </w:rPr>
      </w:pPr>
      <w:r w:rsidRPr="00BC16C8">
        <w:rPr>
          <w:sz w:val="24"/>
          <w:szCs w:val="24"/>
          <w:lang w:val="lv-LV"/>
        </w:rPr>
        <w:t xml:space="preserve">Likuma galvenais mērķis ir nodrošināt ilgtspējīgu finansējumu un paaugstināt ieņēmumus veselības aprūpes sistēmai, nodrošināt solidaritāti sistēmā un saistīt tiesības uz veselības aprūpes pakalpojumiem ar sociālās apdrošināšanas iemaksu vai speciālu maksājumu no personām, kuras nav iekļautas veselības apdrošināšanā. </w:t>
      </w:r>
    </w:p>
    <w:p w:rsidR="00DF0578" w:rsidRPr="00BC16C8" w:rsidP="00E62C6E">
      <w:pPr>
        <w:rPr>
          <w:sz w:val="24"/>
          <w:szCs w:val="24"/>
          <w:lang w:val="lv-LV"/>
        </w:rPr>
      </w:pPr>
    </w:p>
    <w:p w:rsidR="00B9710B" w:rsidRPr="00BC16C8" w:rsidP="00B0141B">
      <w:pPr>
        <w:ind w:firstLine="709"/>
        <w:rPr>
          <w:sz w:val="24"/>
          <w:szCs w:val="24"/>
          <w:lang w:val="lv-LV"/>
        </w:rPr>
      </w:pPr>
      <w:r w:rsidRPr="00BC16C8">
        <w:rPr>
          <w:sz w:val="24"/>
          <w:szCs w:val="24"/>
          <w:lang w:val="lv-LV"/>
        </w:rPr>
        <w:t xml:space="preserve">Saskaņā ar </w:t>
      </w:r>
      <w:r w:rsidR="00DF0241">
        <w:rPr>
          <w:sz w:val="24"/>
          <w:szCs w:val="24"/>
          <w:lang w:val="lv-LV"/>
        </w:rPr>
        <w:t>L</w:t>
      </w:r>
      <w:r w:rsidRPr="00BC16C8">
        <w:rPr>
          <w:sz w:val="24"/>
          <w:szCs w:val="24"/>
          <w:lang w:val="lv-LV"/>
        </w:rPr>
        <w:t xml:space="preserve">ikumu </w:t>
      </w:r>
      <w:r w:rsidR="009A1D61">
        <w:rPr>
          <w:sz w:val="24"/>
          <w:szCs w:val="24"/>
          <w:lang w:val="lv-LV"/>
        </w:rPr>
        <w:t>tiek ieviestas</w:t>
      </w:r>
      <w:r w:rsidRPr="00BC16C8">
        <w:rPr>
          <w:sz w:val="24"/>
          <w:szCs w:val="24"/>
          <w:lang w:val="lv-LV"/>
        </w:rPr>
        <w:t xml:space="preserve"> divas galvenās izmaiņas: (1) </w:t>
      </w:r>
      <w:r w:rsidRPr="00BC16C8" w:rsidR="003D1E54">
        <w:rPr>
          <w:sz w:val="24"/>
          <w:szCs w:val="24"/>
          <w:lang w:val="lv-LV"/>
        </w:rPr>
        <w:t>valsts sociālās apdrošināšanas</w:t>
      </w:r>
      <w:r w:rsidRPr="00172C23" w:rsidR="003D1E54">
        <w:rPr>
          <w:sz w:val="24"/>
          <w:szCs w:val="24"/>
          <w:lang w:val="lv-LV"/>
        </w:rPr>
        <w:t xml:space="preserve"> </w:t>
      </w:r>
      <w:r w:rsidRPr="00172C23" w:rsidR="00172C23">
        <w:rPr>
          <w:sz w:val="24"/>
          <w:szCs w:val="24"/>
          <w:lang w:val="lv-LV"/>
        </w:rPr>
        <w:t>obligāto iemaksu daļa, kas atbilst vienam procentpunktam no obligāto iemaksu likmes, ir paredzēta veselības aprūpes pakalpojumu finansēšanai</w:t>
      </w:r>
      <w:r w:rsidRPr="00BC16C8" w:rsidR="0011289B">
        <w:rPr>
          <w:sz w:val="24"/>
          <w:szCs w:val="24"/>
          <w:lang w:val="lv-LV"/>
        </w:rPr>
        <w:t>; un (2) tiesīb</w:t>
      </w:r>
      <w:r w:rsidR="00172C23">
        <w:rPr>
          <w:sz w:val="24"/>
          <w:szCs w:val="24"/>
          <w:lang w:val="lv-LV"/>
        </w:rPr>
        <w:t>as</w:t>
      </w:r>
      <w:r w:rsidRPr="00BC16C8">
        <w:rPr>
          <w:sz w:val="24"/>
          <w:szCs w:val="24"/>
          <w:lang w:val="lv-LV"/>
        </w:rPr>
        <w:t xml:space="preserve"> saņemt veselības aprūpes pakalpojumus </w:t>
      </w:r>
      <w:r w:rsidRPr="00BC16C8" w:rsidR="0011289B">
        <w:rPr>
          <w:sz w:val="24"/>
          <w:szCs w:val="24"/>
          <w:lang w:val="lv-LV"/>
        </w:rPr>
        <w:t>sasaist</w:t>
      </w:r>
      <w:r w:rsidR="003D1E54">
        <w:rPr>
          <w:sz w:val="24"/>
          <w:szCs w:val="24"/>
          <w:lang w:val="lv-LV"/>
        </w:rPr>
        <w:t>ē</w:t>
      </w:r>
      <w:r w:rsidRPr="00BC16C8" w:rsidR="0011289B">
        <w:rPr>
          <w:sz w:val="24"/>
          <w:szCs w:val="24"/>
          <w:lang w:val="lv-LV"/>
        </w:rPr>
        <w:t xml:space="preserve"> </w:t>
      </w:r>
      <w:r w:rsidRPr="00BC16C8">
        <w:rPr>
          <w:sz w:val="24"/>
          <w:szCs w:val="24"/>
          <w:lang w:val="lv-LV"/>
        </w:rPr>
        <w:t xml:space="preserve">ar </w:t>
      </w:r>
      <w:r w:rsidR="003D1E54">
        <w:rPr>
          <w:sz w:val="24"/>
          <w:szCs w:val="24"/>
          <w:lang w:val="lv-LV"/>
        </w:rPr>
        <w:t xml:space="preserve">personu </w:t>
      </w:r>
      <w:r w:rsidRPr="00BC16C8">
        <w:rPr>
          <w:sz w:val="24"/>
          <w:szCs w:val="24"/>
          <w:lang w:val="lv-LV"/>
        </w:rPr>
        <w:t>valsts sociālās apdrošināšanas obligāto iemaksu veikšanu.</w:t>
      </w:r>
      <w:r w:rsidRPr="00BC16C8" w:rsidR="00B0141B">
        <w:rPr>
          <w:sz w:val="24"/>
          <w:szCs w:val="24"/>
          <w:lang w:val="lv-LV"/>
        </w:rPr>
        <w:t xml:space="preserve"> </w:t>
      </w:r>
      <w:r w:rsidRPr="00BC16C8">
        <w:rPr>
          <w:sz w:val="24"/>
          <w:szCs w:val="24"/>
          <w:lang w:val="lv-LV"/>
        </w:rPr>
        <w:t xml:space="preserve">Tādējādi </w:t>
      </w:r>
      <w:r w:rsidR="00172C23">
        <w:rPr>
          <w:sz w:val="24"/>
          <w:szCs w:val="24"/>
          <w:lang w:val="lv-LV"/>
        </w:rPr>
        <w:t>L</w:t>
      </w:r>
      <w:r w:rsidRPr="00BC16C8">
        <w:rPr>
          <w:sz w:val="24"/>
          <w:szCs w:val="24"/>
          <w:lang w:val="lv-LV"/>
        </w:rPr>
        <w:t>ikums paredz, ka no 2019.gada 1.janvāra personām, kas veic sociālās ie</w:t>
      </w:r>
      <w:r w:rsidR="009F4A45">
        <w:rPr>
          <w:sz w:val="24"/>
          <w:szCs w:val="24"/>
          <w:lang w:val="lv-LV"/>
        </w:rPr>
        <w:t>maksas, tiks nodrošināts pilnīg</w:t>
      </w:r>
      <w:r w:rsidRPr="00BC16C8">
        <w:rPr>
          <w:sz w:val="24"/>
          <w:szCs w:val="24"/>
          <w:lang w:val="lv-LV"/>
        </w:rPr>
        <w:t>s</w:t>
      </w:r>
      <w:r w:rsidR="009F4A45">
        <w:rPr>
          <w:sz w:val="24"/>
          <w:szCs w:val="24"/>
          <w:lang w:val="lv-LV"/>
        </w:rPr>
        <w:t xml:space="preserve"> valsts apmaksātās veselības aprūpes pakalpojumu apjoms. Tiesības saņemt pilnīgu valsts apmaksātās</w:t>
      </w:r>
      <w:r w:rsidRPr="00BC16C8">
        <w:rPr>
          <w:sz w:val="24"/>
          <w:szCs w:val="24"/>
          <w:lang w:val="lv-LV"/>
        </w:rPr>
        <w:t xml:space="preserve"> veselība</w:t>
      </w:r>
      <w:r w:rsidR="009F4A45">
        <w:rPr>
          <w:sz w:val="24"/>
          <w:szCs w:val="24"/>
          <w:lang w:val="lv-LV"/>
        </w:rPr>
        <w:t>s aprūpes pakalpojumu apjomu būs</w:t>
      </w:r>
      <w:r w:rsidRPr="00BC16C8">
        <w:rPr>
          <w:sz w:val="24"/>
          <w:szCs w:val="24"/>
          <w:lang w:val="lv-LV"/>
        </w:rPr>
        <w:t xml:space="preserve"> </w:t>
      </w:r>
      <w:r w:rsidR="009F4A45">
        <w:rPr>
          <w:sz w:val="24"/>
          <w:szCs w:val="24"/>
          <w:lang w:val="lv-LV"/>
        </w:rPr>
        <w:t>arī vairākām personu grupām</w:t>
      </w:r>
      <w:r w:rsidRPr="00BC16C8">
        <w:rPr>
          <w:sz w:val="24"/>
          <w:szCs w:val="24"/>
          <w:lang w:val="lv-LV"/>
        </w:rPr>
        <w:t xml:space="preserve">, kas </w:t>
      </w:r>
      <w:r w:rsidR="009F4A45">
        <w:rPr>
          <w:sz w:val="24"/>
          <w:szCs w:val="24"/>
          <w:lang w:val="lv-LV"/>
        </w:rPr>
        <w:t>nemaksā valsts sociālās apdrošināšanas iemaksas</w:t>
      </w:r>
      <w:r w:rsidRPr="00BC16C8">
        <w:rPr>
          <w:sz w:val="24"/>
          <w:szCs w:val="24"/>
          <w:lang w:val="lv-LV"/>
        </w:rPr>
        <w:t xml:space="preserve">, tostarp bērniem līdz 18 gadiem, pensionāriem vai invalīdiem, </w:t>
      </w:r>
      <w:r w:rsidR="009F4A45">
        <w:rPr>
          <w:sz w:val="24"/>
          <w:szCs w:val="24"/>
          <w:lang w:val="lv-LV"/>
        </w:rPr>
        <w:t>N</w:t>
      </w:r>
      <w:r w:rsidRPr="00BC16C8">
        <w:rPr>
          <w:sz w:val="24"/>
          <w:szCs w:val="24"/>
          <w:lang w:val="lv-LV"/>
        </w:rPr>
        <w:t xml:space="preserve">odarbinātības </w:t>
      </w:r>
      <w:r w:rsidR="009F4A45">
        <w:rPr>
          <w:sz w:val="24"/>
          <w:szCs w:val="24"/>
          <w:lang w:val="lv-LV"/>
        </w:rPr>
        <w:t xml:space="preserve">valsts </w:t>
      </w:r>
      <w:r w:rsidRPr="00BC16C8">
        <w:rPr>
          <w:sz w:val="24"/>
          <w:szCs w:val="24"/>
          <w:lang w:val="lv-LV"/>
        </w:rPr>
        <w:t>aģentūrā reģistrētiem bezdarbniekiem un citiem.</w:t>
      </w:r>
    </w:p>
    <w:p w:rsidR="00E62C6E" w:rsidRPr="00BC16C8" w:rsidP="00E62C6E">
      <w:pPr>
        <w:shd w:val="clear" w:color="auto" w:fill="FFFFFF"/>
        <w:rPr>
          <w:sz w:val="24"/>
          <w:szCs w:val="24"/>
          <w:lang w:val="lv-LV" w:eastAsia="lv-LV"/>
        </w:rPr>
      </w:pPr>
    </w:p>
    <w:p w:rsidR="00D27896" w:rsidRPr="00BC16C8" w:rsidP="00B0141B">
      <w:pPr>
        <w:shd w:val="clear" w:color="auto" w:fill="FFFFFF"/>
        <w:tabs>
          <w:tab w:val="clear" w:pos="850"/>
          <w:tab w:val="clear" w:pos="1191"/>
          <w:tab w:val="clear" w:pos="1531"/>
        </w:tabs>
        <w:ind w:firstLine="709"/>
        <w:rPr>
          <w:sz w:val="24"/>
          <w:szCs w:val="24"/>
          <w:lang w:val="lv-LV" w:eastAsia="lv-LV"/>
        </w:rPr>
      </w:pPr>
      <w:r w:rsidRPr="00BC16C8">
        <w:rPr>
          <w:sz w:val="24"/>
          <w:szCs w:val="24"/>
          <w:lang w:val="lv-LV" w:eastAsia="lv-LV"/>
        </w:rPr>
        <w:t xml:space="preserve">Savukārt personas, kuras nemaksā </w:t>
      </w:r>
      <w:r w:rsidR="009F4A45">
        <w:rPr>
          <w:sz w:val="24"/>
          <w:szCs w:val="24"/>
          <w:lang w:val="lv-LV" w:eastAsia="lv-LV"/>
        </w:rPr>
        <w:t xml:space="preserve">valsts </w:t>
      </w:r>
      <w:r w:rsidRPr="00BC16C8">
        <w:rPr>
          <w:sz w:val="24"/>
          <w:szCs w:val="24"/>
          <w:lang w:val="lv-LV" w:eastAsia="lv-LV"/>
        </w:rPr>
        <w:t xml:space="preserve">sociālās </w:t>
      </w:r>
      <w:r w:rsidR="009F4A45">
        <w:rPr>
          <w:sz w:val="24"/>
          <w:szCs w:val="24"/>
          <w:lang w:val="lv-LV" w:eastAsia="lv-LV"/>
        </w:rPr>
        <w:t>apdrošināšanas obligātās iemaksas,</w:t>
      </w:r>
      <w:r w:rsidRPr="00BC16C8">
        <w:rPr>
          <w:sz w:val="24"/>
          <w:szCs w:val="24"/>
          <w:lang w:val="lv-LV" w:eastAsia="lv-LV"/>
        </w:rPr>
        <w:t xml:space="preserve"> būs tiesīgas saņemt vairākus pamata veselīb</w:t>
      </w:r>
      <w:r w:rsidRPr="00BC16C8" w:rsidR="00CB0E9D">
        <w:rPr>
          <w:sz w:val="24"/>
          <w:szCs w:val="24"/>
          <w:lang w:val="lv-LV" w:eastAsia="lv-LV"/>
        </w:rPr>
        <w:t>as aprūpes pakalpojumus (piemino</w:t>
      </w:r>
      <w:r w:rsidRPr="00BC16C8">
        <w:rPr>
          <w:sz w:val="24"/>
          <w:szCs w:val="24"/>
          <w:lang w:val="lv-LV" w:eastAsia="lv-LV"/>
        </w:rPr>
        <w:t>t dažus):</w:t>
      </w:r>
    </w:p>
    <w:p w:rsidR="00D27896" w:rsidRPr="00BC16C8" w:rsidP="00E62C6E">
      <w:pPr>
        <w:shd w:val="clear" w:color="auto" w:fill="FFFFFF"/>
        <w:rPr>
          <w:sz w:val="24"/>
          <w:szCs w:val="24"/>
          <w:lang w:val="lv-LV" w:eastAsia="lv-LV"/>
        </w:rPr>
      </w:pPr>
      <w:r w:rsidRPr="00BC16C8">
        <w:rPr>
          <w:sz w:val="24"/>
          <w:szCs w:val="24"/>
          <w:lang w:val="lv-LV" w:eastAsia="lv-LV"/>
        </w:rPr>
        <w:t xml:space="preserve">• </w:t>
      </w:r>
      <w:r w:rsidRPr="00BC16C8" w:rsidR="00CB0E9D">
        <w:rPr>
          <w:sz w:val="24"/>
          <w:szCs w:val="24"/>
          <w:lang w:val="lv-LV" w:eastAsia="lv-LV"/>
        </w:rPr>
        <w:t>ģimenes ārsta</w:t>
      </w:r>
      <w:r w:rsidRPr="00BC16C8">
        <w:rPr>
          <w:sz w:val="24"/>
          <w:szCs w:val="24"/>
          <w:lang w:val="lv-LV" w:eastAsia="lv-LV"/>
        </w:rPr>
        <w:t xml:space="preserve"> aprūpe; • </w:t>
      </w:r>
      <w:r w:rsidRPr="00BC16C8" w:rsidR="00CB0E9D">
        <w:rPr>
          <w:sz w:val="24"/>
          <w:szCs w:val="24"/>
          <w:lang w:val="lv-LV" w:eastAsia="lv-LV"/>
        </w:rPr>
        <w:t>NMP</w:t>
      </w:r>
      <w:r w:rsidRPr="00BC16C8">
        <w:rPr>
          <w:sz w:val="24"/>
          <w:szCs w:val="24"/>
          <w:lang w:val="lv-LV" w:eastAsia="lv-LV"/>
        </w:rPr>
        <w:t xml:space="preserve"> pakalpojumi; • palīdzība neatliekamās medicīniskās palīdzības</w:t>
      </w:r>
      <w:r w:rsidRPr="00BC16C8" w:rsidR="00CB0E9D">
        <w:rPr>
          <w:sz w:val="24"/>
          <w:szCs w:val="24"/>
          <w:lang w:val="lv-LV" w:eastAsia="lv-LV"/>
        </w:rPr>
        <w:t xml:space="preserve"> punktos; • valsts kompensēti medikamenti noteiktā</w:t>
      </w:r>
      <w:r w:rsidRPr="00BC16C8">
        <w:rPr>
          <w:sz w:val="24"/>
          <w:szCs w:val="24"/>
          <w:lang w:val="lv-LV" w:eastAsia="lv-LV"/>
        </w:rPr>
        <w:t xml:space="preserve">m diagnozēm; • ārkārtas medicīniskā aprūpe slimnīcā; • to slimību ārstēšana, kuras būtiski ietekmē vai apdraud sabiedrības veselību (onkoloģija, dažas infekcijas slimības, psihiatrija); • </w:t>
      </w:r>
      <w:r w:rsidR="009F4A45">
        <w:rPr>
          <w:sz w:val="24"/>
          <w:szCs w:val="24"/>
          <w:lang w:val="lv-LV" w:eastAsia="lv-LV"/>
        </w:rPr>
        <w:t>dzemdību palīdzība</w:t>
      </w:r>
      <w:r w:rsidRPr="00BC16C8">
        <w:rPr>
          <w:sz w:val="24"/>
          <w:szCs w:val="24"/>
          <w:lang w:val="lv-LV" w:eastAsia="lv-LV"/>
        </w:rPr>
        <w:t>.</w:t>
      </w:r>
    </w:p>
    <w:p w:rsidR="00D27896" w:rsidRPr="00BC16C8" w:rsidP="00E62C6E">
      <w:pPr>
        <w:shd w:val="clear" w:color="auto" w:fill="FFFFFF"/>
        <w:rPr>
          <w:sz w:val="24"/>
          <w:szCs w:val="24"/>
          <w:lang w:val="lv-LV" w:eastAsia="lv-LV"/>
        </w:rPr>
      </w:pPr>
      <w:r>
        <w:rPr>
          <w:sz w:val="24"/>
          <w:szCs w:val="24"/>
          <w:lang w:val="lv-LV" w:eastAsia="lv-LV"/>
        </w:rPr>
        <w:t>Personām</w:t>
      </w:r>
      <w:r w:rsidRPr="00BC16C8">
        <w:rPr>
          <w:sz w:val="24"/>
          <w:szCs w:val="24"/>
          <w:lang w:val="lv-LV" w:eastAsia="lv-LV"/>
        </w:rPr>
        <w:t xml:space="preserve">, </w:t>
      </w:r>
      <w:r>
        <w:rPr>
          <w:sz w:val="24"/>
          <w:szCs w:val="24"/>
          <w:lang w:val="lv-LV" w:eastAsia="lv-LV"/>
        </w:rPr>
        <w:t>kuras nemaksā valsts sociālās apdrošināšanas iemaksas vispār vai nemaksā tās vispārējā režīmā (piemēram,</w:t>
      </w:r>
      <w:r w:rsidRPr="00BC16C8">
        <w:rPr>
          <w:sz w:val="24"/>
          <w:szCs w:val="24"/>
          <w:lang w:val="lv-LV" w:eastAsia="lv-LV"/>
        </w:rPr>
        <w:t xml:space="preserve"> personām, kas maksā īpašu </w:t>
      </w:r>
      <w:r w:rsidRPr="00BC16C8">
        <w:rPr>
          <w:sz w:val="24"/>
          <w:szCs w:val="24"/>
          <w:lang w:val="lv-LV" w:eastAsia="lv-LV"/>
        </w:rPr>
        <w:t>mikrouzņēmumu</w:t>
      </w:r>
      <w:r w:rsidRPr="00BC16C8">
        <w:rPr>
          <w:sz w:val="24"/>
          <w:szCs w:val="24"/>
          <w:lang w:val="lv-LV" w:eastAsia="lv-LV"/>
        </w:rPr>
        <w:t xml:space="preserve"> nodokli vai licences maksu</w:t>
      </w:r>
      <w:r>
        <w:rPr>
          <w:sz w:val="24"/>
          <w:szCs w:val="24"/>
          <w:lang w:val="lv-LV" w:eastAsia="lv-LV"/>
        </w:rPr>
        <w:t xml:space="preserve">), tiek nodrošinātas tiesības saņemt pilnīgu valsts apmaksātās veselības aprūpes </w:t>
      </w:r>
      <w:r w:rsidR="00A30E37">
        <w:rPr>
          <w:sz w:val="24"/>
          <w:szCs w:val="24"/>
          <w:lang w:val="lv-LV" w:eastAsia="lv-LV"/>
        </w:rPr>
        <w:t>pakalpojuma apjomu, ja tie ir veikuši</w:t>
      </w:r>
      <w:r w:rsidRPr="00BC16C8">
        <w:rPr>
          <w:sz w:val="24"/>
          <w:szCs w:val="24"/>
          <w:lang w:val="lv-LV" w:eastAsia="lv-LV"/>
        </w:rPr>
        <w:t xml:space="preserve"> brīvprātīgās veselības iemaksas: (*) 2018. gadā - 1% no</w:t>
      </w:r>
      <w:r w:rsidR="00A30E37">
        <w:rPr>
          <w:sz w:val="24"/>
          <w:szCs w:val="24"/>
          <w:lang w:val="lv-LV" w:eastAsia="lv-LV"/>
        </w:rPr>
        <w:t xml:space="preserve"> valstī noteiktās minimālās mēneša darba algas</w:t>
      </w:r>
      <w:r w:rsidRPr="00BC16C8">
        <w:rPr>
          <w:sz w:val="24"/>
          <w:szCs w:val="24"/>
          <w:lang w:val="lv-LV" w:eastAsia="lv-LV"/>
        </w:rPr>
        <w:t xml:space="preserve">; (*) 2019. gadā - 3% no </w:t>
      </w:r>
      <w:r w:rsidR="00A30E37">
        <w:rPr>
          <w:sz w:val="24"/>
          <w:szCs w:val="24"/>
          <w:lang w:val="lv-LV" w:eastAsia="lv-LV"/>
        </w:rPr>
        <w:t>valstī noteiktās minimālās mēneša darba algas</w:t>
      </w:r>
      <w:r w:rsidRPr="00BC16C8">
        <w:rPr>
          <w:sz w:val="24"/>
          <w:szCs w:val="24"/>
          <w:lang w:val="lv-LV" w:eastAsia="lv-LV"/>
        </w:rPr>
        <w:t xml:space="preserve">; (*) 2020. gadā un turpmāk - 5% no </w:t>
      </w:r>
      <w:r w:rsidR="00A30E37">
        <w:rPr>
          <w:sz w:val="24"/>
          <w:szCs w:val="24"/>
          <w:lang w:val="lv-LV" w:eastAsia="lv-LV"/>
        </w:rPr>
        <w:t>valstī noteiktās minimālās mēneša darba algas</w:t>
      </w:r>
      <w:r w:rsidRPr="00BC16C8">
        <w:rPr>
          <w:sz w:val="24"/>
          <w:szCs w:val="24"/>
          <w:lang w:val="lv-LV" w:eastAsia="lv-LV"/>
        </w:rPr>
        <w:t>.</w:t>
      </w:r>
    </w:p>
    <w:p w:rsidR="00CB0E9D" w:rsidRPr="00BC16C8" w:rsidP="00E62C6E">
      <w:pPr>
        <w:rPr>
          <w:color w:val="7030A0"/>
          <w:sz w:val="24"/>
          <w:szCs w:val="24"/>
          <w:lang w:val="lv-LV"/>
        </w:rPr>
      </w:pPr>
    </w:p>
    <w:p w:rsidR="00CB0E9D" w:rsidRPr="00BC16C8" w:rsidP="00E62C6E">
      <w:pPr>
        <w:rPr>
          <w:i/>
          <w:sz w:val="24"/>
          <w:szCs w:val="24"/>
          <w:u w:val="single"/>
          <w:lang w:val="lv-LV"/>
        </w:rPr>
      </w:pPr>
      <w:r w:rsidRPr="00BC16C8">
        <w:rPr>
          <w:i/>
          <w:sz w:val="24"/>
          <w:szCs w:val="24"/>
          <w:u w:val="single"/>
          <w:lang w:val="lv-LV"/>
        </w:rPr>
        <w:t xml:space="preserve">I </w:t>
      </w:r>
      <w:r w:rsidRPr="00AA5795" w:rsidR="00AA5795">
        <w:rPr>
          <w:i/>
          <w:sz w:val="24"/>
          <w:szCs w:val="24"/>
          <w:u w:val="single"/>
          <w:lang w:val="lv-LV"/>
        </w:rPr>
        <w:t>Veselības aprūpes budžeta palielinājums atsevišķiem pasākumiem</w:t>
      </w:r>
    </w:p>
    <w:p w:rsidR="00CB0E9D" w:rsidRPr="00BC16C8" w:rsidP="00E62C6E">
      <w:pPr>
        <w:rPr>
          <w:sz w:val="24"/>
          <w:szCs w:val="24"/>
          <w:lang w:val="lv-LV"/>
        </w:rPr>
      </w:pPr>
    </w:p>
    <w:p w:rsidR="00CB0E9D" w:rsidRPr="00BC16C8" w:rsidP="00E62C6E">
      <w:pPr>
        <w:rPr>
          <w:sz w:val="24"/>
          <w:szCs w:val="24"/>
          <w:lang w:val="lv-LV"/>
        </w:rPr>
      </w:pPr>
      <w:r w:rsidRPr="00BC16C8">
        <w:rPr>
          <w:sz w:val="24"/>
          <w:szCs w:val="24"/>
          <w:lang w:val="lv-LV"/>
        </w:rPr>
        <w:t>1) Medicīniskā personāla nodrošināšana slimnīcu uzņemšanas un dzemdību nodaļās - finansējums tika piešķirts, lai palielinātu medicīnas darbinieku atalgojumu (īpaši nakts darbam un brīvdienām):</w:t>
      </w:r>
    </w:p>
    <w:p w:rsidR="00CB0E9D" w:rsidRPr="00BC16C8" w:rsidP="00E62C6E">
      <w:pPr>
        <w:rPr>
          <w:sz w:val="24"/>
          <w:szCs w:val="24"/>
          <w:lang w:val="lv-LV"/>
        </w:rPr>
      </w:pPr>
      <w:r w:rsidRPr="00BC16C8">
        <w:rPr>
          <w:sz w:val="24"/>
          <w:szCs w:val="24"/>
          <w:lang w:val="lv-LV"/>
        </w:rPr>
        <w:t>*) 5,8 miljoni EUR 2017. gadā;</w:t>
      </w:r>
    </w:p>
    <w:p w:rsidR="00CB0E9D" w:rsidRPr="00BC16C8" w:rsidP="00E62C6E">
      <w:pPr>
        <w:rPr>
          <w:sz w:val="24"/>
          <w:szCs w:val="24"/>
          <w:lang w:val="lv-LV"/>
        </w:rPr>
      </w:pPr>
      <w:r w:rsidRPr="00BC16C8">
        <w:rPr>
          <w:sz w:val="24"/>
          <w:szCs w:val="24"/>
          <w:lang w:val="lv-LV"/>
        </w:rPr>
        <w:t xml:space="preserve">*) 7,8 miljoni EUR 2018. gadā un </w:t>
      </w:r>
      <w:bookmarkStart w:id="4" w:name="_Hlk513465061"/>
      <w:r w:rsidRPr="00BC16C8" w:rsidR="00047E9A">
        <w:rPr>
          <w:sz w:val="24"/>
          <w:szCs w:val="24"/>
          <w:lang w:val="lv-LV"/>
        </w:rPr>
        <w:t>turpmāk</w:t>
      </w:r>
      <w:bookmarkEnd w:id="4"/>
      <w:r w:rsidRPr="00BC16C8">
        <w:rPr>
          <w:sz w:val="24"/>
          <w:szCs w:val="24"/>
          <w:lang w:val="lv-LV"/>
        </w:rPr>
        <w:t>.</w:t>
      </w:r>
    </w:p>
    <w:p w:rsidR="00CB0E9D" w:rsidRPr="00BC16C8" w:rsidP="00E62C6E">
      <w:pPr>
        <w:rPr>
          <w:sz w:val="24"/>
          <w:szCs w:val="24"/>
          <w:lang w:val="lv-LV"/>
        </w:rPr>
      </w:pPr>
    </w:p>
    <w:p w:rsidR="00CB0E9D" w:rsidRPr="00BC16C8" w:rsidP="00E62C6E">
      <w:pPr>
        <w:rPr>
          <w:sz w:val="24"/>
          <w:szCs w:val="24"/>
          <w:lang w:val="lv-LV"/>
        </w:rPr>
      </w:pPr>
      <w:r w:rsidRPr="00BC16C8">
        <w:rPr>
          <w:sz w:val="24"/>
          <w:szCs w:val="24"/>
          <w:lang w:val="lv-LV"/>
        </w:rPr>
        <w:t>2) Darba devēja valsts sociālās apdrošināšanas obligāto iemaksu palielināšana:</w:t>
      </w:r>
    </w:p>
    <w:p w:rsidR="00CB0E9D" w:rsidRPr="00BC16C8" w:rsidP="00E62C6E">
      <w:pPr>
        <w:rPr>
          <w:sz w:val="24"/>
          <w:szCs w:val="24"/>
          <w:lang w:val="lv-LV"/>
        </w:rPr>
      </w:pPr>
      <w:r w:rsidRPr="00BC16C8">
        <w:rPr>
          <w:sz w:val="24"/>
          <w:szCs w:val="24"/>
          <w:lang w:val="lv-LV"/>
        </w:rPr>
        <w:t>*) 0,230 miljoni EUR 2018. gadā;</w:t>
      </w:r>
    </w:p>
    <w:p w:rsidR="00CB0E9D" w:rsidRPr="00BC16C8" w:rsidP="00E62C6E">
      <w:pPr>
        <w:rPr>
          <w:sz w:val="24"/>
          <w:szCs w:val="24"/>
          <w:lang w:val="lv-LV"/>
        </w:rPr>
      </w:pPr>
      <w:r w:rsidRPr="00BC16C8">
        <w:rPr>
          <w:sz w:val="24"/>
          <w:szCs w:val="24"/>
          <w:lang w:val="lv-LV"/>
        </w:rPr>
        <w:t xml:space="preserve">*) 0,229 miljoni EUR 2019. gadā un </w:t>
      </w:r>
      <w:r w:rsidRPr="00BC16C8" w:rsidR="00047E9A">
        <w:rPr>
          <w:sz w:val="24"/>
          <w:szCs w:val="24"/>
          <w:lang w:val="lv-LV"/>
        </w:rPr>
        <w:t>turpmāk</w:t>
      </w:r>
      <w:r w:rsidRPr="00BC16C8">
        <w:rPr>
          <w:sz w:val="24"/>
          <w:szCs w:val="24"/>
          <w:lang w:val="lv-LV"/>
        </w:rPr>
        <w:t>.</w:t>
      </w:r>
    </w:p>
    <w:p w:rsidR="00CB0E9D" w:rsidRPr="00BC16C8" w:rsidP="00E62C6E">
      <w:pPr>
        <w:rPr>
          <w:sz w:val="24"/>
          <w:szCs w:val="24"/>
          <w:lang w:val="lv-LV"/>
        </w:rPr>
      </w:pPr>
    </w:p>
    <w:p w:rsidR="00CB0E9D" w:rsidRPr="00BC16C8" w:rsidP="00E62C6E">
      <w:pPr>
        <w:rPr>
          <w:sz w:val="24"/>
          <w:szCs w:val="24"/>
          <w:lang w:val="lv-LV"/>
        </w:rPr>
      </w:pPr>
      <w:r w:rsidRPr="00BC16C8">
        <w:rPr>
          <w:sz w:val="24"/>
          <w:szCs w:val="24"/>
          <w:lang w:val="lv-LV"/>
        </w:rPr>
        <w:t xml:space="preserve">3) Minimālās mēnešalgas palielināšana līdz 430 eiro: 0,356 milj. </w:t>
      </w:r>
      <w:r w:rsidRPr="005E1E71">
        <w:rPr>
          <w:sz w:val="24"/>
          <w:szCs w:val="24"/>
          <w:lang w:val="lv-LV"/>
        </w:rPr>
        <w:t xml:space="preserve">EUR </w:t>
      </w:r>
      <w:r w:rsidRPr="00ED3A6D">
        <w:rPr>
          <w:sz w:val="24"/>
          <w:szCs w:val="24"/>
          <w:lang w:val="lv-LV"/>
        </w:rPr>
        <w:t>201</w:t>
      </w:r>
      <w:r w:rsidRPr="00ED3A6D" w:rsidR="00AA2429">
        <w:rPr>
          <w:sz w:val="24"/>
          <w:szCs w:val="24"/>
          <w:lang w:val="lv-LV"/>
        </w:rPr>
        <w:t>8</w:t>
      </w:r>
      <w:r w:rsidRPr="00ED3A6D">
        <w:rPr>
          <w:sz w:val="24"/>
          <w:szCs w:val="24"/>
          <w:lang w:val="lv-LV"/>
        </w:rPr>
        <w:t>.gadā</w:t>
      </w:r>
      <w:r w:rsidRPr="00BC16C8">
        <w:rPr>
          <w:sz w:val="24"/>
          <w:szCs w:val="24"/>
          <w:lang w:val="lv-LV"/>
        </w:rPr>
        <w:t xml:space="preserve"> un </w:t>
      </w:r>
      <w:r w:rsidRPr="00BC16C8" w:rsidR="00047E9A">
        <w:rPr>
          <w:sz w:val="24"/>
          <w:szCs w:val="24"/>
          <w:lang w:val="lv-LV"/>
        </w:rPr>
        <w:t>turpmāk</w:t>
      </w:r>
      <w:r w:rsidRPr="00BC16C8">
        <w:rPr>
          <w:sz w:val="24"/>
          <w:szCs w:val="24"/>
          <w:lang w:val="lv-LV"/>
        </w:rPr>
        <w:t>.</w:t>
      </w:r>
    </w:p>
    <w:p w:rsidR="00CB0E9D" w:rsidRPr="00BC16C8" w:rsidP="00E62C6E">
      <w:pPr>
        <w:rPr>
          <w:sz w:val="24"/>
          <w:szCs w:val="24"/>
          <w:lang w:val="lv-LV"/>
        </w:rPr>
      </w:pPr>
    </w:p>
    <w:p w:rsidR="00CB0E9D" w:rsidRPr="00BC16C8" w:rsidP="00E62C6E">
      <w:pPr>
        <w:rPr>
          <w:sz w:val="24"/>
          <w:szCs w:val="24"/>
          <w:lang w:val="lv-LV"/>
        </w:rPr>
      </w:pPr>
      <w:r w:rsidRPr="00BC16C8">
        <w:rPr>
          <w:sz w:val="24"/>
          <w:szCs w:val="24"/>
          <w:lang w:val="lv-LV"/>
        </w:rPr>
        <w:t xml:space="preserve">4) Valsts sociālās nodrošināšanas pasākumi, kas saistīti ar minimālo mēneša atalgojumu: 2018.gadā un </w:t>
      </w:r>
      <w:r w:rsidRPr="00BC16C8" w:rsidR="00047E9A">
        <w:rPr>
          <w:sz w:val="24"/>
          <w:szCs w:val="24"/>
          <w:lang w:val="lv-LV"/>
        </w:rPr>
        <w:t xml:space="preserve">turpmāk </w:t>
      </w:r>
      <w:r w:rsidRPr="00BC16C8">
        <w:rPr>
          <w:sz w:val="24"/>
          <w:szCs w:val="24"/>
          <w:lang w:val="lv-LV"/>
        </w:rPr>
        <w:t>- 9,6 miljoni EUR.</w:t>
      </w:r>
    </w:p>
    <w:p w:rsidR="00CB0E9D" w:rsidRPr="00BC16C8" w:rsidP="00E62C6E">
      <w:pPr>
        <w:rPr>
          <w:sz w:val="24"/>
          <w:szCs w:val="24"/>
          <w:lang w:val="lv-LV"/>
        </w:rPr>
      </w:pPr>
    </w:p>
    <w:p w:rsidR="00CB0E9D" w:rsidRPr="00BC16C8" w:rsidP="00E62C6E">
      <w:pPr>
        <w:rPr>
          <w:sz w:val="24"/>
          <w:szCs w:val="24"/>
          <w:lang w:val="lv-LV"/>
        </w:rPr>
      </w:pPr>
      <w:r w:rsidRPr="00BC16C8">
        <w:rPr>
          <w:sz w:val="24"/>
          <w:szCs w:val="24"/>
          <w:lang w:val="lv-LV"/>
        </w:rPr>
        <w:t xml:space="preserve">5) Lai pakāpeniski atteiktos no </w:t>
      </w:r>
      <w:r w:rsidR="005021AA">
        <w:rPr>
          <w:sz w:val="24"/>
          <w:szCs w:val="24"/>
          <w:lang w:val="lv-LV"/>
        </w:rPr>
        <w:t>normālā</w:t>
      </w:r>
      <w:r w:rsidRPr="00BC16C8" w:rsidR="005021AA">
        <w:rPr>
          <w:sz w:val="24"/>
          <w:szCs w:val="24"/>
          <w:lang w:val="lv-LV"/>
        </w:rPr>
        <w:t xml:space="preserve"> </w:t>
      </w:r>
      <w:r w:rsidRPr="00BC16C8" w:rsidR="00A30E37">
        <w:rPr>
          <w:sz w:val="24"/>
          <w:szCs w:val="24"/>
          <w:lang w:val="lv-LV"/>
        </w:rPr>
        <w:t xml:space="preserve">pagarināta </w:t>
      </w:r>
      <w:r w:rsidRPr="00BC16C8">
        <w:rPr>
          <w:sz w:val="24"/>
          <w:szCs w:val="24"/>
          <w:lang w:val="lv-LV"/>
        </w:rPr>
        <w:t>darba laika</w:t>
      </w:r>
      <w:r w:rsidRPr="00BC16C8" w:rsidR="00047E9A">
        <w:rPr>
          <w:sz w:val="24"/>
          <w:szCs w:val="24"/>
          <w:lang w:val="lv-LV"/>
        </w:rPr>
        <w:t xml:space="preserve"> </w:t>
      </w:r>
      <w:r w:rsidRPr="00AA5795" w:rsidR="00AA5795">
        <w:rPr>
          <w:sz w:val="24"/>
          <w:szCs w:val="24"/>
          <w:lang w:val="lv-LV"/>
        </w:rPr>
        <w:t>ārstniecības personām</w:t>
      </w:r>
      <w:r w:rsidRPr="00BC16C8">
        <w:rPr>
          <w:sz w:val="24"/>
          <w:szCs w:val="24"/>
          <w:lang w:val="lv-LV"/>
        </w:rPr>
        <w:t>:</w:t>
      </w:r>
    </w:p>
    <w:p w:rsidR="00CB0E9D" w:rsidRPr="00BC16C8" w:rsidP="00E62C6E">
      <w:pPr>
        <w:rPr>
          <w:sz w:val="24"/>
          <w:szCs w:val="24"/>
          <w:lang w:val="lv-LV"/>
        </w:rPr>
      </w:pPr>
      <w:r w:rsidRPr="00BC16C8">
        <w:rPr>
          <w:sz w:val="24"/>
          <w:szCs w:val="24"/>
          <w:lang w:val="lv-LV"/>
        </w:rPr>
        <w:t>*) 1,9 miljoni EUR 2017. gadā;</w:t>
      </w:r>
    </w:p>
    <w:p w:rsidR="00CB0E9D" w:rsidRPr="00BC16C8" w:rsidP="00E62C6E">
      <w:pPr>
        <w:rPr>
          <w:sz w:val="24"/>
          <w:szCs w:val="24"/>
          <w:lang w:val="lv-LV"/>
        </w:rPr>
      </w:pPr>
      <w:r w:rsidRPr="00BC16C8">
        <w:rPr>
          <w:sz w:val="24"/>
          <w:szCs w:val="24"/>
          <w:lang w:val="lv-LV"/>
        </w:rPr>
        <w:t xml:space="preserve">*) 3,78 miljoni EUR 2018. gadā un </w:t>
      </w:r>
      <w:r w:rsidRPr="00BC16C8" w:rsidR="00047E9A">
        <w:rPr>
          <w:sz w:val="24"/>
          <w:szCs w:val="24"/>
          <w:lang w:val="lv-LV"/>
        </w:rPr>
        <w:t>turpmāk</w:t>
      </w:r>
      <w:r w:rsidRPr="00BC16C8">
        <w:rPr>
          <w:sz w:val="24"/>
          <w:szCs w:val="24"/>
          <w:lang w:val="lv-LV"/>
        </w:rPr>
        <w:t>.</w:t>
      </w:r>
    </w:p>
    <w:p w:rsidR="00CB0E9D" w:rsidRPr="00BC16C8" w:rsidP="00E62C6E">
      <w:pPr>
        <w:rPr>
          <w:sz w:val="24"/>
          <w:szCs w:val="24"/>
          <w:lang w:val="lv-LV"/>
        </w:rPr>
      </w:pPr>
    </w:p>
    <w:p w:rsidR="00A97D82" w:rsidP="00E62C6E">
      <w:pPr>
        <w:rPr>
          <w:sz w:val="24"/>
          <w:szCs w:val="24"/>
          <w:lang w:val="lv-LV"/>
        </w:rPr>
      </w:pPr>
      <w:r w:rsidRPr="00BC16C8">
        <w:rPr>
          <w:sz w:val="24"/>
          <w:szCs w:val="24"/>
          <w:lang w:val="lv-LV"/>
        </w:rPr>
        <w:t xml:space="preserve">6) Lai nodrošinātu pastāvīgu </w:t>
      </w:r>
      <w:r w:rsidRPr="00BC16C8" w:rsidR="00047E9A">
        <w:rPr>
          <w:sz w:val="24"/>
          <w:szCs w:val="24"/>
          <w:lang w:val="lv-LV"/>
        </w:rPr>
        <w:t>savlaicīgu insulīna piegādi bērniem ar n</w:t>
      </w:r>
      <w:r w:rsidRPr="00BC16C8">
        <w:rPr>
          <w:sz w:val="24"/>
          <w:szCs w:val="24"/>
          <w:lang w:val="lv-LV"/>
        </w:rPr>
        <w:t xml:space="preserve">o insulīna atkarīgu cukura diabētu, tādējādi samazinot diabēta un </w:t>
      </w:r>
      <w:r w:rsidRPr="00BC16C8">
        <w:rPr>
          <w:sz w:val="24"/>
          <w:szCs w:val="24"/>
          <w:lang w:val="lv-LV"/>
        </w:rPr>
        <w:t>hipoglikēmijas</w:t>
      </w:r>
      <w:r w:rsidRPr="00BC16C8">
        <w:rPr>
          <w:sz w:val="24"/>
          <w:szCs w:val="24"/>
          <w:lang w:val="lv-LV"/>
        </w:rPr>
        <w:t xml:space="preserve"> vēlīnās komplikācijas risku: *) 0,710 miljoni EUR 2018. gadā.</w:t>
      </w:r>
    </w:p>
    <w:p w:rsidR="002F77CE" w:rsidP="00E62C6E">
      <w:pPr>
        <w:rPr>
          <w:sz w:val="24"/>
          <w:szCs w:val="24"/>
          <w:lang w:val="lv-LV"/>
        </w:rPr>
      </w:pPr>
    </w:p>
    <w:p w:rsidR="00A95A63" w:rsidRPr="00BC16C8" w:rsidP="00E62C6E">
      <w:pPr>
        <w:rPr>
          <w:sz w:val="24"/>
          <w:szCs w:val="24"/>
          <w:lang w:val="lv-LV"/>
        </w:rPr>
      </w:pPr>
      <w:r>
        <w:rPr>
          <w:sz w:val="24"/>
          <w:szCs w:val="24"/>
          <w:lang w:val="lv-LV"/>
        </w:rPr>
        <w:t>7)</w:t>
      </w:r>
      <w:r>
        <w:rPr>
          <w:sz w:val="24"/>
          <w:szCs w:val="24"/>
          <w:lang w:val="lv-LV"/>
        </w:rPr>
        <w:t xml:space="preserve"> Lai izveidotu </w:t>
      </w:r>
      <w:r w:rsidRPr="00ED3A6D">
        <w:rPr>
          <w:sz w:val="24"/>
          <w:szCs w:val="24"/>
          <w:lang w:val="lv-LV"/>
        </w:rPr>
        <w:t>Neatkarīg</w:t>
      </w:r>
      <w:r>
        <w:rPr>
          <w:sz w:val="24"/>
          <w:szCs w:val="24"/>
          <w:lang w:val="lv-LV"/>
        </w:rPr>
        <w:t xml:space="preserve">u </w:t>
      </w:r>
      <w:r w:rsidRPr="00ED3A6D">
        <w:rPr>
          <w:sz w:val="24"/>
          <w:szCs w:val="24"/>
          <w:lang w:val="lv-LV"/>
        </w:rPr>
        <w:t>un efektīv</w:t>
      </w:r>
      <w:r>
        <w:rPr>
          <w:sz w:val="24"/>
          <w:szCs w:val="24"/>
          <w:lang w:val="lv-LV"/>
        </w:rPr>
        <w:t>u</w:t>
      </w:r>
      <w:r w:rsidRPr="00ED3A6D">
        <w:rPr>
          <w:sz w:val="24"/>
          <w:szCs w:val="24"/>
          <w:lang w:val="lv-LV"/>
        </w:rPr>
        <w:t xml:space="preserve"> Antidopinga biroj</w:t>
      </w:r>
      <w:r>
        <w:rPr>
          <w:sz w:val="24"/>
          <w:szCs w:val="24"/>
          <w:lang w:val="lv-LV"/>
        </w:rPr>
        <w:t xml:space="preserve">u: </w:t>
      </w:r>
      <w:r w:rsidRPr="00BC16C8">
        <w:rPr>
          <w:sz w:val="24"/>
          <w:szCs w:val="24"/>
          <w:lang w:val="lv-LV"/>
        </w:rPr>
        <w:t xml:space="preserve">2018.gadā un turpmāk - </w:t>
      </w:r>
      <w:r>
        <w:rPr>
          <w:sz w:val="24"/>
          <w:szCs w:val="24"/>
          <w:lang w:val="lv-LV"/>
        </w:rPr>
        <w:t>0</w:t>
      </w:r>
      <w:r w:rsidRPr="00BC16C8">
        <w:rPr>
          <w:sz w:val="24"/>
          <w:szCs w:val="24"/>
          <w:lang w:val="lv-LV"/>
        </w:rPr>
        <w:t>,6 miljoni EUR.</w:t>
      </w:r>
    </w:p>
    <w:p w:rsidR="00E62C6E" w:rsidRPr="00BC16C8" w:rsidP="00E62C6E">
      <w:pPr>
        <w:rPr>
          <w:i/>
          <w:color w:val="7030A0"/>
          <w:sz w:val="24"/>
          <w:szCs w:val="24"/>
          <w:u w:val="single"/>
          <w:lang w:val="lv-LV"/>
        </w:rPr>
      </w:pPr>
    </w:p>
    <w:p w:rsidR="00047E9A" w:rsidP="00E62C6E">
      <w:pPr>
        <w:rPr>
          <w:i/>
          <w:sz w:val="24"/>
          <w:szCs w:val="24"/>
          <w:u w:val="single"/>
          <w:lang w:val="lv-LV"/>
        </w:rPr>
      </w:pPr>
      <w:r w:rsidRPr="00BC16C8">
        <w:rPr>
          <w:i/>
          <w:sz w:val="24"/>
          <w:szCs w:val="24"/>
          <w:u w:val="single"/>
          <w:lang w:val="lv-LV"/>
        </w:rPr>
        <w:t xml:space="preserve">II. </w:t>
      </w:r>
      <w:r w:rsidRPr="00AA5795" w:rsidR="00AA5795">
        <w:rPr>
          <w:i/>
          <w:sz w:val="24"/>
          <w:szCs w:val="24"/>
          <w:u w:val="single"/>
          <w:lang w:val="lv-LV"/>
        </w:rPr>
        <w:t>Izdevumu segšanai no ieņēmumiem no valsts sociālās apdrošināšanas iemaksu sadales veselības aprūpes finansēšanai</w:t>
      </w:r>
    </w:p>
    <w:p w:rsidR="00736DE4" w:rsidRPr="00BC16C8" w:rsidP="00E62C6E">
      <w:pPr>
        <w:rPr>
          <w:i/>
          <w:sz w:val="24"/>
          <w:szCs w:val="24"/>
          <w:u w:val="single"/>
          <w:lang w:val="lv-LV"/>
        </w:rPr>
      </w:pPr>
    </w:p>
    <w:p w:rsidR="00047E9A" w:rsidRPr="00BC16C8" w:rsidP="00E62C6E">
      <w:pPr>
        <w:rPr>
          <w:sz w:val="24"/>
          <w:szCs w:val="24"/>
          <w:lang w:val="lv-LV"/>
        </w:rPr>
      </w:pPr>
      <w:r w:rsidRPr="00BC16C8">
        <w:rPr>
          <w:sz w:val="24"/>
          <w:szCs w:val="24"/>
          <w:lang w:val="lv-LV"/>
        </w:rPr>
        <w:t>Šāds papildu finansējums ir paredzēts turpmākajos gados:</w:t>
      </w:r>
    </w:p>
    <w:p w:rsidR="00047E9A" w:rsidRPr="00BC16C8" w:rsidP="00E62C6E">
      <w:pPr>
        <w:rPr>
          <w:sz w:val="24"/>
          <w:szCs w:val="24"/>
          <w:lang w:val="lv-LV"/>
        </w:rPr>
      </w:pPr>
      <w:r w:rsidRPr="00BC16C8">
        <w:rPr>
          <w:sz w:val="24"/>
          <w:szCs w:val="24"/>
          <w:lang w:val="lv-LV"/>
        </w:rPr>
        <w:t>(*) 85,3 miljoni EUR 2018. gadā;</w:t>
      </w:r>
    </w:p>
    <w:p w:rsidR="00047E9A" w:rsidRPr="00BC16C8" w:rsidP="00E62C6E">
      <w:pPr>
        <w:rPr>
          <w:sz w:val="24"/>
          <w:szCs w:val="24"/>
          <w:lang w:val="lv-LV"/>
        </w:rPr>
      </w:pPr>
      <w:r w:rsidRPr="00BC16C8">
        <w:rPr>
          <w:sz w:val="24"/>
          <w:szCs w:val="24"/>
          <w:lang w:val="lv-LV"/>
        </w:rPr>
        <w:t>(*) 99,6 miljoni EUR 2019. gadā;</w:t>
      </w:r>
    </w:p>
    <w:p w:rsidR="00047E9A" w:rsidRPr="00BC16C8" w:rsidP="00E62C6E">
      <w:pPr>
        <w:rPr>
          <w:sz w:val="24"/>
          <w:szCs w:val="24"/>
          <w:lang w:val="lv-LV"/>
        </w:rPr>
      </w:pPr>
      <w:r w:rsidRPr="00BC16C8">
        <w:rPr>
          <w:sz w:val="24"/>
          <w:szCs w:val="24"/>
          <w:lang w:val="lv-LV"/>
        </w:rPr>
        <w:t>(*) 105,5 miljoni EUR 2020. gadā.</w:t>
      </w:r>
    </w:p>
    <w:p w:rsidR="00047E9A" w:rsidRPr="00BC16C8" w:rsidP="00E62C6E">
      <w:pPr>
        <w:rPr>
          <w:sz w:val="24"/>
          <w:szCs w:val="24"/>
          <w:lang w:val="lv-LV"/>
        </w:rPr>
      </w:pPr>
      <w:r w:rsidRPr="00BC16C8">
        <w:rPr>
          <w:sz w:val="24"/>
          <w:szCs w:val="24"/>
          <w:lang w:val="lv-LV"/>
        </w:rPr>
        <w:t xml:space="preserve">No šī finansējuma paredzēts palielināt </w:t>
      </w:r>
      <w:r w:rsidRPr="00AA5795" w:rsidR="00AA5795">
        <w:rPr>
          <w:sz w:val="24"/>
          <w:szCs w:val="24"/>
          <w:lang w:val="lv-LV"/>
        </w:rPr>
        <w:t xml:space="preserve">ārstniecības personu </w:t>
      </w:r>
      <w:r w:rsidRPr="00BC16C8">
        <w:rPr>
          <w:sz w:val="24"/>
          <w:szCs w:val="24"/>
          <w:lang w:val="lv-LV"/>
        </w:rPr>
        <w:t>(ārsti, medicīnas māsas</w:t>
      </w:r>
      <w:r w:rsidR="00AA5795">
        <w:rPr>
          <w:sz w:val="24"/>
          <w:szCs w:val="24"/>
          <w:lang w:val="lv-LV"/>
        </w:rPr>
        <w:t xml:space="preserve">, </w:t>
      </w:r>
      <w:r w:rsidR="00A30E37">
        <w:rPr>
          <w:sz w:val="24"/>
          <w:szCs w:val="24"/>
          <w:lang w:val="lv-LV"/>
        </w:rPr>
        <w:t>ārstu</w:t>
      </w:r>
      <w:r w:rsidR="00AA5795">
        <w:rPr>
          <w:sz w:val="24"/>
          <w:szCs w:val="24"/>
          <w:lang w:val="lv-LV"/>
        </w:rPr>
        <w:t xml:space="preserve"> palīgi</w:t>
      </w:r>
      <w:r w:rsidRPr="00BC16C8">
        <w:rPr>
          <w:sz w:val="24"/>
          <w:szCs w:val="24"/>
          <w:lang w:val="lv-LV"/>
        </w:rPr>
        <w:t xml:space="preserve"> ut</w:t>
      </w:r>
      <w:r w:rsidRPr="00BC16C8" w:rsidR="00C5351E">
        <w:rPr>
          <w:sz w:val="24"/>
          <w:szCs w:val="24"/>
          <w:lang w:val="lv-LV"/>
        </w:rPr>
        <w:t>t.) a</w:t>
      </w:r>
      <w:r w:rsidRPr="00BC16C8">
        <w:rPr>
          <w:sz w:val="24"/>
          <w:szCs w:val="24"/>
          <w:lang w:val="lv-LV"/>
        </w:rPr>
        <w:t>tlīdzību 85,3 miljonu EUR apmērā</w:t>
      </w:r>
      <w:r w:rsidRPr="00BC16C8" w:rsidR="00C5351E">
        <w:rPr>
          <w:sz w:val="24"/>
          <w:szCs w:val="24"/>
          <w:lang w:val="lv-LV"/>
        </w:rPr>
        <w:t xml:space="preserve"> katru gadu</w:t>
      </w:r>
      <w:r w:rsidRPr="00BC16C8">
        <w:rPr>
          <w:sz w:val="24"/>
          <w:szCs w:val="24"/>
          <w:lang w:val="lv-LV"/>
        </w:rPr>
        <w:t>.</w:t>
      </w:r>
    </w:p>
    <w:p w:rsidR="00047E9A" w:rsidRPr="00BC16C8" w:rsidP="00E62C6E">
      <w:pPr>
        <w:rPr>
          <w:sz w:val="24"/>
          <w:szCs w:val="24"/>
          <w:lang w:val="lv-LV"/>
        </w:rPr>
      </w:pPr>
      <w:r w:rsidRPr="00BC16C8">
        <w:rPr>
          <w:sz w:val="24"/>
          <w:szCs w:val="24"/>
          <w:lang w:val="lv-LV"/>
        </w:rPr>
        <w:t xml:space="preserve">2018. gadā ārstiem un funkcionāliem speciālistiem atlīdzība palielināsies par 44%, </w:t>
      </w:r>
      <w:r w:rsidRPr="00AA5795" w:rsidR="00AA5795">
        <w:rPr>
          <w:sz w:val="24"/>
          <w:szCs w:val="24"/>
          <w:lang w:val="lv-LV"/>
        </w:rPr>
        <w:t>ārstniecības un pacientu aprūpes personām un funkcionālo speciālistu asistentiem</w:t>
      </w:r>
      <w:r w:rsidRPr="00BC16C8">
        <w:rPr>
          <w:sz w:val="24"/>
          <w:szCs w:val="24"/>
          <w:lang w:val="lv-LV"/>
        </w:rPr>
        <w:t xml:space="preserve"> - par 38%, ārstniecības un pacientu aprūpes atbalsta personām - par 24%. Šis pieaugums būs balstīts uz vidējo medicīniskā personāla atalgojuma pieaugumu gan ambulatorajā, gan stacionārajā sektorā.</w:t>
      </w:r>
    </w:p>
    <w:p w:rsidR="00047E9A" w:rsidRPr="00BC16C8" w:rsidP="00736DE4">
      <w:pPr>
        <w:ind w:firstLine="709"/>
        <w:rPr>
          <w:sz w:val="24"/>
          <w:szCs w:val="24"/>
          <w:lang w:val="lv-LV"/>
        </w:rPr>
      </w:pPr>
      <w:r w:rsidRPr="00BC16C8">
        <w:rPr>
          <w:sz w:val="24"/>
          <w:szCs w:val="24"/>
          <w:lang w:val="lv-LV"/>
        </w:rPr>
        <w:t xml:space="preserve">Lai apturētu medicīniskā personāla migrāciju gan </w:t>
      </w:r>
      <w:r w:rsidRPr="00BC16C8" w:rsidR="00631585">
        <w:rPr>
          <w:sz w:val="24"/>
          <w:szCs w:val="24"/>
          <w:lang w:val="lv-LV"/>
        </w:rPr>
        <w:t>uz ambulatoro sektoru, gan citām ES valstīm</w:t>
      </w:r>
      <w:r w:rsidRPr="00BC16C8">
        <w:rPr>
          <w:sz w:val="24"/>
          <w:szCs w:val="24"/>
          <w:lang w:val="lv-LV"/>
        </w:rPr>
        <w:t>, kas mūsdienās rada ļoti nopietnus draudus stacionāro veselības aprūpes paka</w:t>
      </w:r>
      <w:r w:rsidRPr="00BC16C8" w:rsidR="00631585">
        <w:rPr>
          <w:sz w:val="24"/>
          <w:szCs w:val="24"/>
          <w:lang w:val="lv-LV"/>
        </w:rPr>
        <w:t>lpojumu pieejamībai, stacionārajām ārstniecības iestādēm</w:t>
      </w:r>
      <w:r w:rsidR="00736DE4">
        <w:rPr>
          <w:sz w:val="24"/>
          <w:szCs w:val="24"/>
          <w:lang w:val="lv-LV"/>
        </w:rPr>
        <w:t>,</w:t>
      </w:r>
      <w:r w:rsidRPr="00BC16C8">
        <w:rPr>
          <w:sz w:val="24"/>
          <w:szCs w:val="24"/>
          <w:lang w:val="lv-LV"/>
        </w:rPr>
        <w:t xml:space="preserve"> </w:t>
      </w:r>
      <w:r w:rsidR="00736DE4">
        <w:rPr>
          <w:sz w:val="24"/>
          <w:szCs w:val="24"/>
          <w:lang w:val="lv-LV"/>
        </w:rPr>
        <w:t>a</w:t>
      </w:r>
      <w:r w:rsidRPr="003A43E1" w:rsidR="00AA5795">
        <w:rPr>
          <w:sz w:val="24"/>
          <w:szCs w:val="24"/>
          <w:lang w:val="lv-LV"/>
        </w:rPr>
        <w:t xml:space="preserve">prēķinot stacionārās veselības aprūpes pakalpojumu tarifus, </w:t>
      </w:r>
      <w:r w:rsidRPr="003A43E1" w:rsidR="00AA5795">
        <w:rPr>
          <w:sz w:val="24"/>
          <w:szCs w:val="24"/>
          <w:lang w:val="lv-LV"/>
        </w:rPr>
        <w:t>gultasdienas</w:t>
      </w:r>
      <w:r w:rsidRPr="003A43E1" w:rsidR="00AA5795">
        <w:rPr>
          <w:sz w:val="24"/>
          <w:szCs w:val="24"/>
          <w:lang w:val="lv-LV"/>
        </w:rPr>
        <w:t xml:space="preserve"> tarifā papildus ietver</w:t>
      </w:r>
      <w:r w:rsidR="00AA5795">
        <w:rPr>
          <w:sz w:val="24"/>
          <w:szCs w:val="24"/>
          <w:lang w:val="lv-LV"/>
        </w:rPr>
        <w:t>ta</w:t>
      </w:r>
      <w:r w:rsidRPr="00AF79EB" w:rsidR="00AA5795">
        <w:rPr>
          <w:sz w:val="24"/>
          <w:szCs w:val="24"/>
          <w:lang w:val="lv-LV"/>
        </w:rPr>
        <w:t xml:space="preserve"> samaks</w:t>
      </w:r>
      <w:r w:rsidR="00AA5795">
        <w:rPr>
          <w:sz w:val="24"/>
          <w:szCs w:val="24"/>
          <w:lang w:val="lv-LV"/>
        </w:rPr>
        <w:t>a</w:t>
      </w:r>
      <w:r w:rsidRPr="003A43E1" w:rsidR="00AA5795">
        <w:rPr>
          <w:sz w:val="24"/>
          <w:szCs w:val="24"/>
          <w:lang w:val="lv-LV"/>
        </w:rPr>
        <w:t xml:space="preserve"> par darbu nakts laikā, brīvdienās un svētku dienās</w:t>
      </w:r>
      <w:r w:rsidR="00AA5795">
        <w:rPr>
          <w:sz w:val="24"/>
          <w:szCs w:val="24"/>
          <w:lang w:val="lv-LV"/>
        </w:rPr>
        <w:t xml:space="preserve">, kam </w:t>
      </w:r>
      <w:r w:rsidRPr="00BC16C8" w:rsidR="00AA5795">
        <w:rPr>
          <w:sz w:val="24"/>
          <w:szCs w:val="24"/>
          <w:lang w:val="lv-LV"/>
        </w:rPr>
        <w:t>ti</w:t>
      </w:r>
      <w:r w:rsidR="00AA5795">
        <w:rPr>
          <w:sz w:val="24"/>
          <w:szCs w:val="24"/>
          <w:lang w:val="lv-LV"/>
        </w:rPr>
        <w:t>ka</w:t>
      </w:r>
      <w:r w:rsidRPr="00BC16C8">
        <w:rPr>
          <w:sz w:val="24"/>
          <w:szCs w:val="24"/>
          <w:lang w:val="lv-LV"/>
        </w:rPr>
        <w:t xml:space="preserve"> piešķirts lielāks finansējums (aptuveni 34%).</w:t>
      </w:r>
    </w:p>
    <w:p w:rsidR="00A97D82" w:rsidRPr="00BC16C8" w:rsidP="00E62C6E">
      <w:pPr>
        <w:rPr>
          <w:sz w:val="24"/>
          <w:szCs w:val="24"/>
          <w:lang w:val="lv-LV"/>
        </w:rPr>
      </w:pPr>
      <w:r w:rsidRPr="00BC16C8">
        <w:rPr>
          <w:sz w:val="24"/>
          <w:szCs w:val="24"/>
          <w:lang w:val="lv-LV"/>
        </w:rPr>
        <w:t xml:space="preserve">Ņemot vērā obligātās piemaksas par divdesmit četru stundu darba apstākļu nodrošināšanu un pakāpenisku </w:t>
      </w:r>
      <w:r w:rsidRPr="00BC16C8" w:rsidR="00631585">
        <w:rPr>
          <w:sz w:val="24"/>
          <w:szCs w:val="24"/>
          <w:lang w:val="lv-LV"/>
        </w:rPr>
        <w:t>atteikšanos no normālā pagarināta darba laika</w:t>
      </w:r>
      <w:r w:rsidRPr="00BC16C8">
        <w:rPr>
          <w:sz w:val="24"/>
          <w:szCs w:val="24"/>
          <w:lang w:val="lv-LV"/>
        </w:rPr>
        <w:t>, medicīnas darbinieku atalgojums stacionārajās iestādēs vēl palielināsies.</w:t>
      </w:r>
    </w:p>
    <w:p w:rsidR="00E62C6E" w:rsidRPr="00BC16C8" w:rsidP="00E62C6E">
      <w:pPr>
        <w:shd w:val="clear" w:color="auto" w:fill="FFFFFF"/>
        <w:tabs>
          <w:tab w:val="clear" w:pos="850"/>
          <w:tab w:val="clear" w:pos="1191"/>
          <w:tab w:val="clear" w:pos="1531"/>
        </w:tabs>
        <w:rPr>
          <w:i/>
          <w:color w:val="7030A0"/>
          <w:sz w:val="24"/>
          <w:szCs w:val="24"/>
          <w:u w:val="single"/>
          <w:lang w:val="lv-LV"/>
        </w:rPr>
      </w:pPr>
    </w:p>
    <w:p w:rsidR="00631585" w:rsidRPr="00BC16C8" w:rsidP="00E62C6E">
      <w:pPr>
        <w:shd w:val="clear" w:color="auto" w:fill="FFFFFF"/>
        <w:tabs>
          <w:tab w:val="clear" w:pos="850"/>
          <w:tab w:val="clear" w:pos="1191"/>
          <w:tab w:val="clear" w:pos="1531"/>
        </w:tabs>
        <w:rPr>
          <w:i/>
          <w:sz w:val="24"/>
          <w:szCs w:val="24"/>
          <w:u w:val="single"/>
          <w:lang w:val="lv-LV" w:eastAsia="lv-LV"/>
        </w:rPr>
      </w:pPr>
      <w:r w:rsidRPr="00BC16C8">
        <w:rPr>
          <w:i/>
          <w:sz w:val="24"/>
          <w:szCs w:val="24"/>
          <w:u w:val="single"/>
          <w:lang w:val="lv-LV" w:eastAsia="lv-LV"/>
        </w:rPr>
        <w:t xml:space="preserve">III </w:t>
      </w:r>
      <w:r w:rsidRPr="00AA5795" w:rsidR="00AA5795">
        <w:rPr>
          <w:i/>
          <w:sz w:val="24"/>
          <w:szCs w:val="24"/>
          <w:u w:val="single"/>
          <w:lang w:val="lv-LV" w:eastAsia="lv-LV"/>
        </w:rPr>
        <w:t>Eiropas Komisijas pieļautā novirze budžeta deficīta palielināšanai</w:t>
      </w:r>
    </w:p>
    <w:p w:rsidR="00631585" w:rsidRPr="00BC16C8" w:rsidP="00E62C6E">
      <w:pPr>
        <w:shd w:val="clear" w:color="auto" w:fill="FFFFFF"/>
        <w:tabs>
          <w:tab w:val="clear" w:pos="850"/>
          <w:tab w:val="clear" w:pos="1191"/>
          <w:tab w:val="clear" w:pos="1531"/>
        </w:tabs>
        <w:rPr>
          <w:sz w:val="24"/>
          <w:szCs w:val="24"/>
          <w:lang w:val="lv-LV" w:eastAsia="lv-LV"/>
        </w:rPr>
      </w:pPr>
      <w:r w:rsidRPr="00BC16C8">
        <w:rPr>
          <w:sz w:val="24"/>
          <w:szCs w:val="24"/>
          <w:lang w:val="lv-LV" w:eastAsia="lv-LV"/>
        </w:rPr>
        <w:t>Papildu finansējums - 34,3 miljoni EUR 2017. gadā, 113,4 miljoni EUR 2018. gadā un 149,9 miljoni EUR 2019.gadā veselības aprūpes reformai:</w:t>
      </w:r>
    </w:p>
    <w:p w:rsidR="00631585" w:rsidRPr="00BC16C8" w:rsidP="00E62C6E">
      <w:pPr>
        <w:shd w:val="clear" w:color="auto" w:fill="FFFFFF"/>
        <w:tabs>
          <w:tab w:val="clear" w:pos="850"/>
          <w:tab w:val="clear" w:pos="1191"/>
          <w:tab w:val="clear" w:pos="1531"/>
        </w:tabs>
        <w:rPr>
          <w:sz w:val="24"/>
          <w:szCs w:val="24"/>
          <w:lang w:val="lv-LV" w:eastAsia="lv-LV"/>
        </w:rPr>
      </w:pPr>
      <w:r w:rsidRPr="00BC16C8">
        <w:rPr>
          <w:sz w:val="24"/>
          <w:szCs w:val="24"/>
          <w:lang w:val="lv-LV" w:eastAsia="lv-LV"/>
        </w:rPr>
        <w:t>1) lai uzlabotu veselības aprūpes pakalpojumu pieejamību (ambulatoro un stacionāro);</w:t>
      </w:r>
    </w:p>
    <w:p w:rsidR="00631585" w:rsidRPr="00BC16C8" w:rsidP="00E62C6E">
      <w:pPr>
        <w:shd w:val="clear" w:color="auto" w:fill="FFFFFF"/>
        <w:tabs>
          <w:tab w:val="clear" w:pos="850"/>
          <w:tab w:val="clear" w:pos="1191"/>
          <w:tab w:val="clear" w:pos="1531"/>
        </w:tabs>
        <w:rPr>
          <w:sz w:val="24"/>
          <w:szCs w:val="24"/>
          <w:lang w:val="lv-LV" w:eastAsia="lv-LV"/>
        </w:rPr>
      </w:pPr>
      <w:r w:rsidRPr="00BC16C8">
        <w:rPr>
          <w:sz w:val="24"/>
          <w:szCs w:val="24"/>
          <w:lang w:val="lv-LV" w:eastAsia="lv-LV"/>
        </w:rPr>
        <w:t>2) lai uzlabotu pieejamību onkoloģisko slimību diagnostikai un ārstēšanai;</w:t>
      </w:r>
    </w:p>
    <w:p w:rsidR="00631585" w:rsidRPr="00BC16C8" w:rsidP="00E62C6E">
      <w:pPr>
        <w:shd w:val="clear" w:color="auto" w:fill="FFFFFF"/>
        <w:tabs>
          <w:tab w:val="clear" w:pos="850"/>
          <w:tab w:val="clear" w:pos="1191"/>
          <w:tab w:val="clear" w:pos="1531"/>
        </w:tabs>
        <w:rPr>
          <w:sz w:val="24"/>
          <w:szCs w:val="24"/>
          <w:lang w:val="lv-LV" w:eastAsia="lv-LV"/>
        </w:rPr>
      </w:pPr>
      <w:r w:rsidRPr="00BC16C8">
        <w:rPr>
          <w:sz w:val="24"/>
          <w:szCs w:val="24"/>
          <w:lang w:val="lv-LV" w:eastAsia="lv-LV"/>
        </w:rPr>
        <w:t>3) lai samazinātu infekcijas slimību izplatīšanos;</w:t>
      </w:r>
    </w:p>
    <w:p w:rsidR="00631585" w:rsidRPr="00BC16C8" w:rsidP="00E62C6E">
      <w:pPr>
        <w:shd w:val="clear" w:color="auto" w:fill="FFFFFF"/>
        <w:tabs>
          <w:tab w:val="clear" w:pos="850"/>
          <w:tab w:val="clear" w:pos="1191"/>
          <w:tab w:val="clear" w:pos="1531"/>
        </w:tabs>
        <w:rPr>
          <w:sz w:val="24"/>
          <w:szCs w:val="24"/>
          <w:lang w:val="lv-LV" w:eastAsia="lv-LV"/>
        </w:rPr>
      </w:pPr>
      <w:r w:rsidRPr="00BC16C8">
        <w:rPr>
          <w:sz w:val="24"/>
          <w:szCs w:val="24"/>
          <w:lang w:val="lv-LV" w:eastAsia="lv-LV"/>
        </w:rPr>
        <w:t>4) lai uzlabotu primārās veselības aprūpes sistēmas pieejamību un kvalitāti;</w:t>
      </w:r>
    </w:p>
    <w:p w:rsidR="00631585" w:rsidRPr="00BC16C8" w:rsidP="00E62C6E">
      <w:pPr>
        <w:shd w:val="clear" w:color="auto" w:fill="FFFFFF"/>
        <w:tabs>
          <w:tab w:val="clear" w:pos="850"/>
          <w:tab w:val="clear" w:pos="1191"/>
          <w:tab w:val="clear" w:pos="1531"/>
        </w:tabs>
        <w:rPr>
          <w:sz w:val="24"/>
          <w:szCs w:val="24"/>
          <w:lang w:val="lv-LV" w:eastAsia="lv-LV"/>
        </w:rPr>
      </w:pPr>
      <w:r w:rsidRPr="00BC16C8">
        <w:rPr>
          <w:sz w:val="24"/>
          <w:szCs w:val="24"/>
          <w:lang w:val="lv-LV" w:eastAsia="lv-LV"/>
        </w:rPr>
        <w:t>5) lai samazinātu saslimstības rādītājus no sirds un asinsvadu slimībām un uzlabot</w:t>
      </w:r>
      <w:r w:rsidRPr="00BC16C8" w:rsidR="00E56EFA">
        <w:rPr>
          <w:sz w:val="24"/>
          <w:szCs w:val="24"/>
          <w:lang w:val="lv-LV" w:eastAsia="lv-LV"/>
        </w:rPr>
        <w:t>u</w:t>
      </w:r>
      <w:r w:rsidRPr="00BC16C8">
        <w:rPr>
          <w:sz w:val="24"/>
          <w:szCs w:val="24"/>
          <w:lang w:val="lv-LV" w:eastAsia="lv-LV"/>
        </w:rPr>
        <w:t xml:space="preserve"> ārstēšanas efektivitāti.</w:t>
      </w:r>
    </w:p>
    <w:p w:rsidR="00631585" w:rsidP="00E62C6E">
      <w:pPr>
        <w:shd w:val="clear" w:color="auto" w:fill="FFFFFF"/>
        <w:tabs>
          <w:tab w:val="clear" w:pos="850"/>
          <w:tab w:val="clear" w:pos="1191"/>
          <w:tab w:val="clear" w:pos="1531"/>
        </w:tabs>
        <w:rPr>
          <w:sz w:val="24"/>
          <w:szCs w:val="24"/>
          <w:lang w:val="lv-LV" w:eastAsia="lv-LV"/>
        </w:rPr>
      </w:pPr>
    </w:p>
    <w:p w:rsidR="00AE61FE" w:rsidP="00A95A63">
      <w:pPr>
        <w:shd w:val="clear" w:color="auto" w:fill="FFFFFF"/>
        <w:tabs>
          <w:tab w:val="clear" w:pos="850"/>
          <w:tab w:val="clear" w:pos="1191"/>
          <w:tab w:val="clear" w:pos="1531"/>
        </w:tabs>
        <w:rPr>
          <w:i/>
          <w:sz w:val="24"/>
          <w:szCs w:val="24"/>
          <w:u w:val="single"/>
          <w:lang w:val="lv-LV" w:eastAsia="lv-LV"/>
        </w:rPr>
      </w:pPr>
      <w:r>
        <w:rPr>
          <w:i/>
          <w:sz w:val="24"/>
          <w:szCs w:val="24"/>
          <w:u w:val="single"/>
          <w:lang w:val="lv-LV" w:eastAsia="lv-LV"/>
        </w:rPr>
        <w:t>IV</w:t>
      </w:r>
      <w:r w:rsidRPr="00BC16C8">
        <w:rPr>
          <w:i/>
          <w:sz w:val="24"/>
          <w:szCs w:val="24"/>
          <w:u w:val="single"/>
          <w:lang w:val="lv-LV" w:eastAsia="lv-LV"/>
        </w:rPr>
        <w:t xml:space="preserve"> </w:t>
      </w:r>
      <w:r>
        <w:rPr>
          <w:i/>
          <w:sz w:val="24"/>
          <w:szCs w:val="24"/>
          <w:u w:val="single"/>
          <w:lang w:val="lv-LV" w:eastAsia="lv-LV"/>
        </w:rPr>
        <w:t>Plānotais papildus finansējums veselības aprūpei,  kas nepieciešams, lai nodrošinātu veselības jomai stabilu finansējumu arī pēc strukturālo reformu deficīta atkāpes finansējuma beigām:</w:t>
      </w:r>
      <w:r w:rsidRPr="00AE61FE">
        <w:rPr>
          <w:i/>
          <w:sz w:val="24"/>
          <w:szCs w:val="24"/>
          <w:u w:val="single"/>
          <w:lang w:val="lv-LV" w:eastAsia="lv-LV"/>
        </w:rPr>
        <w:t xml:space="preserve"> </w:t>
      </w:r>
    </w:p>
    <w:p w:rsidR="00A95A63" w:rsidRPr="00ED3A6D" w:rsidP="00A95A63">
      <w:pPr>
        <w:shd w:val="clear" w:color="auto" w:fill="FFFFFF"/>
        <w:tabs>
          <w:tab w:val="clear" w:pos="850"/>
          <w:tab w:val="clear" w:pos="1191"/>
          <w:tab w:val="clear" w:pos="1531"/>
        </w:tabs>
        <w:rPr>
          <w:sz w:val="24"/>
          <w:szCs w:val="24"/>
          <w:lang w:val="lv-LV" w:eastAsia="lv-LV"/>
        </w:rPr>
      </w:pPr>
      <w:r w:rsidRPr="00ED3A6D">
        <w:rPr>
          <w:sz w:val="24"/>
          <w:szCs w:val="24"/>
          <w:u w:val="single"/>
          <w:lang w:val="lv-LV" w:eastAsia="lv-LV"/>
        </w:rPr>
        <w:t xml:space="preserve">144 </w:t>
      </w:r>
      <w:r w:rsidRPr="00ED3A6D">
        <w:rPr>
          <w:sz w:val="24"/>
          <w:szCs w:val="24"/>
          <w:u w:val="single"/>
          <w:lang w:val="lv-LV" w:eastAsia="lv-LV"/>
        </w:rPr>
        <w:t>milj</w:t>
      </w:r>
      <w:r w:rsidRPr="00ED3A6D">
        <w:rPr>
          <w:sz w:val="24"/>
          <w:szCs w:val="24"/>
          <w:u w:val="single"/>
          <w:lang w:val="lv-LV" w:eastAsia="lv-LV"/>
        </w:rPr>
        <w:t xml:space="preserve"> EUR 2020.gadā</w:t>
      </w:r>
    </w:p>
    <w:p w:rsidR="00A95A63" w:rsidRPr="00BC16C8" w:rsidP="00E62C6E">
      <w:pPr>
        <w:shd w:val="clear" w:color="auto" w:fill="FFFFFF"/>
        <w:tabs>
          <w:tab w:val="clear" w:pos="850"/>
          <w:tab w:val="clear" w:pos="1191"/>
          <w:tab w:val="clear" w:pos="1531"/>
        </w:tabs>
        <w:rPr>
          <w:sz w:val="24"/>
          <w:szCs w:val="24"/>
          <w:lang w:val="lv-LV" w:eastAsia="lv-LV"/>
        </w:rPr>
      </w:pPr>
    </w:p>
    <w:p w:rsidR="00A97D82" w:rsidRPr="00BC16C8" w:rsidP="00736DE4">
      <w:pPr>
        <w:shd w:val="clear" w:color="auto" w:fill="FFFFFF"/>
        <w:tabs>
          <w:tab w:val="clear" w:pos="850"/>
          <w:tab w:val="clear" w:pos="1191"/>
          <w:tab w:val="clear" w:pos="1531"/>
        </w:tabs>
        <w:ind w:firstLine="709"/>
        <w:rPr>
          <w:sz w:val="24"/>
          <w:szCs w:val="24"/>
          <w:lang w:val="lv-LV" w:eastAsia="lv-LV"/>
        </w:rPr>
      </w:pPr>
      <w:r w:rsidRPr="006B2259">
        <w:rPr>
          <w:sz w:val="24"/>
          <w:szCs w:val="24"/>
          <w:lang w:val="lv-LV" w:eastAsia="lv-LV"/>
        </w:rPr>
        <w:t xml:space="preserve">Ārstniecības personu darba samaksas </w:t>
      </w:r>
      <w:r w:rsidRPr="00BC16C8" w:rsidR="00631585">
        <w:rPr>
          <w:sz w:val="24"/>
          <w:szCs w:val="24"/>
          <w:lang w:val="lv-LV" w:eastAsia="lv-LV"/>
        </w:rPr>
        <w:t>pieaugums ir no 2018. gada 1. janvāra un ir iekļauts šādos normatīvajos aktos.</w:t>
      </w:r>
    </w:p>
    <w:p w:rsidR="00E62C6E" w:rsidRPr="00BC16C8" w:rsidP="00E62C6E">
      <w:pPr>
        <w:shd w:val="clear" w:color="auto" w:fill="FFFFFF"/>
        <w:rPr>
          <w:color w:val="7030A0"/>
          <w:sz w:val="24"/>
          <w:szCs w:val="24"/>
          <w:u w:val="single"/>
          <w:lang w:val="lv-LV" w:eastAsia="lv-LV"/>
        </w:rPr>
      </w:pPr>
    </w:p>
    <w:p w:rsidR="00E56EFA" w:rsidRPr="00BC16C8" w:rsidP="00E62C6E">
      <w:pPr>
        <w:shd w:val="clear" w:color="auto" w:fill="FFFFFF"/>
        <w:rPr>
          <w:sz w:val="24"/>
          <w:szCs w:val="24"/>
          <w:u w:val="single"/>
          <w:lang w:val="lv-LV" w:eastAsia="lv-LV"/>
        </w:rPr>
      </w:pPr>
      <w:r w:rsidRPr="00BC16C8">
        <w:rPr>
          <w:sz w:val="24"/>
          <w:szCs w:val="24"/>
          <w:u w:val="single"/>
          <w:lang w:val="lv-LV" w:eastAsia="lv-LV"/>
        </w:rPr>
        <w:t>1. Zemākā mēnešalgas likme</w:t>
      </w:r>
    </w:p>
    <w:p w:rsidR="00A97D82" w:rsidRPr="00BC16C8" w:rsidP="00B0141B">
      <w:pPr>
        <w:shd w:val="clear" w:color="auto" w:fill="FFFFFF"/>
        <w:ind w:firstLine="709"/>
        <w:rPr>
          <w:sz w:val="24"/>
          <w:szCs w:val="24"/>
          <w:lang w:val="lv-LV" w:eastAsia="lv-LV"/>
        </w:rPr>
      </w:pPr>
      <w:r w:rsidRPr="00BC16C8">
        <w:rPr>
          <w:sz w:val="24"/>
          <w:szCs w:val="24"/>
          <w:lang w:val="lv-LV" w:eastAsia="lv-LV"/>
        </w:rPr>
        <w:t xml:space="preserve">No 2017.gada 1.janvāra Ministru kabineta 2017.gada 19.decembra noteikumi Nr. 781 </w:t>
      </w:r>
      <w:r w:rsidRPr="00BC16C8" w:rsidR="00B0141B">
        <w:rPr>
          <w:sz w:val="24"/>
          <w:szCs w:val="24"/>
          <w:lang w:val="lv-LV" w:eastAsia="lv-LV"/>
        </w:rPr>
        <w:t>“</w:t>
      </w:r>
      <w:r w:rsidRPr="00BC16C8">
        <w:rPr>
          <w:sz w:val="24"/>
          <w:szCs w:val="24"/>
          <w:lang w:val="lv-LV" w:eastAsia="lv-LV"/>
        </w:rPr>
        <w:t xml:space="preserve">Grozījumi Ministru kabineta noteikumos Nr. 595 </w:t>
      </w:r>
      <w:r w:rsidRPr="00BC16C8" w:rsidR="00B0141B">
        <w:rPr>
          <w:sz w:val="24"/>
          <w:szCs w:val="24"/>
          <w:lang w:val="lv-LV" w:eastAsia="lv-LV"/>
        </w:rPr>
        <w:t>“</w:t>
      </w:r>
      <w:r w:rsidRPr="006B2259" w:rsidR="006B2259">
        <w:rPr>
          <w:sz w:val="24"/>
          <w:szCs w:val="24"/>
          <w:lang w:val="lv-LV" w:eastAsia="lv-LV"/>
        </w:rPr>
        <w:t>Noteikumi par zemāko mēnešalgu un speciālo piemaksu ārstniecības personām</w:t>
      </w:r>
      <w:r w:rsidRPr="00BC16C8" w:rsidR="00B0141B">
        <w:rPr>
          <w:sz w:val="24"/>
          <w:szCs w:val="24"/>
          <w:lang w:val="lv-LV" w:eastAsia="lv-LV"/>
        </w:rPr>
        <w:t xml:space="preserve">”” </w:t>
      </w:r>
      <w:r w:rsidRPr="00BC16C8">
        <w:rPr>
          <w:sz w:val="24"/>
          <w:szCs w:val="24"/>
          <w:lang w:val="lv-LV" w:eastAsia="lv-LV"/>
        </w:rPr>
        <w:t xml:space="preserve">(turpmāk </w:t>
      </w:r>
      <w:r w:rsidR="00736DE4">
        <w:rPr>
          <w:sz w:val="24"/>
          <w:szCs w:val="24"/>
          <w:lang w:val="lv-LV" w:eastAsia="lv-LV"/>
        </w:rPr>
        <w:t xml:space="preserve">tekstā </w:t>
      </w:r>
      <w:r w:rsidRPr="00BC16C8">
        <w:rPr>
          <w:sz w:val="24"/>
          <w:szCs w:val="24"/>
          <w:lang w:val="lv-LV" w:eastAsia="lv-LV"/>
        </w:rPr>
        <w:t xml:space="preserve">- noteikumi), kas attiecas uz ārstiem, kas strādā </w:t>
      </w:r>
      <w:r w:rsidR="00A30E37">
        <w:rPr>
          <w:sz w:val="24"/>
          <w:szCs w:val="24"/>
          <w:lang w:val="lv-LV" w:eastAsia="lv-LV"/>
        </w:rPr>
        <w:t xml:space="preserve">pašvaldību iestādēs, </w:t>
      </w:r>
      <w:r w:rsidRPr="00BC16C8">
        <w:rPr>
          <w:sz w:val="24"/>
          <w:szCs w:val="24"/>
          <w:lang w:val="lv-LV" w:eastAsia="lv-LV"/>
        </w:rPr>
        <w:t xml:space="preserve">valsts un pašvaldību kapitālsabiedrībās vai </w:t>
      </w:r>
      <w:r w:rsidR="00A30E37">
        <w:rPr>
          <w:sz w:val="24"/>
          <w:szCs w:val="24"/>
          <w:lang w:val="lv-LV" w:eastAsia="lv-LV"/>
        </w:rPr>
        <w:t>publiski privātās kapitālsabiedrībās</w:t>
      </w:r>
      <w:r w:rsidRPr="00BC16C8">
        <w:rPr>
          <w:sz w:val="24"/>
          <w:szCs w:val="24"/>
          <w:lang w:val="lv-LV" w:eastAsia="lv-LV"/>
        </w:rPr>
        <w:t xml:space="preserve">, kas ir noslēguši līgumu ar </w:t>
      </w:r>
      <w:r w:rsidRPr="00BC16C8" w:rsidR="00B0141B">
        <w:rPr>
          <w:sz w:val="24"/>
          <w:szCs w:val="24"/>
          <w:lang w:val="lv-LV" w:eastAsia="lv-LV"/>
        </w:rPr>
        <w:t>NVD</w:t>
      </w:r>
      <w:r w:rsidRPr="00BC16C8">
        <w:rPr>
          <w:sz w:val="24"/>
          <w:szCs w:val="24"/>
          <w:lang w:val="lv-LV" w:eastAsia="lv-LV"/>
        </w:rPr>
        <w:t xml:space="preserve"> par veselības aprūpes pakalpojumu sniegšanu, kas tiek apmaksāti no valsts budžeta vai kas sniedz pašvaldību izglītības iestādēs pašvaldību budžetos samaksātos veselības aprūpes pakalpojumus. Noteikumi paredz </w:t>
      </w:r>
      <w:r w:rsidRPr="006B2259" w:rsidR="006B2259">
        <w:rPr>
          <w:sz w:val="24"/>
          <w:szCs w:val="24"/>
          <w:lang w:val="lv-LV" w:eastAsia="lv-LV"/>
        </w:rPr>
        <w:t>zemākās mēnešalg</w:t>
      </w:r>
      <w:r w:rsidR="006B2259">
        <w:rPr>
          <w:sz w:val="24"/>
          <w:szCs w:val="24"/>
          <w:lang w:val="lv-LV" w:eastAsia="lv-LV"/>
        </w:rPr>
        <w:t xml:space="preserve">as likmes paaugstināšanu </w:t>
      </w:r>
      <w:r w:rsidRPr="006B2259" w:rsidR="006B2259">
        <w:rPr>
          <w:sz w:val="24"/>
          <w:szCs w:val="24"/>
          <w:lang w:val="lv-LV" w:eastAsia="lv-LV"/>
        </w:rPr>
        <w:t>ārstniecības personām</w:t>
      </w:r>
      <w:r w:rsidRPr="00BC16C8">
        <w:rPr>
          <w:sz w:val="24"/>
          <w:szCs w:val="24"/>
          <w:lang w:val="lv-LV" w:eastAsia="lv-LV"/>
        </w:rPr>
        <w:t>, ņemot vērā 2018. gadā pieejamo finansējuma apjomu un katru gadu pēc tam.</w:t>
      </w:r>
    </w:p>
    <w:p w:rsidR="00E62C6E" w:rsidRPr="00BC16C8" w:rsidP="00E62C6E">
      <w:pPr>
        <w:shd w:val="clear" w:color="auto" w:fill="FFFFFF"/>
        <w:tabs>
          <w:tab w:val="clear" w:pos="850"/>
          <w:tab w:val="clear" w:pos="1191"/>
          <w:tab w:val="clear" w:pos="1531"/>
        </w:tabs>
        <w:rPr>
          <w:color w:val="7030A0"/>
          <w:sz w:val="24"/>
          <w:szCs w:val="24"/>
          <w:u w:val="single"/>
          <w:lang w:val="lv-LV" w:eastAsia="lv-LV"/>
        </w:rPr>
      </w:pPr>
    </w:p>
    <w:p w:rsidR="00E56EFA" w:rsidRPr="00BC16C8" w:rsidP="00E62C6E">
      <w:pPr>
        <w:shd w:val="clear" w:color="auto" w:fill="FFFFFF"/>
        <w:tabs>
          <w:tab w:val="clear" w:pos="850"/>
          <w:tab w:val="clear" w:pos="1191"/>
          <w:tab w:val="clear" w:pos="1531"/>
        </w:tabs>
        <w:rPr>
          <w:sz w:val="24"/>
          <w:szCs w:val="24"/>
          <w:u w:val="single"/>
          <w:lang w:val="lv-LV" w:eastAsia="lv-LV"/>
        </w:rPr>
      </w:pPr>
      <w:r w:rsidRPr="00BC16C8">
        <w:rPr>
          <w:sz w:val="24"/>
          <w:szCs w:val="24"/>
          <w:u w:val="single"/>
          <w:lang w:val="lv-LV" w:eastAsia="lv-LV"/>
        </w:rPr>
        <w:t xml:space="preserve">2. Vidējās </w:t>
      </w:r>
      <w:r w:rsidRPr="006B2259" w:rsidR="006B2259">
        <w:rPr>
          <w:sz w:val="24"/>
          <w:szCs w:val="24"/>
          <w:u w:val="single"/>
          <w:lang w:val="lv-LV" w:eastAsia="lv-LV"/>
        </w:rPr>
        <w:t xml:space="preserve">darba samaksas </w:t>
      </w:r>
      <w:r w:rsidRPr="00BC16C8">
        <w:rPr>
          <w:sz w:val="24"/>
          <w:szCs w:val="24"/>
          <w:u w:val="single"/>
          <w:lang w:val="lv-LV" w:eastAsia="lv-LV"/>
        </w:rPr>
        <w:t>paaugstināšana (ārstniecības personām, kas sniedz valsts finansētos veselības aprūpes pakalpojumus un algas ir ietvertas veselības aprūpes tarifos)</w:t>
      </w:r>
    </w:p>
    <w:p w:rsidR="00E56EFA" w:rsidRPr="00BC16C8" w:rsidP="00E62C6E">
      <w:pPr>
        <w:shd w:val="clear" w:color="auto" w:fill="FFFFFF"/>
        <w:tabs>
          <w:tab w:val="clear" w:pos="850"/>
          <w:tab w:val="clear" w:pos="1191"/>
          <w:tab w:val="clear" w:pos="1531"/>
        </w:tabs>
        <w:rPr>
          <w:sz w:val="24"/>
          <w:szCs w:val="24"/>
          <w:lang w:val="lv-LV" w:eastAsia="lv-LV"/>
        </w:rPr>
      </w:pPr>
    </w:p>
    <w:p w:rsidR="00E56EFA" w:rsidRPr="00BC16C8" w:rsidP="00B0141B">
      <w:pPr>
        <w:shd w:val="clear" w:color="auto" w:fill="FFFFFF"/>
        <w:tabs>
          <w:tab w:val="clear" w:pos="850"/>
          <w:tab w:val="clear" w:pos="1191"/>
          <w:tab w:val="clear" w:pos="1531"/>
        </w:tabs>
        <w:ind w:firstLine="709"/>
        <w:rPr>
          <w:sz w:val="24"/>
          <w:szCs w:val="24"/>
          <w:lang w:val="lv-LV" w:eastAsia="lv-LV"/>
        </w:rPr>
      </w:pPr>
      <w:r w:rsidRPr="00BC16C8">
        <w:rPr>
          <w:sz w:val="24"/>
          <w:szCs w:val="24"/>
          <w:lang w:val="lv-LV" w:eastAsia="lv-LV"/>
        </w:rPr>
        <w:t xml:space="preserve">2018.gadā ārstu un funkcionālo speciālistu </w:t>
      </w:r>
      <w:r w:rsidRPr="006B2259" w:rsidR="006B2259">
        <w:rPr>
          <w:sz w:val="24"/>
          <w:szCs w:val="24"/>
          <w:lang w:val="lv-LV" w:eastAsia="lv-LV"/>
        </w:rPr>
        <w:t>vidējā</w:t>
      </w:r>
      <w:r w:rsidR="006B2259">
        <w:rPr>
          <w:sz w:val="24"/>
          <w:szCs w:val="24"/>
          <w:lang w:val="lv-LV" w:eastAsia="lv-LV"/>
        </w:rPr>
        <w:t xml:space="preserve"> </w:t>
      </w:r>
      <w:r w:rsidRPr="006B2259" w:rsidR="006B2259">
        <w:rPr>
          <w:sz w:val="24"/>
          <w:szCs w:val="24"/>
          <w:lang w:val="lv-LV" w:eastAsia="lv-LV"/>
        </w:rPr>
        <w:t xml:space="preserve">darba samaksa palielināta </w:t>
      </w:r>
      <w:r w:rsidRPr="00BC16C8">
        <w:rPr>
          <w:sz w:val="24"/>
          <w:szCs w:val="24"/>
          <w:lang w:val="lv-LV" w:eastAsia="lv-LV"/>
        </w:rPr>
        <w:t xml:space="preserve">no EUR 859 </w:t>
      </w:r>
      <w:r w:rsidRPr="00ED3A6D">
        <w:rPr>
          <w:sz w:val="24"/>
          <w:szCs w:val="24"/>
          <w:lang w:val="lv-LV" w:eastAsia="lv-LV"/>
        </w:rPr>
        <w:t xml:space="preserve">līdz EUR </w:t>
      </w:r>
      <w:r w:rsidRPr="00ED3A6D" w:rsidR="00AA2429">
        <w:rPr>
          <w:sz w:val="24"/>
          <w:szCs w:val="24"/>
          <w:lang w:val="lv-LV" w:eastAsia="lv-LV"/>
        </w:rPr>
        <w:t xml:space="preserve">1125 </w:t>
      </w:r>
      <w:r w:rsidRPr="00ED3A6D">
        <w:rPr>
          <w:sz w:val="24"/>
          <w:szCs w:val="24"/>
          <w:lang w:val="lv-LV" w:eastAsia="lv-LV"/>
        </w:rPr>
        <w:t>mēnesī</w:t>
      </w:r>
      <w:r w:rsidRPr="005E1E71">
        <w:rPr>
          <w:sz w:val="24"/>
          <w:szCs w:val="24"/>
          <w:lang w:val="lv-LV" w:eastAsia="lv-LV"/>
        </w:rPr>
        <w:t>,</w:t>
      </w:r>
      <w:r w:rsidRPr="00BC16C8">
        <w:rPr>
          <w:sz w:val="24"/>
          <w:szCs w:val="24"/>
          <w:lang w:val="lv-LV" w:eastAsia="lv-LV"/>
        </w:rPr>
        <w:t xml:space="preserve"> medicīnas un pacientu aprūpes palīgiem un funkcionālajiem speciālistiem no EUR 537 līdz EUR 675 mēnesī, bet medicīnas un pacientu aprūpes atbalstītājiem - no 400 eiro līdz 450 eiro mēnesī</w:t>
      </w:r>
      <w:r w:rsidRPr="00BC16C8" w:rsidR="00B0141B">
        <w:rPr>
          <w:sz w:val="24"/>
          <w:szCs w:val="24"/>
          <w:lang w:val="lv-LV" w:eastAsia="lv-LV"/>
        </w:rPr>
        <w:t xml:space="preserve">. </w:t>
      </w:r>
      <w:r w:rsidRPr="00BC16C8">
        <w:rPr>
          <w:sz w:val="24"/>
          <w:szCs w:val="24"/>
          <w:lang w:val="lv-LV" w:eastAsia="lv-LV"/>
        </w:rPr>
        <w:t xml:space="preserve">Veselības aprūpes darbiniekiem stacionārajā sektorā ir plānots lielāks </w:t>
      </w:r>
      <w:r w:rsidRPr="006B2259" w:rsidR="006B2259">
        <w:rPr>
          <w:sz w:val="24"/>
          <w:szCs w:val="24"/>
          <w:lang w:val="lv-LV" w:eastAsia="lv-LV"/>
        </w:rPr>
        <w:t xml:space="preserve">darba samaksas </w:t>
      </w:r>
      <w:r w:rsidRPr="00BC16C8">
        <w:rPr>
          <w:sz w:val="24"/>
          <w:szCs w:val="24"/>
          <w:lang w:val="lv-LV" w:eastAsia="lv-LV"/>
        </w:rPr>
        <w:t>pieaugums, ņemot vērā obligātās piemaksas par diennakts darbu, kā arī parastā pagarinātā darba laika pakāpenisku atcelšanu.</w:t>
      </w:r>
    </w:p>
    <w:p w:rsidR="00E56EFA" w:rsidRPr="00BC16C8" w:rsidP="00E62C6E">
      <w:pPr>
        <w:shd w:val="clear" w:color="auto" w:fill="FFFFFF"/>
        <w:tabs>
          <w:tab w:val="clear" w:pos="850"/>
          <w:tab w:val="clear" w:pos="1191"/>
          <w:tab w:val="clear" w:pos="1531"/>
        </w:tabs>
        <w:rPr>
          <w:sz w:val="24"/>
          <w:szCs w:val="24"/>
          <w:lang w:val="lv-LV" w:eastAsia="lv-LV"/>
        </w:rPr>
      </w:pPr>
    </w:p>
    <w:p w:rsidR="00A97D82" w:rsidRPr="00BC16C8" w:rsidP="00B0141B">
      <w:pPr>
        <w:shd w:val="clear" w:color="auto" w:fill="FFFFFF"/>
        <w:tabs>
          <w:tab w:val="clear" w:pos="850"/>
          <w:tab w:val="clear" w:pos="1191"/>
          <w:tab w:val="clear" w:pos="1531"/>
        </w:tabs>
        <w:ind w:firstLine="709"/>
        <w:rPr>
          <w:sz w:val="24"/>
          <w:szCs w:val="24"/>
          <w:lang w:val="lv-LV" w:eastAsia="lv-LV"/>
        </w:rPr>
      </w:pPr>
      <w:r w:rsidRPr="00BC16C8">
        <w:rPr>
          <w:sz w:val="24"/>
          <w:szCs w:val="24"/>
          <w:lang w:val="lv-LV" w:eastAsia="lv-LV"/>
        </w:rPr>
        <w:t xml:space="preserve">Jāpievērš uzmanība faktam, ka vidējā alga ir iekļauta veselības aprūpes pakalpojumu tarifā. Faktisko algu katram praktizējošajam ārstam nosaka saskaņā ar veikto darbu (ambulatorais vai 24/7 darbs, nostrādātās stundas utt.) un saskaņā ar medicīnas iestādes kopējo </w:t>
      </w:r>
      <w:r w:rsidR="006B2259">
        <w:rPr>
          <w:sz w:val="24"/>
          <w:szCs w:val="24"/>
          <w:lang w:val="lv-LV" w:eastAsia="lv-LV"/>
        </w:rPr>
        <w:t>atlīdzības</w:t>
      </w:r>
      <w:r w:rsidRPr="00BC16C8" w:rsidR="006B2259">
        <w:rPr>
          <w:sz w:val="24"/>
          <w:szCs w:val="24"/>
          <w:lang w:val="lv-LV" w:eastAsia="lv-LV"/>
        </w:rPr>
        <w:t xml:space="preserve"> </w:t>
      </w:r>
      <w:r w:rsidRPr="00BC16C8">
        <w:rPr>
          <w:sz w:val="24"/>
          <w:szCs w:val="24"/>
          <w:lang w:val="lv-LV" w:eastAsia="lv-LV"/>
        </w:rPr>
        <w:t>fondu</w:t>
      </w:r>
      <w:r w:rsidRPr="00BC16C8" w:rsidR="00B0141B">
        <w:rPr>
          <w:sz w:val="24"/>
          <w:szCs w:val="24"/>
          <w:lang w:val="lv-LV" w:eastAsia="lv-LV"/>
        </w:rPr>
        <w:t>.</w:t>
      </w:r>
    </w:p>
    <w:p w:rsidR="00A369B9" w:rsidRPr="00BC16C8" w:rsidP="00E62C6E">
      <w:pPr>
        <w:pStyle w:val="Num-DocParagraph"/>
        <w:spacing w:after="0"/>
        <w:rPr>
          <w:b/>
          <w:sz w:val="24"/>
          <w:szCs w:val="24"/>
          <w:lang w:val="lv-LV"/>
        </w:rPr>
      </w:pPr>
    </w:p>
    <w:p w:rsidR="00EF57C5" w:rsidP="00A75BF7">
      <w:pPr>
        <w:ind w:firstLine="709"/>
        <w:rPr>
          <w:sz w:val="24"/>
          <w:szCs w:val="24"/>
          <w:lang w:val="lv-LV"/>
        </w:rPr>
      </w:pPr>
    </w:p>
    <w:p w:rsidR="00A75BF7" w:rsidRPr="00BC16C8" w:rsidP="00A75BF7">
      <w:pPr>
        <w:ind w:firstLine="709"/>
        <w:rPr>
          <w:sz w:val="24"/>
          <w:szCs w:val="24"/>
          <w:lang w:val="lv-LV"/>
        </w:rPr>
      </w:pPr>
      <w:r w:rsidRPr="00BC16C8">
        <w:rPr>
          <w:sz w:val="24"/>
          <w:szCs w:val="24"/>
          <w:lang w:val="lv-LV"/>
        </w:rPr>
        <w:t>OECD ekspertu sagatavotajā ziņojuma projektā par Latvijas sasniegto progresu rekomendāciju izpildē, tiek minēts, ka:</w:t>
      </w:r>
    </w:p>
    <w:p w:rsidR="00A75BF7" w:rsidRPr="00BC16C8" w:rsidP="00B0141B">
      <w:pPr>
        <w:pStyle w:val="ListParagraph"/>
        <w:numPr>
          <w:ilvl w:val="0"/>
          <w:numId w:val="63"/>
        </w:numPr>
        <w:tabs>
          <w:tab w:val="clear" w:pos="850"/>
          <w:tab w:val="clear" w:pos="1191"/>
          <w:tab w:val="clear" w:pos="1531"/>
        </w:tabs>
        <w:ind w:left="709" w:hanging="709"/>
        <w:rPr>
          <w:sz w:val="24"/>
          <w:szCs w:val="24"/>
          <w:lang w:val="lv-LV"/>
        </w:rPr>
      </w:pPr>
      <w:r w:rsidRPr="00BC16C8">
        <w:rPr>
          <w:sz w:val="24"/>
          <w:szCs w:val="24"/>
          <w:lang w:val="lv-LV"/>
        </w:rPr>
        <w:t>Latvijas valdība ir skaidri paudusi apņemšanos palielināt resursus veselības aizsardzības sistēmā, sākot ar 2017. gadu</w:t>
      </w:r>
      <w:r w:rsidRPr="00BC16C8" w:rsidR="00B0141B">
        <w:rPr>
          <w:sz w:val="24"/>
          <w:szCs w:val="24"/>
          <w:lang w:val="lv-LV"/>
        </w:rPr>
        <w:t>.</w:t>
      </w:r>
    </w:p>
    <w:p w:rsidR="00A75BF7" w:rsidRPr="00BC16C8" w:rsidP="00A75BF7">
      <w:pPr>
        <w:pStyle w:val="ListParagraph"/>
        <w:ind w:left="709" w:right="-2"/>
        <w:rPr>
          <w:sz w:val="24"/>
          <w:szCs w:val="24"/>
          <w:lang w:val="lv-LV"/>
        </w:rPr>
      </w:pPr>
    </w:p>
    <w:p w:rsidR="00A75BF7" w:rsidRPr="00BC16C8" w:rsidP="00A75BF7">
      <w:pPr>
        <w:pStyle w:val="ListParagraph"/>
        <w:tabs>
          <w:tab w:val="clear" w:pos="850"/>
          <w:tab w:val="clear" w:pos="1191"/>
          <w:tab w:val="clear" w:pos="1531"/>
        </w:tabs>
        <w:ind w:left="0" w:right="-2" w:firstLine="709"/>
        <w:rPr>
          <w:sz w:val="24"/>
          <w:szCs w:val="24"/>
          <w:lang w:val="lv-LV"/>
        </w:rPr>
      </w:pPr>
      <w:r w:rsidRPr="00BC16C8">
        <w:rPr>
          <w:sz w:val="24"/>
          <w:szCs w:val="24"/>
          <w:lang w:val="lv-LV"/>
        </w:rPr>
        <w:t>Tomēr tiek minēts, ka joprojām nepieciešams pievērst uzmanību šādām jomām:</w:t>
      </w:r>
    </w:p>
    <w:p w:rsidR="00A75BF7" w:rsidRPr="00F55684" w:rsidP="00B0141B">
      <w:pPr>
        <w:pStyle w:val="Para"/>
        <w:numPr>
          <w:ilvl w:val="0"/>
          <w:numId w:val="61"/>
        </w:numPr>
        <w:spacing w:before="0" w:after="0"/>
        <w:ind w:left="709" w:right="-2" w:hanging="709"/>
        <w:rPr>
          <w:sz w:val="24"/>
          <w:szCs w:val="24"/>
          <w:lang w:val="lv-LV"/>
        </w:rPr>
      </w:pPr>
      <w:r w:rsidRPr="00BC16C8">
        <w:rPr>
          <w:rFonts w:eastAsia="Times New Roman"/>
          <w:sz w:val="24"/>
          <w:szCs w:val="24"/>
          <w:lang w:val="lv-LV" w:eastAsia="zh-CN"/>
        </w:rPr>
        <w:t xml:space="preserve">Latvijai jāveic pasākumi, lai nodrošinātu, ka </w:t>
      </w:r>
      <w:r w:rsidRPr="00BC16C8" w:rsidR="00B0141B">
        <w:rPr>
          <w:rFonts w:eastAsia="Times New Roman"/>
          <w:sz w:val="24"/>
          <w:szCs w:val="24"/>
          <w:lang w:val="lv-LV" w:eastAsia="zh-CN"/>
        </w:rPr>
        <w:t>v</w:t>
      </w:r>
      <w:r w:rsidRPr="00BC16C8">
        <w:rPr>
          <w:rFonts w:eastAsia="Times New Roman"/>
          <w:sz w:val="24"/>
          <w:szCs w:val="24"/>
          <w:lang w:val="lv-LV" w:eastAsia="zh-CN"/>
        </w:rPr>
        <w:t xml:space="preserve">eselības aprūpes finansēšanas reformas </w:t>
      </w:r>
      <w:r w:rsidRPr="00BC16C8" w:rsidR="00B0141B">
        <w:rPr>
          <w:rFonts w:eastAsia="Times New Roman"/>
          <w:sz w:val="24"/>
          <w:szCs w:val="24"/>
          <w:lang w:val="lv-LV" w:eastAsia="zh-CN"/>
        </w:rPr>
        <w:t>negatīvi neietekmētu uz veselības aprūpes pakalpojumu pieejamību un pārklājumu.</w:t>
      </w:r>
    </w:p>
    <w:p w:rsidR="000A2800" w:rsidP="00F55684">
      <w:pPr>
        <w:pStyle w:val="Para"/>
        <w:ind w:right="-2"/>
        <w:rPr>
          <w:sz w:val="24"/>
          <w:szCs w:val="24"/>
          <w:lang w:val="lv-LV"/>
        </w:rPr>
      </w:pPr>
    </w:p>
    <w:p w:rsidR="000A2800" w:rsidP="00F55684">
      <w:pPr>
        <w:pStyle w:val="Para"/>
        <w:ind w:right="-2"/>
        <w:rPr>
          <w:sz w:val="24"/>
          <w:szCs w:val="24"/>
          <w:lang w:val="lv-LV"/>
        </w:rPr>
      </w:pPr>
    </w:p>
    <w:p w:rsidR="00F55684" w:rsidRPr="00F55684" w:rsidP="00F55684">
      <w:pPr>
        <w:pStyle w:val="Para"/>
        <w:ind w:right="-2"/>
        <w:rPr>
          <w:sz w:val="24"/>
          <w:szCs w:val="24"/>
          <w:lang w:val="lv-LV"/>
        </w:rPr>
      </w:pPr>
      <w:r w:rsidRPr="00F55684">
        <w:rPr>
          <w:sz w:val="24"/>
          <w:szCs w:val="24"/>
          <w:lang w:val="lv-LV"/>
        </w:rPr>
        <w:t>Veselības ministre</w:t>
      </w:r>
      <w:r w:rsidRPr="00F55684">
        <w:rPr>
          <w:sz w:val="24"/>
          <w:szCs w:val="24"/>
          <w:lang w:val="lv-LV"/>
        </w:rPr>
        <w:tab/>
      </w:r>
      <w:r w:rsidRPr="00F55684">
        <w:rPr>
          <w:sz w:val="24"/>
          <w:szCs w:val="24"/>
          <w:lang w:val="lv-LV"/>
        </w:rPr>
        <w:tab/>
      </w:r>
      <w:r w:rsidRPr="00F55684">
        <w:rPr>
          <w:sz w:val="24"/>
          <w:szCs w:val="24"/>
          <w:lang w:val="lv-LV"/>
        </w:rPr>
        <w:tab/>
      </w:r>
      <w:r w:rsidRPr="00F55684">
        <w:rPr>
          <w:sz w:val="24"/>
          <w:szCs w:val="24"/>
          <w:lang w:val="lv-LV"/>
        </w:rPr>
        <w:tab/>
      </w:r>
      <w:r w:rsidRPr="00F55684">
        <w:rPr>
          <w:sz w:val="24"/>
          <w:szCs w:val="24"/>
          <w:lang w:val="lv-LV"/>
        </w:rPr>
        <w:tab/>
      </w:r>
      <w:r w:rsidRPr="00F55684">
        <w:rPr>
          <w:sz w:val="24"/>
          <w:szCs w:val="24"/>
          <w:lang w:val="lv-LV"/>
        </w:rPr>
        <w:tab/>
        <w:t xml:space="preserve">                          Anda </w:t>
      </w:r>
      <w:r w:rsidRPr="00F55684">
        <w:rPr>
          <w:sz w:val="24"/>
          <w:szCs w:val="24"/>
          <w:lang w:val="lv-LV"/>
        </w:rPr>
        <w:t>Čakša</w:t>
      </w:r>
    </w:p>
    <w:p w:rsidR="00F55684" w:rsidRPr="00F55684" w:rsidP="00F55684">
      <w:pPr>
        <w:pStyle w:val="Para"/>
        <w:ind w:right="-2"/>
        <w:rPr>
          <w:sz w:val="24"/>
          <w:szCs w:val="24"/>
          <w:lang w:val="lv-LV"/>
        </w:rPr>
      </w:pPr>
    </w:p>
    <w:p w:rsidR="00F55684" w:rsidRPr="00F55684" w:rsidP="00F55684">
      <w:pPr>
        <w:pStyle w:val="Para"/>
        <w:ind w:right="-2"/>
        <w:rPr>
          <w:sz w:val="24"/>
          <w:szCs w:val="24"/>
          <w:lang w:val="lv-LV"/>
        </w:rPr>
      </w:pPr>
    </w:p>
    <w:p w:rsidR="00F55684" w:rsidRPr="00F55684" w:rsidP="00F55684">
      <w:pPr>
        <w:pStyle w:val="Para"/>
        <w:ind w:right="-2"/>
        <w:rPr>
          <w:sz w:val="24"/>
          <w:szCs w:val="24"/>
          <w:lang w:val="lv-LV"/>
        </w:rPr>
      </w:pPr>
      <w:r w:rsidRPr="00F55684">
        <w:rPr>
          <w:sz w:val="24"/>
          <w:szCs w:val="24"/>
          <w:lang w:val="lv-LV"/>
        </w:rPr>
        <w:t xml:space="preserve">Iesniedzējs: </w:t>
      </w:r>
      <w:r w:rsidR="000A2800">
        <w:rPr>
          <w:sz w:val="24"/>
          <w:szCs w:val="24"/>
          <w:lang w:val="lv-LV"/>
        </w:rPr>
        <w:t>Veselības ministre</w:t>
      </w:r>
      <w:bookmarkStart w:id="5" w:name="_GoBack"/>
      <w:bookmarkEnd w:id="5"/>
      <w:r w:rsidR="000A2800">
        <w:rPr>
          <w:sz w:val="24"/>
          <w:szCs w:val="24"/>
          <w:lang w:val="lv-LV"/>
        </w:rPr>
        <w:t xml:space="preserve">    </w:t>
      </w:r>
      <w:r w:rsidR="000A2800">
        <w:rPr>
          <w:sz w:val="24"/>
          <w:szCs w:val="24"/>
          <w:lang w:val="lv-LV"/>
        </w:rPr>
        <w:tab/>
      </w:r>
      <w:r w:rsidR="000A2800">
        <w:rPr>
          <w:sz w:val="24"/>
          <w:szCs w:val="24"/>
          <w:lang w:val="lv-LV"/>
        </w:rPr>
        <w:tab/>
      </w:r>
      <w:r w:rsidR="000A2800">
        <w:rPr>
          <w:sz w:val="24"/>
          <w:szCs w:val="24"/>
          <w:lang w:val="lv-LV"/>
        </w:rPr>
        <w:tab/>
      </w:r>
      <w:r w:rsidR="000A2800">
        <w:rPr>
          <w:sz w:val="24"/>
          <w:szCs w:val="24"/>
          <w:lang w:val="lv-LV"/>
        </w:rPr>
        <w:tab/>
      </w:r>
      <w:r w:rsidR="000A2800">
        <w:rPr>
          <w:sz w:val="24"/>
          <w:szCs w:val="24"/>
          <w:lang w:val="lv-LV"/>
        </w:rPr>
        <w:tab/>
      </w:r>
      <w:r w:rsidR="000A2800">
        <w:rPr>
          <w:sz w:val="24"/>
          <w:szCs w:val="24"/>
          <w:lang w:val="lv-LV"/>
        </w:rPr>
        <w:tab/>
      </w:r>
      <w:r w:rsidRPr="00F55684">
        <w:rPr>
          <w:sz w:val="24"/>
          <w:szCs w:val="24"/>
          <w:lang w:val="lv-LV"/>
        </w:rPr>
        <w:t xml:space="preserve"> Anda </w:t>
      </w:r>
      <w:r w:rsidRPr="00F55684">
        <w:rPr>
          <w:sz w:val="24"/>
          <w:szCs w:val="24"/>
          <w:lang w:val="lv-LV"/>
        </w:rPr>
        <w:t>Čakša</w:t>
      </w:r>
    </w:p>
    <w:p w:rsidR="00F55684" w:rsidRPr="00F55684" w:rsidP="00F55684">
      <w:pPr>
        <w:pStyle w:val="Para"/>
        <w:ind w:right="-2"/>
        <w:rPr>
          <w:sz w:val="24"/>
          <w:szCs w:val="24"/>
          <w:lang w:val="lv-LV"/>
        </w:rPr>
      </w:pPr>
    </w:p>
    <w:p w:rsidR="00F55684" w:rsidRPr="00F55684" w:rsidP="00F55684">
      <w:pPr>
        <w:pStyle w:val="Para"/>
        <w:ind w:right="-2"/>
        <w:rPr>
          <w:sz w:val="24"/>
          <w:szCs w:val="24"/>
          <w:lang w:val="lv-LV"/>
        </w:rPr>
      </w:pPr>
    </w:p>
    <w:p w:rsidR="00F55684" w:rsidRPr="00BC16C8" w:rsidP="00F55684">
      <w:pPr>
        <w:pStyle w:val="Para"/>
        <w:spacing w:before="0" w:after="0"/>
        <w:ind w:right="-2"/>
        <w:rPr>
          <w:sz w:val="24"/>
          <w:szCs w:val="24"/>
          <w:lang w:val="lv-LV"/>
        </w:rPr>
      </w:pPr>
      <w:r>
        <w:rPr>
          <w:sz w:val="24"/>
          <w:szCs w:val="24"/>
          <w:lang w:val="lv-LV"/>
        </w:rPr>
        <w:t>Vīza: Valsts sekretārs</w:t>
      </w:r>
      <w:r w:rsidRPr="00F55684">
        <w:rPr>
          <w:sz w:val="24"/>
          <w:szCs w:val="24"/>
          <w:lang w:val="lv-LV"/>
        </w:rPr>
        <w:tab/>
      </w:r>
      <w:r w:rsidRPr="00F55684">
        <w:rPr>
          <w:sz w:val="24"/>
          <w:szCs w:val="24"/>
          <w:lang w:val="lv-LV"/>
        </w:rPr>
        <w:tab/>
      </w:r>
      <w:r w:rsidRPr="00F55684">
        <w:rPr>
          <w:sz w:val="24"/>
          <w:szCs w:val="24"/>
          <w:lang w:val="lv-LV"/>
        </w:rPr>
        <w:tab/>
      </w:r>
      <w:r w:rsidRPr="00F55684">
        <w:rPr>
          <w:sz w:val="24"/>
          <w:szCs w:val="24"/>
          <w:lang w:val="lv-LV"/>
        </w:rPr>
        <w:tab/>
        <w:t xml:space="preserve">   </w:t>
      </w:r>
      <w:r>
        <w:rPr>
          <w:sz w:val="24"/>
          <w:szCs w:val="24"/>
          <w:lang w:val="lv-LV"/>
        </w:rPr>
        <w:tab/>
      </w:r>
      <w:r>
        <w:rPr>
          <w:sz w:val="24"/>
          <w:szCs w:val="24"/>
          <w:lang w:val="lv-LV"/>
        </w:rPr>
        <w:tab/>
      </w:r>
      <w:r>
        <w:rPr>
          <w:sz w:val="24"/>
          <w:szCs w:val="24"/>
          <w:lang w:val="lv-LV"/>
        </w:rPr>
        <w:tab/>
      </w:r>
      <w:r>
        <w:rPr>
          <w:sz w:val="24"/>
          <w:szCs w:val="24"/>
          <w:lang w:val="lv-LV"/>
        </w:rPr>
        <w:tab/>
        <w:t>Aivars Lapiņš</w:t>
      </w:r>
    </w:p>
    <w:p w:rsidR="00E62C6E" w:rsidRPr="00BC16C8" w:rsidP="00A75BF7">
      <w:pPr>
        <w:pStyle w:val="Num-DocParagraph"/>
        <w:spacing w:after="0"/>
        <w:rPr>
          <w:sz w:val="24"/>
          <w:szCs w:val="24"/>
          <w:lang w:val="lv-LV"/>
        </w:rPr>
      </w:pPr>
    </w:p>
    <w:sectPr w:rsidSect="00764DEE">
      <w:headerReference w:type="default" r:id="rId6"/>
      <w:footerReference w:type="default" r:id="rId7"/>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A45" w:rsidRPr="001315B4">
    <w:pPr>
      <w:pStyle w:val="Footer"/>
      <w:rPr>
        <w:sz w:val="20"/>
        <w:szCs w:val="20"/>
      </w:rPr>
    </w:pPr>
    <w:r w:rsidRPr="001315B4">
      <w:rPr>
        <w:sz w:val="20"/>
        <w:szCs w:val="20"/>
      </w:rPr>
      <w:t>VMzin_OECD_280528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2EE4" w:rsidP="00902CD6">
      <w:r>
        <w:separator/>
      </w:r>
    </w:p>
  </w:footnote>
  <w:footnote w:type="continuationSeparator" w:id="1">
    <w:p w:rsidR="00F32EE4" w:rsidP="00902CD6">
      <w:r>
        <w:continuationSeparator/>
      </w:r>
    </w:p>
  </w:footnote>
  <w:footnote w:id="2">
    <w:p w:rsidR="009F4A45" w:rsidRPr="0036641A" w:rsidP="0036641A">
      <w:pPr>
        <w:pStyle w:val="liknoteik"/>
        <w:shd w:val="clear" w:color="auto" w:fill="FFFFFF"/>
        <w:spacing w:before="0" w:beforeAutospacing="0" w:after="0" w:afterAutospacing="0"/>
        <w:jc w:val="both"/>
        <w:rPr>
          <w:sz w:val="20"/>
          <w:szCs w:val="20"/>
          <w:lang w:eastAsia="zh-CN" w:bidi="ar-SA"/>
        </w:rPr>
      </w:pPr>
      <w:r w:rsidRPr="00110090">
        <w:rPr>
          <w:rStyle w:val="FootnoteReference"/>
        </w:rPr>
        <w:footnoteRef/>
      </w:r>
      <w:r w:rsidRPr="00110090">
        <w:rPr>
          <w:rStyle w:val="FootnoteReference"/>
        </w:rPr>
        <w:t xml:space="preserve"> </w:t>
      </w:r>
      <w:r w:rsidRPr="0036641A">
        <w:rPr>
          <w:sz w:val="20"/>
          <w:szCs w:val="20"/>
          <w:lang w:eastAsia="zh-CN" w:bidi="ar-SA"/>
        </w:rPr>
        <w:t>MK 07.08.2017. rīkojums Nr. 394 “Par konceptuālo ziņojumu "Par veselības aprūpes sistēmas reformu””</w:t>
      </w:r>
    </w:p>
  </w:footnote>
  <w:footnote w:id="3">
    <w:p w:rsidR="009F4A45" w:rsidRPr="0036641A" w:rsidP="0036641A">
      <w:pPr>
        <w:pStyle w:val="FootnoteText"/>
        <w:tabs>
          <w:tab w:val="clear" w:pos="850"/>
        </w:tabs>
        <w:spacing w:after="0"/>
        <w:ind w:left="142" w:hanging="142"/>
        <w:rPr>
          <w:lang w:val="lv-LV"/>
        </w:rPr>
      </w:pPr>
      <w:r w:rsidRPr="0036641A">
        <w:rPr>
          <w:rStyle w:val="FootnoteReference"/>
          <w:lang w:val="lv-LV"/>
        </w:rPr>
        <w:footnoteRef/>
      </w:r>
      <w:r w:rsidRPr="0036641A">
        <w:rPr>
          <w:lang w:val="lv-LV"/>
        </w:rPr>
        <w:t xml:space="preserve"> VM 20.01.2017. rīkojums Nr. 22 “Par Veselības aprūpes sistēmas kvalitātes pilnveidošanas un pacientu drošības koncepciju</w:t>
      </w:r>
    </w:p>
  </w:footnote>
  <w:footnote w:id="4">
    <w:p w:rsidR="009F4A45" w:rsidRPr="00214177" w:rsidP="00214177">
      <w:pPr>
        <w:pStyle w:val="FootnoteText"/>
        <w:tabs>
          <w:tab w:val="clear" w:pos="850"/>
          <w:tab w:val="clear" w:pos="1191"/>
          <w:tab w:val="clear" w:pos="1531"/>
        </w:tabs>
        <w:ind w:left="0" w:firstLine="0"/>
        <w:rPr>
          <w:lang w:val="lv-LV"/>
        </w:rPr>
      </w:pPr>
      <w:r>
        <w:rPr>
          <w:rStyle w:val="FootnoteReference"/>
        </w:rPr>
        <w:footnoteRef/>
      </w:r>
      <w:r w:rsidRPr="00214177">
        <w:rPr>
          <w:lang w:val="lv-LV"/>
        </w:rPr>
        <w:t xml:space="preserve"> </w:t>
      </w:r>
      <w:r w:rsidRPr="00214177">
        <w:rPr>
          <w:rFonts w:eastAsia="Batang"/>
          <w:lang w:val="lv-LV" w:eastAsia="ko-KR"/>
        </w:rPr>
        <w:t>Grozījumi Ministru kabineta 2009.gada 20.janvāra noteikumos Nr.60</w:t>
      </w:r>
      <w:r>
        <w:rPr>
          <w:rStyle w:val="FootnoteReference"/>
          <w:rFonts w:eastAsia="Batang"/>
          <w:lang w:eastAsia="ko-KR"/>
        </w:rPr>
        <w:footnoteRef/>
      </w:r>
      <w:r w:rsidRPr="00214177">
        <w:rPr>
          <w:rFonts w:eastAsia="Batang"/>
          <w:lang w:val="lv-LV" w:eastAsia="ko-KR"/>
        </w:rPr>
        <w:t xml:space="preserve"> "Noteikumi par obligātajām prasībām ārstniecības iestādēm un to struktūrvienībām"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0052333"/>
      <w:docPartObj>
        <w:docPartGallery w:val="Page Numbers (Top of Page)"/>
        <w:docPartUnique/>
      </w:docPartObj>
    </w:sdtPr>
    <w:sdtEndPr>
      <w:rPr>
        <w:noProof/>
      </w:rPr>
    </w:sdtEndPr>
    <w:sdtContent>
      <w:p w:rsidR="009F4A45">
        <w:pPr>
          <w:pStyle w:val="Header"/>
          <w:jc w:val="right"/>
        </w:pPr>
        <w:r>
          <w:fldChar w:fldCharType="begin"/>
        </w:r>
        <w:r>
          <w:instrText xml:space="preserve"> PAGE   \* MERGEFORMAT </w:instrText>
        </w:r>
        <w:r>
          <w:fldChar w:fldCharType="separate"/>
        </w:r>
        <w:r w:rsidR="000A2800">
          <w:rPr>
            <w:noProof/>
          </w:rPr>
          <w:t>15</w:t>
        </w:r>
        <w:r>
          <w:rPr>
            <w:noProof/>
          </w:rPr>
          <w:fldChar w:fldCharType="end"/>
        </w:r>
      </w:p>
    </w:sdtContent>
  </w:sdt>
  <w:p w:rsidR="009F4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BE80D6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1C22B90"/>
    <w:multiLevelType w:val="multilevel"/>
    <w:tmpl w:val="BD283EB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27569FA"/>
    <w:multiLevelType w:val="hybridMultilevel"/>
    <w:tmpl w:val="B0F06EB0"/>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3" w15:restartNumberingAfterBreak="1">
    <w:nsid w:val="033245BE"/>
    <w:multiLevelType w:val="hybridMultilevel"/>
    <w:tmpl w:val="8B2228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034F0BDA"/>
    <w:multiLevelType w:val="hybridMultilevel"/>
    <w:tmpl w:val="055E5E80"/>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eastAsia="Times New Roman" w:hAnsi="Times New Roman" w:cs="Times New Roman"/>
        <w:color w:val="00B050"/>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15:restartNumberingAfterBreak="1">
    <w:nsid w:val="042D6DB9"/>
    <w:multiLevelType w:val="hybridMultilevel"/>
    <w:tmpl w:val="ACACBC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07F90F62"/>
    <w:multiLevelType w:val="singleLevel"/>
    <w:tmpl w:val="41606694"/>
    <w:lvl w:ilvl="0">
      <w:start w:val="1"/>
      <w:numFmt w:val="bullet"/>
      <w:lvlText w:val="·"/>
      <w:lvlJc w:val="left"/>
      <w:pPr>
        <w:tabs>
          <w:tab w:val="num" w:pos="1259"/>
        </w:tabs>
        <w:ind w:left="1259" w:hanging="408"/>
      </w:pPr>
      <w:rPr>
        <w:rFonts w:ascii="Symbol" w:hAnsi="Symbol" w:cs="Times New Roman" w:hint="default"/>
        <w:b w:val="0"/>
        <w:i w:val="0"/>
        <w:sz w:val="22"/>
      </w:rPr>
    </w:lvl>
  </w:abstractNum>
  <w:abstractNum w:abstractNumId="7" w15:restartNumberingAfterBreak="1">
    <w:nsid w:val="08654154"/>
    <w:multiLevelType w:val="hybridMultilevel"/>
    <w:tmpl w:val="E1200D4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9" w15:restartNumberingAfterBreak="1">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0" w15:restartNumberingAfterBreak="1">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11" w15:restartNumberingAfterBreak="1">
    <w:nsid w:val="0E6563A6"/>
    <w:multiLevelType w:val="hybridMultilevel"/>
    <w:tmpl w:val="849277F2"/>
    <w:lvl w:ilvl="0">
      <w:start w:val="1"/>
      <w:numFmt w:val="bullet"/>
      <w:lvlText w:val=""/>
      <w:lvlJc w:val="left"/>
      <w:pPr>
        <w:ind w:left="1400" w:hanging="360"/>
      </w:pPr>
      <w:rPr>
        <w:rFonts w:ascii="Symbol" w:hAnsi="Symbol" w:hint="default"/>
      </w:rPr>
    </w:lvl>
    <w:lvl w:ilvl="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12" w15:restartNumberingAfterBreak="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3" w15:restartNumberingAfterBreak="1">
    <w:nsid w:val="13BA0C0E"/>
    <w:multiLevelType w:val="hybridMultilevel"/>
    <w:tmpl w:val="06BE23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16864457"/>
    <w:multiLevelType w:val="hybridMultilevel"/>
    <w:tmpl w:val="F5BA6DF6"/>
    <w:lvl w:ilvl="0">
      <w:start w:val="1"/>
      <w:numFmt w:val="bullet"/>
      <w:lvlText w:val=""/>
      <w:lvlJc w:val="left"/>
      <w:pPr>
        <w:ind w:left="1724" w:hanging="360"/>
      </w:pPr>
      <w:rPr>
        <w:rFonts w:ascii="Wingdings" w:hAnsi="Wingdings" w:hint="default"/>
      </w:rPr>
    </w:lvl>
    <w:lvl w:ilvl="1" w:tentative="1">
      <w:start w:val="1"/>
      <w:numFmt w:val="bullet"/>
      <w:lvlText w:val="o"/>
      <w:lvlJc w:val="left"/>
      <w:pPr>
        <w:ind w:left="2444" w:hanging="360"/>
      </w:pPr>
      <w:rPr>
        <w:rFonts w:ascii="Courier New" w:hAnsi="Courier New" w:cs="Courier New" w:hint="default"/>
      </w:rPr>
    </w:lvl>
    <w:lvl w:ilvl="2" w:tentative="1">
      <w:start w:val="1"/>
      <w:numFmt w:val="bullet"/>
      <w:lvlText w:val=""/>
      <w:lvlJc w:val="left"/>
      <w:pPr>
        <w:ind w:left="3164" w:hanging="360"/>
      </w:pPr>
      <w:rPr>
        <w:rFonts w:ascii="Wingdings" w:hAnsi="Wingdings" w:hint="default"/>
      </w:rPr>
    </w:lvl>
    <w:lvl w:ilvl="3" w:tentative="1">
      <w:start w:val="1"/>
      <w:numFmt w:val="bullet"/>
      <w:lvlText w:val=""/>
      <w:lvlJc w:val="left"/>
      <w:pPr>
        <w:ind w:left="3884" w:hanging="360"/>
      </w:pPr>
      <w:rPr>
        <w:rFonts w:ascii="Symbol" w:hAnsi="Symbol" w:hint="default"/>
      </w:rPr>
    </w:lvl>
    <w:lvl w:ilvl="4" w:tentative="1">
      <w:start w:val="1"/>
      <w:numFmt w:val="bullet"/>
      <w:lvlText w:val="o"/>
      <w:lvlJc w:val="left"/>
      <w:pPr>
        <w:ind w:left="4604" w:hanging="360"/>
      </w:pPr>
      <w:rPr>
        <w:rFonts w:ascii="Courier New" w:hAnsi="Courier New" w:cs="Courier New" w:hint="default"/>
      </w:rPr>
    </w:lvl>
    <w:lvl w:ilvl="5" w:tentative="1">
      <w:start w:val="1"/>
      <w:numFmt w:val="bullet"/>
      <w:lvlText w:val=""/>
      <w:lvlJc w:val="left"/>
      <w:pPr>
        <w:ind w:left="5324" w:hanging="360"/>
      </w:pPr>
      <w:rPr>
        <w:rFonts w:ascii="Wingdings" w:hAnsi="Wingdings" w:hint="default"/>
      </w:rPr>
    </w:lvl>
    <w:lvl w:ilvl="6" w:tentative="1">
      <w:start w:val="1"/>
      <w:numFmt w:val="bullet"/>
      <w:lvlText w:val=""/>
      <w:lvlJc w:val="left"/>
      <w:pPr>
        <w:ind w:left="6044" w:hanging="360"/>
      </w:pPr>
      <w:rPr>
        <w:rFonts w:ascii="Symbol" w:hAnsi="Symbol" w:hint="default"/>
      </w:rPr>
    </w:lvl>
    <w:lvl w:ilvl="7" w:tentative="1">
      <w:start w:val="1"/>
      <w:numFmt w:val="bullet"/>
      <w:lvlText w:val="o"/>
      <w:lvlJc w:val="left"/>
      <w:pPr>
        <w:ind w:left="6764" w:hanging="360"/>
      </w:pPr>
      <w:rPr>
        <w:rFonts w:ascii="Courier New" w:hAnsi="Courier New" w:cs="Courier New" w:hint="default"/>
      </w:rPr>
    </w:lvl>
    <w:lvl w:ilvl="8" w:tentative="1">
      <w:start w:val="1"/>
      <w:numFmt w:val="bullet"/>
      <w:lvlText w:val=""/>
      <w:lvlJc w:val="left"/>
      <w:pPr>
        <w:ind w:left="7484" w:hanging="360"/>
      </w:pPr>
      <w:rPr>
        <w:rFonts w:ascii="Wingdings" w:hAnsi="Wingdings" w:hint="default"/>
      </w:rPr>
    </w:lvl>
  </w:abstractNum>
  <w:abstractNum w:abstractNumId="15" w15:restartNumberingAfterBreak="1">
    <w:nsid w:val="1BDD22C0"/>
    <w:multiLevelType w:val="hybridMultilevel"/>
    <w:tmpl w:val="BA107E5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1F326865"/>
    <w:multiLevelType w:val="hybridMultilevel"/>
    <w:tmpl w:val="652A8436"/>
    <w:lvl w:ilvl="0">
      <w:start w:val="1"/>
      <w:numFmt w:val="bullet"/>
      <w:lvlText w:val=""/>
      <w:lvlJc w:val="left"/>
      <w:pPr>
        <w:ind w:left="106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15:restartNumberingAfterBreak="1">
    <w:nsid w:val="218E01E3"/>
    <w:multiLevelType w:val="hybridMultilevel"/>
    <w:tmpl w:val="1F0A43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28307CB9"/>
    <w:multiLevelType w:val="hybridMultilevel"/>
    <w:tmpl w:val="2B1E7784"/>
    <w:lvl w:ilvl="0">
      <w:start w:val="1"/>
      <w:numFmt w:val="bullet"/>
      <w:lvlText w:val=""/>
      <w:lvlJc w:val="left"/>
      <w:pPr>
        <w:ind w:left="106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9" w15:restartNumberingAfterBreak="1">
    <w:nsid w:val="290A186A"/>
    <w:multiLevelType w:val="hybridMultilevel"/>
    <w:tmpl w:val="88709A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21" w15:restartNumberingAfterBreak="1">
    <w:nsid w:val="2B6039A6"/>
    <w:multiLevelType w:val="hybridMultilevel"/>
    <w:tmpl w:val="004A8F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1">
    <w:nsid w:val="2B8A1967"/>
    <w:multiLevelType w:val="hybridMultilevel"/>
    <w:tmpl w:val="68AAA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2CFA2B59"/>
    <w:multiLevelType w:val="hybridMultilevel"/>
    <w:tmpl w:val="6E6A59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15:restartNumberingAfterBreak="1">
    <w:nsid w:val="327C0CB0"/>
    <w:multiLevelType w:val="hybridMultilevel"/>
    <w:tmpl w:val="5F2A2E48"/>
    <w:lvl w:ilvl="0">
      <w:start w:val="1"/>
      <w:numFmt w:val="decimal"/>
      <w:lvlText w:val="%1."/>
      <w:lvlJc w:val="left"/>
      <w:pPr>
        <w:ind w:left="720" w:hanging="360"/>
      </w:pPr>
      <w:rPr>
        <w:rFonts w:ascii="Arial" w:hAnsi="Arial" w:cs="Arial" w:hint="default"/>
        <w:color w:val="00000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1">
    <w:nsid w:val="33D54296"/>
    <w:multiLevelType w:val="hybridMultilevel"/>
    <w:tmpl w:val="47CCD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36604129"/>
    <w:multiLevelType w:val="hybridMultilevel"/>
    <w:tmpl w:val="2AC2B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8" w15:restartNumberingAfterBreak="1">
    <w:nsid w:val="388A47A2"/>
    <w:multiLevelType w:val="hybridMultilevel"/>
    <w:tmpl w:val="A71A2884"/>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1">
    <w:nsid w:val="401533FE"/>
    <w:multiLevelType w:val="multilevel"/>
    <w:tmpl w:val="C480D49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1">
    <w:nsid w:val="402624A3"/>
    <w:multiLevelType w:val="hybridMultilevel"/>
    <w:tmpl w:val="11100104"/>
    <w:lvl w:ilvl="0">
      <w:start w:val="1"/>
      <w:numFmt w:val="bullet"/>
      <w:lvlText w:val=""/>
      <w:lvlJc w:val="left"/>
      <w:pPr>
        <w:ind w:left="720" w:hanging="360"/>
      </w:pPr>
      <w:rPr>
        <w:rFonts w:ascii="Symbol" w:hAnsi="Symbol" w:hint="default"/>
      </w:rPr>
    </w:lvl>
    <w:lvl w:ilvl="1">
      <w:start w:val="2016"/>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1">
    <w:nsid w:val="42020952"/>
    <w:multiLevelType w:val="hybridMultilevel"/>
    <w:tmpl w:val="F22652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42916E5D"/>
    <w:multiLevelType w:val="hybridMultilevel"/>
    <w:tmpl w:val="4CB2D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1">
    <w:nsid w:val="42DA59A0"/>
    <w:multiLevelType w:val="hybridMultilevel"/>
    <w:tmpl w:val="227A2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1">
    <w:nsid w:val="44786C6E"/>
    <w:multiLevelType w:val="hybridMultilevel"/>
    <w:tmpl w:val="F75059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1">
    <w:nsid w:val="44CC07B4"/>
    <w:multiLevelType w:val="hybridMultilevel"/>
    <w:tmpl w:val="7F9E67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1">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38" w15:restartNumberingAfterBreak="1">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39" w15:restartNumberingAfterBreak="1">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0" w15:restartNumberingAfterBreak="1">
    <w:nsid w:val="50482B85"/>
    <w:multiLevelType w:val="multilevel"/>
    <w:tmpl w:val="AFE8F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1">
    <w:nsid w:val="50BE575F"/>
    <w:multiLevelType w:val="hybridMultilevel"/>
    <w:tmpl w:val="2C04F1BA"/>
    <w:lvl w:ilvl="0">
      <w:start w:val="1"/>
      <w:numFmt w:val="bullet"/>
      <w:lvlText w:val=""/>
      <w:lvlJc w:val="left"/>
      <w:pPr>
        <w:ind w:left="778" w:hanging="360"/>
      </w:pPr>
      <w:rPr>
        <w:rFonts w:ascii="Wingdings" w:hAnsi="Wingdings"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42" w15:restartNumberingAfterBreak="1">
    <w:nsid w:val="55322290"/>
    <w:multiLevelType w:val="hybridMultilevel"/>
    <w:tmpl w:val="59964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1">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44" w15:restartNumberingAfterBreak="1">
    <w:nsid w:val="58B430CB"/>
    <w:multiLevelType w:val="hybridMultilevel"/>
    <w:tmpl w:val="477A9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1">
    <w:nsid w:val="596010F7"/>
    <w:multiLevelType w:val="hybridMultilevel"/>
    <w:tmpl w:val="332A2950"/>
    <w:lvl w:ilvl="0">
      <w:start w:val="1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1">
    <w:nsid w:val="5A0122E6"/>
    <w:multiLevelType w:val="multilevel"/>
    <w:tmpl w:val="49247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1">
    <w:nsid w:val="5A867FA3"/>
    <w:multiLevelType w:val="hybridMultilevel"/>
    <w:tmpl w:val="D6C4B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15:restartNumberingAfterBreak="1">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49" w15:restartNumberingAfterBreak="1">
    <w:nsid w:val="5E551FFE"/>
    <w:multiLevelType w:val="hybridMultilevel"/>
    <w:tmpl w:val="13FE5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1">
    <w:nsid w:val="5F3839A7"/>
    <w:multiLevelType w:val="hybridMultilevel"/>
    <w:tmpl w:val="00F2C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1">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2" w15:restartNumberingAfterBreak="1">
    <w:nsid w:val="66D43334"/>
    <w:multiLevelType w:val="hybridMultilevel"/>
    <w:tmpl w:val="187EF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15:restartNumberingAfterBreak="1">
    <w:nsid w:val="67BA2A73"/>
    <w:multiLevelType w:val="hybridMultilevel"/>
    <w:tmpl w:val="5CC2EC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1">
    <w:nsid w:val="67DE77C3"/>
    <w:multiLevelType w:val="hybridMultilevel"/>
    <w:tmpl w:val="F17841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1">
    <w:nsid w:val="699E190C"/>
    <w:multiLevelType w:val="hybridMultilevel"/>
    <w:tmpl w:val="0B16B8D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6" w15:restartNumberingAfterBreak="1">
    <w:nsid w:val="6CF40FF6"/>
    <w:multiLevelType w:val="hybridMultilevel"/>
    <w:tmpl w:val="27729D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15:restartNumberingAfterBreak="1">
    <w:nsid w:val="6ED65F97"/>
    <w:multiLevelType w:val="hybridMultilevel"/>
    <w:tmpl w:val="9E12BB50"/>
    <w:lvl w:ilvl="0">
      <w:start w:val="1"/>
      <w:numFmt w:val="bullet"/>
      <w:lvlText w:val="-"/>
      <w:lvlJc w:val="left"/>
      <w:pPr>
        <w:ind w:left="1440" w:hanging="360"/>
      </w:pPr>
      <w:rPr>
        <w:rFonts w:ascii="Arial" w:hAnsi="Arial" w:eastAsiaTheme="minorHAnsi" w:cs="Arial" w:hint="default"/>
        <w:color w:val="000000"/>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15:restartNumberingAfterBreak="1">
    <w:nsid w:val="76BF54CC"/>
    <w:multiLevelType w:val="multilevel"/>
    <w:tmpl w:val="B72805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1">
    <w:nsid w:val="77C46A87"/>
    <w:multiLevelType w:val="hybridMultilevel"/>
    <w:tmpl w:val="0BE00D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1">
    <w:nsid w:val="7BB81871"/>
    <w:multiLevelType w:val="hybridMultilevel"/>
    <w:tmpl w:val="D80600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15:restartNumberingAfterBreak="1">
    <w:nsid w:val="7C2C698E"/>
    <w:multiLevelType w:val="hybridMultilevel"/>
    <w:tmpl w:val="19D20C04"/>
    <w:lvl w:ilvl="0">
      <w:start w:val="1"/>
      <w:numFmt w:val="bullet"/>
      <w:lvlText w:val=""/>
      <w:lvlJc w:val="left"/>
      <w:pPr>
        <w:ind w:left="1069"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1">
    <w:nsid w:val="7F635F38"/>
    <w:multiLevelType w:val="hybridMultilevel"/>
    <w:tmpl w:val="683E70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37"/>
  </w:num>
  <w:num w:numId="5">
    <w:abstractNumId w:val="6"/>
  </w:num>
  <w:num w:numId="6">
    <w:abstractNumId w:val="20"/>
  </w:num>
  <w:num w:numId="7">
    <w:abstractNumId w:val="38"/>
  </w:num>
  <w:num w:numId="8">
    <w:abstractNumId w:val="43"/>
  </w:num>
  <w:num w:numId="9">
    <w:abstractNumId w:val="48"/>
  </w:num>
  <w:num w:numId="10">
    <w:abstractNumId w:val="29"/>
  </w:num>
  <w:num w:numId="11">
    <w:abstractNumId w:val="51"/>
  </w:num>
  <w:num w:numId="12">
    <w:abstractNumId w:val="39"/>
  </w:num>
  <w:num w:numId="13">
    <w:abstractNumId w:val="8"/>
  </w:num>
  <w:num w:numId="14">
    <w:abstractNumId w:val="27"/>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7"/>
  </w:num>
  <w:num w:numId="18">
    <w:abstractNumId w:val="26"/>
  </w:num>
  <w:num w:numId="19">
    <w:abstractNumId w:val="47"/>
  </w:num>
  <w:num w:numId="20">
    <w:abstractNumId w:val="14"/>
  </w:num>
  <w:num w:numId="21">
    <w:abstractNumId w:val="59"/>
  </w:num>
  <w:num w:numId="22">
    <w:abstractNumId w:val="61"/>
  </w:num>
  <w:num w:numId="23">
    <w:abstractNumId w:val="13"/>
  </w:num>
  <w:num w:numId="24">
    <w:abstractNumId w:val="41"/>
  </w:num>
  <w:num w:numId="25">
    <w:abstractNumId w:val="46"/>
  </w:num>
  <w:num w:numId="2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2"/>
  </w:num>
  <w:num w:numId="29">
    <w:abstractNumId w:val="53"/>
  </w:num>
  <w:num w:numId="30">
    <w:abstractNumId w:val="1"/>
  </w:num>
  <w:num w:numId="31">
    <w:abstractNumId w:val="0"/>
  </w:num>
  <w:num w:numId="32">
    <w:abstractNumId w:val="56"/>
  </w:num>
  <w:num w:numId="33">
    <w:abstractNumId w:val="4"/>
  </w:num>
  <w:num w:numId="34">
    <w:abstractNumId w:val="22"/>
  </w:num>
  <w:num w:numId="35">
    <w:abstractNumId w:val="40"/>
  </w:num>
  <w:num w:numId="36">
    <w:abstractNumId w:val="58"/>
  </w:num>
  <w:num w:numId="37">
    <w:abstractNumId w:val="30"/>
  </w:num>
  <w:num w:numId="38">
    <w:abstractNumId w:val="28"/>
  </w:num>
  <w:num w:numId="39">
    <w:abstractNumId w:val="3"/>
  </w:num>
  <w:num w:numId="40">
    <w:abstractNumId w:val="35"/>
  </w:num>
  <w:num w:numId="41">
    <w:abstractNumId w:val="44"/>
  </w:num>
  <w:num w:numId="42">
    <w:abstractNumId w:val="36"/>
  </w:num>
  <w:num w:numId="43">
    <w:abstractNumId w:val="42"/>
  </w:num>
  <w:num w:numId="44">
    <w:abstractNumId w:val="34"/>
  </w:num>
  <w:num w:numId="45">
    <w:abstractNumId w:val="60"/>
  </w:num>
  <w:num w:numId="46">
    <w:abstractNumId w:val="11"/>
  </w:num>
  <w:num w:numId="47">
    <w:abstractNumId w:val="54"/>
  </w:num>
  <w:num w:numId="48">
    <w:abstractNumId w:val="19"/>
  </w:num>
  <w:num w:numId="49">
    <w:abstractNumId w:val="7"/>
  </w:num>
  <w:num w:numId="50">
    <w:abstractNumId w:val="15"/>
  </w:num>
  <w:num w:numId="51">
    <w:abstractNumId w:val="55"/>
  </w:num>
  <w:num w:numId="52">
    <w:abstractNumId w:val="62"/>
  </w:num>
  <w:num w:numId="53">
    <w:abstractNumId w:val="25"/>
  </w:num>
  <w:num w:numId="54">
    <w:abstractNumId w:val="31"/>
  </w:num>
  <w:num w:numId="55">
    <w:abstractNumId w:val="5"/>
  </w:num>
  <w:num w:numId="56">
    <w:abstractNumId w:val="45"/>
  </w:num>
  <w:num w:numId="57">
    <w:abstractNumId w:val="50"/>
  </w:num>
  <w:num w:numId="58">
    <w:abstractNumId w:val="57"/>
  </w:num>
  <w:num w:numId="59">
    <w:abstractNumId w:val="21"/>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24"/>
  </w:num>
  <w:num w:numId="63">
    <w:abstractNumId w:val="16"/>
  </w:num>
  <w:num w:numId="64">
    <w:abstractNumId w:val="18"/>
  </w:num>
  <w:num w:numId="65">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D6"/>
    <w:rsid w:val="00004744"/>
    <w:rsid w:val="000164EE"/>
    <w:rsid w:val="00023B3A"/>
    <w:rsid w:val="00027883"/>
    <w:rsid w:val="00047E9A"/>
    <w:rsid w:val="00063E96"/>
    <w:rsid w:val="00066BD4"/>
    <w:rsid w:val="000724DA"/>
    <w:rsid w:val="00075977"/>
    <w:rsid w:val="00082D4B"/>
    <w:rsid w:val="00096E8B"/>
    <w:rsid w:val="000A0B6F"/>
    <w:rsid w:val="000A2800"/>
    <w:rsid w:val="000A4B69"/>
    <w:rsid w:val="000B7603"/>
    <w:rsid w:val="000C110D"/>
    <w:rsid w:val="000E095A"/>
    <w:rsid w:val="000E549C"/>
    <w:rsid w:val="000F5D2F"/>
    <w:rsid w:val="000F6C5A"/>
    <w:rsid w:val="00110090"/>
    <w:rsid w:val="0011289B"/>
    <w:rsid w:val="00127237"/>
    <w:rsid w:val="001315B4"/>
    <w:rsid w:val="0013679F"/>
    <w:rsid w:val="00144C61"/>
    <w:rsid w:val="00147DFF"/>
    <w:rsid w:val="0016302D"/>
    <w:rsid w:val="00172C23"/>
    <w:rsid w:val="00181CC7"/>
    <w:rsid w:val="001A43DD"/>
    <w:rsid w:val="001A79E9"/>
    <w:rsid w:val="001B705A"/>
    <w:rsid w:val="001C2EBE"/>
    <w:rsid w:val="001D20BA"/>
    <w:rsid w:val="001D4B96"/>
    <w:rsid w:val="001F21B7"/>
    <w:rsid w:val="001F6BA4"/>
    <w:rsid w:val="00204954"/>
    <w:rsid w:val="00205649"/>
    <w:rsid w:val="00214177"/>
    <w:rsid w:val="0023659E"/>
    <w:rsid w:val="00240271"/>
    <w:rsid w:val="002415F1"/>
    <w:rsid w:val="0024443C"/>
    <w:rsid w:val="002451C6"/>
    <w:rsid w:val="002468AA"/>
    <w:rsid w:val="00246E82"/>
    <w:rsid w:val="00252032"/>
    <w:rsid w:val="00256863"/>
    <w:rsid w:val="00262C93"/>
    <w:rsid w:val="00280323"/>
    <w:rsid w:val="0028081F"/>
    <w:rsid w:val="00283F0E"/>
    <w:rsid w:val="00293453"/>
    <w:rsid w:val="002B4453"/>
    <w:rsid w:val="002C1120"/>
    <w:rsid w:val="002D6B2D"/>
    <w:rsid w:val="002E2693"/>
    <w:rsid w:val="002E2EFB"/>
    <w:rsid w:val="002E4CF0"/>
    <w:rsid w:val="002F77CE"/>
    <w:rsid w:val="00306903"/>
    <w:rsid w:val="00311158"/>
    <w:rsid w:val="00325B41"/>
    <w:rsid w:val="00332BEC"/>
    <w:rsid w:val="00333733"/>
    <w:rsid w:val="003448C2"/>
    <w:rsid w:val="00355C1C"/>
    <w:rsid w:val="00361853"/>
    <w:rsid w:val="0036641A"/>
    <w:rsid w:val="00375BF2"/>
    <w:rsid w:val="00384DBC"/>
    <w:rsid w:val="003A43E1"/>
    <w:rsid w:val="003C214F"/>
    <w:rsid w:val="003D1E54"/>
    <w:rsid w:val="003D59A3"/>
    <w:rsid w:val="003E25F5"/>
    <w:rsid w:val="003E4C97"/>
    <w:rsid w:val="003E6E9E"/>
    <w:rsid w:val="003F3A54"/>
    <w:rsid w:val="00407ECC"/>
    <w:rsid w:val="00433053"/>
    <w:rsid w:val="0043318C"/>
    <w:rsid w:val="00435AE4"/>
    <w:rsid w:val="00453E54"/>
    <w:rsid w:val="00456FC5"/>
    <w:rsid w:val="00461ECD"/>
    <w:rsid w:val="004639FF"/>
    <w:rsid w:val="0046506A"/>
    <w:rsid w:val="0047069C"/>
    <w:rsid w:val="004714A3"/>
    <w:rsid w:val="00473FE5"/>
    <w:rsid w:val="00494BAB"/>
    <w:rsid w:val="004A149C"/>
    <w:rsid w:val="004A2643"/>
    <w:rsid w:val="004B2923"/>
    <w:rsid w:val="004D05D4"/>
    <w:rsid w:val="004F30C6"/>
    <w:rsid w:val="005021AA"/>
    <w:rsid w:val="00511E1E"/>
    <w:rsid w:val="0052394B"/>
    <w:rsid w:val="00524D29"/>
    <w:rsid w:val="00530272"/>
    <w:rsid w:val="00531DC3"/>
    <w:rsid w:val="00540569"/>
    <w:rsid w:val="00554E0B"/>
    <w:rsid w:val="00556D50"/>
    <w:rsid w:val="005636F3"/>
    <w:rsid w:val="00571439"/>
    <w:rsid w:val="00573D53"/>
    <w:rsid w:val="00581C52"/>
    <w:rsid w:val="005843B0"/>
    <w:rsid w:val="0058462E"/>
    <w:rsid w:val="0059170D"/>
    <w:rsid w:val="005B047C"/>
    <w:rsid w:val="005C03AF"/>
    <w:rsid w:val="005D30D0"/>
    <w:rsid w:val="005E1E71"/>
    <w:rsid w:val="00600B10"/>
    <w:rsid w:val="00607090"/>
    <w:rsid w:val="0061483F"/>
    <w:rsid w:val="00617C28"/>
    <w:rsid w:val="00631585"/>
    <w:rsid w:val="0063769A"/>
    <w:rsid w:val="006407CC"/>
    <w:rsid w:val="00650A84"/>
    <w:rsid w:val="00654A37"/>
    <w:rsid w:val="00656FA0"/>
    <w:rsid w:val="006575CC"/>
    <w:rsid w:val="0066418D"/>
    <w:rsid w:val="00664890"/>
    <w:rsid w:val="0066539E"/>
    <w:rsid w:val="00670B66"/>
    <w:rsid w:val="006747D0"/>
    <w:rsid w:val="00687EC0"/>
    <w:rsid w:val="00692424"/>
    <w:rsid w:val="006975C7"/>
    <w:rsid w:val="006B2259"/>
    <w:rsid w:val="006B5D6B"/>
    <w:rsid w:val="006E7DD6"/>
    <w:rsid w:val="00704534"/>
    <w:rsid w:val="00707D52"/>
    <w:rsid w:val="00710578"/>
    <w:rsid w:val="00736DE4"/>
    <w:rsid w:val="00745028"/>
    <w:rsid w:val="00763EF6"/>
    <w:rsid w:val="00764DEE"/>
    <w:rsid w:val="00766A90"/>
    <w:rsid w:val="00766C6A"/>
    <w:rsid w:val="007750B3"/>
    <w:rsid w:val="007878C7"/>
    <w:rsid w:val="00792CE3"/>
    <w:rsid w:val="007B0082"/>
    <w:rsid w:val="007C198B"/>
    <w:rsid w:val="007F30F6"/>
    <w:rsid w:val="00804BC0"/>
    <w:rsid w:val="008510D7"/>
    <w:rsid w:val="00865589"/>
    <w:rsid w:val="0086796C"/>
    <w:rsid w:val="008679D7"/>
    <w:rsid w:val="008716A3"/>
    <w:rsid w:val="0087280F"/>
    <w:rsid w:val="00873EC8"/>
    <w:rsid w:val="00876E3D"/>
    <w:rsid w:val="008778CA"/>
    <w:rsid w:val="00885AE2"/>
    <w:rsid w:val="008A07DE"/>
    <w:rsid w:val="008A2C20"/>
    <w:rsid w:val="008A4269"/>
    <w:rsid w:val="008B2DC8"/>
    <w:rsid w:val="008B5C1A"/>
    <w:rsid w:val="008C1D52"/>
    <w:rsid w:val="008C1F5B"/>
    <w:rsid w:val="008C4422"/>
    <w:rsid w:val="008D1E6C"/>
    <w:rsid w:val="008D2164"/>
    <w:rsid w:val="008D4AF0"/>
    <w:rsid w:val="008D6813"/>
    <w:rsid w:val="008E06D1"/>
    <w:rsid w:val="008E0855"/>
    <w:rsid w:val="008E78B4"/>
    <w:rsid w:val="00902601"/>
    <w:rsid w:val="00902CD6"/>
    <w:rsid w:val="009124F1"/>
    <w:rsid w:val="0092025B"/>
    <w:rsid w:val="0095761D"/>
    <w:rsid w:val="0096056F"/>
    <w:rsid w:val="009728AC"/>
    <w:rsid w:val="009859D9"/>
    <w:rsid w:val="00994E02"/>
    <w:rsid w:val="0099739F"/>
    <w:rsid w:val="009A0E4A"/>
    <w:rsid w:val="009A1D61"/>
    <w:rsid w:val="009D0747"/>
    <w:rsid w:val="009E4EEE"/>
    <w:rsid w:val="009F2DFF"/>
    <w:rsid w:val="009F4A45"/>
    <w:rsid w:val="009F7C52"/>
    <w:rsid w:val="00A12277"/>
    <w:rsid w:val="00A13893"/>
    <w:rsid w:val="00A220C4"/>
    <w:rsid w:val="00A30E37"/>
    <w:rsid w:val="00A34E0F"/>
    <w:rsid w:val="00A369B9"/>
    <w:rsid w:val="00A47B1A"/>
    <w:rsid w:val="00A6115E"/>
    <w:rsid w:val="00A61E96"/>
    <w:rsid w:val="00A75BF7"/>
    <w:rsid w:val="00A82A4B"/>
    <w:rsid w:val="00A85EEC"/>
    <w:rsid w:val="00A95A63"/>
    <w:rsid w:val="00A97D82"/>
    <w:rsid w:val="00AA084F"/>
    <w:rsid w:val="00AA2429"/>
    <w:rsid w:val="00AA5795"/>
    <w:rsid w:val="00AB0FE5"/>
    <w:rsid w:val="00AB2695"/>
    <w:rsid w:val="00AC2109"/>
    <w:rsid w:val="00AC57C3"/>
    <w:rsid w:val="00AC6F3E"/>
    <w:rsid w:val="00AD7E07"/>
    <w:rsid w:val="00AE61FE"/>
    <w:rsid w:val="00AF79EB"/>
    <w:rsid w:val="00B00890"/>
    <w:rsid w:val="00B0141B"/>
    <w:rsid w:val="00B06AF1"/>
    <w:rsid w:val="00B168E3"/>
    <w:rsid w:val="00B2636B"/>
    <w:rsid w:val="00B330F3"/>
    <w:rsid w:val="00B42C67"/>
    <w:rsid w:val="00B43705"/>
    <w:rsid w:val="00B501C8"/>
    <w:rsid w:val="00B57FFD"/>
    <w:rsid w:val="00B71F3A"/>
    <w:rsid w:val="00B835A1"/>
    <w:rsid w:val="00B86286"/>
    <w:rsid w:val="00B9710B"/>
    <w:rsid w:val="00BA6AC6"/>
    <w:rsid w:val="00BB13B0"/>
    <w:rsid w:val="00BC16C8"/>
    <w:rsid w:val="00BD4966"/>
    <w:rsid w:val="00C01D9C"/>
    <w:rsid w:val="00C037E3"/>
    <w:rsid w:val="00C15658"/>
    <w:rsid w:val="00C17303"/>
    <w:rsid w:val="00C41A2A"/>
    <w:rsid w:val="00C50301"/>
    <w:rsid w:val="00C51AE0"/>
    <w:rsid w:val="00C5258A"/>
    <w:rsid w:val="00C5351E"/>
    <w:rsid w:val="00C6263A"/>
    <w:rsid w:val="00C90BC6"/>
    <w:rsid w:val="00CB0E9D"/>
    <w:rsid w:val="00CC7D4F"/>
    <w:rsid w:val="00CD7D06"/>
    <w:rsid w:val="00D065EE"/>
    <w:rsid w:val="00D142DB"/>
    <w:rsid w:val="00D20505"/>
    <w:rsid w:val="00D27896"/>
    <w:rsid w:val="00D32FA4"/>
    <w:rsid w:val="00D3674F"/>
    <w:rsid w:val="00D43DFB"/>
    <w:rsid w:val="00D67FD0"/>
    <w:rsid w:val="00D8743A"/>
    <w:rsid w:val="00D90885"/>
    <w:rsid w:val="00D918D8"/>
    <w:rsid w:val="00DC1E59"/>
    <w:rsid w:val="00DC3E13"/>
    <w:rsid w:val="00DE7FA3"/>
    <w:rsid w:val="00DF0241"/>
    <w:rsid w:val="00DF0578"/>
    <w:rsid w:val="00E0382C"/>
    <w:rsid w:val="00E23367"/>
    <w:rsid w:val="00E27344"/>
    <w:rsid w:val="00E30EEE"/>
    <w:rsid w:val="00E56EFA"/>
    <w:rsid w:val="00E60FC3"/>
    <w:rsid w:val="00E62C6E"/>
    <w:rsid w:val="00E66F13"/>
    <w:rsid w:val="00E7356E"/>
    <w:rsid w:val="00ED0A15"/>
    <w:rsid w:val="00ED3A6D"/>
    <w:rsid w:val="00ED4A27"/>
    <w:rsid w:val="00EF2499"/>
    <w:rsid w:val="00EF57C5"/>
    <w:rsid w:val="00F011E3"/>
    <w:rsid w:val="00F04B0F"/>
    <w:rsid w:val="00F14AE0"/>
    <w:rsid w:val="00F23059"/>
    <w:rsid w:val="00F23659"/>
    <w:rsid w:val="00F2366C"/>
    <w:rsid w:val="00F25584"/>
    <w:rsid w:val="00F27BCC"/>
    <w:rsid w:val="00F32EE4"/>
    <w:rsid w:val="00F416DF"/>
    <w:rsid w:val="00F54667"/>
    <w:rsid w:val="00F55684"/>
    <w:rsid w:val="00F731AA"/>
    <w:rsid w:val="00F90DFB"/>
    <w:rsid w:val="00F95F57"/>
    <w:rsid w:val="00FA3509"/>
    <w:rsid w:val="00FC324D"/>
    <w:rsid w:val="00FC5500"/>
    <w:rsid w:val="00FD0CE1"/>
    <w:rsid w:val="00FD574C"/>
    <w:rsid w:val="00FE755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chartTrackingRefBased/>
  <w15:docId w15:val="{D1220B2C-0CEC-4BCF-805B-1540A71A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D6"/>
    <w:pPr>
      <w:tabs>
        <w:tab w:val="left" w:pos="850"/>
        <w:tab w:val="left" w:pos="1191"/>
        <w:tab w:val="left" w:pos="1531"/>
      </w:tabs>
      <w:spacing w:after="0" w:line="240" w:lineRule="auto"/>
      <w:jc w:val="both"/>
    </w:pPr>
    <w:rPr>
      <w:rFonts w:ascii="Times New Roman" w:eastAsia="Times New Roman" w:hAnsi="Times New Roman" w:cs="Times New Roman"/>
      <w:lang w:val="en-GB" w:eastAsia="zh-CN" w:bidi="ar-SA"/>
    </w:rPr>
  </w:style>
  <w:style w:type="paragraph" w:styleId="Heading1">
    <w:name w:val="heading 1"/>
    <w:basedOn w:val="Normal"/>
    <w:next w:val="Num-DocParagraph"/>
    <w:link w:val="Heading1Char"/>
    <w:qFormat/>
    <w:rsid w:val="00902CD6"/>
    <w:pPr>
      <w:keepNext/>
      <w:spacing w:before="1200" w:after="720"/>
      <w:jc w:val="center"/>
      <w:outlineLvl w:val="0"/>
    </w:pPr>
    <w:rPr>
      <w:b/>
      <w:bCs/>
      <w:caps/>
      <w:kern w:val="28"/>
    </w:rPr>
  </w:style>
  <w:style w:type="paragraph" w:styleId="Heading2">
    <w:name w:val="heading 2"/>
    <w:basedOn w:val="Normal"/>
    <w:next w:val="Num-DocParagraph"/>
    <w:link w:val="Heading2Char"/>
    <w:qFormat/>
    <w:rsid w:val="00902CD6"/>
    <w:pPr>
      <w:keepNext/>
      <w:spacing w:before="240" w:after="240"/>
      <w:outlineLvl w:val="1"/>
    </w:pPr>
    <w:rPr>
      <w:b/>
      <w:bCs/>
    </w:rPr>
  </w:style>
  <w:style w:type="paragraph" w:styleId="Heading3">
    <w:name w:val="heading 3"/>
    <w:basedOn w:val="Normal"/>
    <w:next w:val="Num-DocParagraph"/>
    <w:link w:val="Heading3Char"/>
    <w:qFormat/>
    <w:rsid w:val="00902CD6"/>
    <w:pPr>
      <w:keepNext/>
      <w:spacing w:before="240" w:after="240"/>
      <w:outlineLvl w:val="2"/>
    </w:pPr>
    <w:rPr>
      <w:b/>
      <w:bCs/>
      <w:i/>
      <w:iCs/>
    </w:rPr>
  </w:style>
  <w:style w:type="paragraph" w:styleId="Heading4">
    <w:name w:val="heading 4"/>
    <w:basedOn w:val="Normal"/>
    <w:next w:val="Num-DocParagraph"/>
    <w:link w:val="Heading4Char"/>
    <w:qFormat/>
    <w:rsid w:val="00902CD6"/>
    <w:pPr>
      <w:keepNext/>
      <w:spacing w:before="240" w:after="240"/>
      <w:outlineLvl w:val="3"/>
    </w:pPr>
    <w:rPr>
      <w:i/>
      <w:iCs/>
    </w:rPr>
  </w:style>
  <w:style w:type="paragraph" w:styleId="Heading5">
    <w:name w:val="heading 5"/>
    <w:basedOn w:val="Normal"/>
    <w:next w:val="Num-DocParagraph"/>
    <w:link w:val="Heading5Char"/>
    <w:qFormat/>
    <w:rsid w:val="00902CD6"/>
    <w:pPr>
      <w:spacing w:before="240" w:after="240"/>
      <w:outlineLvl w:val="4"/>
    </w:pPr>
  </w:style>
  <w:style w:type="paragraph" w:styleId="Heading6">
    <w:name w:val="heading 6"/>
    <w:basedOn w:val="Normal"/>
    <w:next w:val="Normal"/>
    <w:link w:val="Heading6Char"/>
    <w:qFormat/>
    <w:rsid w:val="00902CD6"/>
    <w:pPr>
      <w:spacing w:before="240" w:after="60"/>
      <w:outlineLvl w:val="5"/>
    </w:pPr>
    <w:rPr>
      <w:b/>
      <w:bCs/>
    </w:rPr>
  </w:style>
  <w:style w:type="paragraph" w:styleId="Heading7">
    <w:name w:val="heading 7"/>
    <w:basedOn w:val="Normal"/>
    <w:next w:val="Normal"/>
    <w:link w:val="Heading7Char"/>
    <w:qFormat/>
    <w:rsid w:val="00902CD6"/>
    <w:pPr>
      <w:spacing w:before="240" w:after="60"/>
      <w:outlineLvl w:val="6"/>
    </w:pPr>
    <w:rPr>
      <w:sz w:val="24"/>
      <w:szCs w:val="24"/>
    </w:rPr>
  </w:style>
  <w:style w:type="paragraph" w:styleId="Heading8">
    <w:name w:val="heading 8"/>
    <w:basedOn w:val="Normal"/>
    <w:next w:val="Normal"/>
    <w:link w:val="Heading8Char"/>
    <w:qFormat/>
    <w:rsid w:val="00902CD6"/>
    <w:pPr>
      <w:spacing w:before="240" w:after="60"/>
      <w:outlineLvl w:val="7"/>
    </w:pPr>
    <w:rPr>
      <w:i/>
      <w:iCs/>
      <w:sz w:val="24"/>
      <w:szCs w:val="24"/>
    </w:rPr>
  </w:style>
  <w:style w:type="paragraph" w:styleId="Heading9">
    <w:name w:val="heading 9"/>
    <w:basedOn w:val="Normal"/>
    <w:next w:val="Normal"/>
    <w:link w:val="Heading9Char"/>
    <w:qFormat/>
    <w:rsid w:val="00902CD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CD6"/>
    <w:rPr>
      <w:rFonts w:ascii="Times New Roman" w:eastAsia="Times New Roman" w:hAnsi="Times New Roman" w:cs="Times New Roman"/>
      <w:b/>
      <w:bCs/>
      <w:caps/>
      <w:kern w:val="28"/>
      <w:lang w:val="en-GB" w:eastAsia="zh-CN" w:bidi="ar-SA"/>
    </w:rPr>
  </w:style>
  <w:style w:type="character" w:customStyle="1" w:styleId="Heading2Char">
    <w:name w:val="Heading 2 Char"/>
    <w:basedOn w:val="DefaultParagraphFont"/>
    <w:link w:val="Heading2"/>
    <w:rsid w:val="00902CD6"/>
    <w:rPr>
      <w:rFonts w:ascii="Times New Roman" w:eastAsia="Times New Roman" w:hAnsi="Times New Roman" w:cs="Times New Roman"/>
      <w:b/>
      <w:bCs/>
      <w:lang w:val="en-GB" w:eastAsia="zh-CN" w:bidi="ar-SA"/>
    </w:rPr>
  </w:style>
  <w:style w:type="character" w:customStyle="1" w:styleId="Heading3Char">
    <w:name w:val="Heading 3 Char"/>
    <w:basedOn w:val="DefaultParagraphFont"/>
    <w:link w:val="Heading3"/>
    <w:rsid w:val="00902CD6"/>
    <w:rPr>
      <w:rFonts w:ascii="Times New Roman" w:eastAsia="Times New Roman" w:hAnsi="Times New Roman" w:cs="Times New Roman"/>
      <w:b/>
      <w:bCs/>
      <w:i/>
      <w:iCs/>
      <w:lang w:val="en-GB" w:eastAsia="zh-CN" w:bidi="ar-SA"/>
    </w:rPr>
  </w:style>
  <w:style w:type="character" w:customStyle="1" w:styleId="Heading4Char">
    <w:name w:val="Heading 4 Char"/>
    <w:basedOn w:val="DefaultParagraphFont"/>
    <w:link w:val="Heading4"/>
    <w:rsid w:val="00902CD6"/>
    <w:rPr>
      <w:rFonts w:ascii="Times New Roman" w:eastAsia="Times New Roman" w:hAnsi="Times New Roman" w:cs="Times New Roman"/>
      <w:i/>
      <w:iCs/>
      <w:lang w:val="en-GB" w:eastAsia="zh-CN" w:bidi="ar-SA"/>
    </w:rPr>
  </w:style>
  <w:style w:type="character" w:customStyle="1" w:styleId="Heading5Char">
    <w:name w:val="Heading 5 Char"/>
    <w:basedOn w:val="DefaultParagraphFont"/>
    <w:link w:val="Heading5"/>
    <w:rsid w:val="00902CD6"/>
    <w:rPr>
      <w:rFonts w:ascii="Times New Roman" w:eastAsia="Times New Roman" w:hAnsi="Times New Roman" w:cs="Times New Roman"/>
      <w:lang w:val="en-GB" w:eastAsia="zh-CN" w:bidi="ar-SA"/>
    </w:rPr>
  </w:style>
  <w:style w:type="character" w:customStyle="1" w:styleId="Heading6Char">
    <w:name w:val="Heading 6 Char"/>
    <w:basedOn w:val="DefaultParagraphFont"/>
    <w:link w:val="Heading6"/>
    <w:rsid w:val="00902CD6"/>
    <w:rPr>
      <w:rFonts w:ascii="Times New Roman" w:eastAsia="Times New Roman" w:hAnsi="Times New Roman" w:cs="Times New Roman"/>
      <w:b/>
      <w:bCs/>
      <w:lang w:val="en-GB" w:eastAsia="zh-CN" w:bidi="ar-SA"/>
    </w:rPr>
  </w:style>
  <w:style w:type="character" w:customStyle="1" w:styleId="Heading7Char">
    <w:name w:val="Heading 7 Char"/>
    <w:basedOn w:val="DefaultParagraphFont"/>
    <w:link w:val="Heading7"/>
    <w:rsid w:val="00902CD6"/>
    <w:rPr>
      <w:rFonts w:ascii="Times New Roman" w:eastAsia="Times New Roman" w:hAnsi="Times New Roman" w:cs="Times New Roman"/>
      <w:sz w:val="24"/>
      <w:szCs w:val="24"/>
      <w:lang w:val="en-GB" w:eastAsia="zh-CN" w:bidi="ar-SA"/>
    </w:rPr>
  </w:style>
  <w:style w:type="character" w:customStyle="1" w:styleId="Heading8Char">
    <w:name w:val="Heading 8 Char"/>
    <w:basedOn w:val="DefaultParagraphFont"/>
    <w:link w:val="Heading8"/>
    <w:rsid w:val="00902CD6"/>
    <w:rPr>
      <w:rFonts w:ascii="Times New Roman" w:eastAsia="Times New Roman" w:hAnsi="Times New Roman" w:cs="Times New Roman"/>
      <w:i/>
      <w:iCs/>
      <w:sz w:val="24"/>
      <w:szCs w:val="24"/>
      <w:lang w:val="en-GB" w:eastAsia="zh-CN" w:bidi="ar-SA"/>
    </w:rPr>
  </w:style>
  <w:style w:type="character" w:customStyle="1" w:styleId="Heading9Char">
    <w:name w:val="Heading 9 Char"/>
    <w:basedOn w:val="DefaultParagraphFont"/>
    <w:link w:val="Heading9"/>
    <w:rsid w:val="00902CD6"/>
    <w:rPr>
      <w:rFonts w:ascii="Arial" w:eastAsia="Times New Roman" w:hAnsi="Arial" w:cs="Arial"/>
      <w:lang w:val="en-GB" w:eastAsia="zh-CN" w:bidi="ar-SA"/>
    </w:rPr>
  </w:style>
  <w:style w:type="paragraph" w:customStyle="1" w:styleId="AnnexHeading">
    <w:name w:val="Annex Heading"/>
    <w:basedOn w:val="Normal"/>
    <w:next w:val="BodyText"/>
    <w:rsid w:val="00902CD6"/>
    <w:pPr>
      <w:keepNext/>
      <w:spacing w:before="1200" w:after="720"/>
      <w:jc w:val="center"/>
    </w:pPr>
    <w:rPr>
      <w:b/>
      <w:bCs/>
      <w:caps/>
    </w:rPr>
  </w:style>
  <w:style w:type="paragraph" w:styleId="BodyText">
    <w:name w:val="Body Text"/>
    <w:basedOn w:val="Normal"/>
    <w:link w:val="BodyTextChar"/>
    <w:rsid w:val="00902CD6"/>
    <w:pPr>
      <w:spacing w:after="240"/>
      <w:ind w:firstLine="442"/>
    </w:pPr>
  </w:style>
  <w:style w:type="character" w:customStyle="1" w:styleId="BodyTextChar">
    <w:name w:val="Body Text Char"/>
    <w:basedOn w:val="DefaultParagraphFont"/>
    <w:link w:val="BodyText"/>
    <w:rsid w:val="00902CD6"/>
    <w:rPr>
      <w:rFonts w:ascii="Times New Roman" w:eastAsia="Times New Roman" w:hAnsi="Times New Roman" w:cs="Times New Roman"/>
      <w:lang w:val="en-GB" w:eastAsia="zh-CN" w:bidi="ar-SA"/>
    </w:rPr>
  </w:style>
  <w:style w:type="paragraph" w:customStyle="1" w:styleId="Annotation">
    <w:name w:val="Annotation"/>
    <w:basedOn w:val="BodyText"/>
    <w:rsid w:val="00902CD6"/>
    <w:pPr>
      <w:ind w:firstLine="0"/>
      <w:jc w:val="left"/>
    </w:pPr>
    <w:rPr>
      <w:b/>
      <w:bCs/>
      <w:i/>
      <w:iCs/>
    </w:rPr>
  </w:style>
  <w:style w:type="paragraph" w:customStyle="1" w:styleId="AppendixHeading">
    <w:name w:val="Appendix Heading"/>
    <w:basedOn w:val="Normal"/>
    <w:next w:val="BodyText"/>
    <w:rsid w:val="00902CD6"/>
    <w:pPr>
      <w:keepNext/>
      <w:spacing w:before="1200" w:after="720"/>
      <w:jc w:val="center"/>
    </w:pPr>
    <w:rPr>
      <w:b/>
      <w:bCs/>
      <w:caps/>
    </w:rPr>
  </w:style>
  <w:style w:type="paragraph" w:customStyle="1" w:styleId="Biblio-Entry">
    <w:name w:val="Biblio-Entry"/>
    <w:basedOn w:val="BodyText"/>
    <w:rsid w:val="00902CD6"/>
    <w:pPr>
      <w:ind w:left="567" w:hanging="567"/>
      <w:jc w:val="left"/>
    </w:pPr>
  </w:style>
  <w:style w:type="paragraph" w:customStyle="1" w:styleId="BibliographyHeading">
    <w:name w:val="Bibliography Heading"/>
    <w:basedOn w:val="Normal"/>
    <w:next w:val="Biblio-Entry"/>
    <w:rsid w:val="00902CD6"/>
    <w:pPr>
      <w:keepNext/>
      <w:spacing w:before="1200" w:after="720"/>
      <w:jc w:val="center"/>
    </w:pPr>
    <w:rPr>
      <w:b/>
      <w:bCs/>
      <w:caps/>
    </w:rPr>
  </w:style>
  <w:style w:type="paragraph" w:customStyle="1" w:styleId="BoxHeading">
    <w:name w:val="Box Heading"/>
    <w:basedOn w:val="Normal"/>
    <w:next w:val="BoxBodyText"/>
    <w:rsid w:val="00902CD6"/>
    <w:pPr>
      <w:spacing w:before="240" w:after="240"/>
      <w:jc w:val="center"/>
    </w:pPr>
    <w:rPr>
      <w:rFonts w:ascii="Arial" w:hAnsi="Arial" w:cs="Arial"/>
      <w:b/>
      <w:bCs/>
      <w:sz w:val="18"/>
    </w:rPr>
  </w:style>
  <w:style w:type="paragraph" w:customStyle="1" w:styleId="Cell">
    <w:name w:val="Cell"/>
    <w:basedOn w:val="Normal"/>
    <w:rsid w:val="00902CD6"/>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rsid w:val="00902CD6"/>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rsid w:val="00902CD6"/>
    <w:pPr>
      <w:keepNext/>
      <w:spacing w:before="1200" w:after="720"/>
      <w:jc w:val="center"/>
    </w:pPr>
    <w:rPr>
      <w:b/>
      <w:bCs/>
      <w:caps/>
    </w:rPr>
  </w:style>
  <w:style w:type="paragraph" w:customStyle="1" w:styleId="DefinitionList">
    <w:name w:val="Definition List"/>
    <w:basedOn w:val="BodyText"/>
    <w:rsid w:val="00902CD6"/>
    <w:pPr>
      <w:tabs>
        <w:tab w:val="clear" w:pos="850"/>
        <w:tab w:val="clear" w:pos="1191"/>
        <w:tab w:val="clear" w:pos="1531"/>
      </w:tabs>
      <w:ind w:left="1984" w:hanging="1984"/>
      <w:jc w:val="center"/>
    </w:pPr>
  </w:style>
  <w:style w:type="paragraph" w:styleId="EndnoteText">
    <w:name w:val="endnote text"/>
    <w:basedOn w:val="Normal"/>
    <w:link w:val="EndnoteTextChar"/>
    <w:semiHidden/>
    <w:rsid w:val="00902CD6"/>
    <w:pPr>
      <w:spacing w:after="240"/>
      <w:ind w:left="850" w:hanging="850"/>
    </w:pPr>
    <w:rPr>
      <w:sz w:val="20"/>
      <w:szCs w:val="20"/>
    </w:rPr>
  </w:style>
  <w:style w:type="character" w:customStyle="1" w:styleId="EndnoteTextChar">
    <w:name w:val="Endnote Text Char"/>
    <w:basedOn w:val="DefaultParagraphFont"/>
    <w:link w:val="EndnoteText"/>
    <w:semiHidden/>
    <w:rsid w:val="00902CD6"/>
    <w:rPr>
      <w:rFonts w:ascii="Times New Roman" w:eastAsia="Times New Roman" w:hAnsi="Times New Roman" w:cs="Times New Roman"/>
      <w:sz w:val="20"/>
      <w:szCs w:val="20"/>
      <w:lang w:val="en-GB" w:eastAsia="zh-CN" w:bidi="ar-SA"/>
    </w:rPr>
  </w:style>
  <w:style w:type="paragraph" w:customStyle="1" w:styleId="EndnotesHeading">
    <w:name w:val="Endnotes Heading"/>
    <w:basedOn w:val="Normal"/>
    <w:next w:val="BodyText"/>
    <w:rsid w:val="00902CD6"/>
    <w:pPr>
      <w:keepNext/>
      <w:spacing w:before="1200" w:after="480"/>
      <w:jc w:val="center"/>
    </w:pPr>
    <w:rPr>
      <w:b/>
      <w:bCs/>
      <w:caps/>
    </w:rPr>
  </w:style>
  <w:style w:type="paragraph" w:customStyle="1" w:styleId="ExecutiveSummaryHeading">
    <w:name w:val="Executive Summary Heading"/>
    <w:basedOn w:val="Normal"/>
    <w:next w:val="BodyText"/>
    <w:rsid w:val="00902CD6"/>
    <w:pPr>
      <w:keepNext/>
      <w:spacing w:before="1200" w:after="720"/>
      <w:jc w:val="center"/>
    </w:pPr>
    <w:rPr>
      <w:b/>
      <w:bCs/>
      <w:caps/>
    </w:rPr>
  </w:style>
  <w:style w:type="paragraph" w:customStyle="1" w:styleId="FigureNote">
    <w:name w:val="Figure Note"/>
    <w:basedOn w:val="Normal"/>
    <w:rsid w:val="00902CD6"/>
    <w:pPr>
      <w:spacing w:after="120"/>
    </w:pPr>
    <w:rPr>
      <w:rFonts w:ascii="Arial" w:hAnsi="Arial" w:cs="Arial"/>
      <w:sz w:val="16"/>
      <w:szCs w:val="18"/>
    </w:rPr>
  </w:style>
  <w:style w:type="paragraph" w:customStyle="1" w:styleId="FigureSub-title">
    <w:name w:val="Figure Sub-title"/>
    <w:basedOn w:val="Normal"/>
    <w:rsid w:val="00902CD6"/>
    <w:pPr>
      <w:keepNext/>
      <w:spacing w:after="120"/>
      <w:jc w:val="center"/>
    </w:pPr>
    <w:rPr>
      <w:rFonts w:ascii="Arial" w:hAnsi="Arial" w:cs="Arial"/>
      <w:sz w:val="18"/>
    </w:rPr>
  </w:style>
  <w:style w:type="paragraph" w:customStyle="1" w:styleId="FigureTitle">
    <w:name w:val="Figure Title"/>
    <w:basedOn w:val="Normal"/>
    <w:next w:val="FigureSub-title"/>
    <w:rsid w:val="00902CD6"/>
    <w:pPr>
      <w:keepNext/>
      <w:spacing w:after="240"/>
      <w:jc w:val="center"/>
    </w:pPr>
    <w:rPr>
      <w:rFonts w:ascii="Arial" w:hAnsi="Arial" w:cs="Arial"/>
      <w:b/>
      <w:bCs/>
      <w:sz w:val="18"/>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link w:val="Char2"/>
    <w:uiPriority w:val="99"/>
    <w:qFormat/>
    <w:rsid w:val="00902CD6"/>
    <w:rPr>
      <w:vertAlign w:val="superscript"/>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1"/>
    <w:uiPriority w:val="99"/>
    <w:qFormat/>
    <w:rsid w:val="00902CD6"/>
    <w:pPr>
      <w:spacing w:after="120"/>
      <w:ind w:left="850" w:hanging="850"/>
    </w:pPr>
    <w:rPr>
      <w:sz w:val="20"/>
      <w:szCs w:val="20"/>
    </w:rPr>
  </w:style>
  <w:style w:type="character" w:customStyle="1" w:styleId="FootnoteTextChar">
    <w:name w:val="Footnote Text Char"/>
    <w:aliases w:val="-E Fußnotentext Char1,Char Char Char Char Char Char Char Char Char Char Char Char Char1,Footnote Char1,Fußnote Char1,Fußnotentext Ursprung Char1,Vēres teksts Char Char Char Char Char Char1,Vēres teksts Char Char Char Char1,ft Char"/>
    <w:basedOn w:val="DefaultParagraphFont"/>
    <w:uiPriority w:val="99"/>
    <w:rsid w:val="00902CD6"/>
    <w:rPr>
      <w:rFonts w:ascii="Times New Roman" w:eastAsia="Times New Roman" w:hAnsi="Times New Roman" w:cs="Times New Roman"/>
      <w:sz w:val="20"/>
      <w:szCs w:val="20"/>
      <w:lang w:val="en-GB" w:eastAsia="zh-CN" w:bidi="ar-SA"/>
    </w:rPr>
  </w:style>
  <w:style w:type="paragraph" w:customStyle="1" w:styleId="ForewordHeading">
    <w:name w:val="Foreword Heading"/>
    <w:basedOn w:val="Normal"/>
    <w:next w:val="BodyText"/>
    <w:rsid w:val="00902CD6"/>
    <w:pPr>
      <w:keepNext/>
      <w:spacing w:before="1200" w:after="720"/>
      <w:jc w:val="center"/>
    </w:pPr>
    <w:rPr>
      <w:b/>
      <w:bCs/>
      <w:caps/>
    </w:rPr>
  </w:style>
  <w:style w:type="paragraph" w:customStyle="1" w:styleId="GlossaryHeading">
    <w:name w:val="Glossary Heading"/>
    <w:basedOn w:val="Normal"/>
    <w:next w:val="BodyText"/>
    <w:rsid w:val="00902CD6"/>
    <w:pPr>
      <w:keepNext/>
      <w:spacing w:before="1200" w:after="720"/>
      <w:jc w:val="center"/>
    </w:pPr>
    <w:rPr>
      <w:b/>
      <w:bCs/>
      <w:caps/>
    </w:rPr>
  </w:style>
  <w:style w:type="paragraph" w:customStyle="1" w:styleId="Graphic">
    <w:name w:val="Graphic"/>
    <w:basedOn w:val="Normal"/>
    <w:next w:val="BodyText"/>
    <w:rsid w:val="00902CD6"/>
    <w:pPr>
      <w:spacing w:after="240"/>
      <w:jc w:val="center"/>
    </w:pPr>
  </w:style>
  <w:style w:type="paragraph" w:customStyle="1" w:styleId="HiddenText">
    <w:name w:val="Hidden Text"/>
    <w:basedOn w:val="BodyText"/>
    <w:rsid w:val="00902CD6"/>
    <w:pPr>
      <w:keepNext/>
      <w:spacing w:after="0"/>
      <w:ind w:left="442" w:firstLine="0"/>
    </w:pPr>
    <w:rPr>
      <w:sz w:val="2"/>
      <w:szCs w:val="2"/>
    </w:rPr>
  </w:style>
  <w:style w:type="paragraph" w:customStyle="1" w:styleId="Highlight">
    <w:name w:val="Highlight"/>
    <w:basedOn w:val="BodyText"/>
    <w:rsid w:val="00902CD6"/>
    <w:pPr>
      <w:ind w:left="442" w:firstLine="0"/>
    </w:pPr>
    <w:rPr>
      <w:i/>
      <w:iCs/>
    </w:rPr>
  </w:style>
  <w:style w:type="paragraph" w:customStyle="1" w:styleId="HighlightHeading">
    <w:name w:val="Highlight Heading"/>
    <w:basedOn w:val="Normal"/>
    <w:next w:val="BodyText"/>
    <w:rsid w:val="00902CD6"/>
    <w:pPr>
      <w:keepNext/>
      <w:spacing w:before="1200" w:after="720"/>
      <w:jc w:val="center"/>
    </w:pPr>
    <w:rPr>
      <w:b/>
      <w:bCs/>
      <w:caps/>
    </w:rPr>
  </w:style>
  <w:style w:type="paragraph" w:styleId="Index1">
    <w:name w:val="index 1"/>
    <w:basedOn w:val="Normal"/>
    <w:next w:val="Normal"/>
    <w:semiHidden/>
    <w:rsid w:val="00902CD6"/>
    <w:pPr>
      <w:ind w:left="220" w:hanging="220"/>
    </w:pPr>
  </w:style>
  <w:style w:type="paragraph" w:styleId="IndexHeading">
    <w:name w:val="index heading"/>
    <w:basedOn w:val="Normal"/>
    <w:next w:val="BodyText"/>
    <w:semiHidden/>
    <w:rsid w:val="00902CD6"/>
    <w:pPr>
      <w:keepNext/>
      <w:spacing w:before="1200" w:after="720"/>
      <w:jc w:val="center"/>
    </w:pPr>
    <w:rPr>
      <w:b/>
      <w:bCs/>
      <w:caps/>
    </w:rPr>
  </w:style>
  <w:style w:type="paragraph" w:customStyle="1" w:styleId="IntroductionHeading">
    <w:name w:val="Introduction Heading"/>
    <w:basedOn w:val="Normal"/>
    <w:next w:val="BodyText"/>
    <w:rsid w:val="00902CD6"/>
    <w:pPr>
      <w:keepNext/>
      <w:spacing w:before="1200" w:after="720"/>
      <w:jc w:val="center"/>
    </w:pPr>
    <w:rPr>
      <w:b/>
      <w:bCs/>
      <w:caps/>
    </w:rPr>
  </w:style>
  <w:style w:type="paragraph" w:styleId="List">
    <w:name w:val="List"/>
    <w:basedOn w:val="Normal"/>
    <w:rsid w:val="00902CD6"/>
    <w:pPr>
      <w:spacing w:after="240"/>
      <w:ind w:left="850" w:hanging="283"/>
    </w:pPr>
  </w:style>
  <w:style w:type="paragraph" w:styleId="List2">
    <w:name w:val="List 2"/>
    <w:basedOn w:val="Normal"/>
    <w:rsid w:val="00902CD6"/>
    <w:pPr>
      <w:spacing w:after="240"/>
      <w:ind w:left="1134" w:hanging="283"/>
    </w:pPr>
  </w:style>
  <w:style w:type="paragraph" w:styleId="List3">
    <w:name w:val="List 3"/>
    <w:basedOn w:val="Normal"/>
    <w:rsid w:val="00902CD6"/>
    <w:pPr>
      <w:spacing w:after="240"/>
      <w:ind w:left="1417" w:hanging="283"/>
    </w:pPr>
  </w:style>
  <w:style w:type="paragraph" w:styleId="List4">
    <w:name w:val="List 4"/>
    <w:basedOn w:val="Normal"/>
    <w:rsid w:val="00902CD6"/>
    <w:pPr>
      <w:spacing w:after="240"/>
      <w:ind w:left="1701" w:hanging="283"/>
    </w:pPr>
  </w:style>
  <w:style w:type="paragraph" w:styleId="List5">
    <w:name w:val="List 5"/>
    <w:basedOn w:val="Normal"/>
    <w:rsid w:val="00902CD6"/>
    <w:pPr>
      <w:spacing w:after="240"/>
      <w:ind w:left="1984" w:hanging="283"/>
    </w:pPr>
  </w:style>
  <w:style w:type="paragraph" w:styleId="ListBullet">
    <w:name w:val="List Bullet"/>
    <w:basedOn w:val="Normal"/>
    <w:rsid w:val="00902CD6"/>
    <w:pPr>
      <w:numPr>
        <w:numId w:val="31"/>
      </w:numPr>
      <w:tabs>
        <w:tab w:val="clear" w:pos="360"/>
        <w:tab w:val="clear" w:pos="1191"/>
        <w:tab w:val="num" w:pos="1259"/>
        <w:tab w:val="clear" w:pos="1531"/>
      </w:tabs>
      <w:spacing w:after="240"/>
      <w:ind w:left="1259" w:hanging="408"/>
    </w:pPr>
  </w:style>
  <w:style w:type="paragraph" w:styleId="ListBullet2">
    <w:name w:val="List Bullet 2"/>
    <w:basedOn w:val="Normal"/>
    <w:rsid w:val="00902CD6"/>
    <w:pPr>
      <w:numPr>
        <w:numId w:val="6"/>
      </w:numPr>
      <w:tabs>
        <w:tab w:val="clear" w:pos="850"/>
        <w:tab w:val="clear" w:pos="1531"/>
      </w:tabs>
      <w:spacing w:after="240"/>
    </w:pPr>
  </w:style>
  <w:style w:type="paragraph" w:styleId="ListBullet3">
    <w:name w:val="List Bullet 3"/>
    <w:basedOn w:val="Normal"/>
    <w:rsid w:val="00902CD6"/>
    <w:pPr>
      <w:numPr>
        <w:numId w:val="7"/>
      </w:numPr>
      <w:tabs>
        <w:tab w:val="clear" w:pos="850"/>
        <w:tab w:val="clear" w:pos="1191"/>
        <w:tab w:val="clear" w:pos="1531"/>
      </w:tabs>
      <w:spacing w:after="240"/>
    </w:pPr>
  </w:style>
  <w:style w:type="paragraph" w:styleId="ListBullet4">
    <w:name w:val="List Bullet 4"/>
    <w:basedOn w:val="Normal"/>
    <w:rsid w:val="00902CD6"/>
    <w:pPr>
      <w:numPr>
        <w:numId w:val="8"/>
      </w:numPr>
      <w:tabs>
        <w:tab w:val="clear" w:pos="850"/>
        <w:tab w:val="clear" w:pos="1191"/>
        <w:tab w:val="clear" w:pos="1531"/>
      </w:tabs>
      <w:spacing w:after="240"/>
    </w:pPr>
  </w:style>
  <w:style w:type="paragraph" w:styleId="ListBullet5">
    <w:name w:val="List Bullet 5"/>
    <w:basedOn w:val="Normal"/>
    <w:rsid w:val="00902CD6"/>
    <w:pPr>
      <w:numPr>
        <w:numId w:val="9"/>
      </w:numPr>
      <w:tabs>
        <w:tab w:val="clear" w:pos="850"/>
        <w:tab w:val="clear" w:pos="1191"/>
        <w:tab w:val="clear" w:pos="1531"/>
      </w:tabs>
      <w:spacing w:after="240"/>
    </w:pPr>
  </w:style>
  <w:style w:type="paragraph" w:styleId="ListContinue">
    <w:name w:val="List Continue"/>
    <w:basedOn w:val="Normal"/>
    <w:rsid w:val="00902CD6"/>
    <w:pPr>
      <w:tabs>
        <w:tab w:val="clear" w:pos="850"/>
        <w:tab w:val="clear" w:pos="1191"/>
        <w:tab w:val="clear" w:pos="1531"/>
      </w:tabs>
      <w:spacing w:after="240"/>
      <w:ind w:left="850"/>
    </w:pPr>
  </w:style>
  <w:style w:type="paragraph" w:styleId="ListContinue2">
    <w:name w:val="List Continue 2"/>
    <w:basedOn w:val="Normal"/>
    <w:rsid w:val="00902CD6"/>
    <w:pPr>
      <w:tabs>
        <w:tab w:val="clear" w:pos="850"/>
        <w:tab w:val="clear" w:pos="1191"/>
        <w:tab w:val="clear" w:pos="1531"/>
      </w:tabs>
      <w:spacing w:after="240"/>
      <w:ind w:left="1191"/>
    </w:pPr>
  </w:style>
  <w:style w:type="paragraph" w:styleId="ListContinue3">
    <w:name w:val="List Continue 3"/>
    <w:basedOn w:val="Normal"/>
    <w:rsid w:val="00902CD6"/>
    <w:pPr>
      <w:tabs>
        <w:tab w:val="clear" w:pos="850"/>
        <w:tab w:val="clear" w:pos="1191"/>
        <w:tab w:val="clear" w:pos="1531"/>
      </w:tabs>
      <w:spacing w:after="240"/>
      <w:ind w:left="1474"/>
    </w:pPr>
  </w:style>
  <w:style w:type="paragraph" w:styleId="ListContinue4">
    <w:name w:val="List Continue 4"/>
    <w:basedOn w:val="Normal"/>
    <w:rsid w:val="00902CD6"/>
    <w:pPr>
      <w:tabs>
        <w:tab w:val="clear" w:pos="850"/>
        <w:tab w:val="clear" w:pos="1191"/>
        <w:tab w:val="clear" w:pos="1531"/>
      </w:tabs>
      <w:spacing w:after="240"/>
      <w:ind w:left="1757"/>
    </w:pPr>
  </w:style>
  <w:style w:type="paragraph" w:styleId="ListContinue5">
    <w:name w:val="List Continue 5"/>
    <w:basedOn w:val="Normal"/>
    <w:rsid w:val="00902CD6"/>
    <w:pPr>
      <w:tabs>
        <w:tab w:val="clear" w:pos="850"/>
        <w:tab w:val="clear" w:pos="1191"/>
        <w:tab w:val="clear" w:pos="1531"/>
      </w:tabs>
      <w:spacing w:after="240"/>
      <w:ind w:left="2041"/>
    </w:pPr>
  </w:style>
  <w:style w:type="paragraph" w:styleId="ListNumber">
    <w:name w:val="List Number"/>
    <w:basedOn w:val="Normal"/>
    <w:rsid w:val="00902CD6"/>
    <w:pPr>
      <w:numPr>
        <w:numId w:val="10"/>
      </w:numPr>
      <w:tabs>
        <w:tab w:val="left" w:pos="1134"/>
        <w:tab w:val="clear" w:pos="1191"/>
        <w:tab w:val="clear" w:pos="1531"/>
      </w:tabs>
      <w:spacing w:after="240"/>
    </w:pPr>
  </w:style>
  <w:style w:type="paragraph" w:styleId="ListNumber2">
    <w:name w:val="List Number 2"/>
    <w:basedOn w:val="Normal"/>
    <w:rsid w:val="00902CD6"/>
    <w:pPr>
      <w:numPr>
        <w:ilvl w:val="1"/>
        <w:numId w:val="10"/>
      </w:numPr>
      <w:tabs>
        <w:tab w:val="clear" w:pos="850"/>
        <w:tab w:val="left" w:pos="1417"/>
        <w:tab w:val="clear" w:pos="1531"/>
      </w:tabs>
      <w:spacing w:after="240"/>
    </w:pPr>
  </w:style>
  <w:style w:type="paragraph" w:styleId="ListNumber3">
    <w:name w:val="List Number 3"/>
    <w:basedOn w:val="Normal"/>
    <w:rsid w:val="00902CD6"/>
    <w:pPr>
      <w:numPr>
        <w:ilvl w:val="2"/>
        <w:numId w:val="10"/>
      </w:numPr>
      <w:tabs>
        <w:tab w:val="clear" w:pos="850"/>
        <w:tab w:val="clear" w:pos="1191"/>
        <w:tab w:val="clear" w:pos="1531"/>
        <w:tab w:val="left" w:pos="1701"/>
      </w:tabs>
      <w:spacing w:after="240"/>
    </w:pPr>
  </w:style>
  <w:style w:type="paragraph" w:styleId="ListNumber4">
    <w:name w:val="List Number 4"/>
    <w:basedOn w:val="Normal"/>
    <w:rsid w:val="00902CD6"/>
    <w:pPr>
      <w:numPr>
        <w:ilvl w:val="3"/>
        <w:numId w:val="10"/>
      </w:numPr>
      <w:tabs>
        <w:tab w:val="clear" w:pos="850"/>
        <w:tab w:val="clear" w:pos="1191"/>
        <w:tab w:val="clear" w:pos="1531"/>
        <w:tab w:val="left" w:pos="1984"/>
      </w:tabs>
      <w:spacing w:after="240"/>
    </w:pPr>
  </w:style>
  <w:style w:type="paragraph" w:styleId="ListNumber5">
    <w:name w:val="List Number 5"/>
    <w:basedOn w:val="Normal"/>
    <w:rsid w:val="00902CD6"/>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rsid w:val="00902CD6"/>
    <w:pPr>
      <w:ind w:firstLine="0"/>
    </w:pPr>
  </w:style>
  <w:style w:type="paragraph" w:customStyle="1" w:styleId="Num-DocParagraph">
    <w:name w:val="Num-Doc Paragraph"/>
    <w:basedOn w:val="BodyText"/>
    <w:rsid w:val="00902CD6"/>
    <w:pPr>
      <w:ind w:firstLine="0"/>
    </w:pPr>
  </w:style>
  <w:style w:type="paragraph" w:customStyle="1" w:styleId="PartHeading">
    <w:name w:val="Part Heading"/>
    <w:basedOn w:val="Normal"/>
    <w:next w:val="BodyText"/>
    <w:rsid w:val="00902CD6"/>
    <w:pPr>
      <w:keepNext/>
      <w:spacing w:before="1200" w:after="720"/>
      <w:jc w:val="center"/>
    </w:pPr>
    <w:rPr>
      <w:b/>
      <w:bCs/>
      <w:caps/>
    </w:rPr>
  </w:style>
  <w:style w:type="paragraph" w:customStyle="1" w:styleId="RowsHeading">
    <w:name w:val="Rows Heading"/>
    <w:basedOn w:val="Normal"/>
    <w:rsid w:val="00902CD6"/>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rsid w:val="00902CD6"/>
    <w:pPr>
      <w:spacing w:after="360"/>
    </w:pPr>
    <w:rPr>
      <w:rFonts w:ascii="Arial" w:hAnsi="Arial" w:cs="Arial"/>
      <w:sz w:val="16"/>
      <w:szCs w:val="18"/>
    </w:rPr>
  </w:style>
  <w:style w:type="paragraph" w:customStyle="1" w:styleId="SubHeading">
    <w:name w:val="SubHeading"/>
    <w:basedOn w:val="BodyText"/>
    <w:rsid w:val="00902CD6"/>
    <w:pPr>
      <w:ind w:left="442" w:firstLine="0"/>
    </w:pPr>
    <w:rPr>
      <w:i/>
      <w:iCs/>
    </w:rPr>
  </w:style>
  <w:style w:type="paragraph" w:customStyle="1" w:styleId="SummaryHeading">
    <w:name w:val="Summary Heading"/>
    <w:basedOn w:val="Normal"/>
    <w:next w:val="BodyText"/>
    <w:rsid w:val="00902CD6"/>
    <w:pPr>
      <w:keepNext/>
      <w:spacing w:before="1200" w:after="720"/>
      <w:jc w:val="center"/>
    </w:pPr>
    <w:rPr>
      <w:b/>
      <w:bCs/>
      <w:caps/>
    </w:rPr>
  </w:style>
  <w:style w:type="paragraph" w:customStyle="1" w:styleId="Table">
    <w:name w:val="Table"/>
    <w:basedOn w:val="Normal"/>
    <w:next w:val="BodyText"/>
    <w:rsid w:val="00902CD6"/>
    <w:pPr>
      <w:spacing w:after="240"/>
      <w:jc w:val="center"/>
    </w:pPr>
  </w:style>
  <w:style w:type="paragraph" w:customStyle="1" w:styleId="TableNote">
    <w:name w:val="Table Note"/>
    <w:basedOn w:val="Normal"/>
    <w:rsid w:val="00902CD6"/>
    <w:pPr>
      <w:spacing w:after="120"/>
      <w:jc w:val="left"/>
    </w:pPr>
    <w:rPr>
      <w:rFonts w:ascii="Arial" w:hAnsi="Arial" w:cs="Arial"/>
      <w:sz w:val="16"/>
      <w:szCs w:val="18"/>
    </w:rPr>
  </w:style>
  <w:style w:type="paragraph" w:customStyle="1" w:styleId="TableofContentsHeading">
    <w:name w:val="Table of Contents Heading"/>
    <w:basedOn w:val="Normal"/>
    <w:next w:val="BodyText"/>
    <w:rsid w:val="00902CD6"/>
    <w:pPr>
      <w:keepNext/>
      <w:spacing w:before="1200" w:after="720"/>
      <w:jc w:val="center"/>
    </w:pPr>
    <w:rPr>
      <w:b/>
      <w:bCs/>
      <w:caps/>
    </w:rPr>
  </w:style>
  <w:style w:type="paragraph" w:customStyle="1" w:styleId="TableSub-title">
    <w:name w:val="Table Sub-title"/>
    <w:basedOn w:val="Normal"/>
    <w:rsid w:val="00902CD6"/>
    <w:pPr>
      <w:keepNext/>
      <w:spacing w:after="240"/>
      <w:jc w:val="center"/>
    </w:pPr>
    <w:rPr>
      <w:rFonts w:ascii="Arial" w:hAnsi="Arial" w:cs="Arial"/>
      <w:sz w:val="18"/>
    </w:rPr>
  </w:style>
  <w:style w:type="paragraph" w:customStyle="1" w:styleId="TableTitle">
    <w:name w:val="Table Title"/>
    <w:basedOn w:val="Normal"/>
    <w:rsid w:val="00902CD6"/>
    <w:pPr>
      <w:keepNext/>
      <w:spacing w:after="240"/>
      <w:jc w:val="center"/>
    </w:pPr>
    <w:rPr>
      <w:rFonts w:ascii="Arial" w:hAnsi="Arial" w:cs="Arial"/>
      <w:b/>
      <w:bCs/>
      <w:sz w:val="18"/>
    </w:rPr>
  </w:style>
  <w:style w:type="paragraph" w:customStyle="1" w:styleId="TextBox">
    <w:name w:val="Text Box"/>
    <w:basedOn w:val="BodyText"/>
    <w:rsid w:val="00902CD6"/>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902CD6"/>
    <w:pPr>
      <w:jc w:val="center"/>
    </w:pPr>
    <w:rPr>
      <w:b/>
      <w:bCs/>
    </w:rPr>
  </w:style>
  <w:style w:type="paragraph" w:styleId="TOC1">
    <w:name w:val="toc 1"/>
    <w:basedOn w:val="Normal"/>
    <w:next w:val="Normal"/>
    <w:uiPriority w:val="39"/>
    <w:qFormat/>
    <w:rsid w:val="00902CD6"/>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rsid w:val="00902CD6"/>
    <w:pPr>
      <w:tabs>
        <w:tab w:val="clear" w:pos="850"/>
        <w:tab w:val="clear" w:pos="1191"/>
        <w:tab w:val="clear" w:pos="1531"/>
        <w:tab w:val="right" w:leader="dot" w:pos="9468"/>
      </w:tabs>
      <w:ind w:left="198"/>
    </w:pPr>
  </w:style>
  <w:style w:type="paragraph" w:styleId="TOC3">
    <w:name w:val="toc 3"/>
    <w:basedOn w:val="Normal"/>
    <w:next w:val="Normal"/>
    <w:uiPriority w:val="39"/>
    <w:qFormat/>
    <w:rsid w:val="00902CD6"/>
    <w:pPr>
      <w:tabs>
        <w:tab w:val="clear" w:pos="850"/>
        <w:tab w:val="clear" w:pos="1191"/>
        <w:tab w:val="clear" w:pos="1531"/>
        <w:tab w:val="right" w:leader="dot" w:pos="9468"/>
      </w:tabs>
      <w:ind w:left="397"/>
    </w:pPr>
  </w:style>
  <w:style w:type="paragraph" w:styleId="TOC4">
    <w:name w:val="toc 4"/>
    <w:basedOn w:val="Normal"/>
    <w:next w:val="Normal"/>
    <w:qFormat/>
    <w:rsid w:val="00902CD6"/>
    <w:pPr>
      <w:tabs>
        <w:tab w:val="clear" w:pos="850"/>
        <w:tab w:val="clear" w:pos="1191"/>
        <w:tab w:val="clear" w:pos="1531"/>
        <w:tab w:val="right" w:leader="dot" w:pos="9468"/>
      </w:tabs>
      <w:ind w:left="595"/>
    </w:pPr>
    <w:rPr>
      <w:noProof/>
    </w:rPr>
  </w:style>
  <w:style w:type="paragraph" w:styleId="TOC5">
    <w:name w:val="toc 5"/>
    <w:basedOn w:val="Normal"/>
    <w:next w:val="Normal"/>
    <w:qFormat/>
    <w:rsid w:val="00902CD6"/>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rsid w:val="00902CD6"/>
    <w:pPr>
      <w:keepNext/>
      <w:spacing w:before="1200" w:after="720"/>
      <w:jc w:val="center"/>
    </w:pPr>
    <w:rPr>
      <w:b/>
      <w:caps/>
      <w:lang w:val="en-US"/>
    </w:rPr>
  </w:style>
  <w:style w:type="paragraph" w:styleId="BlockText">
    <w:name w:val="Block Text"/>
    <w:basedOn w:val="Normal"/>
    <w:rsid w:val="00902CD6"/>
    <w:pPr>
      <w:spacing w:after="120"/>
      <w:ind w:left="1440" w:right="1440"/>
    </w:pPr>
  </w:style>
  <w:style w:type="paragraph" w:styleId="TOC9">
    <w:name w:val="toc 9"/>
    <w:basedOn w:val="Normal"/>
    <w:next w:val="Normal"/>
    <w:qFormat/>
    <w:rsid w:val="00902CD6"/>
    <w:pPr>
      <w:tabs>
        <w:tab w:val="clear" w:pos="850"/>
        <w:tab w:val="clear" w:pos="1191"/>
        <w:tab w:val="clear" w:pos="1531"/>
      </w:tabs>
      <w:ind w:left="1760"/>
    </w:pPr>
  </w:style>
  <w:style w:type="paragraph" w:customStyle="1" w:styleId="Abstract">
    <w:name w:val="Abstract"/>
    <w:basedOn w:val="BodyText"/>
    <w:rsid w:val="00902CD6"/>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902CD6"/>
    <w:pPr>
      <w:ind w:firstLine="0"/>
    </w:pPr>
    <w:rPr>
      <w:lang w:val="en-US"/>
    </w:rPr>
  </w:style>
  <w:style w:type="paragraph" w:customStyle="1" w:styleId="Chart">
    <w:name w:val="Chart"/>
    <w:basedOn w:val="Normal"/>
    <w:next w:val="BodyText"/>
    <w:rsid w:val="00902CD6"/>
    <w:pPr>
      <w:spacing w:after="240"/>
      <w:jc w:val="center"/>
    </w:pPr>
    <w:rPr>
      <w:lang w:val="en-US"/>
    </w:rPr>
  </w:style>
  <w:style w:type="paragraph" w:customStyle="1" w:styleId="ChartSub-title">
    <w:name w:val="Chart Sub-title"/>
    <w:basedOn w:val="Normal"/>
    <w:rsid w:val="00902CD6"/>
    <w:pPr>
      <w:keepNext/>
      <w:spacing w:after="120"/>
      <w:jc w:val="center"/>
    </w:pPr>
    <w:rPr>
      <w:rFonts w:ascii="Arial" w:hAnsi="Arial" w:cs="Arial"/>
      <w:sz w:val="18"/>
      <w:lang w:val="en-US"/>
    </w:rPr>
  </w:style>
  <w:style w:type="paragraph" w:customStyle="1" w:styleId="ChartTitle">
    <w:name w:val="Chart Title"/>
    <w:basedOn w:val="Normal"/>
    <w:next w:val="ChartSub-title"/>
    <w:rsid w:val="00902CD6"/>
    <w:pPr>
      <w:keepNext/>
      <w:spacing w:after="240"/>
      <w:jc w:val="center"/>
    </w:pPr>
    <w:rPr>
      <w:rFonts w:ascii="Arial" w:hAnsi="Arial" w:cs="Arial"/>
      <w:b/>
      <w:sz w:val="18"/>
      <w:lang w:val="en-US"/>
    </w:rPr>
  </w:style>
  <w:style w:type="paragraph" w:customStyle="1" w:styleId="ChartNote">
    <w:name w:val="Chart Note"/>
    <w:basedOn w:val="Normal"/>
    <w:rsid w:val="00902CD6"/>
    <w:pPr>
      <w:spacing w:after="120"/>
      <w:jc w:val="left"/>
    </w:pPr>
    <w:rPr>
      <w:rFonts w:ascii="Arial" w:hAnsi="Arial" w:cs="Arial"/>
      <w:sz w:val="16"/>
      <w:lang w:val="en-US"/>
    </w:rPr>
  </w:style>
  <w:style w:type="paragraph" w:customStyle="1" w:styleId="BoxHeading2">
    <w:name w:val="Box Heading 2"/>
    <w:basedOn w:val="Normal"/>
    <w:next w:val="BoxBodyText"/>
    <w:rsid w:val="00902CD6"/>
    <w:pPr>
      <w:spacing w:before="240" w:after="240"/>
      <w:jc w:val="left"/>
    </w:pPr>
    <w:rPr>
      <w:rFonts w:ascii="Arial" w:hAnsi="Arial" w:cs="Arial"/>
      <w:b/>
      <w:sz w:val="18"/>
      <w:lang w:val="en-US"/>
    </w:rPr>
  </w:style>
  <w:style w:type="paragraph" w:customStyle="1" w:styleId="BoxHeading3">
    <w:name w:val="Box Heading 3"/>
    <w:basedOn w:val="Normal"/>
    <w:next w:val="BoxBodyText"/>
    <w:rsid w:val="00902CD6"/>
    <w:pPr>
      <w:spacing w:before="240" w:after="240"/>
      <w:jc w:val="left"/>
    </w:pPr>
    <w:rPr>
      <w:rFonts w:ascii="Arial" w:hAnsi="Arial" w:cs="Arial"/>
      <w:b/>
      <w:i/>
      <w:sz w:val="18"/>
      <w:lang w:val="en-US"/>
    </w:rPr>
  </w:style>
  <w:style w:type="paragraph" w:customStyle="1" w:styleId="BoxNote">
    <w:name w:val="Box Note"/>
    <w:basedOn w:val="Normal"/>
    <w:rsid w:val="00902CD6"/>
    <w:pPr>
      <w:tabs>
        <w:tab w:val="left" w:pos="340"/>
        <w:tab w:val="clear" w:pos="850"/>
        <w:tab w:val="clear" w:pos="1191"/>
        <w:tab w:val="clear" w:pos="1531"/>
      </w:tabs>
      <w:spacing w:after="120"/>
      <w:jc w:val="left"/>
    </w:pPr>
    <w:rPr>
      <w:rFonts w:ascii="Arial" w:hAnsi="Arial" w:cs="Arial"/>
      <w:sz w:val="18"/>
      <w:lang w:val="en-US"/>
    </w:rPr>
  </w:style>
  <w:style w:type="paragraph" w:customStyle="1" w:styleId="ListBulletBox">
    <w:name w:val="List Bullet Box"/>
    <w:basedOn w:val="Normal"/>
    <w:rsid w:val="00902CD6"/>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rsid w:val="00902CD6"/>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rsid w:val="00902CD6"/>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rsid w:val="00902CD6"/>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rsid w:val="00902CD6"/>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rsid w:val="00902CD6"/>
    <w:pPr>
      <w:numPr>
        <w:ilvl w:val="2"/>
        <w:numId w:val="14"/>
      </w:numPr>
      <w:tabs>
        <w:tab w:val="clear" w:pos="850"/>
        <w:tab w:val="clear" w:pos="1191"/>
        <w:tab w:val="left" w:pos="1474"/>
        <w:tab w:val="clear" w:pos="1531"/>
        <w:tab w:val="clear" w:pos="2574"/>
      </w:tabs>
      <w:spacing w:after="240"/>
      <w:ind w:left="1474"/>
    </w:pPr>
    <w:rPr>
      <w:rFonts w:ascii="Arial" w:hAnsi="Arial" w:cs="Arial"/>
      <w:sz w:val="18"/>
      <w:lang w:val="en-US"/>
    </w:rPr>
  </w:style>
  <w:style w:type="paragraph" w:customStyle="1" w:styleId="ListContinueBox">
    <w:name w:val="List Continue Box"/>
    <w:basedOn w:val="Normal"/>
    <w:rsid w:val="00902CD6"/>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rsid w:val="00902CD6"/>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rsid w:val="00902CD6"/>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rsid w:val="00902CD6"/>
    <w:pPr>
      <w:spacing w:after="360"/>
    </w:pPr>
    <w:rPr>
      <w:rFonts w:ascii="Arial" w:hAnsi="Arial" w:cs="Arial"/>
      <w:sz w:val="16"/>
      <w:lang w:val="en-US"/>
    </w:rPr>
  </w:style>
  <w:style w:type="character" w:customStyle="1" w:styleId="Cote">
    <w:name w:val="Cote"/>
    <w:rsid w:val="00902CD6"/>
    <w:rPr>
      <w:caps/>
      <w:smallCaps w:val="0"/>
      <w:lang w:val="en-US"/>
    </w:rPr>
  </w:style>
  <w:style w:type="numbering" w:customStyle="1" w:styleId="NumberedNote">
    <w:name w:val="Numbered Note"/>
    <w:basedOn w:val="NoList"/>
    <w:rsid w:val="00902CD6"/>
    <w:pPr>
      <w:numPr>
        <w:numId w:val="1"/>
      </w:numPr>
    </w:pPr>
  </w:style>
  <w:style w:type="numbering" w:customStyle="1" w:styleId="BulletedNote">
    <w:name w:val="Bulleted Note"/>
    <w:basedOn w:val="NoList"/>
    <w:rsid w:val="00902CD6"/>
    <w:pPr>
      <w:numPr>
        <w:numId w:val="2"/>
      </w:numPr>
    </w:pPr>
  </w:style>
  <w:style w:type="numbering" w:customStyle="1" w:styleId="NumericNote">
    <w:name w:val="Numeric Note"/>
    <w:basedOn w:val="NoList"/>
    <w:rsid w:val="00902CD6"/>
    <w:pPr>
      <w:numPr>
        <w:numId w:val="3"/>
      </w:numPr>
    </w:pPr>
  </w:style>
  <w:style w:type="numbering" w:customStyle="1" w:styleId="AlphaNote">
    <w:name w:val="Alpha Note"/>
    <w:basedOn w:val="NoList"/>
    <w:rsid w:val="00902CD6"/>
    <w:pPr>
      <w:numPr>
        <w:numId w:val="4"/>
      </w:numPr>
    </w:pPr>
  </w:style>
  <w:style w:type="paragraph" w:customStyle="1" w:styleId="AcknowledgementHeading">
    <w:name w:val="Acknowledgement Heading"/>
    <w:basedOn w:val="Normal"/>
    <w:next w:val="BodyText"/>
    <w:rsid w:val="00902CD6"/>
    <w:pPr>
      <w:keepNext/>
      <w:spacing w:before="1200" w:after="720"/>
      <w:jc w:val="center"/>
    </w:pPr>
    <w:rPr>
      <w:b/>
      <w:caps/>
      <w:lang w:val="en-US"/>
    </w:rPr>
  </w:style>
  <w:style w:type="paragraph" w:styleId="EnvelopeAddress">
    <w:name w:val="envelope address"/>
    <w:basedOn w:val="Normal"/>
    <w:rsid w:val="00902CD6"/>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902CD6"/>
    <w:rPr>
      <w:rFonts w:ascii="Arial" w:hAnsi="Arial" w:cs="Arial"/>
      <w:sz w:val="20"/>
      <w:szCs w:val="20"/>
    </w:rPr>
  </w:style>
  <w:style w:type="paragraph" w:styleId="HTMLAddress">
    <w:name w:val="HTML Address"/>
    <w:basedOn w:val="Normal"/>
    <w:link w:val="HTMLAddressChar"/>
    <w:rsid w:val="00902CD6"/>
    <w:rPr>
      <w:i/>
      <w:iCs/>
    </w:rPr>
  </w:style>
  <w:style w:type="character" w:customStyle="1" w:styleId="HTMLAddressChar">
    <w:name w:val="HTML Address Char"/>
    <w:basedOn w:val="DefaultParagraphFont"/>
    <w:link w:val="HTMLAddress"/>
    <w:rsid w:val="00902CD6"/>
    <w:rPr>
      <w:rFonts w:ascii="Times New Roman" w:eastAsia="Times New Roman" w:hAnsi="Times New Roman" w:cs="Times New Roman"/>
      <w:i/>
      <w:iCs/>
      <w:lang w:val="en-GB" w:eastAsia="zh-CN" w:bidi="ar-SA"/>
    </w:rPr>
  </w:style>
  <w:style w:type="paragraph" w:styleId="CommentText">
    <w:name w:val="annotation text"/>
    <w:basedOn w:val="Normal"/>
    <w:link w:val="CommentTextChar"/>
    <w:semiHidden/>
    <w:rsid w:val="00902CD6"/>
    <w:rPr>
      <w:sz w:val="20"/>
      <w:szCs w:val="20"/>
    </w:rPr>
  </w:style>
  <w:style w:type="character" w:customStyle="1" w:styleId="CommentTextChar">
    <w:name w:val="Comment Text Char"/>
    <w:basedOn w:val="DefaultParagraphFont"/>
    <w:link w:val="CommentText"/>
    <w:semiHidden/>
    <w:rsid w:val="00902CD6"/>
    <w:rPr>
      <w:rFonts w:ascii="Times New Roman" w:eastAsia="Times New Roman" w:hAnsi="Times New Roman" w:cs="Times New Roman"/>
      <w:sz w:val="20"/>
      <w:szCs w:val="20"/>
      <w:lang w:val="en-GB" w:eastAsia="zh-CN" w:bidi="ar-SA"/>
    </w:rPr>
  </w:style>
  <w:style w:type="paragraph" w:styleId="BodyText2">
    <w:name w:val="Body Text 2"/>
    <w:basedOn w:val="Normal"/>
    <w:link w:val="BodyText2Char"/>
    <w:rsid w:val="00902CD6"/>
    <w:pPr>
      <w:spacing w:after="120" w:line="480" w:lineRule="auto"/>
    </w:pPr>
  </w:style>
  <w:style w:type="character" w:customStyle="1" w:styleId="BodyText2Char">
    <w:name w:val="Body Text 2 Char"/>
    <w:basedOn w:val="DefaultParagraphFont"/>
    <w:link w:val="BodyText2"/>
    <w:rsid w:val="00902CD6"/>
    <w:rPr>
      <w:rFonts w:ascii="Times New Roman" w:eastAsia="Times New Roman" w:hAnsi="Times New Roman" w:cs="Times New Roman"/>
      <w:lang w:val="en-GB" w:eastAsia="zh-CN" w:bidi="ar-SA"/>
    </w:rPr>
  </w:style>
  <w:style w:type="paragraph" w:styleId="BodyText3">
    <w:name w:val="Body Text 3"/>
    <w:basedOn w:val="Normal"/>
    <w:link w:val="BodyText3Char"/>
    <w:rsid w:val="00902CD6"/>
    <w:pPr>
      <w:spacing w:after="120"/>
    </w:pPr>
    <w:rPr>
      <w:sz w:val="16"/>
      <w:szCs w:val="16"/>
    </w:rPr>
  </w:style>
  <w:style w:type="character" w:customStyle="1" w:styleId="BodyText3Char">
    <w:name w:val="Body Text 3 Char"/>
    <w:basedOn w:val="DefaultParagraphFont"/>
    <w:link w:val="BodyText3"/>
    <w:rsid w:val="00902CD6"/>
    <w:rPr>
      <w:rFonts w:ascii="Times New Roman" w:eastAsia="Times New Roman" w:hAnsi="Times New Roman" w:cs="Times New Roman"/>
      <w:sz w:val="16"/>
      <w:szCs w:val="16"/>
      <w:lang w:val="en-GB" w:eastAsia="zh-CN" w:bidi="ar-SA"/>
    </w:rPr>
  </w:style>
  <w:style w:type="paragraph" w:styleId="Date">
    <w:name w:val="Date"/>
    <w:basedOn w:val="Normal"/>
    <w:next w:val="Normal"/>
    <w:link w:val="DateChar"/>
    <w:rsid w:val="00902CD6"/>
  </w:style>
  <w:style w:type="character" w:customStyle="1" w:styleId="DateChar">
    <w:name w:val="Date Char"/>
    <w:basedOn w:val="DefaultParagraphFont"/>
    <w:link w:val="Date"/>
    <w:rsid w:val="00902CD6"/>
    <w:rPr>
      <w:rFonts w:ascii="Times New Roman" w:eastAsia="Times New Roman" w:hAnsi="Times New Roman" w:cs="Times New Roman"/>
      <w:lang w:val="en-GB" w:eastAsia="zh-CN" w:bidi="ar-SA"/>
    </w:rPr>
  </w:style>
  <w:style w:type="paragraph" w:styleId="Header">
    <w:name w:val="header"/>
    <w:basedOn w:val="Normal"/>
    <w:link w:val="HeaderChar"/>
    <w:uiPriority w:val="99"/>
    <w:rsid w:val="00902CD6"/>
    <w:pPr>
      <w:tabs>
        <w:tab w:val="clear" w:pos="850"/>
        <w:tab w:val="clear" w:pos="1191"/>
        <w:tab w:val="clear" w:pos="1531"/>
        <w:tab w:val="center" w:pos="4536"/>
        <w:tab w:val="right" w:pos="9072"/>
      </w:tabs>
    </w:pPr>
  </w:style>
  <w:style w:type="character" w:customStyle="1" w:styleId="HeaderChar">
    <w:name w:val="Header Char"/>
    <w:basedOn w:val="DefaultParagraphFont"/>
    <w:link w:val="Header"/>
    <w:uiPriority w:val="99"/>
    <w:rsid w:val="00902CD6"/>
    <w:rPr>
      <w:rFonts w:ascii="Times New Roman" w:eastAsia="Times New Roman" w:hAnsi="Times New Roman" w:cs="Times New Roman"/>
      <w:lang w:val="en-GB" w:eastAsia="zh-CN" w:bidi="ar-SA"/>
    </w:rPr>
  </w:style>
  <w:style w:type="paragraph" w:styleId="MessageHeader">
    <w:name w:val="Message Header"/>
    <w:basedOn w:val="Normal"/>
    <w:link w:val="MessageHeaderChar"/>
    <w:rsid w:val="00902C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902CD6"/>
    <w:rPr>
      <w:rFonts w:ascii="Arial" w:eastAsia="Times New Roman" w:hAnsi="Arial" w:cs="Arial"/>
      <w:sz w:val="24"/>
      <w:szCs w:val="24"/>
      <w:shd w:val="pct20" w:color="auto" w:fill="auto"/>
      <w:lang w:val="en-GB" w:eastAsia="zh-CN" w:bidi="ar-SA"/>
    </w:rPr>
  </w:style>
  <w:style w:type="paragraph" w:styleId="DocumentMap">
    <w:name w:val="Document Map"/>
    <w:basedOn w:val="Normal"/>
    <w:link w:val="DocumentMapChar"/>
    <w:semiHidden/>
    <w:rsid w:val="00902CD6"/>
    <w:pPr>
      <w:shd w:val="clear" w:color="auto" w:fill="000080"/>
    </w:pPr>
    <w:rPr>
      <w:rFonts w:ascii="Tahoma" w:hAnsi="Tahoma" w:cs="Tahoma"/>
    </w:rPr>
  </w:style>
  <w:style w:type="character" w:customStyle="1" w:styleId="DocumentMapChar">
    <w:name w:val="Document Map Char"/>
    <w:basedOn w:val="DefaultParagraphFont"/>
    <w:link w:val="DocumentMap"/>
    <w:semiHidden/>
    <w:rsid w:val="00902CD6"/>
    <w:rPr>
      <w:rFonts w:ascii="Tahoma" w:eastAsia="Times New Roman" w:hAnsi="Tahoma" w:cs="Tahoma"/>
      <w:shd w:val="clear" w:color="auto" w:fill="000080"/>
      <w:lang w:val="en-GB" w:eastAsia="zh-CN" w:bidi="ar-SA"/>
    </w:rPr>
  </w:style>
  <w:style w:type="paragraph" w:styleId="Closing">
    <w:name w:val="Closing"/>
    <w:basedOn w:val="Normal"/>
    <w:link w:val="ClosingChar"/>
    <w:rsid w:val="00902CD6"/>
    <w:pPr>
      <w:ind w:left="4252"/>
    </w:pPr>
  </w:style>
  <w:style w:type="character" w:customStyle="1" w:styleId="ClosingChar">
    <w:name w:val="Closing Char"/>
    <w:basedOn w:val="DefaultParagraphFont"/>
    <w:link w:val="Closing"/>
    <w:rsid w:val="00902CD6"/>
    <w:rPr>
      <w:rFonts w:ascii="Times New Roman" w:eastAsia="Times New Roman" w:hAnsi="Times New Roman" w:cs="Times New Roman"/>
      <w:lang w:val="en-GB" w:eastAsia="zh-CN" w:bidi="ar-SA"/>
    </w:rPr>
  </w:style>
  <w:style w:type="paragraph" w:styleId="Index2">
    <w:name w:val="index 2"/>
    <w:basedOn w:val="Normal"/>
    <w:next w:val="Normal"/>
    <w:semiHidden/>
    <w:rsid w:val="00902CD6"/>
    <w:pPr>
      <w:tabs>
        <w:tab w:val="clear" w:pos="850"/>
        <w:tab w:val="clear" w:pos="1191"/>
        <w:tab w:val="clear" w:pos="1531"/>
      </w:tabs>
      <w:ind w:left="440" w:hanging="220"/>
    </w:pPr>
  </w:style>
  <w:style w:type="paragraph" w:styleId="Index3">
    <w:name w:val="index 3"/>
    <w:basedOn w:val="Normal"/>
    <w:next w:val="Normal"/>
    <w:semiHidden/>
    <w:rsid w:val="00902CD6"/>
    <w:pPr>
      <w:tabs>
        <w:tab w:val="clear" w:pos="850"/>
        <w:tab w:val="clear" w:pos="1191"/>
        <w:tab w:val="clear" w:pos="1531"/>
      </w:tabs>
      <w:ind w:left="660" w:hanging="220"/>
    </w:pPr>
  </w:style>
  <w:style w:type="paragraph" w:styleId="Index4">
    <w:name w:val="index 4"/>
    <w:basedOn w:val="Normal"/>
    <w:next w:val="Normal"/>
    <w:semiHidden/>
    <w:rsid w:val="00902CD6"/>
    <w:pPr>
      <w:tabs>
        <w:tab w:val="clear" w:pos="850"/>
        <w:tab w:val="clear" w:pos="1191"/>
        <w:tab w:val="clear" w:pos="1531"/>
      </w:tabs>
      <w:ind w:left="880" w:hanging="220"/>
    </w:pPr>
  </w:style>
  <w:style w:type="paragraph" w:styleId="Index5">
    <w:name w:val="index 5"/>
    <w:basedOn w:val="Normal"/>
    <w:next w:val="Normal"/>
    <w:semiHidden/>
    <w:rsid w:val="00902CD6"/>
    <w:pPr>
      <w:tabs>
        <w:tab w:val="clear" w:pos="850"/>
        <w:tab w:val="clear" w:pos="1191"/>
        <w:tab w:val="clear" w:pos="1531"/>
      </w:tabs>
      <w:ind w:left="1100" w:hanging="220"/>
    </w:pPr>
  </w:style>
  <w:style w:type="paragraph" w:styleId="Index6">
    <w:name w:val="index 6"/>
    <w:basedOn w:val="Normal"/>
    <w:next w:val="Normal"/>
    <w:semiHidden/>
    <w:rsid w:val="00902CD6"/>
    <w:pPr>
      <w:tabs>
        <w:tab w:val="clear" w:pos="850"/>
        <w:tab w:val="clear" w:pos="1191"/>
        <w:tab w:val="clear" w:pos="1531"/>
      </w:tabs>
      <w:ind w:left="1320" w:hanging="220"/>
    </w:pPr>
  </w:style>
  <w:style w:type="paragraph" w:styleId="Index7">
    <w:name w:val="index 7"/>
    <w:basedOn w:val="Normal"/>
    <w:next w:val="Normal"/>
    <w:semiHidden/>
    <w:rsid w:val="00902CD6"/>
    <w:pPr>
      <w:tabs>
        <w:tab w:val="clear" w:pos="850"/>
        <w:tab w:val="clear" w:pos="1191"/>
        <w:tab w:val="clear" w:pos="1531"/>
      </w:tabs>
      <w:ind w:left="1540" w:hanging="220"/>
    </w:pPr>
  </w:style>
  <w:style w:type="paragraph" w:styleId="Index8">
    <w:name w:val="index 8"/>
    <w:basedOn w:val="Normal"/>
    <w:next w:val="Normal"/>
    <w:semiHidden/>
    <w:rsid w:val="00902CD6"/>
    <w:pPr>
      <w:tabs>
        <w:tab w:val="clear" w:pos="850"/>
        <w:tab w:val="clear" w:pos="1191"/>
        <w:tab w:val="clear" w:pos="1531"/>
      </w:tabs>
      <w:ind w:left="1760" w:hanging="220"/>
    </w:pPr>
  </w:style>
  <w:style w:type="paragraph" w:styleId="Index9">
    <w:name w:val="index 9"/>
    <w:basedOn w:val="Normal"/>
    <w:next w:val="Normal"/>
    <w:semiHidden/>
    <w:rsid w:val="00902CD6"/>
    <w:pPr>
      <w:tabs>
        <w:tab w:val="clear" w:pos="850"/>
        <w:tab w:val="clear" w:pos="1191"/>
        <w:tab w:val="clear" w:pos="1531"/>
      </w:tabs>
      <w:ind w:left="1980" w:hanging="220"/>
    </w:pPr>
  </w:style>
  <w:style w:type="paragraph" w:styleId="Caption">
    <w:name w:val="caption"/>
    <w:basedOn w:val="Normal"/>
    <w:next w:val="Normal"/>
    <w:uiPriority w:val="35"/>
    <w:qFormat/>
    <w:rsid w:val="00902CD6"/>
    <w:pPr>
      <w:spacing w:before="120" w:after="120"/>
    </w:pPr>
    <w:rPr>
      <w:b/>
      <w:bCs/>
      <w:sz w:val="20"/>
      <w:szCs w:val="20"/>
    </w:rPr>
  </w:style>
  <w:style w:type="paragraph" w:styleId="NormalWeb">
    <w:name w:val="Normal (Web)"/>
    <w:basedOn w:val="Normal"/>
    <w:uiPriority w:val="99"/>
    <w:rsid w:val="00902CD6"/>
    <w:rPr>
      <w:sz w:val="24"/>
      <w:szCs w:val="24"/>
    </w:rPr>
  </w:style>
  <w:style w:type="paragraph" w:styleId="CommentSubject">
    <w:name w:val="annotation subject"/>
    <w:basedOn w:val="CommentText"/>
    <w:next w:val="CommentText"/>
    <w:link w:val="CommentSubjectChar"/>
    <w:semiHidden/>
    <w:rsid w:val="00902CD6"/>
    <w:rPr>
      <w:b/>
      <w:bCs/>
    </w:rPr>
  </w:style>
  <w:style w:type="character" w:customStyle="1" w:styleId="CommentSubjectChar">
    <w:name w:val="Comment Subject Char"/>
    <w:basedOn w:val="CommentTextChar"/>
    <w:link w:val="CommentSubject"/>
    <w:semiHidden/>
    <w:rsid w:val="00902CD6"/>
    <w:rPr>
      <w:rFonts w:ascii="Times New Roman" w:eastAsia="Times New Roman" w:hAnsi="Times New Roman" w:cs="Times New Roman"/>
      <w:b/>
      <w:bCs/>
      <w:sz w:val="20"/>
      <w:szCs w:val="20"/>
      <w:lang w:val="en-GB" w:eastAsia="zh-CN" w:bidi="ar-SA"/>
    </w:rPr>
  </w:style>
  <w:style w:type="paragraph" w:styleId="Footer">
    <w:name w:val="footer"/>
    <w:basedOn w:val="Normal"/>
    <w:link w:val="FooterChar"/>
    <w:uiPriority w:val="99"/>
    <w:rsid w:val="00902CD6"/>
    <w:pPr>
      <w:tabs>
        <w:tab w:val="clear" w:pos="850"/>
        <w:tab w:val="clear" w:pos="1191"/>
        <w:tab w:val="clear" w:pos="1531"/>
        <w:tab w:val="center" w:pos="4536"/>
        <w:tab w:val="right" w:pos="9072"/>
      </w:tabs>
    </w:pPr>
  </w:style>
  <w:style w:type="character" w:customStyle="1" w:styleId="FooterChar">
    <w:name w:val="Footer Char"/>
    <w:basedOn w:val="DefaultParagraphFont"/>
    <w:link w:val="Footer"/>
    <w:uiPriority w:val="99"/>
    <w:rsid w:val="00902CD6"/>
    <w:rPr>
      <w:rFonts w:ascii="Times New Roman" w:eastAsia="Times New Roman" w:hAnsi="Times New Roman" w:cs="Times New Roman"/>
      <w:lang w:val="en-GB" w:eastAsia="zh-CN" w:bidi="ar-SA"/>
    </w:rPr>
  </w:style>
  <w:style w:type="paragraph" w:styleId="HTMLPreformatted">
    <w:name w:val="HTML Preformatted"/>
    <w:basedOn w:val="Normal"/>
    <w:link w:val="HTMLPreformattedChar"/>
    <w:rsid w:val="00902CD6"/>
    <w:rPr>
      <w:rFonts w:ascii="Courier New" w:hAnsi="Courier New" w:cs="Courier New"/>
      <w:sz w:val="20"/>
      <w:szCs w:val="20"/>
    </w:rPr>
  </w:style>
  <w:style w:type="character" w:customStyle="1" w:styleId="HTMLPreformattedChar">
    <w:name w:val="HTML Preformatted Char"/>
    <w:basedOn w:val="DefaultParagraphFont"/>
    <w:link w:val="HTMLPreformatted"/>
    <w:rsid w:val="00902CD6"/>
    <w:rPr>
      <w:rFonts w:ascii="Courier New" w:eastAsia="Times New Roman" w:hAnsi="Courier New" w:cs="Courier New"/>
      <w:sz w:val="20"/>
      <w:szCs w:val="20"/>
      <w:lang w:val="en-GB" w:eastAsia="zh-CN" w:bidi="ar-SA"/>
    </w:rPr>
  </w:style>
  <w:style w:type="paragraph" w:styleId="BodyTextFirstIndent">
    <w:name w:val="Body Text First Indent"/>
    <w:basedOn w:val="BodyText"/>
    <w:link w:val="BodyTextFirstIndentChar"/>
    <w:rsid w:val="00902CD6"/>
    <w:pPr>
      <w:spacing w:after="120"/>
      <w:ind w:firstLine="210"/>
    </w:pPr>
  </w:style>
  <w:style w:type="character" w:customStyle="1" w:styleId="BodyTextFirstIndentChar">
    <w:name w:val="Body Text First Indent Char"/>
    <w:basedOn w:val="BodyTextChar"/>
    <w:link w:val="BodyTextFirstIndent"/>
    <w:rsid w:val="00902CD6"/>
    <w:rPr>
      <w:rFonts w:ascii="Times New Roman" w:eastAsia="Times New Roman" w:hAnsi="Times New Roman" w:cs="Times New Roman"/>
      <w:lang w:val="en-GB" w:eastAsia="zh-CN" w:bidi="ar-SA"/>
    </w:rPr>
  </w:style>
  <w:style w:type="paragraph" w:styleId="BodyTextIndent">
    <w:name w:val="Body Text Indent"/>
    <w:basedOn w:val="Normal"/>
    <w:link w:val="BodyTextIndentChar"/>
    <w:rsid w:val="00902CD6"/>
    <w:pPr>
      <w:spacing w:after="240"/>
      <w:ind w:left="442"/>
    </w:pPr>
  </w:style>
  <w:style w:type="character" w:customStyle="1" w:styleId="BodyTextIndentChar">
    <w:name w:val="Body Text Indent Char"/>
    <w:basedOn w:val="DefaultParagraphFont"/>
    <w:link w:val="BodyTextIndent"/>
    <w:rsid w:val="00902CD6"/>
    <w:rPr>
      <w:rFonts w:ascii="Times New Roman" w:eastAsia="Times New Roman" w:hAnsi="Times New Roman" w:cs="Times New Roman"/>
      <w:lang w:val="en-GB" w:eastAsia="zh-CN" w:bidi="ar-SA"/>
    </w:rPr>
  </w:style>
  <w:style w:type="paragraph" w:styleId="BodyTextIndent2">
    <w:name w:val="Body Text Indent 2"/>
    <w:basedOn w:val="Normal"/>
    <w:link w:val="BodyTextIndent2Char"/>
    <w:rsid w:val="00902CD6"/>
    <w:pPr>
      <w:spacing w:after="120" w:line="480" w:lineRule="auto"/>
      <w:ind w:left="283"/>
    </w:pPr>
  </w:style>
  <w:style w:type="character" w:customStyle="1" w:styleId="BodyTextIndent2Char">
    <w:name w:val="Body Text Indent 2 Char"/>
    <w:basedOn w:val="DefaultParagraphFont"/>
    <w:link w:val="BodyTextIndent2"/>
    <w:rsid w:val="00902CD6"/>
    <w:rPr>
      <w:rFonts w:ascii="Times New Roman" w:eastAsia="Times New Roman" w:hAnsi="Times New Roman" w:cs="Times New Roman"/>
      <w:lang w:val="en-GB" w:eastAsia="zh-CN" w:bidi="ar-SA"/>
    </w:rPr>
  </w:style>
  <w:style w:type="paragraph" w:styleId="BodyTextIndent3">
    <w:name w:val="Body Text Indent 3"/>
    <w:basedOn w:val="Normal"/>
    <w:link w:val="BodyTextIndent3Char"/>
    <w:rsid w:val="00902CD6"/>
    <w:pPr>
      <w:spacing w:after="120"/>
      <w:ind w:left="283"/>
    </w:pPr>
    <w:rPr>
      <w:sz w:val="16"/>
      <w:szCs w:val="16"/>
    </w:rPr>
  </w:style>
  <w:style w:type="character" w:customStyle="1" w:styleId="BodyTextIndent3Char">
    <w:name w:val="Body Text Indent 3 Char"/>
    <w:basedOn w:val="DefaultParagraphFont"/>
    <w:link w:val="BodyTextIndent3"/>
    <w:rsid w:val="00902CD6"/>
    <w:rPr>
      <w:rFonts w:ascii="Times New Roman" w:eastAsia="Times New Roman" w:hAnsi="Times New Roman" w:cs="Times New Roman"/>
      <w:sz w:val="16"/>
      <w:szCs w:val="16"/>
      <w:lang w:val="en-GB" w:eastAsia="zh-CN" w:bidi="ar-SA"/>
    </w:rPr>
  </w:style>
  <w:style w:type="paragraph" w:styleId="BodyTextFirstIndent2">
    <w:name w:val="Body Text First Indent 2"/>
    <w:basedOn w:val="BodyTextIndent"/>
    <w:link w:val="BodyTextFirstIndent2Char"/>
    <w:rsid w:val="00902CD6"/>
    <w:pPr>
      <w:ind w:firstLine="210"/>
    </w:pPr>
  </w:style>
  <w:style w:type="character" w:customStyle="1" w:styleId="BodyTextFirstIndent2Char">
    <w:name w:val="Body Text First Indent 2 Char"/>
    <w:basedOn w:val="BodyTextIndentChar"/>
    <w:link w:val="BodyTextFirstIndent2"/>
    <w:rsid w:val="00902CD6"/>
    <w:rPr>
      <w:rFonts w:ascii="Times New Roman" w:eastAsia="Times New Roman" w:hAnsi="Times New Roman" w:cs="Times New Roman"/>
      <w:lang w:val="en-GB" w:eastAsia="zh-CN" w:bidi="ar-SA"/>
    </w:rPr>
  </w:style>
  <w:style w:type="paragraph" w:styleId="NormalIndent">
    <w:name w:val="Normal Indent"/>
    <w:basedOn w:val="Normal"/>
    <w:rsid w:val="00902CD6"/>
    <w:pPr>
      <w:ind w:left="708"/>
    </w:pPr>
  </w:style>
  <w:style w:type="paragraph" w:styleId="Salutation">
    <w:name w:val="Salutation"/>
    <w:basedOn w:val="Normal"/>
    <w:next w:val="Normal"/>
    <w:link w:val="SalutationChar"/>
    <w:rsid w:val="00902CD6"/>
  </w:style>
  <w:style w:type="character" w:customStyle="1" w:styleId="SalutationChar">
    <w:name w:val="Salutation Char"/>
    <w:basedOn w:val="DefaultParagraphFont"/>
    <w:link w:val="Salutation"/>
    <w:rsid w:val="00902CD6"/>
    <w:rPr>
      <w:rFonts w:ascii="Times New Roman" w:eastAsia="Times New Roman" w:hAnsi="Times New Roman" w:cs="Times New Roman"/>
      <w:lang w:val="en-GB" w:eastAsia="zh-CN" w:bidi="ar-SA"/>
    </w:rPr>
  </w:style>
  <w:style w:type="paragraph" w:styleId="Signature">
    <w:name w:val="Signature"/>
    <w:basedOn w:val="Normal"/>
    <w:link w:val="SignatureChar"/>
    <w:rsid w:val="00902CD6"/>
    <w:pPr>
      <w:ind w:left="4252"/>
    </w:pPr>
  </w:style>
  <w:style w:type="character" w:customStyle="1" w:styleId="SignatureChar">
    <w:name w:val="Signature Char"/>
    <w:basedOn w:val="DefaultParagraphFont"/>
    <w:link w:val="Signature"/>
    <w:rsid w:val="00902CD6"/>
    <w:rPr>
      <w:rFonts w:ascii="Times New Roman" w:eastAsia="Times New Roman" w:hAnsi="Times New Roman" w:cs="Times New Roman"/>
      <w:lang w:val="en-GB" w:eastAsia="zh-CN" w:bidi="ar-SA"/>
    </w:rPr>
  </w:style>
  <w:style w:type="paragraph" w:styleId="E-mailSignature">
    <w:name w:val="E-mail Signature"/>
    <w:basedOn w:val="Normal"/>
    <w:link w:val="E-mailSignatureChar"/>
    <w:rsid w:val="00902CD6"/>
  </w:style>
  <w:style w:type="character" w:customStyle="1" w:styleId="E-mailSignatureChar">
    <w:name w:val="E-mail Signature Char"/>
    <w:basedOn w:val="DefaultParagraphFont"/>
    <w:link w:val="E-mailSignature"/>
    <w:rsid w:val="00902CD6"/>
    <w:rPr>
      <w:rFonts w:ascii="Times New Roman" w:eastAsia="Times New Roman" w:hAnsi="Times New Roman" w:cs="Times New Roman"/>
      <w:lang w:val="en-GB" w:eastAsia="zh-CN" w:bidi="ar-SA"/>
    </w:rPr>
  </w:style>
  <w:style w:type="paragraph" w:styleId="Subtitle">
    <w:name w:val="Subtitle"/>
    <w:basedOn w:val="Normal"/>
    <w:link w:val="SubtitleChar"/>
    <w:qFormat/>
    <w:rsid w:val="00902CD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02CD6"/>
    <w:rPr>
      <w:rFonts w:ascii="Arial" w:eastAsia="Times New Roman" w:hAnsi="Arial" w:cs="Arial"/>
      <w:sz w:val="24"/>
      <w:szCs w:val="24"/>
      <w:lang w:val="en-GB" w:eastAsia="zh-CN" w:bidi="ar-SA"/>
    </w:rPr>
  </w:style>
  <w:style w:type="paragraph" w:styleId="TableofFigures">
    <w:name w:val="table of figures"/>
    <w:basedOn w:val="Normal"/>
    <w:next w:val="Normal"/>
    <w:semiHidden/>
    <w:rsid w:val="00902CD6"/>
    <w:pPr>
      <w:tabs>
        <w:tab w:val="clear" w:pos="850"/>
        <w:tab w:val="clear" w:pos="1191"/>
        <w:tab w:val="clear" w:pos="1531"/>
      </w:tabs>
      <w:ind w:left="440" w:hanging="440"/>
    </w:pPr>
  </w:style>
  <w:style w:type="paragraph" w:styleId="TableofAuthorities">
    <w:name w:val="table of authorities"/>
    <w:basedOn w:val="Normal"/>
    <w:next w:val="Normal"/>
    <w:semiHidden/>
    <w:rsid w:val="00902CD6"/>
    <w:pPr>
      <w:tabs>
        <w:tab w:val="clear" w:pos="850"/>
        <w:tab w:val="clear" w:pos="1191"/>
        <w:tab w:val="clear" w:pos="1531"/>
      </w:tabs>
      <w:ind w:left="220" w:hanging="220"/>
    </w:pPr>
  </w:style>
  <w:style w:type="paragraph" w:styleId="PlainText">
    <w:name w:val="Plain Text"/>
    <w:basedOn w:val="Normal"/>
    <w:link w:val="PlainTextChar"/>
    <w:rsid w:val="00902CD6"/>
    <w:rPr>
      <w:rFonts w:ascii="Courier New" w:hAnsi="Courier New" w:cs="Courier New"/>
      <w:sz w:val="20"/>
      <w:szCs w:val="20"/>
    </w:rPr>
  </w:style>
  <w:style w:type="character" w:customStyle="1" w:styleId="PlainTextChar">
    <w:name w:val="Plain Text Char"/>
    <w:basedOn w:val="DefaultParagraphFont"/>
    <w:link w:val="PlainText"/>
    <w:rsid w:val="00902CD6"/>
    <w:rPr>
      <w:rFonts w:ascii="Courier New" w:eastAsia="Times New Roman" w:hAnsi="Courier New" w:cs="Courier New"/>
      <w:sz w:val="20"/>
      <w:szCs w:val="20"/>
      <w:lang w:val="en-GB" w:eastAsia="zh-CN" w:bidi="ar-SA"/>
    </w:rPr>
  </w:style>
  <w:style w:type="paragraph" w:styleId="BalloonText">
    <w:name w:val="Balloon Text"/>
    <w:basedOn w:val="Normal"/>
    <w:link w:val="BalloonTextChar"/>
    <w:semiHidden/>
    <w:rsid w:val="00902CD6"/>
    <w:rPr>
      <w:rFonts w:ascii="Tahoma" w:hAnsi="Tahoma" w:cs="Tahoma"/>
      <w:sz w:val="16"/>
      <w:szCs w:val="16"/>
    </w:rPr>
  </w:style>
  <w:style w:type="character" w:customStyle="1" w:styleId="BalloonTextChar">
    <w:name w:val="Balloon Text Char"/>
    <w:basedOn w:val="DefaultParagraphFont"/>
    <w:link w:val="BalloonText"/>
    <w:semiHidden/>
    <w:rsid w:val="00902CD6"/>
    <w:rPr>
      <w:rFonts w:ascii="Tahoma" w:eastAsia="Times New Roman" w:hAnsi="Tahoma" w:cs="Tahoma"/>
      <w:sz w:val="16"/>
      <w:szCs w:val="16"/>
      <w:lang w:val="en-GB" w:eastAsia="zh-CN" w:bidi="ar-SA"/>
    </w:rPr>
  </w:style>
  <w:style w:type="paragraph" w:styleId="Macro">
    <w:name w:val="macro"/>
    <w:link w:val="MacroTextChar"/>
    <w:semiHidden/>
    <w:rsid w:val="00902CD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eastAsia="zh-CN" w:bidi="ar-SA"/>
    </w:rPr>
  </w:style>
  <w:style w:type="character" w:customStyle="1" w:styleId="MacroTextChar">
    <w:name w:val="Macro Text Char"/>
    <w:basedOn w:val="DefaultParagraphFont"/>
    <w:link w:val="Macro"/>
    <w:semiHidden/>
    <w:rsid w:val="00902CD6"/>
    <w:rPr>
      <w:rFonts w:ascii="Courier New" w:eastAsia="Times New Roman" w:hAnsi="Courier New" w:cs="Courier New"/>
      <w:sz w:val="20"/>
      <w:szCs w:val="20"/>
      <w:lang w:val="en-GB" w:eastAsia="zh-CN" w:bidi="ar-SA"/>
    </w:rPr>
  </w:style>
  <w:style w:type="paragraph" w:styleId="Title">
    <w:name w:val="Title"/>
    <w:basedOn w:val="Normal"/>
    <w:link w:val="TitleChar"/>
    <w:qFormat/>
    <w:rsid w:val="00902CD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02CD6"/>
    <w:rPr>
      <w:rFonts w:ascii="Arial" w:eastAsia="Times New Roman" w:hAnsi="Arial" w:cs="Arial"/>
      <w:b/>
      <w:bCs/>
      <w:kern w:val="28"/>
      <w:sz w:val="32"/>
      <w:szCs w:val="32"/>
      <w:lang w:val="en-GB" w:eastAsia="zh-CN" w:bidi="ar-SA"/>
    </w:rPr>
  </w:style>
  <w:style w:type="paragraph" w:styleId="NoteHeading">
    <w:name w:val="Note Heading"/>
    <w:basedOn w:val="Normal"/>
    <w:next w:val="Normal"/>
    <w:link w:val="NoteHeadingChar"/>
    <w:rsid w:val="00902CD6"/>
  </w:style>
  <w:style w:type="character" w:customStyle="1" w:styleId="NoteHeadingChar">
    <w:name w:val="Note Heading Char"/>
    <w:basedOn w:val="DefaultParagraphFont"/>
    <w:link w:val="NoteHeading"/>
    <w:rsid w:val="00902CD6"/>
    <w:rPr>
      <w:rFonts w:ascii="Times New Roman" w:eastAsia="Times New Roman" w:hAnsi="Times New Roman" w:cs="Times New Roman"/>
      <w:lang w:val="en-GB" w:eastAsia="zh-CN" w:bidi="ar-SA"/>
    </w:rPr>
  </w:style>
  <w:style w:type="paragraph" w:styleId="TOAHeading">
    <w:name w:val="toa heading"/>
    <w:basedOn w:val="Normal"/>
    <w:next w:val="Normal"/>
    <w:semiHidden/>
    <w:rsid w:val="00902CD6"/>
    <w:pPr>
      <w:spacing w:before="120"/>
    </w:pPr>
    <w:rPr>
      <w:rFonts w:ascii="Arial" w:hAnsi="Arial" w:cs="Arial"/>
      <w:b/>
      <w:bCs/>
      <w:sz w:val="24"/>
      <w:szCs w:val="24"/>
    </w:rPr>
  </w:style>
  <w:style w:type="paragraph" w:styleId="TOC6">
    <w:name w:val="toc 6"/>
    <w:basedOn w:val="Normal"/>
    <w:next w:val="Normal"/>
    <w:qFormat/>
    <w:rsid w:val="00902CD6"/>
    <w:pPr>
      <w:tabs>
        <w:tab w:val="clear" w:pos="850"/>
        <w:tab w:val="clear" w:pos="1191"/>
        <w:tab w:val="clear" w:pos="1531"/>
      </w:tabs>
      <w:ind w:left="1100"/>
    </w:pPr>
  </w:style>
  <w:style w:type="paragraph" w:styleId="TOC7">
    <w:name w:val="toc 7"/>
    <w:basedOn w:val="Normal"/>
    <w:next w:val="Normal"/>
    <w:qFormat/>
    <w:rsid w:val="00902CD6"/>
    <w:pPr>
      <w:tabs>
        <w:tab w:val="clear" w:pos="850"/>
        <w:tab w:val="clear" w:pos="1191"/>
        <w:tab w:val="clear" w:pos="1531"/>
      </w:tabs>
      <w:ind w:left="1320"/>
    </w:pPr>
  </w:style>
  <w:style w:type="paragraph" w:styleId="TOC8">
    <w:name w:val="toc 8"/>
    <w:basedOn w:val="Normal"/>
    <w:next w:val="Normal"/>
    <w:qFormat/>
    <w:rsid w:val="00902CD6"/>
    <w:pPr>
      <w:tabs>
        <w:tab w:val="clear" w:pos="850"/>
        <w:tab w:val="clear" w:pos="1191"/>
        <w:tab w:val="clear" w:pos="1531"/>
      </w:tabs>
      <w:ind w:left="1540"/>
    </w:pPr>
  </w:style>
  <w:style w:type="paragraph" w:customStyle="1" w:styleId="BoxBodyText">
    <w:name w:val="Box Body Text"/>
    <w:basedOn w:val="Normal"/>
    <w:rsid w:val="00902CD6"/>
    <w:pPr>
      <w:spacing w:after="240"/>
      <w:ind w:firstLine="442"/>
    </w:pPr>
    <w:rPr>
      <w:rFonts w:ascii="Arial" w:hAnsi="Arial" w:cs="Arial"/>
      <w:sz w:val="18"/>
      <w:lang w:val="en-US"/>
    </w:rPr>
  </w:style>
  <w:style w:type="paragraph" w:customStyle="1" w:styleId="BoxBodyTextIndent">
    <w:name w:val="Box Body Text Indent"/>
    <w:basedOn w:val="Normal"/>
    <w:rsid w:val="00902CD6"/>
    <w:pPr>
      <w:spacing w:after="240"/>
      <w:ind w:left="442"/>
    </w:pPr>
    <w:rPr>
      <w:rFonts w:ascii="Arial" w:hAnsi="Arial" w:cs="Arial"/>
      <w:sz w:val="18"/>
      <w:lang w:val="en-US"/>
    </w:rPr>
  </w:style>
  <w:style w:type="character" w:styleId="PageNumber">
    <w:name w:val="page number"/>
    <w:basedOn w:val="DefaultParagraphFont"/>
    <w:uiPriority w:val="99"/>
    <w:semiHidden/>
    <w:unhideWhenUsed/>
    <w:rsid w:val="00902CD6"/>
  </w:style>
  <w:style w:type="paragraph" w:styleId="Bibliography">
    <w:name w:val="Bibliography"/>
    <w:basedOn w:val="Normal"/>
    <w:next w:val="Normal"/>
    <w:uiPriority w:val="37"/>
    <w:semiHidden/>
    <w:unhideWhenUsed/>
    <w:rsid w:val="00902CD6"/>
  </w:style>
  <w:style w:type="paragraph" w:styleId="IntenseQuote">
    <w:name w:val="Intense Quote"/>
    <w:basedOn w:val="Normal"/>
    <w:next w:val="Normal"/>
    <w:link w:val="IntenseQuoteChar"/>
    <w:uiPriority w:val="30"/>
    <w:qFormat/>
    <w:rsid w:val="00902C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02CD6"/>
    <w:rPr>
      <w:rFonts w:ascii="Times New Roman" w:eastAsia="Times New Roman" w:hAnsi="Times New Roman" w:cs="Times New Roman"/>
      <w:b/>
      <w:bCs/>
      <w:i/>
      <w:iCs/>
      <w:color w:val="4F81BD"/>
      <w:lang w:val="en-GB" w:eastAsia="zh-CN" w:bidi="ar-SA"/>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02CD6"/>
    <w:pPr>
      <w:ind w:left="720"/>
      <w:contextualSpacing/>
    </w:pPr>
  </w:style>
  <w:style w:type="paragraph" w:styleId="NoSpacing">
    <w:name w:val="No Spacing"/>
    <w:link w:val="NoSpacingChar"/>
    <w:uiPriority w:val="1"/>
    <w:qFormat/>
    <w:rsid w:val="00902CD6"/>
    <w:pPr>
      <w:tabs>
        <w:tab w:val="left" w:pos="850"/>
        <w:tab w:val="left" w:pos="1191"/>
        <w:tab w:val="left" w:pos="1531"/>
      </w:tabs>
      <w:spacing w:after="0" w:line="240" w:lineRule="auto"/>
      <w:jc w:val="both"/>
    </w:pPr>
    <w:rPr>
      <w:rFonts w:ascii="Times New Roman" w:eastAsia="Times New Roman" w:hAnsi="Times New Roman" w:cs="Times New Roman"/>
      <w:lang w:val="en-GB" w:eastAsia="zh-CN" w:bidi="ar-SA"/>
    </w:rPr>
  </w:style>
  <w:style w:type="paragraph" w:styleId="Quote">
    <w:name w:val="Quote"/>
    <w:basedOn w:val="Normal"/>
    <w:next w:val="Normal"/>
    <w:link w:val="QuoteChar"/>
    <w:uiPriority w:val="29"/>
    <w:qFormat/>
    <w:rsid w:val="00902CD6"/>
    <w:rPr>
      <w:i/>
      <w:iCs/>
      <w:color w:val="000000"/>
    </w:rPr>
  </w:style>
  <w:style w:type="character" w:customStyle="1" w:styleId="QuoteChar">
    <w:name w:val="Quote Char"/>
    <w:basedOn w:val="DefaultParagraphFont"/>
    <w:link w:val="Quote"/>
    <w:uiPriority w:val="29"/>
    <w:rsid w:val="00902CD6"/>
    <w:rPr>
      <w:rFonts w:ascii="Times New Roman" w:eastAsia="Times New Roman" w:hAnsi="Times New Roman" w:cs="Times New Roman"/>
      <w:i/>
      <w:iCs/>
      <w:color w:val="000000"/>
      <w:lang w:val="en-GB" w:eastAsia="zh-CN" w:bidi="ar-SA"/>
    </w:rPr>
  </w:style>
  <w:style w:type="paragraph" w:styleId="TOCHeading">
    <w:name w:val="TOC Heading"/>
    <w:basedOn w:val="Heading1"/>
    <w:next w:val="Normal"/>
    <w:uiPriority w:val="39"/>
    <w:qFormat/>
    <w:rsid w:val="00902CD6"/>
    <w:pPr>
      <w:keepLines/>
      <w:spacing w:before="480" w:after="0"/>
      <w:jc w:val="both"/>
      <w:outlineLvl w:val="9"/>
    </w:pPr>
    <w:rPr>
      <w:rFonts w:ascii="Cambria" w:eastAsia="SimSun" w:hAnsi="Cambria"/>
      <w:caps w:val="0"/>
      <w:color w:val="365F91"/>
      <w:kern w:val="0"/>
      <w:sz w:val="28"/>
      <w:szCs w:val="28"/>
    </w:rPr>
  </w:style>
  <w:style w:type="paragraph" w:customStyle="1" w:styleId="Citation">
    <w:name w:val="Citation"/>
    <w:basedOn w:val="BodyText"/>
    <w:link w:val="CitationChar"/>
    <w:rsid w:val="00902CD6"/>
    <w:pPr>
      <w:ind w:left="850" w:firstLine="0"/>
      <w:jc w:val="left"/>
    </w:pPr>
  </w:style>
  <w:style w:type="character" w:customStyle="1" w:styleId="CitationChar">
    <w:name w:val="Citation Char"/>
    <w:link w:val="Citation"/>
    <w:rsid w:val="00902CD6"/>
    <w:rPr>
      <w:rFonts w:ascii="Times New Roman" w:eastAsia="Times New Roman" w:hAnsi="Times New Roman" w:cs="Times New Roman"/>
      <w:lang w:val="en-GB" w:eastAsia="zh-CN" w:bidi="ar-SA"/>
    </w:rPr>
  </w:style>
  <w:style w:type="character" w:styleId="CommentReference">
    <w:name w:val="annotation reference"/>
    <w:uiPriority w:val="99"/>
    <w:semiHidden/>
    <w:unhideWhenUsed/>
    <w:rsid w:val="00902CD6"/>
    <w:rPr>
      <w:sz w:val="16"/>
      <w:szCs w:val="16"/>
    </w:rPr>
  </w:style>
  <w:style w:type="character" w:styleId="Hyperlink">
    <w:name w:val="Hyperlink"/>
    <w:uiPriority w:val="99"/>
    <w:unhideWhenUsed/>
    <w:rsid w:val="00902CD6"/>
    <w:rPr>
      <w:color w:val="0000FF"/>
      <w:u w:val="single"/>
    </w:rPr>
  </w:style>
  <w:style w:type="table" w:styleId="TableGrid">
    <w:name w:val="Table Grid"/>
    <w:basedOn w:val="TableNormal"/>
    <w:uiPriority w:val="39"/>
    <w:rsid w:val="00902CD6"/>
    <w:pPr>
      <w:tabs>
        <w:tab w:val="left" w:pos="850"/>
        <w:tab w:val="left" w:pos="1191"/>
        <w:tab w:val="left" w:pos="1531"/>
      </w:tabs>
      <w:spacing w:after="0" w:line="240" w:lineRule="auto"/>
      <w:jc w:val="both"/>
    </w:pPr>
    <w:rPr>
      <w:rFonts w:ascii="Times New Roman" w:eastAsia="Times New Roman" w:hAnsi="Times New Roman" w:cs="Times New Roman"/>
      <w:sz w:val="20"/>
      <w:szCs w:val="20"/>
      <w:lang w:val="lv-LV"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CD6"/>
    <w:pPr>
      <w:spacing w:after="0" w:line="240" w:lineRule="auto"/>
    </w:pPr>
    <w:rPr>
      <w:rFonts w:ascii="Times New Roman" w:eastAsia="Times New Roman" w:hAnsi="Times New Roman" w:cs="Times New Roman"/>
      <w:lang w:val="en-GB" w:eastAsia="zh-CN" w:bidi="ar-SA"/>
    </w:rPr>
  </w:style>
  <w:style w:type="character" w:styleId="Strong">
    <w:name w:val="Strong"/>
    <w:uiPriority w:val="22"/>
    <w:qFormat/>
    <w:rsid w:val="00902CD6"/>
    <w:rPr>
      <w:b/>
      <w:bCs/>
    </w:rPr>
  </w:style>
  <w:style w:type="character" w:customStyle="1" w:styleId="FootnoteTextChar1">
    <w:name w:val="Footnote Text Char1"/>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locked/>
    <w:rsid w:val="00902CD6"/>
    <w:rPr>
      <w:rFonts w:ascii="Times New Roman" w:eastAsia="Times New Roman" w:hAnsi="Times New Roman" w:cs="Times New Roman"/>
      <w:sz w:val="20"/>
      <w:szCs w:val="20"/>
      <w:lang w:val="en-GB" w:eastAsia="zh-CN" w:bidi="ar-SA"/>
    </w:rPr>
  </w:style>
  <w:style w:type="paragraph" w:customStyle="1" w:styleId="Char2">
    <w:name w:val="Char2"/>
    <w:aliases w:val="Char Char Char Char"/>
    <w:basedOn w:val="Normal"/>
    <w:next w:val="Normal"/>
    <w:link w:val="FootnoteReference"/>
    <w:uiPriority w:val="99"/>
    <w:rsid w:val="00902CD6"/>
    <w:pPr>
      <w:tabs>
        <w:tab w:val="clear" w:pos="850"/>
        <w:tab w:val="clear" w:pos="1191"/>
        <w:tab w:val="clear" w:pos="1531"/>
      </w:tabs>
      <w:spacing w:after="160" w:line="240" w:lineRule="exact"/>
      <w:textAlignment w:val="baseline"/>
    </w:pPr>
    <w:rPr>
      <w:rFonts w:asciiTheme="minorHAnsi" w:eastAsiaTheme="minorHAnsi" w:hAnsiTheme="minorHAnsi" w:cstheme="minorBidi"/>
      <w:vertAlign w:val="superscript"/>
      <w:lang w:val="en-US" w:eastAsia="en-US" w:bidi="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02CD6"/>
    <w:rPr>
      <w:rFonts w:ascii="Times New Roman" w:eastAsia="Times New Roman" w:hAnsi="Times New Roman" w:cs="Times New Roman"/>
      <w:lang w:val="en-GB" w:eastAsia="zh-CN" w:bidi="ar-SA"/>
    </w:rPr>
  </w:style>
  <w:style w:type="character" w:customStyle="1" w:styleId="shorttext">
    <w:name w:val="short_text"/>
    <w:rsid w:val="00902CD6"/>
  </w:style>
  <w:style w:type="paragraph" w:customStyle="1" w:styleId="xmsonormal">
    <w:name w:val="x_msonormal"/>
    <w:basedOn w:val="Normal"/>
    <w:rsid w:val="00902CD6"/>
    <w:pPr>
      <w:tabs>
        <w:tab w:val="clear" w:pos="850"/>
        <w:tab w:val="clear" w:pos="1191"/>
        <w:tab w:val="clear" w:pos="1531"/>
      </w:tabs>
      <w:spacing w:before="100" w:beforeAutospacing="1" w:after="100" w:afterAutospacing="1"/>
      <w:jc w:val="left"/>
    </w:pPr>
    <w:rPr>
      <w:sz w:val="24"/>
      <w:szCs w:val="24"/>
      <w:lang w:val="lv-LV" w:eastAsia="lv-LV"/>
    </w:rPr>
  </w:style>
  <w:style w:type="character" w:customStyle="1" w:styleId="UnresolvedMention1">
    <w:name w:val="Unresolved Mention1"/>
    <w:uiPriority w:val="99"/>
    <w:semiHidden/>
    <w:unhideWhenUsed/>
    <w:rsid w:val="00902CD6"/>
    <w:rPr>
      <w:color w:val="808080"/>
      <w:shd w:val="clear" w:color="auto" w:fill="E6E6E6"/>
    </w:rPr>
  </w:style>
  <w:style w:type="character" w:styleId="FollowedHyperlink">
    <w:name w:val="FollowedHyperlink"/>
    <w:uiPriority w:val="99"/>
    <w:semiHidden/>
    <w:unhideWhenUsed/>
    <w:rsid w:val="00902CD6"/>
    <w:rPr>
      <w:color w:val="954F72"/>
      <w:u w:val="single"/>
    </w:rPr>
  </w:style>
  <w:style w:type="paragraph" w:customStyle="1" w:styleId="xmsoplaintext">
    <w:name w:val="x_msoplaintext"/>
    <w:basedOn w:val="Normal"/>
    <w:rsid w:val="00902CD6"/>
    <w:pPr>
      <w:tabs>
        <w:tab w:val="clear" w:pos="850"/>
        <w:tab w:val="clear" w:pos="1191"/>
        <w:tab w:val="clear" w:pos="1531"/>
      </w:tabs>
      <w:spacing w:before="100" w:beforeAutospacing="1" w:after="100" w:afterAutospacing="1"/>
      <w:jc w:val="left"/>
    </w:pPr>
    <w:rPr>
      <w:sz w:val="24"/>
      <w:szCs w:val="24"/>
      <w:lang w:val="lv-LV" w:eastAsia="lv-LV"/>
    </w:rPr>
  </w:style>
  <w:style w:type="paragraph" w:customStyle="1" w:styleId="Default">
    <w:name w:val="Default"/>
    <w:rsid w:val="00902CD6"/>
    <w:pPr>
      <w:autoSpaceDE w:val="0"/>
      <w:autoSpaceDN w:val="0"/>
      <w:adjustRightInd w:val="0"/>
      <w:spacing w:after="0" w:line="240" w:lineRule="auto"/>
    </w:pPr>
    <w:rPr>
      <w:rFonts w:ascii="Times New Roman" w:hAnsi="Times New Roman" w:cs="Times New Roman"/>
      <w:color w:val="000000"/>
      <w:sz w:val="24"/>
      <w:szCs w:val="24"/>
      <w:lang w:val="lv-LV" w:bidi="ar-SA"/>
    </w:rPr>
  </w:style>
  <w:style w:type="paragraph" w:customStyle="1" w:styleId="Para">
    <w:name w:val="Para"/>
    <w:basedOn w:val="Normal"/>
    <w:link w:val="ParaChar"/>
    <w:uiPriority w:val="3"/>
    <w:qFormat/>
    <w:rsid w:val="0013679F"/>
    <w:pPr>
      <w:tabs>
        <w:tab w:val="clear" w:pos="850"/>
        <w:tab w:val="clear" w:pos="1191"/>
        <w:tab w:val="clear" w:pos="1531"/>
      </w:tabs>
      <w:spacing w:before="120" w:after="120"/>
      <w:ind w:left="680" w:right="680"/>
    </w:pPr>
    <w:rPr>
      <w:rFonts w:eastAsia="SimSun"/>
      <w:szCs w:val="20"/>
      <w:lang w:eastAsia="en-US"/>
    </w:rPr>
  </w:style>
  <w:style w:type="character" w:customStyle="1" w:styleId="ParaChar">
    <w:name w:val="Para Char"/>
    <w:basedOn w:val="DefaultParagraphFont"/>
    <w:link w:val="Para"/>
    <w:uiPriority w:val="3"/>
    <w:rsid w:val="0013679F"/>
    <w:rPr>
      <w:rFonts w:ascii="Times New Roman" w:eastAsia="SimSun" w:hAnsi="Times New Roman" w:cs="Times New Roman"/>
      <w:szCs w:val="20"/>
      <w:lang w:val="en-GB" w:bidi="ar-SA"/>
    </w:rPr>
  </w:style>
  <w:style w:type="paragraph" w:customStyle="1" w:styleId="Sourcenotes">
    <w:name w:val="Source &amp; notes"/>
    <w:basedOn w:val="Normal"/>
    <w:qFormat/>
    <w:rsid w:val="0013679F"/>
    <w:pPr>
      <w:keepLines/>
      <w:tabs>
        <w:tab w:val="clear" w:pos="850"/>
        <w:tab w:val="clear" w:pos="1191"/>
        <w:tab w:val="clear" w:pos="1531"/>
      </w:tabs>
      <w:spacing w:before="120" w:after="240"/>
      <w:ind w:left="680" w:right="680"/>
      <w:contextualSpacing/>
    </w:pPr>
    <w:rPr>
      <w:rFonts w:eastAsia="SimSun" w:cs="Arial"/>
      <w:sz w:val="18"/>
      <w:szCs w:val="18"/>
      <w:lang w:eastAsia="en-US"/>
    </w:rPr>
  </w:style>
  <w:style w:type="character" w:customStyle="1" w:styleId="NoSpacingChar">
    <w:name w:val="No Spacing Char"/>
    <w:basedOn w:val="DefaultParagraphFont"/>
    <w:link w:val="NoSpacing"/>
    <w:uiPriority w:val="1"/>
    <w:rsid w:val="00144C61"/>
    <w:rPr>
      <w:rFonts w:ascii="Times New Roman" w:eastAsia="Times New Roman" w:hAnsi="Times New Roman" w:cs="Times New Roman"/>
      <w:lang w:val="en-GB" w:eastAsia="zh-CN" w:bidi="ar-SA"/>
    </w:rPr>
  </w:style>
  <w:style w:type="paragraph" w:customStyle="1" w:styleId="liknoteik">
    <w:name w:val="lik_noteik"/>
    <w:basedOn w:val="Normal"/>
    <w:rsid w:val="0036641A"/>
    <w:pPr>
      <w:tabs>
        <w:tab w:val="clear" w:pos="850"/>
        <w:tab w:val="clear" w:pos="1191"/>
        <w:tab w:val="clear" w:pos="1531"/>
      </w:tabs>
      <w:spacing w:before="100" w:beforeAutospacing="1" w:after="100" w:afterAutospacing="1"/>
      <w:jc w:val="left"/>
    </w:pPr>
    <w:rPr>
      <w:sz w:val="24"/>
      <w:szCs w:val="24"/>
      <w:lang w:val="lv-LV" w:eastAsia="lv-LV" w:bidi="lo-LA"/>
    </w:rPr>
  </w:style>
  <w:style w:type="paragraph" w:customStyle="1" w:styleId="likdat">
    <w:name w:val="lik_dat"/>
    <w:basedOn w:val="Normal"/>
    <w:rsid w:val="0036641A"/>
    <w:pPr>
      <w:tabs>
        <w:tab w:val="clear" w:pos="850"/>
        <w:tab w:val="clear" w:pos="1191"/>
        <w:tab w:val="clear" w:pos="1531"/>
      </w:tabs>
      <w:spacing w:before="100" w:beforeAutospacing="1" w:after="100" w:afterAutospacing="1"/>
      <w:jc w:val="left"/>
    </w:pPr>
    <w:rPr>
      <w:sz w:val="24"/>
      <w:szCs w:val="24"/>
      <w:lang w:val="lv-LV" w:eastAsia="lv-LV" w:bidi="lo-LA"/>
    </w:rPr>
  </w:style>
  <w:style w:type="character" w:styleId="Emphasis">
    <w:name w:val="Emphasis"/>
    <w:basedOn w:val="DefaultParagraphFont"/>
    <w:uiPriority w:val="20"/>
    <w:qFormat/>
    <w:rsid w:val="00F04B0F"/>
    <w:rPr>
      <w:i/>
      <w:iCs/>
    </w:rPr>
  </w:style>
  <w:style w:type="table" w:customStyle="1" w:styleId="OECD">
    <w:name w:val="OECD"/>
    <w:basedOn w:val="LightShadingAccent1"/>
    <w:uiPriority w:val="99"/>
    <w:rsid w:val="004D05D4"/>
    <w:rPr>
      <w:rFonts w:ascii="Georgia" w:hAnsi="Georgia" w:cs="Times New Roman"/>
      <w:sz w:val="20"/>
      <w:szCs w:val="20"/>
      <w:lang w:val="lv-LV" w:eastAsia="lv-LV" w:bidi="ar-SA"/>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styleId="LightShadingAccent1">
    <w:name w:val="Light Shading Accent 1"/>
    <w:basedOn w:val="TableNormal"/>
    <w:uiPriority w:val="60"/>
    <w:semiHidden/>
    <w:unhideWhenUsed/>
    <w:rsid w:val="004D05D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Mendeley_Ppm6gXA1__Du2ZAKix9mUIg</b:Tag>
    <b:SourceType>Book</b:SourceType>
    <b:Title>OECD Reviews of Health Systems: Latvia 2016</b:Title>
    <b:Year>2016</b:Year>
    <b:Publisher>OECD Publishing, Paris</b:Publisher>
    <b:Author>
      <b:Author>
        <b:Corporate>OECD</b:Corporate>
      </b:Author>
    </b:Author>
    <b:DOI>http://dx.doi.org/10.1787/9789264262782-en</b:DOI>
    <b:LCID>en-GB</b:LCID>
    <b:Version>Kappa</b:Version>
    <b:RefOrder>1</b:RefOrder>
  </b:Source>
  <b:Source>
    <b:Tag>Mendeley_ZLfCd332Xj__I0H0ez9VPyA</b:Tag>
    <b:SourceType>Book</b:SourceType>
    <b:Guid>{77C2B764-F67D-3F5E-88D0-7D1ECFD54FC8}</b:Guid>
    <b:Title>OECD Health Statisitics 2017</b:Title>
    <b:Year>2017</b:Year>
    <b:Author>
      <b:Author>
        <b:NameList>
          <b:Person>
            <b:Last>OECD</b:Last>
          </b:Person>
        </b:NameList>
      </b:Author>
    </b:Author>
    <b:LCID>en-US</b:LCID>
    <b:Version>Mendeley</b:Version>
    <b:RefOrder>3</b:RefOrder>
  </b:Source>
  <b:Source>
    <b:Tag>Mendeley_abGY30wCQT__s6XjYomV3oA</b:Tag>
    <b:SourceType>Book</b:SourceType>
    <b:Guid>{DF98B169-024C-3F41-ACE9-78D8A26577A0}</b:Guid>
    <b:Title>WHO</b:Title>
    <b:Year>2016</b:Year>
    <b:Author>
      <b:Author>
        <b:NameList>
          <b:Person>
            <b:Last>WHO notes on health system financing policy in Latvia: opportunities and challenges in light of international experience</b:Last>
          </b:Person>
        </b:NameList>
      </b:Author>
    </b:Author>
    <b:LCID>en-US</b:LCID>
    <b:Version>Mendeley</b:Version>
    <b:RefOrder>4</b:RefOrder>
  </b:Source>
  <b:Source>
    <b:Tag>Mendeley_TbhQC3uNfjSLWLuyu0IKZA</b:Tag>
    <b:SourceType>JournalArticle</b:SourceType>
    <b:Guid>{0B50B84D-8D7B-347E-8B58-BBB2BB420A64}</b:Guid>
    <b:Title>Changing the funding of the Latvian compulsory healthcare system: for better or for worse?</b:Title>
    <b:Year>2017</b:Year>
    <b:Author>
      <b:Author>
        <b:NameList>
          <b:Person>
            <b:Last>European Commission</b:Last>
          </b:Person>
        </b:NameList>
      </b:Author>
    </b:Author>
    <b:Volume>November</b:Volume>
    <b:BookTitle>ESPN Flash Report 2017/71</b:BookTitle>
    <b:JournalName>ESPN Flash Report 2017/71</b:JournalName>
    <b:LCID>en-US</b:LCID>
    <b:Version>Mendeley</b:Version>
    <b:RefOrder>5</b:RefOrder>
  </b:Source>
  <b:Source>
    <b:Tag>Mendeley_ops4Y18jZD__HF__1bx5wpKw</b:Tag>
    <b:SourceType>Book</b:SourceType>
    <b:Title>Latvia: Country Health Profile 2017</b:Title>
    <b:Year>2017</b:Year>
    <b:Publisher>OECD Publishing, Paris/European Observatory on Health Systems and Policies, Brussels</b:Publisher>
    <b:Author>
      <b:Author>
        <b:Corporate>OECD/European Observatory on Health Systems and Policies</b:Corporate>
      </b:Author>
    </b:Author>
    <b:DOI>http://dx.doi.org/10.1787/9789264283466-en</b:DOI>
    <b:LCID>en-GB</b:LCID>
    <b:Version>Kappa</b:Version>
    <b:RefOrder>6</b:RefOrder>
  </b:Source>
  <b:Source>
    <b:Tag>Mendeley_0PuDE0Q4STWYc2hmAFK7fA</b:Tag>
    <b:SourceType>ArticleInAPeriodical</b:SourceType>
    <b:Title>OECD Economic Surveys: Latvia 2017</b:Title>
    <b:Year>2017</b:Year>
    <b:Publisher>OECD Publishing, Paris</b:Publisher>
    <b:Author>
      <b:Author>
        <b:Corporate>OECD</b:Corporate>
      </b:Author>
    </b:Author>
    <b:DOI>http://dx.doi.org/10.1787/eco_surveys-lva-2017-en</b:DOI>
    <b:LCID>en-GB</b:LCID>
    <b:Version>Kappa</b:Version>
    <b:RefOrder>7</b:RefOrder>
  </b:Source>
  <b:Source>
    <b:Tag>Mendeley_uQc5nkxHcTeGuGy6tX7NTA</b:Tag>
    <b:SourceType>Book</b:SourceType>
    <b:Guid>{9E3907B9-474C-3771-86B8-6CBAB57ECD4C}</b:Guid>
    <b:Title>Financial protection in high-income countries: a comparison of the Czech Republic, Estonia and Latvia</b:Title>
    <b:Year>2017</b:Year>
    <b:Author>
      <b:Author>
        <b:NameList>
          <b:Person>
            <b:Last>WHO</b:Last>
          </b:Person>
        </b:NameList>
      </b:Author>
    </b:Author>
    <b:URL>http://www.who.int/health_financing/events/who_europe_uhc_day_report_web.pdf</b:URL>
    <b:LCID>en-US</b:LCID>
    <b:Version>Mendeley</b:Version>
    <b:RefOrder>8</b:RefOrder>
  </b:Source>
  <b:Source>
    <b:Tag>Mendeley_R0v1lXBoUTyLVCLy9ajggw</b:Tag>
    <b:SourceType>Book</b:SourceType>
    <b:Guid>{95F54B47-6870-3C51-8B54-22F2F5A8E083}</b:Guid>
    <b:Title>On health care system reform - Order No. 394 of the Cabinet of Ministers from August 7th, 2017</b:Title>
    <b:Year>2017</b:Year>
    <b:Author>
      <b:Author>
        <b:NameList>
          <b:Person>
            <b:Last>Government of Latvia</b:Last>
          </b:Person>
        </b:NameList>
      </b:Author>
    </b:Author>
    <b:LCID>en-US</b:LCID>
    <b:Version>Mendeley</b:Version>
    <b:RefOrder>9</b:RefOrder>
  </b:Source>
  <b:Source>
    <b:Tag>Mendeley_TAItdJp__mDuA_7aDdV__V9w</b:Tag>
    <b:SourceType>JournalArticle</b:SourceType>
    <b:Guid>{742D024C-7E9A-3B98-80FF-B683755F95F7}</b:Guid>
    <b:Title>Bottleneck Analysis</b:Title>
    <b:Year>2016</b:Year>
    <b:Author>
      <b:Author>
        <b:NameList>
          <b:Person>
            <b:Last>World Bank</b:Last>
          </b:Person>
        </b:NameList>
      </b:Author>
    </b:Author>
    <b:BookTitle>World Bank Reimbursable Advisory Services: Support to Develop a Health System Strategy for Priority Disease Areas in Latvia</b:BookTitle>
    <b:JournalName>World Bank Reimbursable Advisory Services: Support to Develop a Health System Strategy for Priority Disease Areas in Latvia</b:JournalName>
    <b:LCID>en-US</b:LCID>
    <b:Version>Mendeley</b:Version>
    <b:RefOrder>10</b:RefOrder>
  </b:Source>
  <b:Source>
    <b:Tag>Mendeley_8s4Mpjn6Lz22x2Ybkqv4sg</b:Tag>
    <b:SourceType>JournalArticle</b:SourceType>
    <b:Guid>{A60CCEF2-FA39-3D2F-B6C7-661B92ABF8B2}</b:Guid>
    <b:Title>Quality Assurance Review</b:Title>
    <b:Year>2016</b:Year>
    <b:Author>
      <b:Author>
        <b:NameList>
          <b:Person>
            <b:Last>World Bank</b:Last>
          </b:Person>
        </b:NameList>
      </b:Author>
    </b:Author>
    <b:BookTitle>World Bank Reimbursable Advisory Services: Support to Develop a Health System Strategy for Priority Disease Areas in Latvia</b:BookTitle>
    <b:JournalName>World Bank Reimbursable Advisory Services: Support to Develop a Health System Strategy for Priority Disease Areas in Latvia</b:JournalName>
    <b:LCID>en-US</b:LCID>
    <b:Version>Mendeley</b:Version>
    <b:RefOrder>11</b:RefOrder>
  </b:Source>
  <b:Source>
    <b:Tag>Mendeley_4WqyjNBPYz69OK_AYEksRw</b:Tag>
    <b:SourceType>JournalArticle</b:SourceType>
    <b:Guid>{8CB26AE1-4FD0-3E63-BD38-AFC060492C47}</b:Guid>
    <b:Title>Hospital Volume and Quality of Care in Latvia</b:Title>
    <b:Year>2016</b:Year>
    <b:Author>
      <b:Author>
        <b:NameList>
          <b:Person>
            <b:Last>World Bank</b:Last>
          </b:Person>
        </b:NameList>
      </b:Author>
    </b:Author>
    <b:BookTitle>World Bank Reimbursable Advisory Services: Support to Develop a Health System Strategy for Priority Disease Areas in Latvia</b:BookTitle>
    <b:JournalName>World Bank Reimbursable Advisory Services: Support to Develop a Health System Strategy for Priority Disease Areas in Latvia</b:JournalName>
    <b:LCID>en-US</b:LCID>
    <b:Version>Mendeley</b:Version>
    <b:RefOrder>12</b:RefOrder>
  </b:Source>
  <b:Source>
    <b:Tag>Mendeley_cVAyb8lGpTCIiblNf6JHQA</b:Tag>
    <b:SourceType>BookSection</b:SourceType>
    <b:Title>The economics of patient safety : Strengthening a value-based approach to reducing patient harm at national level</b:Title>
    <b:Year>2017</b:Year>
    <b:Publisher>OECD Publishing, Paris</b:Publisher>
    <b:Author>
      <b:Author>
        <b:NameList>
          <b:Person>
            <b:Last>Slawomirski</b:Last>
            <b:First>Luke</b:First>
          </b:Person>
          <b:Person>
            <b:Last>Auraaen</b:Last>
            <b:First>Ane</b:First>
          </b:Person>
          <b:Person>
            <b:Last>Klazinga</b:Last>
            <b:First>Nicolaas S.</b:First>
          </b:Person>
        </b:NameList>
      </b:Author>
    </b:Author>
    <b:ChapterNumber>96</b:ChapterNumber>
    <b:BookTitle>OECD Health Working Papers</b:BookTitle>
    <b:Medium>Working Paper</b:Medium>
    <b:DOI>http://dx.doi.org/10.1787/5a9858cd-en</b:DOI>
    <b:LCID>en-GB</b:LCID>
    <b:Version>Kappa</b:Version>
    <b:RefOrder>13</b:RefOrder>
  </b:Source>
  <b:Source>
    <b:Tag>Mendeley___qxaSXER2jO2K78V0Vu9ng</b:Tag>
    <b:SourceType>Book</b:SourceType>
    <b:Title>Caring for Quality in Health: Lessons Learnt from 15 Reviews of Health Care Quality</b:Title>
    <b:Year>2017</b:Year>
    <b:Publisher>OECD Publishing, Paris</b:Publisher>
    <b:Author>
      <b:Author>
        <b:Corporate>OECD</b:Corporate>
      </b:Author>
    </b:Author>
    <b:DOI>http://dx.doi.org/10.1787/9789264267787-en</b:DOI>
    <b:LCID>en-GB</b:LCID>
    <b:Version>Kappa</b:Version>
    <b:RefOrder>14</b:RefOrder>
  </b:Source>
</b:Sources>
</file>

<file path=customXml/itemProps1.xml><?xml version="1.0" encoding="utf-8"?>
<ds:datastoreItem xmlns:ds="http://schemas.openxmlformats.org/officeDocument/2006/customXml" ds:itemID="{B412F367-FAED-4CE3-939D-6608AD1A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30522</Words>
  <Characters>17398</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Vaļuliene</dc:creator>
  <cp:lastModifiedBy>Ludis Pauliņš</cp:lastModifiedBy>
  <cp:revision>4</cp:revision>
  <cp:lastPrinted>2018-05-28T06:02:00Z</cp:lastPrinted>
  <dcterms:created xsi:type="dcterms:W3CDTF">2018-06-08T13:43:00Z</dcterms:created>
  <dcterms:modified xsi:type="dcterms:W3CDTF">2018-06-08T13:55:00Z</dcterms:modified>
</cp:coreProperties>
</file>