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C3F1" w14:textId="77777777" w:rsidR="004C5AD9" w:rsidRDefault="004C5AD9" w:rsidP="00A86D15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F125777" w14:textId="16FB5498" w:rsidR="00292EE3" w:rsidRPr="001579B5" w:rsidRDefault="00D02590" w:rsidP="00A86D15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292EE3" w:rsidRPr="001579B5">
        <w:rPr>
          <w:sz w:val="28"/>
          <w:szCs w:val="28"/>
        </w:rPr>
        <w:t>.</w:t>
      </w:r>
      <w:r w:rsidR="00BE6CF6">
        <w:rPr>
          <w:sz w:val="28"/>
          <w:szCs w:val="28"/>
        </w:rPr>
        <w:t> </w:t>
      </w:r>
      <w:r w:rsidR="00292EE3" w:rsidRPr="001579B5">
        <w:rPr>
          <w:sz w:val="28"/>
          <w:szCs w:val="28"/>
        </w:rPr>
        <w:t>gada</w:t>
      </w:r>
      <w:r w:rsidR="000276AA">
        <w:rPr>
          <w:sz w:val="28"/>
          <w:szCs w:val="28"/>
        </w:rPr>
        <w:t xml:space="preserve">    </w:t>
      </w:r>
      <w:r w:rsidR="00292EE3">
        <w:rPr>
          <w:sz w:val="28"/>
          <w:szCs w:val="28"/>
        </w:rPr>
        <w:tab/>
      </w:r>
      <w:r w:rsidR="00292EE3" w:rsidRPr="001579B5">
        <w:rPr>
          <w:sz w:val="28"/>
          <w:szCs w:val="28"/>
        </w:rPr>
        <w:t>Noteikumi Nr.</w:t>
      </w:r>
    </w:p>
    <w:p w14:paraId="1DB23E15" w14:textId="77777777" w:rsidR="00292EE3" w:rsidRPr="001579B5" w:rsidRDefault="00292EE3" w:rsidP="00A86D15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      </w:t>
      </w:r>
      <w:r w:rsidRPr="001579B5">
        <w:rPr>
          <w:sz w:val="28"/>
          <w:szCs w:val="28"/>
        </w:rPr>
        <w:t>.§)</w:t>
      </w:r>
    </w:p>
    <w:p w14:paraId="5A047AE7" w14:textId="77777777" w:rsidR="00292EE3" w:rsidRDefault="00292EE3" w:rsidP="00A86D15">
      <w:pPr>
        <w:rPr>
          <w:b/>
          <w:sz w:val="28"/>
        </w:rPr>
      </w:pPr>
    </w:p>
    <w:p w14:paraId="60B4E6F7" w14:textId="77777777" w:rsidR="004C5AD9" w:rsidRDefault="004C5AD9" w:rsidP="00A86D15">
      <w:pPr>
        <w:rPr>
          <w:b/>
          <w:sz w:val="28"/>
        </w:rPr>
      </w:pPr>
    </w:p>
    <w:p w14:paraId="78EBD07F" w14:textId="77777777" w:rsidR="00292EE3" w:rsidRDefault="00D02590" w:rsidP="00A86D15">
      <w:pPr>
        <w:jc w:val="center"/>
        <w:rPr>
          <w:b/>
          <w:sz w:val="28"/>
        </w:rPr>
      </w:pPr>
      <w:r>
        <w:rPr>
          <w:b/>
          <w:sz w:val="28"/>
        </w:rPr>
        <w:t>Grozījumi</w:t>
      </w:r>
      <w:r w:rsidR="00292EE3">
        <w:rPr>
          <w:b/>
          <w:sz w:val="28"/>
        </w:rPr>
        <w:t xml:space="preserve"> Ministru kabineta 2002.</w:t>
      </w:r>
      <w:r w:rsidR="00BE6CF6">
        <w:rPr>
          <w:b/>
          <w:sz w:val="28"/>
        </w:rPr>
        <w:t> </w:t>
      </w:r>
      <w:r w:rsidR="00292EE3">
        <w:rPr>
          <w:b/>
          <w:sz w:val="28"/>
        </w:rPr>
        <w:t>gada 19.</w:t>
      </w:r>
      <w:r w:rsidR="00BE6CF6">
        <w:rPr>
          <w:b/>
          <w:sz w:val="28"/>
        </w:rPr>
        <w:t> </w:t>
      </w:r>
      <w:r w:rsidR="00292EE3">
        <w:rPr>
          <w:b/>
          <w:sz w:val="28"/>
        </w:rPr>
        <w:t>marta noteikumos Nr.</w:t>
      </w:r>
      <w:r w:rsidR="00BE6CF6">
        <w:rPr>
          <w:b/>
          <w:sz w:val="28"/>
        </w:rPr>
        <w:t> </w:t>
      </w:r>
      <w:r w:rsidR="00292EE3">
        <w:rPr>
          <w:b/>
          <w:sz w:val="28"/>
        </w:rPr>
        <w:t>127</w:t>
      </w:r>
    </w:p>
    <w:p w14:paraId="09AA9D83" w14:textId="77777777" w:rsidR="00292EE3" w:rsidRDefault="00292EE3" w:rsidP="002B6B74">
      <w:pPr>
        <w:jc w:val="center"/>
        <w:rPr>
          <w:sz w:val="28"/>
        </w:rPr>
      </w:pPr>
      <w:r>
        <w:rPr>
          <w:b/>
          <w:sz w:val="28"/>
        </w:rPr>
        <w:t>„</w:t>
      </w:r>
      <w:r>
        <w:rPr>
          <w:b/>
          <w:bCs/>
          <w:sz w:val="28"/>
        </w:rPr>
        <w:t>Epizootiju uzliesmojuma likvidēšanas un draudu novēršanas kārtība</w:t>
      </w:r>
      <w:r>
        <w:rPr>
          <w:b/>
          <w:sz w:val="28"/>
        </w:rPr>
        <w:t>”</w:t>
      </w:r>
      <w:r>
        <w:rPr>
          <w:sz w:val="28"/>
        </w:rPr>
        <w:tab/>
      </w:r>
    </w:p>
    <w:p w14:paraId="71696A5A" w14:textId="77777777" w:rsidR="00292EE3" w:rsidRDefault="00292EE3" w:rsidP="00A86D15">
      <w:pPr>
        <w:jc w:val="right"/>
        <w:rPr>
          <w:sz w:val="28"/>
        </w:rPr>
      </w:pPr>
    </w:p>
    <w:p w14:paraId="7421EEA3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Izdoti saskaņā ar</w:t>
      </w:r>
    </w:p>
    <w:p w14:paraId="54CCCB70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Veterinārmedicīnas likuma</w:t>
      </w:r>
    </w:p>
    <w:p w14:paraId="4FA57B00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26.</w:t>
      </w:r>
      <w:r w:rsidR="00BE6CF6">
        <w:rPr>
          <w:sz w:val="28"/>
        </w:rPr>
        <w:t> </w:t>
      </w:r>
      <w:r>
        <w:rPr>
          <w:sz w:val="28"/>
        </w:rPr>
        <w:t>panta pirmo daļu un</w:t>
      </w:r>
    </w:p>
    <w:p w14:paraId="1A6C9DBF" w14:textId="77777777" w:rsidR="00292EE3" w:rsidRDefault="00292EE3" w:rsidP="006266FC">
      <w:pPr>
        <w:jc w:val="right"/>
        <w:rPr>
          <w:sz w:val="28"/>
        </w:rPr>
      </w:pPr>
      <w:r>
        <w:rPr>
          <w:sz w:val="28"/>
        </w:rPr>
        <w:t>27.</w:t>
      </w:r>
      <w:r w:rsidR="00BE6CF6">
        <w:rPr>
          <w:sz w:val="28"/>
        </w:rPr>
        <w:t> </w:t>
      </w:r>
      <w:r>
        <w:rPr>
          <w:sz w:val="28"/>
        </w:rPr>
        <w:t>panta trešo daļu</w:t>
      </w:r>
    </w:p>
    <w:p w14:paraId="53EC6DB2" w14:textId="77777777" w:rsidR="00292EE3" w:rsidRDefault="00292EE3" w:rsidP="00A86D15">
      <w:pPr>
        <w:jc w:val="both"/>
        <w:rPr>
          <w:sz w:val="28"/>
        </w:rPr>
      </w:pPr>
    </w:p>
    <w:p w14:paraId="3039202E" w14:textId="00840504" w:rsidR="00292EE3" w:rsidRDefault="00642283" w:rsidP="00520CCB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292EE3">
        <w:rPr>
          <w:sz w:val="28"/>
        </w:rPr>
        <w:t>Izdarīt Ministru kabineta 2002.</w:t>
      </w:r>
      <w:r w:rsidR="00A847AE">
        <w:rPr>
          <w:sz w:val="28"/>
        </w:rPr>
        <w:t> </w:t>
      </w:r>
      <w:r w:rsidR="00292EE3">
        <w:rPr>
          <w:sz w:val="28"/>
        </w:rPr>
        <w:t>gada 19.</w:t>
      </w:r>
      <w:r w:rsidR="00A847AE">
        <w:rPr>
          <w:sz w:val="28"/>
        </w:rPr>
        <w:t> </w:t>
      </w:r>
      <w:r w:rsidR="00292EE3">
        <w:rPr>
          <w:sz w:val="28"/>
        </w:rPr>
        <w:t>marta noteikumos Nr.</w:t>
      </w:r>
      <w:r w:rsidR="00A847AE">
        <w:rPr>
          <w:sz w:val="28"/>
        </w:rPr>
        <w:t> </w:t>
      </w:r>
      <w:r w:rsidR="00292EE3">
        <w:rPr>
          <w:sz w:val="28"/>
        </w:rPr>
        <w:t xml:space="preserve">127 </w:t>
      </w:r>
      <w:r w:rsidR="00292EE3">
        <w:rPr>
          <w:bCs/>
          <w:sz w:val="28"/>
        </w:rPr>
        <w:t>„Epizootiju uzliesmojuma likvidēšanas un draudu novēršanas kārtība”</w:t>
      </w:r>
      <w:r w:rsidR="00292EE3">
        <w:rPr>
          <w:sz w:val="28"/>
        </w:rPr>
        <w:t xml:space="preserve"> (Latvijas Vēstnesis, 2002, 47.</w:t>
      </w:r>
      <w:r w:rsidR="00A847AE">
        <w:rPr>
          <w:sz w:val="28"/>
        </w:rPr>
        <w:t> </w:t>
      </w:r>
      <w:r w:rsidR="00292EE3">
        <w:rPr>
          <w:sz w:val="28"/>
        </w:rPr>
        <w:t>nr.; 2004, 27., 193.</w:t>
      </w:r>
      <w:r w:rsidR="00A847AE">
        <w:rPr>
          <w:sz w:val="28"/>
        </w:rPr>
        <w:t> </w:t>
      </w:r>
      <w:r w:rsidR="00292EE3">
        <w:rPr>
          <w:sz w:val="28"/>
        </w:rPr>
        <w:t>nr.; 2005, 130.</w:t>
      </w:r>
      <w:r w:rsidR="00A847AE">
        <w:rPr>
          <w:sz w:val="28"/>
        </w:rPr>
        <w:t> </w:t>
      </w:r>
      <w:r w:rsidR="00292EE3">
        <w:rPr>
          <w:sz w:val="28"/>
        </w:rPr>
        <w:t>nr.; 2007, 100., 201.</w:t>
      </w:r>
      <w:r w:rsidR="00A847AE">
        <w:rPr>
          <w:sz w:val="28"/>
        </w:rPr>
        <w:t> </w:t>
      </w:r>
      <w:r w:rsidR="00292EE3">
        <w:rPr>
          <w:sz w:val="28"/>
        </w:rPr>
        <w:t>nr.; 2009, 57., 142.</w:t>
      </w:r>
      <w:r w:rsidR="00A847AE">
        <w:rPr>
          <w:sz w:val="28"/>
        </w:rPr>
        <w:t> </w:t>
      </w:r>
      <w:r w:rsidR="00292EE3">
        <w:rPr>
          <w:sz w:val="28"/>
        </w:rPr>
        <w:t>nr.; 2010, 12.</w:t>
      </w:r>
      <w:r w:rsidR="00A847AE">
        <w:rPr>
          <w:sz w:val="28"/>
        </w:rPr>
        <w:t> </w:t>
      </w:r>
      <w:r w:rsidR="00292EE3">
        <w:rPr>
          <w:sz w:val="28"/>
        </w:rPr>
        <w:t>nr.; 2012, 156.</w:t>
      </w:r>
      <w:r w:rsidR="00A847AE">
        <w:rPr>
          <w:sz w:val="28"/>
        </w:rPr>
        <w:t> </w:t>
      </w:r>
      <w:r w:rsidR="00292EE3">
        <w:rPr>
          <w:sz w:val="28"/>
        </w:rPr>
        <w:t>nr.</w:t>
      </w:r>
      <w:r w:rsidR="00D02590">
        <w:rPr>
          <w:sz w:val="28"/>
        </w:rPr>
        <w:t>, 2013, 158.</w:t>
      </w:r>
      <w:r w:rsidR="00A847AE">
        <w:rPr>
          <w:sz w:val="28"/>
        </w:rPr>
        <w:t> </w:t>
      </w:r>
      <w:r w:rsidR="00D02590">
        <w:rPr>
          <w:sz w:val="28"/>
        </w:rPr>
        <w:t>nr.</w:t>
      </w:r>
      <w:r w:rsidR="00A847AE">
        <w:rPr>
          <w:sz w:val="28"/>
        </w:rPr>
        <w:t>;</w:t>
      </w:r>
      <w:r w:rsidR="00D02590">
        <w:rPr>
          <w:sz w:val="28"/>
        </w:rPr>
        <w:t xml:space="preserve"> 2017, 119.</w:t>
      </w:r>
      <w:r w:rsidR="00A847AE">
        <w:rPr>
          <w:sz w:val="28"/>
        </w:rPr>
        <w:t> </w:t>
      </w:r>
      <w:r w:rsidR="00D02590">
        <w:rPr>
          <w:sz w:val="28"/>
        </w:rPr>
        <w:t>nr.</w:t>
      </w:r>
      <w:r w:rsidR="00292EE3">
        <w:rPr>
          <w:sz w:val="28"/>
        </w:rPr>
        <w:t>) šādu</w:t>
      </w:r>
      <w:r w:rsidR="00D02590">
        <w:rPr>
          <w:sz w:val="28"/>
        </w:rPr>
        <w:t>s</w:t>
      </w:r>
      <w:r w:rsidR="00292EE3">
        <w:rPr>
          <w:sz w:val="28"/>
        </w:rPr>
        <w:t xml:space="preserve"> grozījumu</w:t>
      </w:r>
      <w:r w:rsidR="00D02590">
        <w:rPr>
          <w:sz w:val="28"/>
        </w:rPr>
        <w:t>s:</w:t>
      </w:r>
    </w:p>
    <w:p w14:paraId="1A944860" w14:textId="77777777" w:rsidR="00D02590" w:rsidRDefault="00D02590" w:rsidP="00520CCB">
      <w:pPr>
        <w:ind w:firstLine="720"/>
        <w:jc w:val="both"/>
        <w:rPr>
          <w:sz w:val="28"/>
        </w:rPr>
      </w:pPr>
    </w:p>
    <w:p w14:paraId="45A93F2D" w14:textId="041E9432" w:rsidR="00AC1C91" w:rsidRPr="00E43F68" w:rsidRDefault="00642283" w:rsidP="00AC1C91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D02590">
        <w:rPr>
          <w:sz w:val="28"/>
        </w:rPr>
        <w:t>1.</w:t>
      </w:r>
      <w:r w:rsidR="00A847AE">
        <w:rPr>
          <w:sz w:val="28"/>
        </w:rPr>
        <w:t xml:space="preserve"> </w:t>
      </w:r>
      <w:r>
        <w:rPr>
          <w:sz w:val="28"/>
        </w:rPr>
        <w:t>p</w:t>
      </w:r>
      <w:r w:rsidR="0037263F">
        <w:rPr>
          <w:sz w:val="28"/>
        </w:rPr>
        <w:t>apildināt noteikumus ar 10.</w:t>
      </w:r>
      <w:r w:rsidR="0037263F" w:rsidRPr="0037263F">
        <w:rPr>
          <w:sz w:val="28"/>
          <w:vertAlign w:val="superscript"/>
        </w:rPr>
        <w:t>1</w:t>
      </w:r>
      <w:r w:rsidR="00BF01FB">
        <w:rPr>
          <w:sz w:val="28"/>
        </w:rPr>
        <w:t> </w:t>
      </w:r>
      <w:r w:rsidR="00AC1C91">
        <w:rPr>
          <w:sz w:val="28"/>
        </w:rPr>
        <w:t>punktu šādā redakcijā:</w:t>
      </w:r>
    </w:p>
    <w:p w14:paraId="08E972F3" w14:textId="78BA5684" w:rsidR="00AC1C91" w:rsidRDefault="00AC1C91" w:rsidP="00AC1C91">
      <w:pPr>
        <w:jc w:val="both"/>
        <w:rPr>
          <w:sz w:val="28"/>
        </w:rPr>
      </w:pPr>
      <w:r>
        <w:rPr>
          <w:sz w:val="28"/>
        </w:rPr>
        <w:tab/>
        <w:t>“</w:t>
      </w:r>
      <w:r w:rsidRPr="00AC1C91">
        <w:rPr>
          <w:sz w:val="28"/>
        </w:rPr>
        <w:t>10.</w:t>
      </w:r>
      <w:r w:rsidRPr="00AC1C91">
        <w:rPr>
          <w:sz w:val="28"/>
          <w:vertAlign w:val="superscript"/>
        </w:rPr>
        <w:t>1</w:t>
      </w:r>
      <w:r w:rsidRPr="00AC1C91">
        <w:rPr>
          <w:sz w:val="28"/>
        </w:rPr>
        <w:t xml:space="preserve"> Pārtikas un veterinārais dienests </w:t>
      </w:r>
      <w:r w:rsidR="00602C22">
        <w:rPr>
          <w:sz w:val="28"/>
        </w:rPr>
        <w:t xml:space="preserve">Eiropas Komisijas </w:t>
      </w:r>
      <w:r w:rsidRPr="00AC1C91">
        <w:rPr>
          <w:sz w:val="28"/>
        </w:rPr>
        <w:t xml:space="preserve">Augu, dzīvnieku, pārtikas aprites un dzīvnieku barības pastāvīgajā komitejā citām Eiropas Savienības dalībvalstīm un Eiropas Komisijai </w:t>
      </w:r>
      <w:r w:rsidR="00D92B24" w:rsidRPr="00AC1C91">
        <w:rPr>
          <w:sz w:val="28"/>
        </w:rPr>
        <w:t xml:space="preserve">sniedz informāciju </w:t>
      </w:r>
      <w:r w:rsidRPr="00AC1C91">
        <w:rPr>
          <w:sz w:val="28"/>
        </w:rPr>
        <w:t xml:space="preserve">par situāciju valstī ar slimību un </w:t>
      </w:r>
      <w:r w:rsidR="003B3716">
        <w:rPr>
          <w:sz w:val="28"/>
        </w:rPr>
        <w:t>īsteno</w:t>
      </w:r>
      <w:r w:rsidRPr="00AC1C91">
        <w:rPr>
          <w:sz w:val="28"/>
        </w:rPr>
        <w:t>tajiem kontroles pasākumiem.</w:t>
      </w:r>
      <w:r>
        <w:rPr>
          <w:sz w:val="28"/>
        </w:rPr>
        <w:t>”</w:t>
      </w:r>
      <w:r w:rsidR="00642283">
        <w:rPr>
          <w:sz w:val="28"/>
        </w:rPr>
        <w:t>;</w:t>
      </w:r>
    </w:p>
    <w:p w14:paraId="7EEB8055" w14:textId="77777777" w:rsidR="00AC1C91" w:rsidRDefault="00AC1C91" w:rsidP="00AC1C91">
      <w:pPr>
        <w:jc w:val="both"/>
        <w:rPr>
          <w:sz w:val="28"/>
        </w:rPr>
      </w:pPr>
    </w:p>
    <w:p w14:paraId="2BA73597" w14:textId="152BFE9E" w:rsidR="00AC1C91" w:rsidRDefault="00AC1C91" w:rsidP="00AC1C91">
      <w:pPr>
        <w:jc w:val="both"/>
        <w:rPr>
          <w:sz w:val="28"/>
        </w:rPr>
      </w:pPr>
      <w:r>
        <w:rPr>
          <w:sz w:val="28"/>
        </w:rPr>
        <w:tab/>
      </w:r>
      <w:r w:rsidR="00642283">
        <w:rPr>
          <w:sz w:val="28"/>
        </w:rPr>
        <w:t>1.</w:t>
      </w:r>
      <w:r>
        <w:rPr>
          <w:sz w:val="28"/>
        </w:rPr>
        <w:t xml:space="preserve">2. </w:t>
      </w:r>
      <w:r w:rsidR="00642283">
        <w:rPr>
          <w:sz w:val="28"/>
        </w:rPr>
        <w:t>i</w:t>
      </w:r>
      <w:r>
        <w:rPr>
          <w:sz w:val="28"/>
        </w:rPr>
        <w:t>zteikt 11.</w:t>
      </w:r>
      <w:r w:rsidR="00BF01FB">
        <w:rPr>
          <w:sz w:val="28"/>
        </w:rPr>
        <w:t> </w:t>
      </w:r>
      <w:r>
        <w:rPr>
          <w:sz w:val="28"/>
        </w:rPr>
        <w:t>punkta ievaddaļu šādā redakcijā:</w:t>
      </w:r>
    </w:p>
    <w:p w14:paraId="48BFAD4F" w14:textId="7865602D" w:rsidR="00AC1C91" w:rsidRDefault="00AC1C91" w:rsidP="00AC1C91">
      <w:pPr>
        <w:jc w:val="both"/>
        <w:rPr>
          <w:sz w:val="28"/>
        </w:rPr>
      </w:pPr>
      <w:r>
        <w:rPr>
          <w:sz w:val="28"/>
        </w:rPr>
        <w:tab/>
        <w:t>“</w:t>
      </w:r>
      <w:r w:rsidRPr="00AC1C91">
        <w:rPr>
          <w:sz w:val="28"/>
        </w:rPr>
        <w:t>11. Lai efektīvi apkarotu slimības, Pārtikas un veterinārais dienests izstrādā un apstiprina rīcības plānu darbībām slimības uzliesmojuma gadījumā</w:t>
      </w:r>
      <w:r w:rsidR="00355BE8">
        <w:rPr>
          <w:sz w:val="28"/>
        </w:rPr>
        <w:t xml:space="preserve"> (turpmāk – rīcības plāns)</w:t>
      </w:r>
      <w:r w:rsidRPr="00AC1C91">
        <w:rPr>
          <w:sz w:val="28"/>
        </w:rPr>
        <w:t xml:space="preserve">. Rīcības plānu pēc vajadzības atjaunina, ņemot vērā </w:t>
      </w:r>
      <w:r w:rsidRPr="00F937FA">
        <w:rPr>
          <w:sz w:val="28"/>
        </w:rPr>
        <w:t>situācijas attīstību</w:t>
      </w:r>
      <w:r w:rsidRPr="00AC1C91">
        <w:rPr>
          <w:sz w:val="28"/>
        </w:rPr>
        <w:t>. Rīcības plānā:</w:t>
      </w:r>
      <w:r>
        <w:rPr>
          <w:sz w:val="28"/>
        </w:rPr>
        <w:t>”</w:t>
      </w:r>
      <w:r w:rsidR="00642283">
        <w:rPr>
          <w:sz w:val="28"/>
        </w:rPr>
        <w:t>;</w:t>
      </w:r>
      <w:r>
        <w:rPr>
          <w:sz w:val="28"/>
        </w:rPr>
        <w:t xml:space="preserve"> </w:t>
      </w:r>
    </w:p>
    <w:p w14:paraId="7C68862A" w14:textId="77777777" w:rsidR="00AC1C91" w:rsidRDefault="00AC1C91" w:rsidP="00AC1C91">
      <w:pPr>
        <w:jc w:val="both"/>
        <w:rPr>
          <w:sz w:val="28"/>
        </w:rPr>
      </w:pPr>
    </w:p>
    <w:p w14:paraId="50EFEAA0" w14:textId="5C6DD640" w:rsidR="00AC1C91" w:rsidRPr="00AC1C91" w:rsidRDefault="00AC1C91" w:rsidP="00AC1C91">
      <w:pPr>
        <w:jc w:val="both"/>
        <w:rPr>
          <w:sz w:val="28"/>
        </w:rPr>
      </w:pPr>
      <w:r>
        <w:rPr>
          <w:sz w:val="28"/>
        </w:rPr>
        <w:tab/>
      </w:r>
      <w:r w:rsidR="00642283">
        <w:rPr>
          <w:sz w:val="28"/>
        </w:rPr>
        <w:t>1.</w:t>
      </w:r>
      <w:r>
        <w:rPr>
          <w:sz w:val="28"/>
        </w:rPr>
        <w:t xml:space="preserve">3. </w:t>
      </w:r>
      <w:r w:rsidR="00642283">
        <w:rPr>
          <w:sz w:val="28"/>
        </w:rPr>
        <w:t>i</w:t>
      </w:r>
      <w:r>
        <w:rPr>
          <w:sz w:val="28"/>
        </w:rPr>
        <w:t>zteikt 11.6.</w:t>
      </w:r>
      <w:r w:rsidR="00BF01FB">
        <w:rPr>
          <w:sz w:val="28"/>
        </w:rPr>
        <w:t> </w:t>
      </w:r>
      <w:r>
        <w:rPr>
          <w:sz w:val="28"/>
        </w:rPr>
        <w:t>apakšpunktu šādā redakcijā:</w:t>
      </w:r>
    </w:p>
    <w:p w14:paraId="1F08CF39" w14:textId="1C5D5E54" w:rsidR="00AC1C91" w:rsidRDefault="00AC1C91" w:rsidP="00AC1C91">
      <w:pPr>
        <w:jc w:val="both"/>
        <w:rPr>
          <w:sz w:val="28"/>
        </w:rPr>
      </w:pPr>
      <w:r>
        <w:rPr>
          <w:sz w:val="28"/>
        </w:rPr>
        <w:tab/>
        <w:t>“</w:t>
      </w:r>
      <w:r w:rsidRPr="00AC1C91">
        <w:rPr>
          <w:sz w:val="28"/>
        </w:rPr>
        <w:t xml:space="preserve">11.6. iekļauj precīzas norādes neatliekamās vakcinācijas veikšanai un </w:t>
      </w:r>
      <w:r w:rsidR="00F937FA">
        <w:rPr>
          <w:sz w:val="28"/>
        </w:rPr>
        <w:t>nosaka</w:t>
      </w:r>
      <w:r w:rsidRPr="00AC1C91">
        <w:rPr>
          <w:sz w:val="28"/>
        </w:rPr>
        <w:t xml:space="preserve"> detalizētu vakcinācijas kārtību;</w:t>
      </w:r>
      <w:r>
        <w:rPr>
          <w:sz w:val="28"/>
        </w:rPr>
        <w:t>”</w:t>
      </w:r>
      <w:r w:rsidR="00642283">
        <w:rPr>
          <w:sz w:val="28"/>
        </w:rPr>
        <w:t>;</w:t>
      </w:r>
    </w:p>
    <w:p w14:paraId="3002820B" w14:textId="77777777" w:rsidR="00AC1C91" w:rsidRDefault="00AC1C91" w:rsidP="00AC1C91">
      <w:pPr>
        <w:jc w:val="both"/>
        <w:rPr>
          <w:sz w:val="28"/>
        </w:rPr>
      </w:pPr>
    </w:p>
    <w:p w14:paraId="6B43ACA5" w14:textId="0CA4D5A7" w:rsidR="00AC1C91" w:rsidRDefault="00AC1C91" w:rsidP="00AC1C91">
      <w:pPr>
        <w:jc w:val="both"/>
        <w:rPr>
          <w:sz w:val="28"/>
        </w:rPr>
      </w:pPr>
      <w:r>
        <w:rPr>
          <w:sz w:val="28"/>
        </w:rPr>
        <w:tab/>
      </w:r>
      <w:r w:rsidR="00642283">
        <w:rPr>
          <w:sz w:val="28"/>
        </w:rPr>
        <w:t>1.</w:t>
      </w:r>
      <w:r>
        <w:rPr>
          <w:sz w:val="28"/>
        </w:rPr>
        <w:t xml:space="preserve">4. </w:t>
      </w:r>
      <w:r w:rsidR="00642283">
        <w:rPr>
          <w:sz w:val="28"/>
        </w:rPr>
        <w:t>p</w:t>
      </w:r>
      <w:r>
        <w:rPr>
          <w:sz w:val="28"/>
        </w:rPr>
        <w:t>apildināt noteikumus ar 11.8.</w:t>
      </w:r>
      <w:r w:rsidR="00BF01FB">
        <w:rPr>
          <w:sz w:val="28"/>
        </w:rPr>
        <w:t> </w:t>
      </w:r>
      <w:r>
        <w:rPr>
          <w:sz w:val="28"/>
        </w:rPr>
        <w:t>apakšpunktu šādā redakcijā:</w:t>
      </w:r>
    </w:p>
    <w:p w14:paraId="1E432F2E" w14:textId="1D48802D" w:rsidR="00AC1C91" w:rsidRDefault="00AC1C91" w:rsidP="00AC1C91">
      <w:pPr>
        <w:jc w:val="both"/>
        <w:rPr>
          <w:sz w:val="28"/>
        </w:rPr>
      </w:pPr>
      <w:r>
        <w:rPr>
          <w:sz w:val="28"/>
        </w:rPr>
        <w:tab/>
        <w:t xml:space="preserve">“11.8. </w:t>
      </w:r>
      <w:r w:rsidRPr="00AC1C91">
        <w:rPr>
          <w:sz w:val="28"/>
        </w:rPr>
        <w:t xml:space="preserve">paredz darbības un </w:t>
      </w:r>
      <w:r w:rsidR="004C0E45">
        <w:rPr>
          <w:sz w:val="28"/>
        </w:rPr>
        <w:t>informācijas</w:t>
      </w:r>
      <w:r w:rsidRPr="00AC1C91">
        <w:rPr>
          <w:sz w:val="28"/>
        </w:rPr>
        <w:t xml:space="preserve"> nodošanas </w:t>
      </w:r>
      <w:r w:rsidR="004C0E45">
        <w:rPr>
          <w:sz w:val="28"/>
        </w:rPr>
        <w:t>secību</w:t>
      </w:r>
      <w:r w:rsidR="008F64F5">
        <w:rPr>
          <w:sz w:val="28"/>
        </w:rPr>
        <w:t>,</w:t>
      </w:r>
      <w:r w:rsidRPr="00AC1C91">
        <w:rPr>
          <w:sz w:val="28"/>
        </w:rPr>
        <w:t xml:space="preserve"> ar kur</w:t>
      </w:r>
      <w:r w:rsidR="005C5EF8">
        <w:rPr>
          <w:sz w:val="28"/>
        </w:rPr>
        <w:t>as</w:t>
      </w:r>
      <w:r w:rsidRPr="00AC1C91">
        <w:rPr>
          <w:sz w:val="28"/>
        </w:rPr>
        <w:t xml:space="preserve"> palīdzību </w:t>
      </w:r>
      <w:r w:rsidR="004B517C" w:rsidRPr="00AC1C91">
        <w:rPr>
          <w:sz w:val="28"/>
        </w:rPr>
        <w:t xml:space="preserve">slimības apkarošanas pasākumu laikā </w:t>
      </w:r>
      <w:r w:rsidRPr="00AC1C91">
        <w:rPr>
          <w:sz w:val="28"/>
        </w:rPr>
        <w:t xml:space="preserve">tiek nodrošināta piekļuve telpām, personālam, iekārtām </w:t>
      </w:r>
      <w:r w:rsidR="00E46258">
        <w:rPr>
          <w:sz w:val="28"/>
        </w:rPr>
        <w:t xml:space="preserve"> un </w:t>
      </w:r>
      <w:r w:rsidRPr="00AC1C91">
        <w:rPr>
          <w:sz w:val="28"/>
        </w:rPr>
        <w:t xml:space="preserve">materiāliem, kas </w:t>
      </w:r>
      <w:r w:rsidR="00E46258">
        <w:rPr>
          <w:sz w:val="28"/>
        </w:rPr>
        <w:t>nepieciešami</w:t>
      </w:r>
      <w:r w:rsidRPr="00AC1C91">
        <w:rPr>
          <w:sz w:val="28"/>
        </w:rPr>
        <w:t xml:space="preserve"> ātrai un efektīvai </w:t>
      </w:r>
      <w:r w:rsidR="003B3716" w:rsidRPr="00AC1C91">
        <w:rPr>
          <w:sz w:val="28"/>
        </w:rPr>
        <w:t xml:space="preserve">slimības uzliesmojuma </w:t>
      </w:r>
      <w:r w:rsidRPr="00AC1C91">
        <w:rPr>
          <w:sz w:val="28"/>
        </w:rPr>
        <w:t>apkarošanai.</w:t>
      </w:r>
      <w:r>
        <w:rPr>
          <w:sz w:val="28"/>
        </w:rPr>
        <w:t>”</w:t>
      </w:r>
      <w:r w:rsidR="00642283">
        <w:rPr>
          <w:sz w:val="28"/>
        </w:rPr>
        <w:t>;</w:t>
      </w:r>
    </w:p>
    <w:p w14:paraId="1275A74B" w14:textId="77777777" w:rsidR="00AC1C91" w:rsidRDefault="00AC1C91" w:rsidP="00AC1C91">
      <w:pPr>
        <w:jc w:val="both"/>
        <w:rPr>
          <w:sz w:val="28"/>
        </w:rPr>
      </w:pPr>
    </w:p>
    <w:p w14:paraId="469FA8D6" w14:textId="2B484C05" w:rsidR="00AC1C91" w:rsidRDefault="00AC1C91" w:rsidP="00AC1C91">
      <w:pPr>
        <w:jc w:val="both"/>
        <w:rPr>
          <w:sz w:val="28"/>
        </w:rPr>
      </w:pPr>
      <w:r>
        <w:rPr>
          <w:sz w:val="28"/>
        </w:rPr>
        <w:tab/>
      </w:r>
      <w:r w:rsidR="00642283">
        <w:rPr>
          <w:sz w:val="28"/>
        </w:rPr>
        <w:t>1.</w:t>
      </w:r>
      <w:r>
        <w:rPr>
          <w:sz w:val="28"/>
        </w:rPr>
        <w:t xml:space="preserve">5. </w:t>
      </w:r>
      <w:r w:rsidR="00642283">
        <w:rPr>
          <w:sz w:val="28"/>
        </w:rPr>
        <w:t>p</w:t>
      </w:r>
      <w:r>
        <w:rPr>
          <w:sz w:val="28"/>
        </w:rPr>
        <w:t xml:space="preserve">apildināt </w:t>
      </w:r>
      <w:r w:rsidR="00355BE8">
        <w:rPr>
          <w:sz w:val="28"/>
        </w:rPr>
        <w:t>II nodaļu</w:t>
      </w:r>
      <w:r>
        <w:rPr>
          <w:sz w:val="28"/>
        </w:rPr>
        <w:t xml:space="preserve"> ar 11.</w:t>
      </w:r>
      <w:r w:rsidRPr="00AC1C91">
        <w:rPr>
          <w:sz w:val="28"/>
          <w:vertAlign w:val="superscript"/>
        </w:rPr>
        <w:t>1</w:t>
      </w:r>
      <w:r w:rsidR="00BF01FB">
        <w:rPr>
          <w:sz w:val="28"/>
        </w:rPr>
        <w:t> </w:t>
      </w:r>
      <w:r>
        <w:rPr>
          <w:sz w:val="28"/>
        </w:rPr>
        <w:t>punktu šādā redakcijā:</w:t>
      </w:r>
    </w:p>
    <w:p w14:paraId="33DD194F" w14:textId="2D81989D" w:rsidR="0037263F" w:rsidRDefault="00AC1C91" w:rsidP="00C71D7D">
      <w:pPr>
        <w:jc w:val="both"/>
        <w:rPr>
          <w:sz w:val="28"/>
        </w:rPr>
      </w:pPr>
      <w:r>
        <w:rPr>
          <w:sz w:val="28"/>
        </w:rPr>
        <w:tab/>
        <w:t>“</w:t>
      </w:r>
      <w:r w:rsidRPr="00AC1C91">
        <w:rPr>
          <w:sz w:val="28"/>
        </w:rPr>
        <w:t>11.</w:t>
      </w:r>
      <w:r w:rsidRPr="00AC1C91">
        <w:rPr>
          <w:sz w:val="28"/>
          <w:vertAlign w:val="superscript"/>
        </w:rPr>
        <w:t>1</w:t>
      </w:r>
      <w:r w:rsidRPr="00AC1C91">
        <w:rPr>
          <w:sz w:val="28"/>
        </w:rPr>
        <w:t xml:space="preserve"> Pārtikas un veterinārais dienests rīcības plānu un visus tā atjauninājumus iesniedz apstiprināšanai Eiropas Komisij</w:t>
      </w:r>
      <w:r w:rsidR="003B3716">
        <w:rPr>
          <w:sz w:val="28"/>
        </w:rPr>
        <w:t>ā</w:t>
      </w:r>
      <w:r w:rsidRPr="00AC1C91">
        <w:rPr>
          <w:sz w:val="28"/>
        </w:rPr>
        <w:t>.</w:t>
      </w:r>
      <w:r>
        <w:rPr>
          <w:sz w:val="28"/>
        </w:rPr>
        <w:t>”</w:t>
      </w:r>
      <w:r w:rsidR="00642283">
        <w:rPr>
          <w:sz w:val="28"/>
        </w:rPr>
        <w:t>;</w:t>
      </w:r>
      <w:r>
        <w:rPr>
          <w:sz w:val="28"/>
        </w:rPr>
        <w:tab/>
      </w:r>
    </w:p>
    <w:p w14:paraId="4420B7E7" w14:textId="77777777" w:rsidR="0037263F" w:rsidRDefault="0037263F" w:rsidP="0037263F">
      <w:pPr>
        <w:jc w:val="both"/>
        <w:rPr>
          <w:sz w:val="28"/>
        </w:rPr>
      </w:pPr>
    </w:p>
    <w:p w14:paraId="363BE858" w14:textId="0F992553" w:rsidR="0037263F" w:rsidRDefault="0037263F" w:rsidP="0037263F">
      <w:pPr>
        <w:jc w:val="both"/>
        <w:rPr>
          <w:sz w:val="28"/>
        </w:rPr>
      </w:pPr>
      <w:r>
        <w:rPr>
          <w:sz w:val="28"/>
        </w:rPr>
        <w:tab/>
      </w:r>
      <w:r w:rsidR="00642283">
        <w:rPr>
          <w:sz w:val="28"/>
        </w:rPr>
        <w:t>1.</w:t>
      </w:r>
      <w:r w:rsidR="00C71D7D">
        <w:rPr>
          <w:sz w:val="28"/>
        </w:rPr>
        <w:t>6</w:t>
      </w:r>
      <w:r>
        <w:rPr>
          <w:sz w:val="28"/>
        </w:rPr>
        <w:t xml:space="preserve">. </w:t>
      </w:r>
      <w:r w:rsidR="00D30EFA">
        <w:rPr>
          <w:sz w:val="28"/>
        </w:rPr>
        <w:t>p</w:t>
      </w:r>
      <w:r>
        <w:rPr>
          <w:sz w:val="28"/>
        </w:rPr>
        <w:t xml:space="preserve">apildināt informatīvo atsauci uz Eiropas Savienības direktīvām </w:t>
      </w:r>
      <w:r w:rsidR="00BF01FB">
        <w:rPr>
          <w:sz w:val="28"/>
        </w:rPr>
        <w:t xml:space="preserve">ar 9. punktu </w:t>
      </w:r>
      <w:r>
        <w:rPr>
          <w:sz w:val="28"/>
        </w:rPr>
        <w:t>šādā redakcijā:</w:t>
      </w:r>
    </w:p>
    <w:p w14:paraId="334D4020" w14:textId="5C7F428D" w:rsidR="0037263F" w:rsidRPr="0037263F" w:rsidRDefault="0037263F" w:rsidP="0037263F">
      <w:pPr>
        <w:jc w:val="both"/>
        <w:rPr>
          <w:sz w:val="28"/>
        </w:rPr>
      </w:pPr>
      <w:r>
        <w:rPr>
          <w:sz w:val="28"/>
        </w:rPr>
        <w:tab/>
        <w:t>“</w:t>
      </w:r>
      <w:r w:rsidRPr="0037263F">
        <w:rPr>
          <w:sz w:val="28"/>
        </w:rPr>
        <w:t>9) Eiropas Parlamenta un Padomes 2018.</w:t>
      </w:r>
      <w:r w:rsidR="00BF01FB">
        <w:rPr>
          <w:sz w:val="28"/>
        </w:rPr>
        <w:t> </w:t>
      </w:r>
      <w:r w:rsidRPr="0037263F">
        <w:rPr>
          <w:sz w:val="28"/>
        </w:rPr>
        <w:t>gada 18.</w:t>
      </w:r>
      <w:r w:rsidR="00BF01FB">
        <w:rPr>
          <w:sz w:val="28"/>
        </w:rPr>
        <w:t> </w:t>
      </w:r>
      <w:r w:rsidRPr="0037263F">
        <w:rPr>
          <w:sz w:val="28"/>
        </w:rPr>
        <w:t>aprīļa Direktīvas (ES) 2018/597, ar kuru groza Padomes Direktīvu 92/66/EEK, ar ko ievieš Kopienas pasākumus Ņūkāslas slimības kontrolei</w:t>
      </w:r>
      <w:r>
        <w:rPr>
          <w:sz w:val="28"/>
        </w:rPr>
        <w:t>.”</w:t>
      </w:r>
    </w:p>
    <w:p w14:paraId="35A1E265" w14:textId="77777777" w:rsidR="00292EE3" w:rsidRDefault="00292EE3" w:rsidP="002644F1">
      <w:pPr>
        <w:jc w:val="both"/>
        <w:rPr>
          <w:sz w:val="28"/>
        </w:rPr>
      </w:pPr>
    </w:p>
    <w:p w14:paraId="7B694455" w14:textId="1F2EC1B5" w:rsidR="00C71D7D" w:rsidRDefault="00642283" w:rsidP="00642283">
      <w:pPr>
        <w:ind w:firstLine="680"/>
        <w:jc w:val="both"/>
        <w:rPr>
          <w:sz w:val="28"/>
        </w:rPr>
      </w:pPr>
      <w:r>
        <w:rPr>
          <w:sz w:val="28"/>
        </w:rPr>
        <w:t xml:space="preserve">2. </w:t>
      </w:r>
      <w:r w:rsidR="001A5C75">
        <w:rPr>
          <w:sz w:val="28"/>
        </w:rPr>
        <w:t>Noteikumi</w:t>
      </w:r>
      <w:r w:rsidR="00C71D7D">
        <w:rPr>
          <w:sz w:val="28"/>
        </w:rPr>
        <w:t xml:space="preserve"> </w:t>
      </w:r>
      <w:r w:rsidR="00C71D7D" w:rsidRPr="0037263F">
        <w:rPr>
          <w:sz w:val="28"/>
        </w:rPr>
        <w:t>stājas spēkā 2019.</w:t>
      </w:r>
      <w:r w:rsidR="00C71D7D">
        <w:rPr>
          <w:sz w:val="28"/>
        </w:rPr>
        <w:t> </w:t>
      </w:r>
      <w:r w:rsidR="00C71D7D" w:rsidRPr="0037263F">
        <w:rPr>
          <w:sz w:val="28"/>
        </w:rPr>
        <w:t>gada 1.</w:t>
      </w:r>
      <w:r w:rsidR="00C71D7D">
        <w:rPr>
          <w:sz w:val="28"/>
        </w:rPr>
        <w:t> </w:t>
      </w:r>
      <w:r w:rsidR="00C71D7D" w:rsidRPr="0037263F">
        <w:rPr>
          <w:sz w:val="28"/>
        </w:rPr>
        <w:t>janvārī.</w:t>
      </w:r>
    </w:p>
    <w:p w14:paraId="3702181D" w14:textId="553CCFEF" w:rsidR="00C71D7D" w:rsidRDefault="00C71D7D" w:rsidP="006E5D9F">
      <w:pPr>
        <w:jc w:val="both"/>
        <w:rPr>
          <w:sz w:val="28"/>
        </w:rPr>
      </w:pPr>
    </w:p>
    <w:p w14:paraId="1901EDDA" w14:textId="3AF9E112" w:rsidR="00C71D7D" w:rsidRDefault="00C71D7D" w:rsidP="006E5D9F">
      <w:pPr>
        <w:jc w:val="both"/>
        <w:rPr>
          <w:sz w:val="28"/>
        </w:rPr>
      </w:pPr>
    </w:p>
    <w:p w14:paraId="1F3C3F6A" w14:textId="77777777" w:rsidR="00C71D7D" w:rsidRPr="006E5D9F" w:rsidRDefault="00C71D7D" w:rsidP="006E5D9F">
      <w:pPr>
        <w:jc w:val="both"/>
        <w:rPr>
          <w:sz w:val="28"/>
          <w:szCs w:val="28"/>
        </w:rPr>
      </w:pPr>
    </w:p>
    <w:p w14:paraId="55DC9CCA" w14:textId="5630F73F" w:rsidR="00292EE3" w:rsidRDefault="00292EE3" w:rsidP="006266FC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325C3">
        <w:rPr>
          <w:sz w:val="28"/>
          <w:szCs w:val="28"/>
        </w:rPr>
        <w:t>Ministr</w:t>
      </w:r>
      <w:r>
        <w:rPr>
          <w:sz w:val="28"/>
          <w:szCs w:val="28"/>
        </w:rPr>
        <w:t>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590">
        <w:rPr>
          <w:sz w:val="28"/>
          <w:szCs w:val="28"/>
        </w:rPr>
        <w:t>M</w:t>
      </w:r>
      <w:r w:rsidR="00D90B7E">
        <w:rPr>
          <w:sz w:val="28"/>
          <w:szCs w:val="28"/>
        </w:rPr>
        <w:t xml:space="preserve">āris </w:t>
      </w:r>
      <w:r w:rsidR="00D02590">
        <w:rPr>
          <w:sz w:val="28"/>
          <w:szCs w:val="28"/>
        </w:rPr>
        <w:t>Kučinskis</w:t>
      </w:r>
      <w:r w:rsidRPr="008325C3">
        <w:rPr>
          <w:sz w:val="28"/>
          <w:szCs w:val="28"/>
        </w:rPr>
        <w:t> </w:t>
      </w:r>
    </w:p>
    <w:p w14:paraId="0B77D69D" w14:textId="77777777" w:rsidR="00292EE3" w:rsidRDefault="00292EE3" w:rsidP="003D64A1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7042D3E4" w14:textId="77777777" w:rsidR="004C5AD9" w:rsidRDefault="004C5AD9" w:rsidP="003D64A1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0F7107BA" w14:textId="5F3B0906" w:rsidR="00292EE3" w:rsidRDefault="00D02590" w:rsidP="003D64A1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="00292EE3">
        <w:rPr>
          <w:sz w:val="28"/>
          <w:szCs w:val="28"/>
        </w:rPr>
        <w:t xml:space="preserve"> </w:t>
      </w:r>
      <w:r w:rsidR="00292EE3">
        <w:rPr>
          <w:sz w:val="28"/>
          <w:szCs w:val="28"/>
        </w:rPr>
        <w:tab/>
      </w:r>
      <w:r w:rsidR="00292EE3">
        <w:rPr>
          <w:sz w:val="28"/>
          <w:szCs w:val="28"/>
        </w:rPr>
        <w:tab/>
      </w:r>
      <w:r w:rsidR="00292EE3">
        <w:rPr>
          <w:sz w:val="28"/>
          <w:szCs w:val="28"/>
        </w:rPr>
        <w:tab/>
      </w:r>
      <w:r w:rsidR="00292EE3">
        <w:rPr>
          <w:sz w:val="28"/>
          <w:szCs w:val="28"/>
        </w:rPr>
        <w:tab/>
      </w:r>
      <w:r w:rsidR="00292EE3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D90B7E">
        <w:rPr>
          <w:sz w:val="28"/>
          <w:szCs w:val="28"/>
        </w:rPr>
        <w:t xml:space="preserve">ānis </w:t>
      </w:r>
      <w:r>
        <w:rPr>
          <w:sz w:val="28"/>
          <w:szCs w:val="28"/>
        </w:rPr>
        <w:t>Dūklavs</w:t>
      </w:r>
    </w:p>
    <w:p w14:paraId="7E421101" w14:textId="77777777" w:rsidR="00292EE3" w:rsidRDefault="00292EE3" w:rsidP="002B6B74">
      <w:pPr>
        <w:jc w:val="both"/>
        <w:rPr>
          <w:sz w:val="20"/>
          <w:szCs w:val="20"/>
        </w:rPr>
      </w:pPr>
    </w:p>
    <w:p w14:paraId="47935A89" w14:textId="3E0B6C3D" w:rsidR="00292EE3" w:rsidRDefault="00292EE3" w:rsidP="002B6B74">
      <w:pPr>
        <w:jc w:val="both"/>
        <w:rPr>
          <w:sz w:val="20"/>
          <w:szCs w:val="20"/>
        </w:rPr>
      </w:pPr>
    </w:p>
    <w:sectPr w:rsidR="00292EE3" w:rsidSect="00715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F255" w14:textId="77777777" w:rsidR="000B2DDF" w:rsidRDefault="000B2DDF" w:rsidP="00077912">
      <w:pPr>
        <w:pStyle w:val="naisf"/>
      </w:pPr>
      <w:r>
        <w:separator/>
      </w:r>
    </w:p>
  </w:endnote>
  <w:endnote w:type="continuationSeparator" w:id="0">
    <w:p w14:paraId="3E3EB7EA" w14:textId="77777777" w:rsidR="000B2DDF" w:rsidRDefault="000B2DDF" w:rsidP="00077912">
      <w:pPr>
        <w:pStyle w:val="nais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5749" w14:textId="77777777" w:rsidR="00CD06FE" w:rsidRDefault="00CD06F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7BEE" w14:textId="6EBB1BF1" w:rsidR="00292EE3" w:rsidRPr="004C5AD9" w:rsidRDefault="004C5AD9" w:rsidP="004C5AD9">
    <w:pPr>
      <w:pStyle w:val="Kjene"/>
    </w:pPr>
    <w:r w:rsidRPr="004C5AD9">
      <w:rPr>
        <w:sz w:val="20"/>
        <w:szCs w:val="20"/>
      </w:rPr>
      <w:t>Z</w:t>
    </w:r>
    <w:r w:rsidR="002A7844">
      <w:rPr>
        <w:sz w:val="20"/>
        <w:szCs w:val="20"/>
      </w:rPr>
      <w:t>M</w:t>
    </w:r>
    <w:r w:rsidR="00A6586F">
      <w:rPr>
        <w:sz w:val="20"/>
        <w:szCs w:val="20"/>
      </w:rPr>
      <w:t>n</w:t>
    </w:r>
    <w:r w:rsidR="002A7844">
      <w:rPr>
        <w:sz w:val="20"/>
        <w:szCs w:val="20"/>
      </w:rPr>
      <w:t>ot_1306</w:t>
    </w:r>
    <w:r w:rsidRPr="004C5AD9">
      <w:rPr>
        <w:sz w:val="20"/>
        <w:szCs w:val="20"/>
      </w:rPr>
      <w:t>18_epizoot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3194" w14:textId="13B8C0C5" w:rsidR="00292EE3" w:rsidRPr="004C5AD9" w:rsidRDefault="004C5AD9" w:rsidP="004C5AD9">
    <w:pPr>
      <w:pStyle w:val="Kjene"/>
    </w:pPr>
    <w:r w:rsidRPr="004C5AD9">
      <w:rPr>
        <w:sz w:val="20"/>
        <w:szCs w:val="20"/>
      </w:rPr>
      <w:t>Z</w:t>
    </w:r>
    <w:r w:rsidR="002A7844">
      <w:rPr>
        <w:sz w:val="20"/>
        <w:szCs w:val="20"/>
      </w:rPr>
      <w:t>M</w:t>
    </w:r>
    <w:r w:rsidR="00A6586F">
      <w:rPr>
        <w:sz w:val="20"/>
        <w:szCs w:val="20"/>
      </w:rPr>
      <w:t>n</w:t>
    </w:r>
    <w:bookmarkStart w:id="0" w:name="_GoBack"/>
    <w:bookmarkEnd w:id="0"/>
    <w:r w:rsidR="002A7844">
      <w:rPr>
        <w:sz w:val="20"/>
        <w:szCs w:val="20"/>
      </w:rPr>
      <w:t>ot_1306</w:t>
    </w:r>
    <w:r w:rsidRPr="004C5AD9">
      <w:rPr>
        <w:sz w:val="20"/>
        <w:szCs w:val="20"/>
      </w:rPr>
      <w:t>18_epizoot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4E10" w14:textId="77777777" w:rsidR="000B2DDF" w:rsidRDefault="000B2DDF" w:rsidP="00077912">
      <w:pPr>
        <w:pStyle w:val="naisf"/>
      </w:pPr>
      <w:r>
        <w:separator/>
      </w:r>
    </w:p>
  </w:footnote>
  <w:footnote w:type="continuationSeparator" w:id="0">
    <w:p w14:paraId="4AC5939C" w14:textId="77777777" w:rsidR="000B2DDF" w:rsidRDefault="000B2DDF" w:rsidP="00077912">
      <w:pPr>
        <w:pStyle w:val="nais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F768" w14:textId="77777777" w:rsidR="00CD06FE" w:rsidRDefault="00CD06F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FA40" w14:textId="4EBB70B3" w:rsidR="00292EE3" w:rsidRDefault="00292EE3" w:rsidP="00E9571F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CD06FE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5DAF" w14:textId="77777777" w:rsidR="00CD06FE" w:rsidRDefault="00CD06F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742"/>
    <w:multiLevelType w:val="hybridMultilevel"/>
    <w:tmpl w:val="D3224C82"/>
    <w:lvl w:ilvl="0" w:tplc="0A50FFD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8B639D"/>
    <w:multiLevelType w:val="hybridMultilevel"/>
    <w:tmpl w:val="A412EE76"/>
    <w:lvl w:ilvl="0" w:tplc="D540B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1E01460"/>
    <w:multiLevelType w:val="hybridMultilevel"/>
    <w:tmpl w:val="F876653A"/>
    <w:lvl w:ilvl="0" w:tplc="E886F6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CAF3F85"/>
    <w:multiLevelType w:val="hybridMultilevel"/>
    <w:tmpl w:val="A6546824"/>
    <w:lvl w:ilvl="0" w:tplc="632C2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6074AC5"/>
    <w:multiLevelType w:val="hybridMultilevel"/>
    <w:tmpl w:val="80F6BC2E"/>
    <w:lvl w:ilvl="0" w:tplc="D48A50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5"/>
    <w:rsid w:val="00021B5C"/>
    <w:rsid w:val="000260BB"/>
    <w:rsid w:val="000276AA"/>
    <w:rsid w:val="00033472"/>
    <w:rsid w:val="000452B0"/>
    <w:rsid w:val="000459DC"/>
    <w:rsid w:val="00071B76"/>
    <w:rsid w:val="00073548"/>
    <w:rsid w:val="00076DB3"/>
    <w:rsid w:val="00077912"/>
    <w:rsid w:val="0008156C"/>
    <w:rsid w:val="00081939"/>
    <w:rsid w:val="000B2DDF"/>
    <w:rsid w:val="000B4516"/>
    <w:rsid w:val="000F3C1B"/>
    <w:rsid w:val="001016A7"/>
    <w:rsid w:val="00114B9E"/>
    <w:rsid w:val="001363D0"/>
    <w:rsid w:val="00153545"/>
    <w:rsid w:val="001579B5"/>
    <w:rsid w:val="00171BB9"/>
    <w:rsid w:val="001A5C75"/>
    <w:rsid w:val="001B10BD"/>
    <w:rsid w:val="001C6AED"/>
    <w:rsid w:val="001D146E"/>
    <w:rsid w:val="001E5096"/>
    <w:rsid w:val="00200C7E"/>
    <w:rsid w:val="00207F1F"/>
    <w:rsid w:val="00210B3F"/>
    <w:rsid w:val="002178F5"/>
    <w:rsid w:val="002329D9"/>
    <w:rsid w:val="00263140"/>
    <w:rsid w:val="002644F1"/>
    <w:rsid w:val="00272907"/>
    <w:rsid w:val="002735E1"/>
    <w:rsid w:val="00276457"/>
    <w:rsid w:val="0028189E"/>
    <w:rsid w:val="0029120B"/>
    <w:rsid w:val="0029292F"/>
    <w:rsid w:val="00292EE3"/>
    <w:rsid w:val="002A7844"/>
    <w:rsid w:val="002B0515"/>
    <w:rsid w:val="002B2F05"/>
    <w:rsid w:val="002B3D83"/>
    <w:rsid w:val="002B6B74"/>
    <w:rsid w:val="002B76F7"/>
    <w:rsid w:val="002D0ED9"/>
    <w:rsid w:val="002E3E4B"/>
    <w:rsid w:val="002F6370"/>
    <w:rsid w:val="0033117C"/>
    <w:rsid w:val="00355BE8"/>
    <w:rsid w:val="00356F73"/>
    <w:rsid w:val="0036160F"/>
    <w:rsid w:val="00366E29"/>
    <w:rsid w:val="0037263F"/>
    <w:rsid w:val="00381CA7"/>
    <w:rsid w:val="00390BC2"/>
    <w:rsid w:val="003B3716"/>
    <w:rsid w:val="003B61B0"/>
    <w:rsid w:val="003D07A0"/>
    <w:rsid w:val="003D3B68"/>
    <w:rsid w:val="003D64A1"/>
    <w:rsid w:val="00407CBD"/>
    <w:rsid w:val="00410860"/>
    <w:rsid w:val="0041573E"/>
    <w:rsid w:val="0044314B"/>
    <w:rsid w:val="00445BDF"/>
    <w:rsid w:val="0045215F"/>
    <w:rsid w:val="00452A47"/>
    <w:rsid w:val="0046062A"/>
    <w:rsid w:val="00462C4D"/>
    <w:rsid w:val="00463820"/>
    <w:rsid w:val="0047742A"/>
    <w:rsid w:val="0048177B"/>
    <w:rsid w:val="00486A1D"/>
    <w:rsid w:val="0048747D"/>
    <w:rsid w:val="00495EE8"/>
    <w:rsid w:val="00497975"/>
    <w:rsid w:val="004A0139"/>
    <w:rsid w:val="004B517C"/>
    <w:rsid w:val="004B5CDD"/>
    <w:rsid w:val="004C0908"/>
    <w:rsid w:val="004C0E45"/>
    <w:rsid w:val="004C269A"/>
    <w:rsid w:val="004C3AD5"/>
    <w:rsid w:val="004C5AD9"/>
    <w:rsid w:val="004E62DC"/>
    <w:rsid w:val="00503EEA"/>
    <w:rsid w:val="00520CCB"/>
    <w:rsid w:val="00530A98"/>
    <w:rsid w:val="0053129D"/>
    <w:rsid w:val="00536F08"/>
    <w:rsid w:val="005601D0"/>
    <w:rsid w:val="005617C1"/>
    <w:rsid w:val="0058416B"/>
    <w:rsid w:val="005940E7"/>
    <w:rsid w:val="005C43AF"/>
    <w:rsid w:val="005C5EF8"/>
    <w:rsid w:val="005D0954"/>
    <w:rsid w:val="005E3C03"/>
    <w:rsid w:val="00602C22"/>
    <w:rsid w:val="006063AE"/>
    <w:rsid w:val="00611EB8"/>
    <w:rsid w:val="00613F3C"/>
    <w:rsid w:val="006149AA"/>
    <w:rsid w:val="00622396"/>
    <w:rsid w:val="006233EB"/>
    <w:rsid w:val="006266FC"/>
    <w:rsid w:val="00642283"/>
    <w:rsid w:val="00647B1C"/>
    <w:rsid w:val="006510C2"/>
    <w:rsid w:val="00652FBE"/>
    <w:rsid w:val="00656F65"/>
    <w:rsid w:val="00657A45"/>
    <w:rsid w:val="00661F5D"/>
    <w:rsid w:val="006708AA"/>
    <w:rsid w:val="006856CE"/>
    <w:rsid w:val="0069586B"/>
    <w:rsid w:val="006A4CC8"/>
    <w:rsid w:val="006B391B"/>
    <w:rsid w:val="006B6D4E"/>
    <w:rsid w:val="006C3371"/>
    <w:rsid w:val="006D51CD"/>
    <w:rsid w:val="006E5D9F"/>
    <w:rsid w:val="00715200"/>
    <w:rsid w:val="00720CB4"/>
    <w:rsid w:val="00725EDE"/>
    <w:rsid w:val="0076660C"/>
    <w:rsid w:val="007845C9"/>
    <w:rsid w:val="00787D3B"/>
    <w:rsid w:val="007961F2"/>
    <w:rsid w:val="007A2A04"/>
    <w:rsid w:val="007A66B3"/>
    <w:rsid w:val="007B5335"/>
    <w:rsid w:val="007C5375"/>
    <w:rsid w:val="007D0AE6"/>
    <w:rsid w:val="007E0C75"/>
    <w:rsid w:val="007F1787"/>
    <w:rsid w:val="00805A4F"/>
    <w:rsid w:val="008145E9"/>
    <w:rsid w:val="00821C34"/>
    <w:rsid w:val="0082502F"/>
    <w:rsid w:val="00825BD3"/>
    <w:rsid w:val="008325C3"/>
    <w:rsid w:val="008438B3"/>
    <w:rsid w:val="00852962"/>
    <w:rsid w:val="0088303F"/>
    <w:rsid w:val="00893A3E"/>
    <w:rsid w:val="008B7F5F"/>
    <w:rsid w:val="008F64F5"/>
    <w:rsid w:val="008F7F43"/>
    <w:rsid w:val="009104D8"/>
    <w:rsid w:val="009302E9"/>
    <w:rsid w:val="00937DCC"/>
    <w:rsid w:val="009736FD"/>
    <w:rsid w:val="00981138"/>
    <w:rsid w:val="00993C3A"/>
    <w:rsid w:val="009A34C0"/>
    <w:rsid w:val="009A7058"/>
    <w:rsid w:val="009B255E"/>
    <w:rsid w:val="00A06244"/>
    <w:rsid w:val="00A06BA8"/>
    <w:rsid w:val="00A16986"/>
    <w:rsid w:val="00A449BC"/>
    <w:rsid w:val="00A6586F"/>
    <w:rsid w:val="00A847AE"/>
    <w:rsid w:val="00A86D15"/>
    <w:rsid w:val="00AA68C4"/>
    <w:rsid w:val="00AB7880"/>
    <w:rsid w:val="00AC1AAE"/>
    <w:rsid w:val="00AC1C91"/>
    <w:rsid w:val="00AC3676"/>
    <w:rsid w:val="00AC6A04"/>
    <w:rsid w:val="00AD08C6"/>
    <w:rsid w:val="00AD79F2"/>
    <w:rsid w:val="00B32CCD"/>
    <w:rsid w:val="00B40069"/>
    <w:rsid w:val="00B521E1"/>
    <w:rsid w:val="00B65894"/>
    <w:rsid w:val="00B81C46"/>
    <w:rsid w:val="00B930F8"/>
    <w:rsid w:val="00B938F9"/>
    <w:rsid w:val="00BA21FB"/>
    <w:rsid w:val="00BA2896"/>
    <w:rsid w:val="00BB03A6"/>
    <w:rsid w:val="00BC1EC4"/>
    <w:rsid w:val="00BC50DA"/>
    <w:rsid w:val="00BD4E99"/>
    <w:rsid w:val="00BE6629"/>
    <w:rsid w:val="00BE6CF6"/>
    <w:rsid w:val="00BF01FB"/>
    <w:rsid w:val="00C02C89"/>
    <w:rsid w:val="00C175CF"/>
    <w:rsid w:val="00C2381D"/>
    <w:rsid w:val="00C23853"/>
    <w:rsid w:val="00C42A2F"/>
    <w:rsid w:val="00C50A9B"/>
    <w:rsid w:val="00C71D7D"/>
    <w:rsid w:val="00C72D60"/>
    <w:rsid w:val="00C777B4"/>
    <w:rsid w:val="00C87290"/>
    <w:rsid w:val="00C97853"/>
    <w:rsid w:val="00CA1F00"/>
    <w:rsid w:val="00CA6044"/>
    <w:rsid w:val="00CA6257"/>
    <w:rsid w:val="00CB2D50"/>
    <w:rsid w:val="00CD06FE"/>
    <w:rsid w:val="00CE06FD"/>
    <w:rsid w:val="00CF790E"/>
    <w:rsid w:val="00D02590"/>
    <w:rsid w:val="00D30EFA"/>
    <w:rsid w:val="00D34D9D"/>
    <w:rsid w:val="00D4253E"/>
    <w:rsid w:val="00D67F3A"/>
    <w:rsid w:val="00D90B7E"/>
    <w:rsid w:val="00D92B24"/>
    <w:rsid w:val="00DB2263"/>
    <w:rsid w:val="00DB4D47"/>
    <w:rsid w:val="00DD34F9"/>
    <w:rsid w:val="00DD3C88"/>
    <w:rsid w:val="00DE50BF"/>
    <w:rsid w:val="00DF0DE6"/>
    <w:rsid w:val="00DF3D18"/>
    <w:rsid w:val="00E11D0D"/>
    <w:rsid w:val="00E43F68"/>
    <w:rsid w:val="00E46258"/>
    <w:rsid w:val="00E579B9"/>
    <w:rsid w:val="00E6033C"/>
    <w:rsid w:val="00E75714"/>
    <w:rsid w:val="00E85E11"/>
    <w:rsid w:val="00E9571F"/>
    <w:rsid w:val="00EA6D3D"/>
    <w:rsid w:val="00EB4022"/>
    <w:rsid w:val="00EB4D22"/>
    <w:rsid w:val="00ED07D6"/>
    <w:rsid w:val="00ED3F2C"/>
    <w:rsid w:val="00EE25F3"/>
    <w:rsid w:val="00EF606B"/>
    <w:rsid w:val="00EF60AA"/>
    <w:rsid w:val="00F27A4D"/>
    <w:rsid w:val="00F36834"/>
    <w:rsid w:val="00F416AE"/>
    <w:rsid w:val="00F46C76"/>
    <w:rsid w:val="00F55CE1"/>
    <w:rsid w:val="00F64622"/>
    <w:rsid w:val="00F937FA"/>
    <w:rsid w:val="00FB43C4"/>
    <w:rsid w:val="00FB694D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4271C"/>
  <w15:docId w15:val="{3DD3C9CC-4132-4F46-8251-1BA1B4B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6D15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uiPriority w:val="99"/>
    <w:rsid w:val="00A1698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270B2D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270B2D"/>
    <w:rPr>
      <w:sz w:val="24"/>
      <w:szCs w:val="24"/>
      <w:lang w:eastAsia="en-US"/>
    </w:rPr>
  </w:style>
  <w:style w:type="paragraph" w:customStyle="1" w:styleId="naisf">
    <w:name w:val="naisf"/>
    <w:basedOn w:val="Parasts"/>
    <w:uiPriority w:val="99"/>
    <w:rsid w:val="00B930F8"/>
    <w:pPr>
      <w:spacing w:before="100" w:beforeAutospacing="1" w:after="100" w:afterAutospacing="1"/>
    </w:pPr>
    <w:rPr>
      <w:lang w:eastAsia="lv-LV"/>
    </w:rPr>
  </w:style>
  <w:style w:type="character" w:styleId="Lappusesnumurs">
    <w:name w:val="page number"/>
    <w:uiPriority w:val="99"/>
    <w:rsid w:val="00E9571F"/>
    <w:rPr>
      <w:rFonts w:cs="Times New Roman"/>
    </w:rPr>
  </w:style>
  <w:style w:type="character" w:styleId="Hipersaite">
    <w:name w:val="Hyperlink"/>
    <w:uiPriority w:val="99"/>
    <w:rsid w:val="000260BB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C175CF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C175CF"/>
    <w:rPr>
      <w:rFonts w:ascii="Tahoma" w:hAnsi="Tahoma"/>
      <w:sz w:val="16"/>
      <w:lang w:eastAsia="en-US"/>
    </w:rPr>
  </w:style>
  <w:style w:type="character" w:styleId="Komentraatsauce">
    <w:name w:val="annotation reference"/>
    <w:uiPriority w:val="99"/>
    <w:rsid w:val="00725EDE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725ED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725ED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725ED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725EDE"/>
    <w:rPr>
      <w:b/>
      <w:lang w:eastAsia="en-US"/>
    </w:rPr>
  </w:style>
  <w:style w:type="paragraph" w:styleId="Sarakstarindkopa">
    <w:name w:val="List Paragraph"/>
    <w:basedOn w:val="Parasts"/>
    <w:uiPriority w:val="99"/>
    <w:qFormat/>
    <w:rsid w:val="00E6033C"/>
    <w:pPr>
      <w:ind w:left="720"/>
      <w:contextualSpacing/>
    </w:p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076DB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pakvirsrakstsRakstz">
    <w:name w:val="Apakšvirsraksts Rakstz."/>
    <w:link w:val="Apakvirsraksts"/>
    <w:uiPriority w:val="99"/>
    <w:locked/>
    <w:rsid w:val="00076DB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2002.gada 19.marta noteikumos Nr.127 "Epizootiju uzliesmojuma likvidēšanas un draudu novēršanas kārtība"</vt:lpstr>
    </vt:vector>
  </TitlesOfParts>
  <Company>Zemkopības ministrija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19.marta noteikumos Nr.127 "Epizootiju uzliesmojuma likvidēšanas un draudu novēršanas kārtība"</dc:title>
  <dc:subject>noteikumu projekts</dc:subject>
  <dc:creator>Olita Vecuma-Veco</dc:creator>
  <dc:description>Olita.Vecuma-Veco@zm.gov.lv, 67027551</dc:description>
  <cp:lastModifiedBy>Olita Vecuma-Veco</cp:lastModifiedBy>
  <cp:revision>2</cp:revision>
  <cp:lastPrinted>2012-08-07T10:22:00Z</cp:lastPrinted>
  <dcterms:created xsi:type="dcterms:W3CDTF">2018-06-13T09:00:00Z</dcterms:created>
  <dcterms:modified xsi:type="dcterms:W3CDTF">2018-06-13T09:00:00Z</dcterms:modified>
</cp:coreProperties>
</file>