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5288" w14:textId="149D26D9" w:rsidR="00894C55" w:rsidRPr="001061CD" w:rsidRDefault="00CA1DA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1879356480"/>
          <w:placeholder>
            <w:docPart w:val="B2513C7936974E769D1103048039203D"/>
          </w:placeholder>
        </w:sdtPr>
        <w:sdtEndPr/>
        <w:sdtContent>
          <w:r w:rsidR="00012A56" w:rsidRPr="001061CD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 xml:space="preserve">Ministru </w:t>
          </w:r>
          <w:r w:rsidR="00F377F6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k</w:t>
          </w:r>
          <w:r w:rsidR="00012A56" w:rsidRPr="001061CD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abineta rīkojuma “Par Nacionālo bruņoto spēku standarta ieroču noteikšanu un iepirk</w:t>
          </w:r>
          <w:r w:rsidR="009E77A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šanu</w:t>
          </w:r>
          <w:r w:rsidR="00012A56" w:rsidRPr="001061CD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”</w:t>
          </w:r>
        </w:sdtContent>
      </w:sdt>
      <w:r w:rsidR="008F5BF9" w:rsidRPr="001061C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B0BF9" w:rsidRPr="001061C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F5BF9" w:rsidRPr="001061CD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76D218E0" w14:textId="77777777" w:rsidR="00E5323B" w:rsidRPr="001061CD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5372DF" w14:paraId="2FAB8DB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31AC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372DF" w14:paraId="52DCB41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A307" w14:textId="77777777" w:rsidR="00E5323B" w:rsidRPr="001061CD" w:rsidRDefault="008F5BF9" w:rsidP="009E77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</w:t>
            </w:r>
            <w:r w:rsidR="009E77A3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63AAE" w14:textId="7CA741AB" w:rsidR="00D455E5" w:rsidRPr="001061CD" w:rsidRDefault="008F5BF9" w:rsidP="00C2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abineta rīkojum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Nacionālo bruņoto spēku standarta ieroču noteikšanu un iepirk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šanu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Projekts) 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izstrādāts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standartizētu Nacionālo bruņoto spēku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NBS)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inventārā esošos un turpmāk iepērkamos strēlnieku un netiešā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uguns atbalsta ieročus un 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atceltu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abineta 2005.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rīkojumu Nr.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90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990123" w:rsidRPr="00990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ieroču modeļu noteikšanu un iepirkumu Nacionālo bruņoto spēku vajadzībām</w:t>
            </w:r>
            <w:r w:rsidR="00990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8937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(turpmāk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Rīkojums Nr. 494)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B0E6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065F7B5" w14:textId="37241F25" w:rsidR="00E5323B" w:rsidRPr="00C2260E" w:rsidRDefault="00E5323B" w:rsidP="00C2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77F4DDCB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372DF" w14:paraId="43C551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AAFD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372DF" w14:paraId="6599DA2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C2F4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FC528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B8A6A" w14:textId="4C383D52" w:rsidR="00E5323B" w:rsidRPr="00C2260E" w:rsidRDefault="008F5BF9" w:rsidP="0038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34690A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izstrādāts</w:t>
            </w:r>
            <w:r w:rsidR="0034690A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="0034690A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</w:t>
            </w:r>
            <w:r w:rsidR="00643C3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2016.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maija </w:t>
            </w:r>
            <w:r w:rsidR="009E77A3" w:rsidRP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Māra Kučinska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Valdības rīcības plāna uzdevumiem Nr.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076 un 077, kas paredz jaunu ieroču</w:t>
            </w:r>
            <w:r w:rsidR="003A3B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ieroču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sistēmu iegādi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Nacionālo bruņoto spēku (turpmāk – </w:t>
            </w:r>
            <w:r w:rsidR="0038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9E7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Zemessardzes vienību </w:t>
            </w:r>
            <w:r w:rsidR="003A3B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apbruņošanai un apmācībai, lai nodrošinātu to kaujas spēj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3A3B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atbilstību Ziemeļatlantijas līgum</w:t>
            </w:r>
            <w:r w:rsidR="00E03E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A3B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organizācijas (turpmāk – NATO) </w:t>
            </w:r>
            <w:r w:rsidR="0038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standartiem.</w:t>
            </w:r>
          </w:p>
        </w:tc>
      </w:tr>
      <w:tr w:rsidR="005372DF" w14:paraId="07AED96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2D53F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ABE0" w14:textId="5C5E1557" w:rsidR="00F54560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24D253F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46D81E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D556F0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D79EDE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BE6729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83C082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102020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AADBF24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380392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4C0569" w14:textId="77777777" w:rsidR="00F54560" w:rsidRPr="00F54560" w:rsidRDefault="00F54560" w:rsidP="00F54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587F8" w14:textId="40EDC930" w:rsidR="00E5323B" w:rsidRPr="00F54560" w:rsidRDefault="00E5323B" w:rsidP="00914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D8FFC" w14:textId="22B28DC5" w:rsidR="00EB3042" w:rsidRDefault="008F5BF9" w:rsidP="00D3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Šobrīd NBS iepērk ieroču</w:t>
            </w:r>
            <w:r w:rsidR="00382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un ieroču sistēmas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</w:t>
            </w:r>
            <w:r w:rsidR="00E03EC8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E03E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03EC8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494, kas tika pieņemts 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2005.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neilgi pēc iestāšanās NATO. Kopš tā laika NBS ir </w:t>
            </w:r>
            <w:r w:rsidR="00B06EC1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ievies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uši</w:t>
            </w:r>
            <w:r w:rsidR="00B06EC1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turpinās ieviest jaunas ieroču sistēmas, tomēr,</w:t>
            </w:r>
            <w:r w:rsid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secināts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122AEC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ai </w:t>
            </w:r>
            <w:r w:rsid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nodrošinātu </w:t>
            </w:r>
            <w:r w:rsidR="00911146" w:rsidRP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ieroču vienveidīgumu, paātrinātu iepirkuma procedūr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</w:t>
            </w:r>
            <w:r w:rsidR="00911146" w:rsidRP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pamatotu noteiktu ieroču modeļu izvēli iepirkumos</w:t>
            </w:r>
            <w:r w:rsid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911146" w:rsidRPr="00911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061CD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svarīgi standartizēt NBS izmantotos ieročus. </w:t>
            </w:r>
          </w:p>
          <w:p w14:paraId="57D987B1" w14:textId="24758904" w:rsidR="00E5323B" w:rsidRDefault="008F5BF9" w:rsidP="00D32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</w:t>
            </w:r>
            <w:r w:rsidR="00B2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rīcībā šobrīd 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B2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4F3786A3" w14:textId="0A63268A" w:rsidR="00B25B57" w:rsidRDefault="008F5BF9" w:rsidP="00D3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Pistoles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šobrīd izmanto 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četru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veid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Ges.m.b.H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ražot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div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kalibr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(9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un 11,43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mm)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pistoles (</w:t>
            </w:r>
            <w:proofErr w:type="spellStart"/>
            <w:r w:rsidR="00F377F6" w:rsidRPr="00E44D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77F6" w:rsidRPr="004A4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17, 19, 21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F377F6" w:rsidRPr="004A4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26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00476E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pistoles NBS tiek izmantotas kopš 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2005.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šobrīd ar </w:t>
            </w:r>
            <w:proofErr w:type="spellStart"/>
            <w:r w:rsidR="0000476E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pistolēm tiek pārapbruņota gan Valsts policija, gan Valsts robežsardze, standartizējot bruņojumu </w:t>
            </w:r>
            <w:proofErr w:type="spellStart"/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</w:t>
            </w:r>
            <w:r w:rsidR="009746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esoru</w:t>
            </w:r>
            <w:proofErr w:type="spellEnd"/>
            <w:r w:rsidR="000047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līmenī.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5E0B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6E5E0B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5E0B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 iekļauta tikai 9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proofErr w:type="spellStart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17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pistole, tomēr NBS bruņojums šobrīd ir papildināts ar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9</w:t>
            </w:r>
            <w:r w:rsidR="00F377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19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26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modeļiem. Savukārt 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11,43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kalibr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iepirktas </w:t>
            </w:r>
            <w:proofErr w:type="spellStart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Glock</w:t>
            </w:r>
            <w:proofErr w:type="spellEnd"/>
            <w:r w:rsidR="006E5E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21</w:t>
            </w:r>
            <w:r w:rsidR="006E5E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pistoles.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Turpmāk ir paredzēts iepirkt iepriekšminētās pistoles un to modifikācijas.</w:t>
            </w:r>
          </w:p>
          <w:p w14:paraId="2035064A" w14:textId="3D62F0C7" w:rsidR="0000476E" w:rsidRDefault="008F5BF9" w:rsidP="00885E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lastRenderedPageBreak/>
              <w:t>Raķešpistole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rīcībā ir viena veida 26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proofErr w:type="spellStart"/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signālpistole</w:t>
            </w:r>
            <w:proofErr w:type="spellEnd"/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85E3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P2A1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ko izmanto signālraķešu u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iluminācijas lādiņu palaišanai. </w:t>
            </w:r>
            <w:r w:rsidR="00885E3B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885E3B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85E3B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85E3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P2A1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netika iekļauta, bet 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kopš 1990.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gadiem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85E3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P2A1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izmantota visā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NBS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vienībās un ir standarta raķešpistole</w:t>
            </w:r>
            <w:r w:rsid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D3F0E04" w14:textId="369371FB" w:rsidR="0000476E" w:rsidRPr="00C41FBD" w:rsidRDefault="008F5BF9" w:rsidP="00D3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Mašīnpistoles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rīcībā ir 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div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mašīnpistoles: 9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r w:rsidR="00C41FBD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UMP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4,6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r w:rsidR="00C41FBD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MP7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Turpmāk plānots iepirkt </w:t>
            </w:r>
            <w:r w:rsidR="00C41FBD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UMP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C41FBD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MP7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markas mašīnpistoles, lai nodrošinātu efektīvāku un modernāku 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ieroci 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tuvas distances kaujās.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00D94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F00D94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00D94" w:rsidRPr="00885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nebija iekļauta 4,6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mašīnpistole </w:t>
            </w:r>
            <w:r w:rsidR="00F00D9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MP7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F00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iepirkta pēdējos gados speciālu uzdevumu veikšanai, kam nepieciešama patrona ar paaugstinātu caursišanas spēju. 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Paralēli NBS bruņojumā ir arī </w:t>
            </w:r>
            <w:r w:rsidR="00881729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MP5A3</w:t>
            </w:r>
            <w:r w:rsidR="008817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mašīnpistole, ko novecojušā dizaina un pieaugošo prasību dēļ turpmāk nav plānots iepirkt.</w:t>
            </w:r>
          </w:p>
          <w:p w14:paraId="67096DB7" w14:textId="699B8C50" w:rsidR="0000476E" w:rsidRDefault="008F5BF9" w:rsidP="00D3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Bises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šobrīd NBS bruņojumā ir trīs marku 12.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kalibra bises: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Winchester</w:t>
            </w:r>
            <w:proofErr w:type="spellEnd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1300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Remington</w:t>
            </w:r>
            <w:proofErr w:type="spellEnd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M870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Mossberg</w:t>
            </w:r>
            <w:proofErr w:type="spellEnd"/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41F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urpmāk plānots iepirkt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Remington</w:t>
            </w:r>
            <w:proofErr w:type="spellEnd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M870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markas bises un lietot pārējās bises līdz to resurs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beigām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spellStart"/>
            <w:r w:rsidR="00854A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Remington</w:t>
            </w:r>
            <w:proofErr w:type="spellEnd"/>
            <w:r w:rsidR="00854A0B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M870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bisi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plaši izmanto NATO bruņotie spēki visā pasaul</w:t>
            </w:r>
            <w:r w:rsidR="00F45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 </w:t>
            </w:r>
            <w:proofErr w:type="spellStart"/>
            <w:r w:rsidR="00F45C1A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Remington</w:t>
            </w:r>
            <w:proofErr w:type="spellEnd"/>
            <w:r w:rsidR="00F45C1A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M870</w:t>
            </w:r>
            <w:r w:rsidR="00F45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platformas elastību (maināmi stobri, laides un magazīnas), kas ļauj izmantot bisi dažādās situācijās, un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plaši pieejam</w:t>
            </w:r>
            <w:r w:rsidR="00F45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rezerves daļ</w:t>
            </w:r>
            <w:r w:rsidR="00F45C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plānots turpināt iepirkt </w:t>
            </w:r>
            <w:proofErr w:type="spellStart"/>
            <w:r w:rsidR="00B06EC1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Remington</w:t>
            </w:r>
            <w:proofErr w:type="spellEnd"/>
            <w:r w:rsidR="00B06EC1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M870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FC30382" w14:textId="7E2EE058" w:rsidR="0097332A" w:rsidRDefault="008F5BF9" w:rsidP="00D3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Triecienšautenes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izmanto </w:t>
            </w:r>
            <w:proofErr w:type="spellStart"/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Heckler&amp;Koch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ražotās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5,56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NATO standarta </w:t>
            </w:r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G-36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triecienšautenes un to modifikācijas kopš 2005.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tas ir galvenais 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auszemes spēku kājnieku ierocis, kas izplatīts </w:t>
            </w:r>
            <w:r w:rsidR="00B06E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visos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NBS. </w:t>
            </w:r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</w:t>
            </w:r>
            <w:r w:rsidR="00B06EC1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  <w:r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triecienšautenes tiek iepirktas arī Zemessardzes un Robežsardzes vajadzībām pārapbruņošanas kārtībā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76A8000" w14:textId="3297602B" w:rsidR="0097332A" w:rsidRDefault="008F5BF9" w:rsidP="00D324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Snaiperšautenes</w:t>
            </w:r>
            <w:proofErr w:type="spellEnd"/>
            <w:r w:rsidR="00DE0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bruņojumā ir plaša </w:t>
            </w:r>
            <w:proofErr w:type="spellStart"/>
            <w:r w:rsidR="00DE0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snaiperšaute</w:t>
            </w:r>
            <w:r w:rsidR="00E564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</w:t>
            </w:r>
            <w:r w:rsidR="00DE0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proofErr w:type="spellEnd"/>
            <w:r w:rsidR="00DE09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dažādība, kas sadārdzina un ierobežo to apkopi, tāpēc NBS piedāvā standartizēt 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sešu marku </w:t>
            </w:r>
            <w:proofErr w:type="spellStart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snaiperšautenes</w:t>
            </w:r>
            <w:proofErr w:type="spellEnd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trīs kalibros: 7,62 (.308), 8,6 (.338) un 12,7 (.50) mm. No saraksta ir izslēgtas vecākas un savu laiku nokalpojušas </w:t>
            </w:r>
            <w:proofErr w:type="spellStart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snaiperšautenes</w:t>
            </w:r>
            <w:proofErr w:type="spellEnd"/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</w:t>
            </w:r>
            <w:proofErr w:type="spellStart"/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Hecate</w:t>
            </w:r>
            <w:proofErr w:type="spellEnd"/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– II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(7,62 un 12,7</w:t>
            </w:r>
            <w:r w:rsidR="00DE3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versijas) un </w:t>
            </w:r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AW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Accuracy</w:t>
            </w:r>
            <w:proofErr w:type="spellEnd"/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International</w:t>
            </w:r>
            <w:proofErr w:type="spellEnd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Ltd</w:t>
            </w:r>
            <w:proofErr w:type="spellEnd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.) (7,62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mm). Saraksts ir papildināts ar šobrīd iepirktām un turpmāk iepērkamām modernām </w:t>
            </w:r>
            <w:proofErr w:type="spellStart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snaiperšautenēm</w:t>
            </w:r>
            <w:proofErr w:type="spellEnd"/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M14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(7,62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; </w:t>
            </w:r>
            <w:r w:rsidR="00311604" w:rsidRP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modernizēts modelis)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HK417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(7,62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mm)</w:t>
            </w:r>
            <w:r w:rsidR="003116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11604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AXMC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(7,62/8,6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mm), </w:t>
            </w:r>
            <w:proofErr w:type="spellStart"/>
            <w:r w:rsidR="00BA0D27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Barrett</w:t>
            </w:r>
            <w:proofErr w:type="spellEnd"/>
            <w:r w:rsidR="00BA0D27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M107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(12,7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mm) un </w:t>
            </w:r>
            <w:r w:rsidR="00BA0D27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AX50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(12,7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mm). </w:t>
            </w:r>
            <w:r w:rsidR="00BA0D27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M14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šautenes 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balstās uz 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Zemessardzes 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bruņojumā esošajām šautenēm, kuras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turpmāk izmantotu,</w:t>
            </w:r>
            <w:r w:rsidR="00BA0D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plānots modernizēt.</w:t>
            </w:r>
          </w:p>
          <w:p w14:paraId="3BBD3786" w14:textId="2E9DA534" w:rsidR="00C41FBD" w:rsidRDefault="008F5BF9" w:rsidP="0034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Ložmetēji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ir </w:t>
            </w:r>
            <w:r w:rsidR="003064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papildinājuši 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savu inventāru ar 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trim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lielāka kalibra ložmetējiem: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7,62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FN </w:t>
            </w:r>
            <w:proofErr w:type="spellStart"/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Herstal</w:t>
            </w:r>
            <w:proofErr w:type="spellEnd"/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ložmetējiem </w:t>
            </w:r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MINIMI</w:t>
            </w:r>
            <w:r w:rsidR="003414A5" w:rsidRP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(paralēli esošajam 5,56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MINIMI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un </w:t>
            </w:r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FN MAG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3414A5" w:rsidRP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12,7</w:t>
            </w:r>
            <w:r w:rsidR="001A4B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14A5" w:rsidRP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(.50cal) ložmetēj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3414A5" w:rsidRP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Browning</w:t>
            </w:r>
            <w:proofErr w:type="spellEnd"/>
            <w:r w:rsidR="003414A5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M2HB QCB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Šie ieroči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bijuši 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 rīcībā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ilgāku laiku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tomēr to izplatība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vienībās ir palielinājusies</w:t>
            </w:r>
            <w:r w:rsidR="0034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3D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standartizācij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D3C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ļautu atvieglot loģistik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tikai NBS, bet arī NATO ietvaros.</w:t>
            </w:r>
            <w:r w:rsidR="001433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507DA02" w14:textId="2454B566" w:rsidR="00500B8B" w:rsidRDefault="008F5BF9" w:rsidP="006E3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Granātšāvēji</w:t>
            </w:r>
            <w:proofErr w:type="spellEnd"/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NBS bruņojumā ir pieci </w:t>
            </w:r>
            <w:proofErr w:type="spellStart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granātšāvēji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Četri no tiem ir 40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un viens 84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proofErr w:type="spellStart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granātšāvējs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Līdz šim 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bija iekļauti tikai </w:t>
            </w:r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proofErr w:type="spellStart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zemstobra</w:t>
            </w:r>
            <w:proofErr w:type="spellEnd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granatšāvējs</w:t>
            </w:r>
            <w:proofErr w:type="spellEnd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AG36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automātiskais </w:t>
            </w:r>
            <w:proofErr w:type="spellStart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granātšāvējs</w:t>
            </w:r>
            <w:proofErr w:type="spellEnd"/>
            <w:r w:rsidR="006E3C86" w:rsidRP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GMG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Savukārt bruņojumā esošais </w:t>
            </w:r>
            <w:proofErr w:type="spellStart"/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Carl</w:t>
            </w:r>
            <w:proofErr w:type="spellEnd"/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Gustaf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84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proofErr w:type="spellStart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bezatsitiena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granātšāvējs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tika saņemts vairāk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kārt 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Zviedrijas un Norvēģijas, sākot ar 1990.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gadiem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netika iekļauts 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494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gan tā modifikācijas tiek plaši izmantotas gan profesionālās armijas daļās, gan Zemessardzē. Šobrīd paralēli 40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mm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AG36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GMG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granātšāvējiem</w:t>
            </w:r>
            <w:proofErr w:type="spellEnd"/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bruņojums ir papildināts ar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HK169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6E3C86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RBG-6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palielina sauszemes 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spēku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kaujas spēj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Ņemot vērā, ka 40x46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un 40x53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granātas ir plaši izplatītas NATO dalībvalstī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s, </w:t>
            </w:r>
            <w:r w:rsidR="006E3C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svarīgi </w:t>
            </w:r>
            <w:r w:rsidR="00F06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standartizēt dažādas nozīmes </w:t>
            </w:r>
            <w:proofErr w:type="spellStart"/>
            <w:r w:rsidR="00F06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granātšāvējus</w:t>
            </w:r>
            <w:proofErr w:type="spellEnd"/>
            <w:r w:rsidR="00F06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ir NBS rīcībā un </w:t>
            </w:r>
            <w:r w:rsidR="009C5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kurus </w:t>
            </w:r>
            <w:r w:rsidR="00F06D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paredzēts turpmāk iepirkt.</w:t>
            </w:r>
          </w:p>
          <w:p w14:paraId="79435FC1" w14:textId="26B26465" w:rsidR="00500B8B" w:rsidRDefault="008F5BF9" w:rsidP="004331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Raķešu palaišanas iekārtas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rīcībā ir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triju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raķešu palaišanas iekārtas, divas paredzētas gaisa mērķu iznīcināšanai (pretgaisa aizsardzība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un viena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tanku un bruņutehnikas iznīcināšanai. Līdz šim NBS nebija standartizējuši raķešu palaišanas iekārtas, jo ilgu laiku vienīgā raķešu sistēma NBS rīcībā bij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</w:t>
            </w:r>
            <w:r w:rsidR="00A45DDE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RBS-70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zenītraķete, ko ar </w:t>
            </w:r>
            <w:r w:rsidR="00C511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gadu papildinās arī </w:t>
            </w:r>
            <w:r w:rsidR="004331B8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FIM-92 </w:t>
            </w:r>
            <w:proofErr w:type="spellStart"/>
            <w:r w:rsidR="004C0A5C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Stinger</w:t>
            </w:r>
            <w:proofErr w:type="spellEnd"/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tuvas darbības pretgaisa aizsardzības </w:t>
            </w:r>
            <w:r w:rsidR="00854A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</w:t>
            </w:r>
            <w:r w:rsidR="004C0A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C5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Kopš 2008.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5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NBS rīcībā ir arī vadāmās prettanku raķešu sistēmas </w:t>
            </w:r>
            <w:r w:rsidR="00EC5817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SPIKE</w:t>
            </w:r>
            <w:r w:rsidR="00EC58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plānots iegādāties turpmāk un apbruņot gan sauszemes kājnieku, gan mehanizētās vienības (uzstādīt uz CVRT), gan jūras spēkus (uzstādīt uz kuģiem).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4C9E" w:rsidRPr="00974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SPIKE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piegādes ir paredzēts īstenot līdz 2023.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gadam,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2018.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04C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līgumu par kopējo summu 108 milj. EUR.</w:t>
            </w:r>
          </w:p>
          <w:p w14:paraId="28BD77EF" w14:textId="162074BF" w:rsidR="00500B8B" w:rsidRPr="0000476E" w:rsidRDefault="008F5BF9" w:rsidP="00A45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710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Mīnmetēji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NBS rīcībā mīnmetēji un cita veida netiešā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uguns atbalsta sistēmas ir bijuš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kopš 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1990.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gadiem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taču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iestājoties NATO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mīnmetēju bruņojums ir standartizēts, balstoties uz NATO 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kalibriem: 60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mm, 81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un 120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mm.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Kopš 1990.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gadiem NBS izma</w:t>
            </w:r>
            <w:r w:rsidR="00186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 81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un 120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mīnmetējus, ko 20</w:t>
            </w:r>
            <w:r w:rsidR="002E2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E2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 papildināja ar 60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E2B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mm mīn</w:t>
            </w:r>
            <w:r w:rsidR="00A4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metēju.</w:t>
            </w:r>
            <w:r w:rsidR="004331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Attiecīgi ir plānots turpmāk iepirkt, uzturēt un izmantot minēto kalibru mīnmetējus, lai nodrošinātu nepieciešamo kājnieku un mehanizēto vienību uguns atbalstu, kā arī ļautu efektīvāk integrēties NATO misijās un mācībās</w:t>
            </w:r>
            <w:r w:rsidR="00E03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372DF" w14:paraId="7FBB3B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611A3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F8B49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F26AB" w14:textId="77777777" w:rsidR="00E5323B" w:rsidRPr="001061CD" w:rsidRDefault="008F5BF9" w:rsidP="00C2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ir iesaistīta Aizsardzības ministrija un Nacionālie bruņotie spēki.</w:t>
            </w:r>
          </w:p>
        </w:tc>
      </w:tr>
      <w:tr w:rsidR="005372DF" w14:paraId="03F441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88EBB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87CAA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372B3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C7ECAF0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372DF" w14:paraId="1C617B0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38F2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372DF" w14:paraId="02E0FC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875BB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72C1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3E91" w14:textId="2625DD61" w:rsidR="00E5323B" w:rsidRPr="00C2260E" w:rsidRDefault="008F5BF9" w:rsidP="00C2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5372DF" w14:paraId="3F6B70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0022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E2E8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EC4DA" w14:textId="762B77C2" w:rsidR="008B0F3B" w:rsidRPr="00D34515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34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Paredzams, ka </w:t>
            </w:r>
            <w:r w:rsidR="00E06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pēc Projekta </w:t>
            </w:r>
            <w:r w:rsidRPr="00D34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apstiprināšanas </w:t>
            </w:r>
            <w:r w:rsidR="00E06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kabinetā</w:t>
            </w:r>
            <w:r w:rsidRPr="00D34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atvieglota iepirkuma procedūra </w:t>
            </w:r>
            <w:r w:rsidR="00D34515" w:rsidRPr="00D34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NBS bruņojumā esošajiem ieročiem un plānotajiem ieročiem</w:t>
            </w:r>
            <w:r w:rsidR="00F46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samazināts administratīvais slogs </w:t>
            </w:r>
            <w:r w:rsidR="00F463BC" w:rsidRPr="00F46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aizsardzības militāro objektu un iepirkumu centra</w:t>
            </w:r>
            <w:r w:rsidR="00F46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D34515" w:rsidRPr="00D345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EA29CEF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5372DF" w14:paraId="1C822C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5D0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E449D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AEC90" w14:textId="77777777" w:rsidR="00E5323B" w:rsidRPr="00C2260E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3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paredz</w:t>
            </w:r>
            <w:r w:rsid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ēts</w:t>
            </w:r>
          </w:p>
        </w:tc>
      </w:tr>
      <w:tr w:rsidR="005372DF" w14:paraId="20AA2C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C792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316E3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1DD0E" w14:textId="77777777" w:rsidR="00E5323B" w:rsidRPr="00C2260E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3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paredzēts</w:t>
            </w:r>
          </w:p>
        </w:tc>
      </w:tr>
      <w:tr w:rsidR="005372DF" w14:paraId="3400CE4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23F06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9B28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4F611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DF66D69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054"/>
        <w:gridCol w:w="1571"/>
      </w:tblGrid>
      <w:tr w:rsidR="005372DF" w14:paraId="76771B74" w14:textId="77777777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130A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372DF" w14:paraId="2BE10833" w14:textId="77777777" w:rsidTr="00A8549F">
        <w:trPr>
          <w:tblCellSpacing w:w="15" w:type="dxa"/>
        </w:trPr>
        <w:tc>
          <w:tcPr>
            <w:tcW w:w="8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3384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2AE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2018</w:t>
            </w:r>
            <w:r w:rsidR="00E5323B"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-gads</w:t>
            </w:r>
          </w:p>
        </w:tc>
        <w:tc>
          <w:tcPr>
            <w:tcW w:w="296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41CC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1061CD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5372DF" w14:paraId="4ACE26A2" w14:textId="77777777" w:rsidTr="00A854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653D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D7C4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1E6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D84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7ECC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2021</w:t>
            </w:r>
          </w:p>
        </w:tc>
      </w:tr>
      <w:tr w:rsidR="005372DF" w14:paraId="1962C8EC" w14:textId="77777777" w:rsidTr="00A854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CFC7A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B62D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BEBC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D25E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3018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0D1F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D103D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D3EB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5372DF" w14:paraId="05FB7510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2C472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4AE4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E1DF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0813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6F22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47F6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95B1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5B4C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</w:t>
            </w:r>
          </w:p>
        </w:tc>
      </w:tr>
      <w:tr w:rsidR="005372DF" w14:paraId="0D1FC074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A36F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8AC7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 w:rsidR="00A8549F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C9A4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47C9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AE21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F061A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CC50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1419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02B9CF42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CC8E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0FB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DF2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EF2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7B0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209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71F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B9A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3EAC831D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0CD4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D0E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F4C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2FDF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37DB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AF1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D9B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07C4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3602BBBA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EC8C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3A9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3A4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689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26EE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6C0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E602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70B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72DA0C1F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9E9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906C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51CA3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833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95E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712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E809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E70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58C35018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008E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974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413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12C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4BC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42A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B1F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64D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2CFAD826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927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DE33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52F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EB7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A88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A97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692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0F5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5E05A0DF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E56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56D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1E9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A3E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CA5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EA8F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34F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2800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2A810D59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642E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F20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F50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5B20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C85B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10A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402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A4F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2DDB745A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D2D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753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D90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CD0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ABA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40A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EDE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7E1A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4416C3C4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B706B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9CE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1034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5D0E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A47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8D4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9B2D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FFC4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0D788404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0D9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6BEF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9E1F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CD2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118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B434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C43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98D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100F0799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565B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D725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88A78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0A50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8E69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02A1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7B9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CE1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097B3479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337C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78F3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6D92BE98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31A6AF87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62A88D81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749884B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5AFE9DCE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CBB6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C0A32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6E0FC40D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6DE12726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1A7C387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C051372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9C7CA90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E177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3C1D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78F12FA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6D80272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67E2B28B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7EE8643F" w14:textId="77777777" w:rsidR="00A8549F" w:rsidRPr="001061CD" w:rsidRDefault="00A8549F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345AB85A" w14:textId="77777777" w:rsidR="00A8549F" w:rsidRPr="001061CD" w:rsidRDefault="008F5BF9" w:rsidP="00A8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2B17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4D564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3F3A0B8F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8C2F3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B892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A024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5C86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332E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55E2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A7B4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76DBF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6EE2748D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384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DE25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04B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A636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02A06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2229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740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46F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4D157C9F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4AF9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EEC6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043C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6317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356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BEA1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31D4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5F64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0</w:t>
            </w:r>
          </w:p>
        </w:tc>
      </w:tr>
      <w:tr w:rsidR="005372DF" w14:paraId="33B9D4A8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CB82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7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1BB5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5372DF" w14:paraId="05CB575E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0C11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DC9E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5372DF" w14:paraId="7190985C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6CF0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3172" w14:textId="77777777" w:rsidR="00A8549F" w:rsidRPr="001061CD" w:rsidRDefault="00A8549F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5372DF" w14:paraId="2ADF7F9E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1F93B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375B" w14:textId="77777777" w:rsidR="00A8549F" w:rsidRPr="00C2260E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paredzētas</w:t>
            </w:r>
          </w:p>
        </w:tc>
      </w:tr>
      <w:tr w:rsidR="005372DF" w14:paraId="307C87FB" w14:textId="77777777" w:rsidTr="00A8549F">
        <w:trPr>
          <w:tblCellSpacing w:w="15" w:type="dxa"/>
        </w:trPr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F96E8" w14:textId="77777777" w:rsidR="00A8549F" w:rsidRPr="001061CD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7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1933" w14:textId="77777777" w:rsidR="00A8549F" w:rsidRPr="00C2260E" w:rsidRDefault="008F5BF9" w:rsidP="00A854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479627B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372DF" w14:paraId="04E7ED9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C84D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372DF" w14:paraId="715399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3905A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B140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DB4F4" w14:textId="7C9E4C67" w:rsidR="00E5323B" w:rsidRPr="00C2260E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3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Atceļ 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abineta 2005.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rīkojumu Nr.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061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494 </w:t>
            </w:r>
            <w:r w:rsidR="00E06E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990123" w:rsidRPr="00990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ieroču modeļu noteikšanu un iepirkumu Nacionālo bruņoto spēku vajadzībām</w:t>
            </w:r>
            <w:r w:rsidR="009901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5372DF" w14:paraId="09E0E3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5146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C850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95C1" w14:textId="77777777" w:rsidR="0096392C" w:rsidRPr="0096392C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39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</w:p>
          <w:p w14:paraId="7D74EE24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5372DF" w14:paraId="7A4F337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69BE7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BB98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4856B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B76FF2D" w14:textId="7D7C67AB" w:rsidR="00E5323B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372DF" w14:paraId="0F7FDACB" w14:textId="77777777" w:rsidTr="004B7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2623" w14:textId="77777777" w:rsidR="004B70E0" w:rsidRPr="004B70E0" w:rsidRDefault="008F5BF9" w:rsidP="004B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B70E0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372DF" w14:paraId="173A7789" w14:textId="77777777" w:rsidTr="004B70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5B90" w14:textId="61F9BA9D" w:rsidR="004B70E0" w:rsidRPr="008937A1" w:rsidRDefault="008F5BF9" w:rsidP="008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8937A1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  <w:r w:rsidR="00612EFF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1D9F5E0B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372DF" w14:paraId="2178E3E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9CD9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372DF" w14:paraId="101E475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1D0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F1073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D821" w14:textId="15A3B82B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tiks </w:t>
            </w:r>
            <w:r w:rsidR="00DA0FC3"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publicēts Ministru </w:t>
            </w:r>
            <w:r w:rsidR="0061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DA0FC3"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abineta mājaslapā 10 </w:t>
            </w:r>
            <w:r w:rsidR="00093708"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darba dienu </w:t>
            </w:r>
            <w:r w:rsidR="00DA0FC3"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saskaņošanai pēc izsludināšanas</w:t>
            </w:r>
            <w:r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A0FC3"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sekretāru sanāksmē. </w:t>
            </w:r>
          </w:p>
        </w:tc>
      </w:tr>
      <w:tr w:rsidR="005372DF" w14:paraId="3C0EB8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079B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4C330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0E845" w14:textId="77777777" w:rsidR="00DA0FC3" w:rsidRPr="00093708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paredzēta</w:t>
            </w:r>
          </w:p>
          <w:p w14:paraId="725B851E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5372DF" w14:paraId="1AEE2DB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2F49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C90E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E724" w14:textId="77777777" w:rsidR="00E5323B" w:rsidRPr="00093708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  <w:tr w:rsidR="005372DF" w14:paraId="7C8CFC5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D8773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0DD0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89F88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93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7BAABCB" w14:textId="77777777" w:rsidR="00E5323B" w:rsidRPr="001061CD" w:rsidRDefault="008F5BF9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061CD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372DF" w14:paraId="1B0B75A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5825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372DF" w14:paraId="3E54D97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9ACD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B60DE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01FE8" w14:textId="44DD1034" w:rsidR="00E5323B" w:rsidRPr="00093708" w:rsidRDefault="008F5BF9" w:rsidP="0009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B0F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Aizsardzības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8B0F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aizsardzības militāro objektu un iepirkumu centrs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Nacionālie bruņotie spēki</w:t>
            </w:r>
          </w:p>
        </w:tc>
      </w:tr>
      <w:tr w:rsidR="005372DF" w14:paraId="70967A3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0120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005F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AE487" w14:textId="77777777" w:rsidR="00C2260E" w:rsidRPr="00C2260E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paredzēta</w:t>
            </w:r>
          </w:p>
          <w:p w14:paraId="217DC25F" w14:textId="77777777" w:rsidR="00E5323B" w:rsidRPr="001061C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5372DF" w14:paraId="12829A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A484" w14:textId="77777777" w:rsidR="00655F2C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4FDE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061CD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4D16A" w14:textId="77777777" w:rsidR="00E5323B" w:rsidRPr="001061CD" w:rsidRDefault="008F5BF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C226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762E721" w14:textId="77777777" w:rsidR="00C25B49" w:rsidRPr="001061CD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9AAD6" w14:textId="77777777" w:rsidR="00E5323B" w:rsidRPr="001061CD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BC961" w14:textId="6FC378C6" w:rsidR="00894C55" w:rsidRPr="001061CD" w:rsidRDefault="008F5BF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</w:t>
      </w:r>
      <w:r w:rsidRPr="001061CD">
        <w:rPr>
          <w:rFonts w:ascii="Times New Roman" w:hAnsi="Times New Roman" w:cs="Times New Roman"/>
          <w:sz w:val="28"/>
          <w:szCs w:val="28"/>
        </w:rPr>
        <w:t xml:space="preserve"> ministrs</w:t>
      </w:r>
      <w:r w:rsidRPr="00106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R.</w:t>
      </w:r>
      <w:r w:rsidR="00612E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Bergmanis</w:t>
      </w:r>
    </w:p>
    <w:p w14:paraId="43D96ED2" w14:textId="77777777" w:rsidR="00894C55" w:rsidRPr="001061C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77D4D60" w14:textId="77777777" w:rsidR="00894C55" w:rsidRPr="001061CD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0E229B" w14:textId="77777777" w:rsidR="00894C55" w:rsidRPr="001061C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528021" w14:textId="77777777" w:rsidR="00894C55" w:rsidRPr="001061C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0A5A83" w14:textId="77777777" w:rsidR="00894C55" w:rsidRPr="001061CD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23F3C57" w14:textId="0A8908E6" w:rsidR="00894C55" w:rsidRPr="001061CD" w:rsidRDefault="008F5B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G. </w:t>
      </w:r>
      <w:r w:rsidR="00C2260E">
        <w:rPr>
          <w:rFonts w:ascii="Times New Roman" w:hAnsi="Times New Roman" w:cs="Times New Roman"/>
          <w:sz w:val="24"/>
          <w:szCs w:val="28"/>
        </w:rPr>
        <w:t>Gudzuks</w:t>
      </w:r>
      <w:r>
        <w:rPr>
          <w:rFonts w:ascii="Times New Roman" w:hAnsi="Times New Roman" w:cs="Times New Roman"/>
          <w:sz w:val="24"/>
          <w:szCs w:val="28"/>
        </w:rPr>
        <w:t>,</w:t>
      </w:r>
      <w:r w:rsidR="00D133F8" w:rsidRPr="001061CD">
        <w:rPr>
          <w:rFonts w:ascii="Times New Roman" w:hAnsi="Times New Roman" w:cs="Times New Roman"/>
          <w:sz w:val="24"/>
          <w:szCs w:val="28"/>
        </w:rPr>
        <w:t xml:space="preserve"> 67</w:t>
      </w:r>
      <w:r w:rsidR="00C2260E">
        <w:rPr>
          <w:rFonts w:ascii="Times New Roman" w:hAnsi="Times New Roman" w:cs="Times New Roman"/>
          <w:sz w:val="24"/>
          <w:szCs w:val="28"/>
        </w:rPr>
        <w:t>335171</w:t>
      </w:r>
    </w:p>
    <w:p w14:paraId="6EFAACE5" w14:textId="77777777" w:rsidR="00894C55" w:rsidRPr="001061CD" w:rsidRDefault="008F5BF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Gustavs.gudzuks</w:t>
      </w:r>
      <w:r w:rsidRPr="001061CD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mod</w:t>
      </w:r>
      <w:r w:rsidRPr="001061CD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061CD" w:rsidSect="00BA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364B" w14:textId="77777777" w:rsidR="00DB7099" w:rsidRDefault="008F5BF9">
      <w:pPr>
        <w:spacing w:after="0" w:line="240" w:lineRule="auto"/>
      </w:pPr>
      <w:r>
        <w:separator/>
      </w:r>
    </w:p>
  </w:endnote>
  <w:endnote w:type="continuationSeparator" w:id="0">
    <w:p w14:paraId="00743636" w14:textId="77777777" w:rsidR="00DB7099" w:rsidRDefault="008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831AC" w14:textId="77777777" w:rsidR="00CA1DA6" w:rsidRDefault="00CA1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3CC8" w14:textId="34A00825" w:rsidR="001A4B70" w:rsidRPr="00894C55" w:rsidRDefault="00BA12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A1DA6">
      <w:rPr>
        <w:rFonts w:ascii="Times New Roman" w:hAnsi="Times New Roman" w:cs="Times New Roman"/>
        <w:noProof/>
        <w:sz w:val="20"/>
        <w:szCs w:val="20"/>
      </w:rPr>
      <w:t>AIMAnot_ierocu_standarti_02072018.docx</w:t>
    </w:r>
    <w:r>
      <w:rPr>
        <w:rFonts w:ascii="Times New Roman" w:hAnsi="Times New Roman" w:cs="Times New Roman"/>
        <w:sz w:val="20"/>
        <w:szCs w:val="20"/>
      </w:rPr>
      <w:fldChar w:fldCharType="end"/>
    </w:r>
    <w:bookmarkStart w:id="0" w:name="_GoBack"/>
    <w:bookmarkEnd w:id="0"/>
    <w:r w:rsidR="00CA1DA6" w:rsidRPr="00894C55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653A" w14:textId="1EDF9105" w:rsidR="001A4B70" w:rsidRPr="009A2654" w:rsidRDefault="008F5BF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="00CA1DA6">
      <w:rPr>
        <w:rFonts w:ascii="Times New Roman" w:hAnsi="Times New Roman" w:cs="Times New Roman"/>
        <w:sz w:val="20"/>
        <w:szCs w:val="20"/>
      </w:rPr>
      <w:fldChar w:fldCharType="separate"/>
    </w:r>
    <w:r w:rsidR="00CA1DA6">
      <w:rPr>
        <w:rFonts w:ascii="Times New Roman" w:hAnsi="Times New Roman" w:cs="Times New Roman"/>
        <w:noProof/>
        <w:sz w:val="20"/>
        <w:szCs w:val="20"/>
      </w:rPr>
      <w:t>AIMAnot_ierocu_standarti_02072018.docx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FA71F" w14:textId="77777777" w:rsidR="00DB7099" w:rsidRDefault="008F5BF9">
      <w:pPr>
        <w:spacing w:after="0" w:line="240" w:lineRule="auto"/>
      </w:pPr>
      <w:r>
        <w:separator/>
      </w:r>
    </w:p>
  </w:footnote>
  <w:footnote w:type="continuationSeparator" w:id="0">
    <w:p w14:paraId="0C7977EB" w14:textId="77777777" w:rsidR="00DB7099" w:rsidRDefault="008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2793" w14:textId="77777777" w:rsidR="00CA1DA6" w:rsidRDefault="00CA1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10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23AFD77" w14:textId="056D0B3C" w:rsidR="001A4B70" w:rsidRPr="00C25B49" w:rsidRDefault="008F5BF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A1DA6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A30DE" w14:textId="77777777" w:rsidR="00CA1DA6" w:rsidRDefault="00CA1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D2F7D2C"/>
    <w:multiLevelType w:val="hybridMultilevel"/>
    <w:tmpl w:val="2EB8D9A6"/>
    <w:lvl w:ilvl="0" w:tplc="7E62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F27216" w:tentative="1">
      <w:start w:val="1"/>
      <w:numFmt w:val="lowerLetter"/>
      <w:lvlText w:val="%2."/>
      <w:lvlJc w:val="left"/>
      <w:pPr>
        <w:ind w:left="1080" w:hanging="360"/>
      </w:pPr>
    </w:lvl>
    <w:lvl w:ilvl="2" w:tplc="46F20CEA" w:tentative="1">
      <w:start w:val="1"/>
      <w:numFmt w:val="lowerRoman"/>
      <w:lvlText w:val="%3."/>
      <w:lvlJc w:val="right"/>
      <w:pPr>
        <w:ind w:left="1800" w:hanging="180"/>
      </w:pPr>
    </w:lvl>
    <w:lvl w:ilvl="3" w:tplc="C458DC5E" w:tentative="1">
      <w:start w:val="1"/>
      <w:numFmt w:val="decimal"/>
      <w:lvlText w:val="%4."/>
      <w:lvlJc w:val="left"/>
      <w:pPr>
        <w:ind w:left="2520" w:hanging="360"/>
      </w:pPr>
    </w:lvl>
    <w:lvl w:ilvl="4" w:tplc="BD866284" w:tentative="1">
      <w:start w:val="1"/>
      <w:numFmt w:val="lowerLetter"/>
      <w:lvlText w:val="%5."/>
      <w:lvlJc w:val="left"/>
      <w:pPr>
        <w:ind w:left="3240" w:hanging="360"/>
      </w:pPr>
    </w:lvl>
    <w:lvl w:ilvl="5" w:tplc="EDD0FB3C" w:tentative="1">
      <w:start w:val="1"/>
      <w:numFmt w:val="lowerRoman"/>
      <w:lvlText w:val="%6."/>
      <w:lvlJc w:val="right"/>
      <w:pPr>
        <w:ind w:left="3960" w:hanging="180"/>
      </w:pPr>
    </w:lvl>
    <w:lvl w:ilvl="6" w:tplc="CA12C468" w:tentative="1">
      <w:start w:val="1"/>
      <w:numFmt w:val="decimal"/>
      <w:lvlText w:val="%7."/>
      <w:lvlJc w:val="left"/>
      <w:pPr>
        <w:ind w:left="4680" w:hanging="360"/>
      </w:pPr>
    </w:lvl>
    <w:lvl w:ilvl="7" w:tplc="43602818" w:tentative="1">
      <w:start w:val="1"/>
      <w:numFmt w:val="lowerLetter"/>
      <w:lvlText w:val="%8."/>
      <w:lvlJc w:val="left"/>
      <w:pPr>
        <w:ind w:left="5400" w:hanging="360"/>
      </w:pPr>
    </w:lvl>
    <w:lvl w:ilvl="8" w:tplc="AB5802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476E"/>
    <w:rsid w:val="00012A56"/>
    <w:rsid w:val="00057A26"/>
    <w:rsid w:val="00093708"/>
    <w:rsid w:val="001061CD"/>
    <w:rsid w:val="00122AEC"/>
    <w:rsid w:val="00143378"/>
    <w:rsid w:val="00146753"/>
    <w:rsid w:val="0018642C"/>
    <w:rsid w:val="001A4B70"/>
    <w:rsid w:val="00243426"/>
    <w:rsid w:val="002E1C05"/>
    <w:rsid w:val="002E2BF0"/>
    <w:rsid w:val="00304C9E"/>
    <w:rsid w:val="003064A0"/>
    <w:rsid w:val="00311604"/>
    <w:rsid w:val="003414A5"/>
    <w:rsid w:val="0034690A"/>
    <w:rsid w:val="00382AA3"/>
    <w:rsid w:val="003A3B35"/>
    <w:rsid w:val="003B0BF9"/>
    <w:rsid w:val="003D3CA4"/>
    <w:rsid w:val="003E0791"/>
    <w:rsid w:val="003F28AC"/>
    <w:rsid w:val="004331B8"/>
    <w:rsid w:val="004454FE"/>
    <w:rsid w:val="00456E40"/>
    <w:rsid w:val="00470E99"/>
    <w:rsid w:val="00471F27"/>
    <w:rsid w:val="004A4D63"/>
    <w:rsid w:val="004B70E0"/>
    <w:rsid w:val="004C0A5C"/>
    <w:rsid w:val="00500B8B"/>
    <w:rsid w:val="0050178F"/>
    <w:rsid w:val="005372DF"/>
    <w:rsid w:val="00540787"/>
    <w:rsid w:val="00612EFF"/>
    <w:rsid w:val="00643C3C"/>
    <w:rsid w:val="00655F2C"/>
    <w:rsid w:val="006B0E6C"/>
    <w:rsid w:val="006E1081"/>
    <w:rsid w:val="006E3C86"/>
    <w:rsid w:val="006E5E0B"/>
    <w:rsid w:val="006F1751"/>
    <w:rsid w:val="00720585"/>
    <w:rsid w:val="00773AF6"/>
    <w:rsid w:val="00795F71"/>
    <w:rsid w:val="007E5F7A"/>
    <w:rsid w:val="007E73AB"/>
    <w:rsid w:val="00816C11"/>
    <w:rsid w:val="00854A0B"/>
    <w:rsid w:val="00862BAD"/>
    <w:rsid w:val="00881729"/>
    <w:rsid w:val="00885E3B"/>
    <w:rsid w:val="008937A1"/>
    <w:rsid w:val="00894C55"/>
    <w:rsid w:val="008B0F3B"/>
    <w:rsid w:val="008F5BF9"/>
    <w:rsid w:val="00911146"/>
    <w:rsid w:val="00914404"/>
    <w:rsid w:val="0096392C"/>
    <w:rsid w:val="0097332A"/>
    <w:rsid w:val="009746EF"/>
    <w:rsid w:val="00990123"/>
    <w:rsid w:val="009A2654"/>
    <w:rsid w:val="009C559E"/>
    <w:rsid w:val="009E77A3"/>
    <w:rsid w:val="00A10FC3"/>
    <w:rsid w:val="00A45DDE"/>
    <w:rsid w:val="00A6073E"/>
    <w:rsid w:val="00A71008"/>
    <w:rsid w:val="00A8549F"/>
    <w:rsid w:val="00AC01FA"/>
    <w:rsid w:val="00AE5567"/>
    <w:rsid w:val="00AF1239"/>
    <w:rsid w:val="00B06EC1"/>
    <w:rsid w:val="00B16480"/>
    <w:rsid w:val="00B2165C"/>
    <w:rsid w:val="00B25B57"/>
    <w:rsid w:val="00BA0D27"/>
    <w:rsid w:val="00BA12C8"/>
    <w:rsid w:val="00BA20AA"/>
    <w:rsid w:val="00BD4425"/>
    <w:rsid w:val="00C2260E"/>
    <w:rsid w:val="00C25B49"/>
    <w:rsid w:val="00C41FBD"/>
    <w:rsid w:val="00C51128"/>
    <w:rsid w:val="00C82ACC"/>
    <w:rsid w:val="00CA1DA6"/>
    <w:rsid w:val="00CC0D2D"/>
    <w:rsid w:val="00CE5657"/>
    <w:rsid w:val="00CF5807"/>
    <w:rsid w:val="00D05EB7"/>
    <w:rsid w:val="00D133F8"/>
    <w:rsid w:val="00D14A3E"/>
    <w:rsid w:val="00D215F5"/>
    <w:rsid w:val="00D3249C"/>
    <w:rsid w:val="00D34515"/>
    <w:rsid w:val="00D455E5"/>
    <w:rsid w:val="00D70910"/>
    <w:rsid w:val="00D7546C"/>
    <w:rsid w:val="00DA0FC3"/>
    <w:rsid w:val="00DB7099"/>
    <w:rsid w:val="00DE09B7"/>
    <w:rsid w:val="00DE3F20"/>
    <w:rsid w:val="00E0367A"/>
    <w:rsid w:val="00E03EC8"/>
    <w:rsid w:val="00E06EA4"/>
    <w:rsid w:val="00E3716B"/>
    <w:rsid w:val="00E44D20"/>
    <w:rsid w:val="00E5323B"/>
    <w:rsid w:val="00E56454"/>
    <w:rsid w:val="00E8749E"/>
    <w:rsid w:val="00E90C01"/>
    <w:rsid w:val="00EA486E"/>
    <w:rsid w:val="00EB3042"/>
    <w:rsid w:val="00EC5817"/>
    <w:rsid w:val="00F00D94"/>
    <w:rsid w:val="00F06D26"/>
    <w:rsid w:val="00F23D99"/>
    <w:rsid w:val="00F377F6"/>
    <w:rsid w:val="00F45C1A"/>
    <w:rsid w:val="00F463BC"/>
    <w:rsid w:val="00F54560"/>
    <w:rsid w:val="00F57B0C"/>
    <w:rsid w:val="00FE709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39774"/>
  <w15:docId w15:val="{3D3AC1CF-B0B5-4813-B065-9923ADF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6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1C032B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1A724C"/>
    <w:rsid w:val="001C032B"/>
    <w:rsid w:val="00344186"/>
    <w:rsid w:val="00472F39"/>
    <w:rsid w:val="00523A63"/>
    <w:rsid w:val="00676765"/>
    <w:rsid w:val="008B623B"/>
    <w:rsid w:val="008D39C9"/>
    <w:rsid w:val="009C1B4C"/>
    <w:rsid w:val="00AD4A2F"/>
    <w:rsid w:val="00B3767C"/>
    <w:rsid w:val="00C00671"/>
    <w:rsid w:val="00D550B4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E183E-0040-4F6D-9112-02979BBE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7120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Gustavs Gudzuks</cp:lastModifiedBy>
  <cp:revision>4</cp:revision>
  <cp:lastPrinted>2018-07-02T13:27:00Z</cp:lastPrinted>
  <dcterms:created xsi:type="dcterms:W3CDTF">2018-06-28T11:27:00Z</dcterms:created>
  <dcterms:modified xsi:type="dcterms:W3CDTF">2018-07-02T13:28:00Z</dcterms:modified>
</cp:coreProperties>
</file>