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69734C86" w:rsidR="009A312E" w:rsidRDefault="00573648" w:rsidP="009A312E">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894D2B">
        <w:rPr>
          <w:rFonts w:ascii="Times New Roman" w:eastAsia="Times New Roman" w:hAnsi="Times New Roman"/>
          <w:b/>
          <w:sz w:val="24"/>
          <w:szCs w:val="24"/>
          <w:lang w:eastAsia="lv-LV"/>
        </w:rPr>
        <w:t>"</w:t>
      </w:r>
      <w:r w:rsidR="00894D2B" w:rsidRPr="00894D2B">
        <w:rPr>
          <w:rFonts w:ascii="Times New Roman" w:eastAsia="Times New Roman" w:hAnsi="Times New Roman"/>
          <w:b/>
          <w:sz w:val="24"/>
          <w:szCs w:val="24"/>
          <w:lang w:eastAsia="lv-LV"/>
        </w:rPr>
        <w:t xml:space="preserve">Grozījumi Ministru kabineta </w:t>
      </w:r>
      <w:r w:rsidR="00505345" w:rsidRPr="00894D2B">
        <w:rPr>
          <w:rFonts w:ascii="Times New Roman" w:eastAsia="Times New Roman" w:hAnsi="Times New Roman"/>
          <w:b/>
          <w:sz w:val="24"/>
          <w:szCs w:val="24"/>
          <w:lang w:eastAsia="lv-LV"/>
        </w:rPr>
        <w:t>201</w:t>
      </w:r>
      <w:r w:rsidR="00505345">
        <w:rPr>
          <w:rFonts w:ascii="Times New Roman" w:eastAsia="Times New Roman" w:hAnsi="Times New Roman"/>
          <w:b/>
          <w:sz w:val="24"/>
          <w:szCs w:val="24"/>
          <w:lang w:eastAsia="lv-LV"/>
        </w:rPr>
        <w:t>8</w:t>
      </w:r>
      <w:r w:rsidR="00894D2B" w:rsidRPr="00894D2B">
        <w:rPr>
          <w:rFonts w:ascii="Times New Roman" w:eastAsia="Times New Roman" w:hAnsi="Times New Roman"/>
          <w:b/>
          <w:sz w:val="24"/>
          <w:szCs w:val="24"/>
          <w:lang w:eastAsia="lv-LV"/>
        </w:rPr>
        <w:t>. gad</w:t>
      </w:r>
      <w:r w:rsidR="00894D2B">
        <w:rPr>
          <w:rFonts w:ascii="Times New Roman" w:eastAsia="Times New Roman" w:hAnsi="Times New Roman"/>
          <w:b/>
          <w:sz w:val="24"/>
          <w:szCs w:val="24"/>
          <w:lang w:eastAsia="lv-LV"/>
        </w:rPr>
        <w:t>a 4. janvāra noteikumos Nr. 13 "</w:t>
      </w:r>
      <w:r w:rsidR="00894D2B" w:rsidRPr="00894D2B">
        <w:rPr>
          <w:rFonts w:ascii="Times New Roman" w:eastAsia="Times New Roman" w:hAnsi="Times New Roman"/>
          <w:b/>
          <w:sz w:val="24"/>
          <w:szCs w:val="24"/>
          <w:lang w:eastAsia="lv-LV"/>
        </w:rPr>
        <w:t xml:space="preserve">Darbības programmas </w:t>
      </w:r>
      <w:r w:rsidR="00894D2B">
        <w:rPr>
          <w:rFonts w:ascii="Times New Roman" w:eastAsia="Times New Roman" w:hAnsi="Times New Roman"/>
          <w:b/>
          <w:sz w:val="24"/>
          <w:szCs w:val="24"/>
          <w:lang w:eastAsia="lv-LV"/>
        </w:rPr>
        <w:t>"</w:t>
      </w:r>
      <w:r w:rsidR="00894D2B" w:rsidRPr="00894D2B">
        <w:rPr>
          <w:rFonts w:ascii="Times New Roman" w:eastAsia="Times New Roman" w:hAnsi="Times New Roman"/>
          <w:b/>
          <w:sz w:val="24"/>
          <w:szCs w:val="24"/>
          <w:lang w:eastAsia="lv-LV"/>
        </w:rPr>
        <w:t>Izaugsme un nodarbinātība</w:t>
      </w:r>
      <w:r w:rsidR="00894D2B">
        <w:rPr>
          <w:rFonts w:ascii="Times New Roman" w:eastAsia="Times New Roman" w:hAnsi="Times New Roman"/>
          <w:b/>
          <w:sz w:val="24"/>
          <w:szCs w:val="24"/>
          <w:lang w:eastAsia="lv-LV"/>
        </w:rPr>
        <w:t>"</w:t>
      </w:r>
      <w:r w:rsidR="00894D2B" w:rsidRPr="00894D2B">
        <w:rPr>
          <w:rFonts w:ascii="Times New Roman" w:eastAsia="Times New Roman" w:hAnsi="Times New Roman"/>
          <w:b/>
          <w:sz w:val="24"/>
          <w:szCs w:val="24"/>
          <w:lang w:eastAsia="lv-LV"/>
        </w:rPr>
        <w:t xml:space="preserve"> 4.</w:t>
      </w:r>
      <w:r w:rsidR="00894D2B">
        <w:rPr>
          <w:rFonts w:ascii="Times New Roman" w:eastAsia="Times New Roman" w:hAnsi="Times New Roman"/>
          <w:b/>
          <w:sz w:val="24"/>
          <w:szCs w:val="24"/>
          <w:lang w:eastAsia="lv-LV"/>
        </w:rPr>
        <w:t>2.1. specifiskā atbalsta mērķa "</w:t>
      </w:r>
      <w:r w:rsidR="00894D2B" w:rsidRPr="00894D2B">
        <w:rPr>
          <w:rFonts w:ascii="Times New Roman" w:eastAsia="Times New Roman" w:hAnsi="Times New Roman"/>
          <w:b/>
          <w:sz w:val="24"/>
          <w:szCs w:val="24"/>
          <w:lang w:eastAsia="lv-LV"/>
        </w:rPr>
        <w:t>Veicināt energoefektivitātes paaugstin</w:t>
      </w:r>
      <w:r w:rsidR="00894D2B">
        <w:rPr>
          <w:rFonts w:ascii="Times New Roman" w:eastAsia="Times New Roman" w:hAnsi="Times New Roman"/>
          <w:b/>
          <w:sz w:val="24"/>
          <w:szCs w:val="24"/>
          <w:lang w:eastAsia="lv-LV"/>
        </w:rPr>
        <w:t>āšanu valsts un dzīvojamās ēkās" 4.2.1.2. pasākuma "</w:t>
      </w:r>
      <w:r w:rsidR="00894D2B" w:rsidRPr="00894D2B">
        <w:rPr>
          <w:rFonts w:ascii="Times New Roman" w:eastAsia="Times New Roman" w:hAnsi="Times New Roman"/>
          <w:b/>
          <w:sz w:val="24"/>
          <w:szCs w:val="24"/>
          <w:lang w:eastAsia="lv-LV"/>
        </w:rPr>
        <w:t xml:space="preserve">Veicināt energoefektivitātes paaugstināšanu valsts ēkās” otrās projektu iesniegumu atlases kārtas īstenošanas </w:t>
      </w:r>
      <w:r w:rsidR="00894D2B">
        <w:rPr>
          <w:rFonts w:ascii="Times New Roman" w:eastAsia="Times New Roman" w:hAnsi="Times New Roman"/>
          <w:b/>
          <w:sz w:val="24"/>
          <w:szCs w:val="24"/>
          <w:lang w:eastAsia="lv-LV"/>
        </w:rPr>
        <w:t>noteikumi""</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620C3A" w14:paraId="05BD48CA" w14:textId="77777777" w:rsidTr="00E85BF0">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573648" w:rsidP="00E85BF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620C3A" w14:paraId="3EB3020E" w14:textId="77777777" w:rsidTr="00E85BF0">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8B78B2" w:rsidRDefault="00573648" w:rsidP="00E85BF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w:t>
            </w:r>
            <w:r>
              <w:rPr>
                <w:rFonts w:ascii="Times New Roman" w:eastAsia="Times New Roman" w:hAnsi="Times New Roman"/>
                <w:sz w:val="24"/>
                <w:szCs w:val="24"/>
                <w:lang w:eastAsia="lv-LV"/>
              </w:rPr>
              <w:t>risinājums un projekta spēkā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CB2281" w14:textId="77777777" w:rsidR="00D85523" w:rsidRDefault="00573648" w:rsidP="00E85BF0">
            <w:pPr>
              <w:spacing w:after="0" w:line="240" w:lineRule="auto"/>
              <w:ind w:left="72"/>
              <w:jc w:val="both"/>
              <w:rPr>
                <w:rFonts w:ascii="Times New Roman" w:hAnsi="Times New Roman"/>
                <w:sz w:val="24"/>
                <w:szCs w:val="24"/>
              </w:rPr>
            </w:pPr>
            <w:r>
              <w:rPr>
                <w:rFonts w:ascii="Times New Roman" w:hAnsi="Times New Roman"/>
                <w:sz w:val="24"/>
                <w:szCs w:val="24"/>
              </w:rPr>
              <w:t>Projekta mērķis ir veikt grozījumus Ministru kabineta 2018.gada 4.janvāra noteikumos Nr.13:</w:t>
            </w:r>
          </w:p>
          <w:p w14:paraId="2E4BF429" w14:textId="62754186" w:rsidR="0073369E" w:rsidRDefault="00573648" w:rsidP="0073369E">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palielinot projektu īstenošanai pieejamā finansējuma apjomu;</w:t>
            </w:r>
          </w:p>
          <w:p w14:paraId="229490A2" w14:textId="257FAE3C" w:rsidR="0073369E" w:rsidRPr="0073369E" w:rsidRDefault="00573648" w:rsidP="0073369E">
            <w:pPr>
              <w:pStyle w:val="ListParagraph"/>
              <w:numPr>
                <w:ilvl w:val="0"/>
                <w:numId w:val="7"/>
              </w:numPr>
              <w:spacing w:after="0" w:line="240" w:lineRule="auto"/>
              <w:jc w:val="both"/>
              <w:rPr>
                <w:rFonts w:ascii="Times New Roman" w:hAnsi="Times New Roman"/>
                <w:sz w:val="24"/>
                <w:szCs w:val="24"/>
              </w:rPr>
            </w:pPr>
            <w:r w:rsidRPr="00D85523">
              <w:rPr>
                <w:rFonts w:ascii="Times New Roman" w:hAnsi="Times New Roman"/>
                <w:sz w:val="24"/>
                <w:szCs w:val="24"/>
              </w:rPr>
              <w:t>papild</w:t>
            </w:r>
            <w:r w:rsidR="00FD7112">
              <w:rPr>
                <w:rFonts w:ascii="Times New Roman" w:hAnsi="Times New Roman"/>
                <w:sz w:val="24"/>
                <w:szCs w:val="24"/>
              </w:rPr>
              <w:t>in</w:t>
            </w:r>
            <w:r w:rsidRPr="00D85523">
              <w:rPr>
                <w:rFonts w:ascii="Times New Roman" w:hAnsi="Times New Roman"/>
                <w:sz w:val="24"/>
                <w:szCs w:val="24"/>
              </w:rPr>
              <w:t>ot 4.2.1.2.pasākuma “Veic</w:t>
            </w:r>
            <w:r w:rsidRPr="00D85523">
              <w:rPr>
                <w:rFonts w:ascii="Times New Roman" w:hAnsi="Times New Roman"/>
                <w:sz w:val="24"/>
                <w:szCs w:val="24"/>
              </w:rPr>
              <w:t>ināt energoefektivitātes paaugstināšanu valsts ēkās” (turpmāk – 4.2.1.2.pasākums)</w:t>
            </w:r>
            <w:r w:rsidR="00D85523" w:rsidRPr="00D85523">
              <w:rPr>
                <w:rFonts w:ascii="Times New Roman" w:hAnsi="Times New Roman"/>
                <w:sz w:val="24"/>
                <w:szCs w:val="24"/>
              </w:rPr>
              <w:t xml:space="preserve"> </w:t>
            </w:r>
            <w:r w:rsidRPr="00D85523">
              <w:rPr>
                <w:rFonts w:ascii="Times New Roman" w:hAnsi="Times New Roman"/>
                <w:sz w:val="24"/>
                <w:szCs w:val="24"/>
              </w:rPr>
              <w:t>ietvaros atja</w:t>
            </w:r>
            <w:r w:rsidR="00D85523" w:rsidRPr="00D85523">
              <w:rPr>
                <w:rFonts w:ascii="Times New Roman" w:hAnsi="Times New Roman"/>
                <w:sz w:val="24"/>
                <w:szCs w:val="24"/>
              </w:rPr>
              <w:t>unojamo ēku sarak</w:t>
            </w:r>
            <w:r w:rsidR="00FD7112">
              <w:rPr>
                <w:rFonts w:ascii="Times New Roman" w:hAnsi="Times New Roman"/>
                <w:sz w:val="24"/>
                <w:szCs w:val="24"/>
              </w:rPr>
              <w:t>s</w:t>
            </w:r>
            <w:r w:rsidR="00D85523" w:rsidRPr="00D85523">
              <w:rPr>
                <w:rFonts w:ascii="Times New Roman" w:hAnsi="Times New Roman"/>
                <w:sz w:val="24"/>
                <w:szCs w:val="24"/>
              </w:rPr>
              <w:t>tu;</w:t>
            </w:r>
          </w:p>
          <w:p w14:paraId="40C832B7" w14:textId="77777777" w:rsidR="00D85523" w:rsidRPr="00D85523" w:rsidRDefault="00573648" w:rsidP="00D85523">
            <w:pPr>
              <w:pStyle w:val="ListParagraph"/>
              <w:numPr>
                <w:ilvl w:val="0"/>
                <w:numId w:val="7"/>
              </w:numPr>
              <w:spacing w:after="0" w:line="240" w:lineRule="auto"/>
              <w:jc w:val="both"/>
              <w:rPr>
                <w:rFonts w:ascii="Times New Roman" w:hAnsi="Times New Roman"/>
                <w:sz w:val="24"/>
                <w:szCs w:val="24"/>
              </w:rPr>
            </w:pPr>
            <w:r w:rsidRPr="00D85523">
              <w:rPr>
                <w:rFonts w:ascii="Times New Roman" w:hAnsi="Times New Roman"/>
                <w:sz w:val="24"/>
                <w:szCs w:val="24"/>
              </w:rPr>
              <w:t>mazinot administratīvo slogu 4.2.1.2.pasākuma īstenošanā iesaistītajām pusēm;</w:t>
            </w:r>
          </w:p>
          <w:p w14:paraId="6BED8862" w14:textId="77777777" w:rsidR="00B6430E" w:rsidRDefault="00573648" w:rsidP="00D85523">
            <w:pPr>
              <w:pStyle w:val="ListParagraph"/>
              <w:numPr>
                <w:ilvl w:val="0"/>
                <w:numId w:val="7"/>
              </w:numPr>
              <w:spacing w:after="0" w:line="240" w:lineRule="auto"/>
              <w:jc w:val="both"/>
              <w:rPr>
                <w:rFonts w:ascii="Times New Roman" w:hAnsi="Times New Roman"/>
                <w:sz w:val="24"/>
                <w:szCs w:val="24"/>
              </w:rPr>
            </w:pPr>
            <w:r w:rsidRPr="00D85523">
              <w:rPr>
                <w:rFonts w:ascii="Times New Roman" w:hAnsi="Times New Roman"/>
                <w:sz w:val="24"/>
                <w:szCs w:val="24"/>
              </w:rPr>
              <w:t xml:space="preserve">atvieglojot līguma par projekta īstenošanu, kas noslēgts ar </w:t>
            </w:r>
            <w:r w:rsidRPr="00D85523">
              <w:rPr>
                <w:rFonts w:ascii="Times New Roman" w:hAnsi="Times New Roman"/>
                <w:sz w:val="24"/>
                <w:szCs w:val="24"/>
              </w:rPr>
              <w:t>Centrālo finanšu un līgumu aģentūru grozījumu kārtību</w:t>
            </w:r>
            <w:r w:rsidR="00D85523">
              <w:rPr>
                <w:rFonts w:ascii="Times New Roman" w:hAnsi="Times New Roman"/>
                <w:sz w:val="24"/>
                <w:szCs w:val="24"/>
              </w:rPr>
              <w:t>;</w:t>
            </w:r>
          </w:p>
          <w:p w14:paraId="06AAE9F6" w14:textId="7C0D422D" w:rsidR="00D85523" w:rsidRDefault="00573648" w:rsidP="00D85523">
            <w:pPr>
              <w:spacing w:after="0" w:line="240" w:lineRule="auto"/>
              <w:jc w:val="both"/>
              <w:rPr>
                <w:rFonts w:ascii="Times New Roman" w:hAnsi="Times New Roman"/>
                <w:sz w:val="24"/>
                <w:szCs w:val="24"/>
              </w:rPr>
            </w:pPr>
            <w:r>
              <w:rPr>
                <w:rFonts w:ascii="Times New Roman" w:hAnsi="Times New Roman"/>
                <w:sz w:val="24"/>
                <w:szCs w:val="24"/>
              </w:rPr>
              <w:t>Grozījumu mērķis ir veicināt 4.2.1.2.pasākuma ietvaros pieejamā finansējuma apguvi un projektu īstenošanu</w:t>
            </w:r>
            <w:r w:rsidR="0073369E">
              <w:rPr>
                <w:rFonts w:ascii="Times New Roman" w:hAnsi="Times New Roman"/>
                <w:sz w:val="24"/>
                <w:szCs w:val="24"/>
              </w:rPr>
              <w:t xml:space="preserve"> </w:t>
            </w:r>
            <w:r>
              <w:rPr>
                <w:rFonts w:ascii="Times New Roman" w:hAnsi="Times New Roman"/>
                <w:sz w:val="24"/>
                <w:szCs w:val="24"/>
              </w:rPr>
              <w:t>2018.gada būvniecības sezonā.</w:t>
            </w:r>
          </w:p>
          <w:p w14:paraId="5533C901" w14:textId="455981E9" w:rsidR="00D85523" w:rsidRPr="00D85523" w:rsidRDefault="00573648" w:rsidP="00D85523">
            <w:pPr>
              <w:spacing w:after="0" w:line="240" w:lineRule="auto"/>
              <w:jc w:val="both"/>
              <w:rPr>
                <w:rFonts w:ascii="Times New Roman" w:hAnsi="Times New Roman"/>
                <w:sz w:val="24"/>
                <w:szCs w:val="24"/>
              </w:rPr>
            </w:pPr>
            <w:r>
              <w:rPr>
                <w:rFonts w:ascii="Times New Roman" w:hAnsi="Times New Roman"/>
                <w:sz w:val="24"/>
                <w:szCs w:val="24"/>
              </w:rPr>
              <w:t xml:space="preserve">Vēlamais grozījumu </w:t>
            </w:r>
            <w:r w:rsidR="0073369E">
              <w:rPr>
                <w:rFonts w:ascii="Times New Roman" w:hAnsi="Times New Roman"/>
                <w:sz w:val="24"/>
                <w:szCs w:val="24"/>
              </w:rPr>
              <w:t xml:space="preserve">spēkā </w:t>
            </w:r>
            <w:r>
              <w:rPr>
                <w:rFonts w:ascii="Times New Roman" w:hAnsi="Times New Roman"/>
                <w:sz w:val="24"/>
                <w:szCs w:val="24"/>
              </w:rPr>
              <w:t>stāšanās laiks ir 2018.ga</w:t>
            </w:r>
            <w:r w:rsidR="00671CDC">
              <w:rPr>
                <w:rFonts w:ascii="Times New Roman" w:hAnsi="Times New Roman"/>
                <w:sz w:val="24"/>
                <w:szCs w:val="24"/>
              </w:rPr>
              <w:t>d</w:t>
            </w:r>
            <w:r>
              <w:rPr>
                <w:rFonts w:ascii="Times New Roman" w:hAnsi="Times New Roman"/>
                <w:sz w:val="24"/>
                <w:szCs w:val="24"/>
              </w:rPr>
              <w:t>a jūnijs.</w:t>
            </w:r>
          </w:p>
        </w:tc>
      </w:tr>
    </w:tbl>
    <w:p w14:paraId="11E7A3E5" w14:textId="3F571C02" w:rsidR="00B6430E" w:rsidRPr="000028E2"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620C3A" w14:paraId="1D03D1D7" w14:textId="77777777" w:rsidTr="00E85BF0">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8B78B2" w:rsidRDefault="00573648" w:rsidP="00E85BF0">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620C3A" w14:paraId="30C2187F" w14:textId="77777777" w:rsidTr="00E85BF0">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6B1898EC" w:rsidR="009A312E" w:rsidRPr="008B78B2" w:rsidRDefault="00573648" w:rsidP="006A30B4">
            <w:pPr>
              <w:spacing w:after="0" w:line="240" w:lineRule="auto"/>
              <w:ind w:left="72"/>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w:t>
            </w:r>
            <w:r w:rsidR="005630E5">
              <w:rPr>
                <w:rFonts w:ascii="Times New Roman" w:hAnsi="Times New Roman"/>
                <w:sz w:val="24"/>
                <w:szCs w:val="24"/>
              </w:rPr>
              <w:t>punkts</w:t>
            </w:r>
            <w:r w:rsidRPr="008B78B2">
              <w:rPr>
                <w:rFonts w:ascii="Times New Roman" w:hAnsi="Times New Roman"/>
                <w:sz w:val="24"/>
                <w:szCs w:val="24"/>
              </w:rPr>
              <w:t>.</w:t>
            </w:r>
          </w:p>
        </w:tc>
      </w:tr>
      <w:tr w:rsidR="00620C3A" w14:paraId="4870D352" w14:textId="77777777" w:rsidTr="00E85BF0">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9A312E"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problēmas, kuru risināšanai </w:t>
            </w:r>
            <w:r w:rsidRPr="008B78B2">
              <w:rPr>
                <w:rFonts w:ascii="Times New Roman" w:eastAsia="Times New Roman" w:hAnsi="Times New Roman"/>
                <w:sz w:val="24"/>
                <w:szCs w:val="24"/>
                <w:lang w:eastAsia="lv-LV"/>
              </w:rPr>
              <w:t>tiesību akta projekts izstrādāts, tiesiskā regulējuma mērķis un būtība</w:t>
            </w:r>
          </w:p>
          <w:p w14:paraId="297B6956" w14:textId="77777777" w:rsidR="009A312E" w:rsidRPr="00274E36" w:rsidRDefault="009A312E" w:rsidP="00E85BF0">
            <w:pPr>
              <w:rPr>
                <w:rFonts w:ascii="Times New Roman" w:eastAsia="Times New Roman" w:hAnsi="Times New Roman"/>
                <w:sz w:val="24"/>
                <w:szCs w:val="24"/>
                <w:lang w:eastAsia="lv-LV"/>
              </w:rPr>
            </w:pPr>
          </w:p>
          <w:p w14:paraId="7E84CB39" w14:textId="77777777" w:rsidR="009A312E" w:rsidRPr="00274E36" w:rsidRDefault="009A312E" w:rsidP="00E85BF0">
            <w:pPr>
              <w:rPr>
                <w:rFonts w:ascii="Times New Roman" w:eastAsia="Times New Roman" w:hAnsi="Times New Roman"/>
                <w:sz w:val="24"/>
                <w:szCs w:val="24"/>
                <w:lang w:eastAsia="lv-LV"/>
              </w:rPr>
            </w:pPr>
          </w:p>
          <w:p w14:paraId="477558BF" w14:textId="77777777" w:rsidR="009A312E" w:rsidRPr="00274E36" w:rsidRDefault="009A312E" w:rsidP="00E85BF0">
            <w:pPr>
              <w:rPr>
                <w:rFonts w:ascii="Times New Roman" w:eastAsia="Times New Roman" w:hAnsi="Times New Roman"/>
                <w:sz w:val="24"/>
                <w:szCs w:val="24"/>
                <w:lang w:eastAsia="lv-LV"/>
              </w:rPr>
            </w:pPr>
          </w:p>
          <w:p w14:paraId="7BDA67C8" w14:textId="77777777" w:rsidR="009A312E" w:rsidRPr="00274E36" w:rsidRDefault="009A312E" w:rsidP="00E85BF0">
            <w:pPr>
              <w:rPr>
                <w:rFonts w:ascii="Times New Roman" w:eastAsia="Times New Roman" w:hAnsi="Times New Roman"/>
                <w:sz w:val="24"/>
                <w:szCs w:val="24"/>
                <w:lang w:eastAsia="lv-LV"/>
              </w:rPr>
            </w:pPr>
          </w:p>
          <w:p w14:paraId="04CC600B" w14:textId="77777777" w:rsidR="009A312E" w:rsidRPr="00274E36" w:rsidRDefault="009A312E" w:rsidP="00E85BF0">
            <w:pPr>
              <w:rPr>
                <w:rFonts w:ascii="Times New Roman" w:eastAsia="Times New Roman" w:hAnsi="Times New Roman"/>
                <w:sz w:val="24"/>
                <w:szCs w:val="24"/>
                <w:lang w:eastAsia="lv-LV"/>
              </w:rPr>
            </w:pPr>
          </w:p>
          <w:p w14:paraId="2F8D2731" w14:textId="77777777" w:rsidR="009A312E" w:rsidRPr="00274E36" w:rsidRDefault="009A312E" w:rsidP="00E85BF0">
            <w:pPr>
              <w:rPr>
                <w:rFonts w:ascii="Times New Roman" w:eastAsia="Times New Roman" w:hAnsi="Times New Roman"/>
                <w:sz w:val="24"/>
                <w:szCs w:val="24"/>
                <w:lang w:eastAsia="lv-LV"/>
              </w:rPr>
            </w:pPr>
          </w:p>
          <w:p w14:paraId="5525482F" w14:textId="77777777" w:rsidR="009A312E" w:rsidRPr="00274E36" w:rsidRDefault="009A312E" w:rsidP="00E85BF0">
            <w:pPr>
              <w:rPr>
                <w:rFonts w:ascii="Times New Roman" w:eastAsia="Times New Roman" w:hAnsi="Times New Roman"/>
                <w:sz w:val="24"/>
                <w:szCs w:val="24"/>
                <w:lang w:eastAsia="lv-LV"/>
              </w:rPr>
            </w:pPr>
          </w:p>
          <w:p w14:paraId="124F148F" w14:textId="77777777" w:rsidR="009A312E" w:rsidRPr="00274E36" w:rsidRDefault="009A312E" w:rsidP="00E85BF0">
            <w:pPr>
              <w:rPr>
                <w:rFonts w:ascii="Times New Roman" w:eastAsia="Times New Roman" w:hAnsi="Times New Roman"/>
                <w:sz w:val="24"/>
                <w:szCs w:val="24"/>
                <w:lang w:eastAsia="lv-LV"/>
              </w:rPr>
            </w:pPr>
          </w:p>
          <w:p w14:paraId="7ED4717C" w14:textId="77777777" w:rsidR="009A312E" w:rsidRPr="00274E36" w:rsidRDefault="009A312E" w:rsidP="00E85BF0">
            <w:pPr>
              <w:rPr>
                <w:rFonts w:ascii="Times New Roman" w:eastAsia="Times New Roman" w:hAnsi="Times New Roman"/>
                <w:sz w:val="24"/>
                <w:szCs w:val="24"/>
                <w:lang w:eastAsia="lv-LV"/>
              </w:rPr>
            </w:pPr>
          </w:p>
          <w:p w14:paraId="3712A373" w14:textId="77777777" w:rsidR="009A312E" w:rsidRPr="00274E36" w:rsidRDefault="009A312E" w:rsidP="00E85BF0">
            <w:pPr>
              <w:rPr>
                <w:rFonts w:ascii="Times New Roman" w:eastAsia="Times New Roman" w:hAnsi="Times New Roman"/>
                <w:sz w:val="24"/>
                <w:szCs w:val="24"/>
                <w:lang w:eastAsia="lv-LV"/>
              </w:rPr>
            </w:pPr>
          </w:p>
          <w:p w14:paraId="611540ED" w14:textId="77777777" w:rsidR="009A312E" w:rsidRPr="00274E36" w:rsidRDefault="009A312E" w:rsidP="00E85BF0">
            <w:pPr>
              <w:rPr>
                <w:rFonts w:ascii="Times New Roman" w:eastAsia="Times New Roman" w:hAnsi="Times New Roman"/>
                <w:sz w:val="24"/>
                <w:szCs w:val="24"/>
                <w:lang w:eastAsia="lv-LV"/>
              </w:rPr>
            </w:pPr>
          </w:p>
          <w:p w14:paraId="0768AF40" w14:textId="77777777" w:rsidR="009A312E" w:rsidRDefault="009A312E" w:rsidP="00E85BF0">
            <w:pPr>
              <w:rPr>
                <w:rFonts w:ascii="Times New Roman" w:eastAsia="Times New Roman" w:hAnsi="Times New Roman"/>
                <w:sz w:val="24"/>
                <w:szCs w:val="24"/>
                <w:lang w:eastAsia="lv-LV"/>
              </w:rPr>
            </w:pPr>
          </w:p>
          <w:p w14:paraId="5617D3FC" w14:textId="77777777" w:rsidR="009A312E" w:rsidRDefault="009A312E" w:rsidP="00E85BF0">
            <w:pPr>
              <w:rPr>
                <w:rFonts w:ascii="Times New Roman" w:eastAsia="Times New Roman" w:hAnsi="Times New Roman"/>
                <w:sz w:val="24"/>
                <w:szCs w:val="24"/>
                <w:lang w:eastAsia="lv-LV"/>
              </w:rPr>
            </w:pPr>
          </w:p>
          <w:p w14:paraId="6B2C4B0D" w14:textId="77777777" w:rsidR="009A312E" w:rsidRPr="00274E36" w:rsidRDefault="009A312E" w:rsidP="00E85BF0">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38C2E9D" w14:textId="6E5BC591" w:rsidR="00E77FF3" w:rsidRDefault="00573648" w:rsidP="00CD38CB">
            <w:pPr>
              <w:spacing w:after="0" w:line="240" w:lineRule="auto"/>
              <w:ind w:left="132" w:right="202"/>
              <w:jc w:val="both"/>
              <w:rPr>
                <w:rFonts w:ascii="Times New Roman" w:hAnsi="Times New Roman"/>
                <w:sz w:val="24"/>
                <w:szCs w:val="24"/>
              </w:rPr>
            </w:pPr>
            <w:r>
              <w:rPr>
                <w:rFonts w:ascii="Times New Roman" w:hAnsi="Times New Roman"/>
                <w:sz w:val="24"/>
                <w:szCs w:val="24"/>
              </w:rPr>
              <w:lastRenderedPageBreak/>
              <w:t>E</w:t>
            </w:r>
            <w:r w:rsidR="0090361D">
              <w:rPr>
                <w:rFonts w:ascii="Times New Roman" w:hAnsi="Times New Roman"/>
                <w:sz w:val="24"/>
                <w:szCs w:val="24"/>
              </w:rPr>
              <w:t>konomikas ministrija</w:t>
            </w:r>
            <w:r>
              <w:rPr>
                <w:rFonts w:ascii="Times New Roman" w:hAnsi="Times New Roman"/>
                <w:sz w:val="24"/>
                <w:szCs w:val="24"/>
              </w:rPr>
              <w:t>i (turpmāk – EM)</w:t>
            </w:r>
            <w:r w:rsidR="00894D2B">
              <w:rPr>
                <w:rFonts w:ascii="Times New Roman" w:hAnsi="Times New Roman"/>
                <w:sz w:val="24"/>
                <w:szCs w:val="24"/>
              </w:rPr>
              <w:t xml:space="preserve"> </w:t>
            </w:r>
            <w:r>
              <w:rPr>
                <w:rFonts w:ascii="Times New Roman" w:hAnsi="Times New Roman"/>
                <w:sz w:val="24"/>
                <w:szCs w:val="24"/>
              </w:rPr>
              <w:t xml:space="preserve">bija </w:t>
            </w:r>
            <w:r w:rsidRPr="00E77FF3">
              <w:rPr>
                <w:rFonts w:ascii="Times New Roman" w:hAnsi="Times New Roman"/>
                <w:sz w:val="24"/>
                <w:szCs w:val="24"/>
              </w:rPr>
              <w:t>uzdot</w:t>
            </w:r>
            <w:r>
              <w:rPr>
                <w:rFonts w:ascii="Times New Roman" w:hAnsi="Times New Roman"/>
                <w:sz w:val="24"/>
                <w:szCs w:val="24"/>
              </w:rPr>
              <w:t xml:space="preserve">s </w:t>
            </w:r>
            <w:r w:rsidRPr="00E77FF3">
              <w:rPr>
                <w:rFonts w:ascii="Times New Roman" w:hAnsi="Times New Roman"/>
                <w:sz w:val="24"/>
                <w:szCs w:val="24"/>
              </w:rPr>
              <w:t xml:space="preserve">sniegt konkrētu praktiski īstenojamu priekšlikumu par investīcijām Kultūras ministrijas un Izglītības un zinātnes </w:t>
            </w:r>
            <w:r w:rsidRPr="00E77FF3">
              <w:rPr>
                <w:rFonts w:ascii="Times New Roman" w:hAnsi="Times New Roman"/>
                <w:sz w:val="24"/>
                <w:szCs w:val="24"/>
              </w:rPr>
              <w:t>ministrijas pārraudzībā esošo ēku energoefektivitātes projektos</w:t>
            </w:r>
            <w:r>
              <w:rPr>
                <w:rFonts w:ascii="Times New Roman" w:hAnsi="Times New Roman"/>
                <w:sz w:val="24"/>
                <w:szCs w:val="24"/>
              </w:rPr>
              <w:t>.</w:t>
            </w:r>
          </w:p>
          <w:p w14:paraId="226FB1CE" w14:textId="77777777" w:rsidR="00E77FF3" w:rsidRDefault="00E77FF3" w:rsidP="00CD38CB">
            <w:pPr>
              <w:spacing w:after="0" w:line="240" w:lineRule="auto"/>
              <w:ind w:left="132" w:right="202"/>
              <w:jc w:val="both"/>
              <w:rPr>
                <w:rFonts w:ascii="Times New Roman" w:hAnsi="Times New Roman"/>
                <w:sz w:val="24"/>
                <w:szCs w:val="24"/>
              </w:rPr>
            </w:pPr>
          </w:p>
          <w:p w14:paraId="66BAA16F" w14:textId="5B456C53" w:rsidR="00E77FF3" w:rsidRDefault="00573648"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Papildus </w:t>
            </w:r>
            <w:r w:rsidRPr="00E77FF3">
              <w:rPr>
                <w:rFonts w:ascii="Times New Roman" w:hAnsi="Times New Roman"/>
                <w:sz w:val="24"/>
                <w:szCs w:val="24"/>
              </w:rPr>
              <w:t>Valmieras pilsētas pašvaldība 19.03.2018. vēstulē Nr.2.2.1.7/18/339 informēja EM, V</w:t>
            </w:r>
            <w:r w:rsidR="00505345">
              <w:rPr>
                <w:rFonts w:ascii="Times New Roman" w:hAnsi="Times New Roman"/>
                <w:sz w:val="24"/>
                <w:szCs w:val="24"/>
              </w:rPr>
              <w:t xml:space="preserve">eselības ministriju </w:t>
            </w:r>
            <w:r w:rsidRPr="00E77FF3">
              <w:rPr>
                <w:rFonts w:ascii="Times New Roman" w:hAnsi="Times New Roman"/>
                <w:sz w:val="24"/>
                <w:szCs w:val="24"/>
              </w:rPr>
              <w:t>un F</w:t>
            </w:r>
            <w:r w:rsidR="00505345">
              <w:rPr>
                <w:rFonts w:ascii="Times New Roman" w:hAnsi="Times New Roman"/>
                <w:sz w:val="24"/>
                <w:szCs w:val="24"/>
              </w:rPr>
              <w:t>inanšu ministriju</w:t>
            </w:r>
            <w:r w:rsidRPr="00E77FF3">
              <w:rPr>
                <w:rFonts w:ascii="Times New Roman" w:hAnsi="Times New Roman"/>
                <w:sz w:val="24"/>
                <w:szCs w:val="24"/>
              </w:rPr>
              <w:t xml:space="preserve"> par finansējuma 2,7 milj. </w:t>
            </w:r>
            <w:r w:rsidR="0069459B">
              <w:rPr>
                <w:rFonts w:ascii="Times New Roman" w:hAnsi="Times New Roman"/>
                <w:i/>
                <w:sz w:val="24"/>
                <w:szCs w:val="24"/>
              </w:rPr>
              <w:t>euro</w:t>
            </w:r>
            <w:r w:rsidRPr="00E77FF3">
              <w:rPr>
                <w:rFonts w:ascii="Times New Roman" w:hAnsi="Times New Roman"/>
                <w:sz w:val="24"/>
                <w:szCs w:val="24"/>
              </w:rPr>
              <w:t xml:space="preserve"> apmērā nepieciešamību SIA</w:t>
            </w:r>
            <w:r w:rsidRPr="00E77FF3">
              <w:rPr>
                <w:rFonts w:ascii="Times New Roman" w:hAnsi="Times New Roman"/>
                <w:sz w:val="24"/>
                <w:szCs w:val="24"/>
              </w:rPr>
              <w:t xml:space="preserve"> "Vidzemes slimnīca" ēku kompleksa energoefektivitātes paaugstināšanai. Savukārt Cēsu pilsētas pašvaldība 20.03.2018. vēstulē Nr.1-33/1481 informēja EM par finansējuma 1 milj. </w:t>
            </w:r>
            <w:r w:rsidR="0069459B">
              <w:rPr>
                <w:rFonts w:ascii="Times New Roman" w:hAnsi="Times New Roman"/>
                <w:i/>
                <w:sz w:val="24"/>
                <w:szCs w:val="24"/>
              </w:rPr>
              <w:t>euro</w:t>
            </w:r>
            <w:r w:rsidRPr="00E77FF3">
              <w:rPr>
                <w:rFonts w:ascii="Times New Roman" w:hAnsi="Times New Roman"/>
                <w:sz w:val="24"/>
                <w:szCs w:val="24"/>
              </w:rPr>
              <w:t xml:space="preserve"> apmērā nepieciešamību SIA "CĒSU KLĪNKA" viena korpusa energoefektivitātes p</w:t>
            </w:r>
            <w:r w:rsidRPr="00E77FF3">
              <w:rPr>
                <w:rFonts w:ascii="Times New Roman" w:hAnsi="Times New Roman"/>
                <w:sz w:val="24"/>
                <w:szCs w:val="24"/>
              </w:rPr>
              <w:t>aaugstināšanai.</w:t>
            </w:r>
          </w:p>
          <w:p w14:paraId="20D01ABC" w14:textId="77777777" w:rsidR="00E77FF3" w:rsidRDefault="00E77FF3" w:rsidP="00CD38CB">
            <w:pPr>
              <w:spacing w:after="0" w:line="240" w:lineRule="auto"/>
              <w:ind w:left="132" w:right="202"/>
              <w:jc w:val="both"/>
              <w:rPr>
                <w:rFonts w:ascii="Times New Roman" w:hAnsi="Times New Roman"/>
                <w:sz w:val="24"/>
                <w:szCs w:val="24"/>
              </w:rPr>
            </w:pPr>
          </w:p>
          <w:p w14:paraId="4F255714" w14:textId="51B741B0" w:rsidR="008C4C6D" w:rsidRDefault="00573648" w:rsidP="00CD38CB">
            <w:pPr>
              <w:spacing w:after="0" w:line="240" w:lineRule="auto"/>
              <w:ind w:left="132" w:right="202"/>
              <w:jc w:val="both"/>
              <w:rPr>
                <w:rFonts w:ascii="Times New Roman" w:hAnsi="Times New Roman"/>
                <w:sz w:val="24"/>
                <w:szCs w:val="24"/>
              </w:rPr>
            </w:pPr>
            <w:r>
              <w:rPr>
                <w:rFonts w:ascii="Times New Roman" w:hAnsi="Times New Roman"/>
                <w:sz w:val="24"/>
                <w:szCs w:val="24"/>
              </w:rPr>
              <w:t>Lai izpildītu doto uzdevumu un sniegtu atbalstu slimnīcu energoefektivitātes paaugstināšanai</w:t>
            </w:r>
            <w:r w:rsidRPr="00744E9C">
              <w:rPr>
                <w:rFonts w:ascii="Times New Roman" w:hAnsi="Times New Roman"/>
                <w:sz w:val="24"/>
                <w:szCs w:val="24"/>
              </w:rPr>
              <w:t xml:space="preserve">, EM ierosina šādas izmaiņas </w:t>
            </w:r>
            <w:r w:rsidRPr="00E77FF3">
              <w:rPr>
                <w:rFonts w:ascii="Times New Roman" w:eastAsia="Times New Roman" w:hAnsi="Times New Roman"/>
                <w:sz w:val="24"/>
                <w:szCs w:val="24"/>
                <w:lang w:eastAsia="lv-LV"/>
              </w:rPr>
              <w:t>201</w:t>
            </w:r>
            <w:r w:rsidR="00770DA9">
              <w:rPr>
                <w:rFonts w:ascii="Times New Roman" w:eastAsia="Times New Roman" w:hAnsi="Times New Roman"/>
                <w:sz w:val="24"/>
                <w:szCs w:val="24"/>
                <w:lang w:eastAsia="lv-LV"/>
              </w:rPr>
              <w:t>8</w:t>
            </w:r>
            <w:r w:rsidRPr="00E77FF3">
              <w:rPr>
                <w:rFonts w:ascii="Times New Roman" w:eastAsia="Times New Roman" w:hAnsi="Times New Roman"/>
                <w:sz w:val="24"/>
                <w:szCs w:val="24"/>
                <w:lang w:eastAsia="lv-LV"/>
              </w:rPr>
              <w:t xml:space="preserve">. gada 4. janvāra noteikumos Nr. 13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Darbības programmas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Izaugsme un nodarbinātība</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4.2.1. specifiskā atbalsta mērķa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Veicināt energoefektivitātes paaugstināšanu valsts un dzīvojamās ēkās</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4.2.1.2. pasākuma </w:t>
            </w:r>
            <w:r w:rsidR="003D205C">
              <w:rPr>
                <w:rFonts w:ascii="Times New Roman" w:hAnsi="Times New Roman"/>
                <w:sz w:val="24"/>
                <w:szCs w:val="24"/>
              </w:rPr>
              <w:t>“</w:t>
            </w:r>
            <w:r w:rsidR="00B4109B" w:rsidRPr="00960C53">
              <w:rPr>
                <w:rFonts w:ascii="Times New Roman" w:eastAsia="Times New Roman" w:hAnsi="Times New Roman"/>
                <w:sz w:val="24"/>
                <w:szCs w:val="24"/>
                <w:lang w:eastAsia="lv-LV"/>
              </w:rPr>
              <w:t>Veicināt energoefektivitātes paaugstināšanu</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otrās</w:t>
            </w:r>
            <w:r w:rsidR="00B4109B" w:rsidRPr="00960C53">
              <w:rPr>
                <w:rFonts w:ascii="Times New Roman" w:eastAsia="Times New Roman" w:hAnsi="Times New Roman"/>
                <w:sz w:val="24"/>
                <w:szCs w:val="24"/>
                <w:lang w:eastAsia="lv-LV"/>
              </w:rPr>
              <w:t xml:space="preserve"> projektu iesniegumu atlases kārtas īstenošanas noteikumi”</w:t>
            </w:r>
            <w:r w:rsidR="00B4109B">
              <w:rPr>
                <w:rFonts w:ascii="Times New Roman" w:eastAsia="Times New Roman" w:hAnsi="Times New Roman"/>
                <w:sz w:val="24"/>
                <w:szCs w:val="24"/>
                <w:lang w:eastAsia="lv-LV"/>
              </w:rPr>
              <w:t xml:space="preserve"> (turpmāk</w:t>
            </w:r>
            <w:r w:rsidR="0090361D">
              <w:rPr>
                <w:rFonts w:ascii="Times New Roman" w:eastAsia="Times New Roman" w:hAnsi="Times New Roman"/>
                <w:sz w:val="24"/>
                <w:szCs w:val="24"/>
                <w:lang w:eastAsia="lv-LV"/>
              </w:rPr>
              <w:t xml:space="preserve"> – </w:t>
            </w:r>
            <w:r>
              <w:rPr>
                <w:rFonts w:ascii="Times New Roman" w:hAnsi="Times New Roman"/>
                <w:sz w:val="24"/>
                <w:szCs w:val="24"/>
              </w:rPr>
              <w:t xml:space="preserve">MKN </w:t>
            </w:r>
            <w:r w:rsidRPr="00744E9C">
              <w:rPr>
                <w:rFonts w:ascii="Times New Roman" w:hAnsi="Times New Roman"/>
                <w:sz w:val="24"/>
                <w:szCs w:val="24"/>
              </w:rPr>
              <w:t>Nr. 534</w:t>
            </w:r>
            <w:r w:rsidR="00B4109B">
              <w:rPr>
                <w:rFonts w:ascii="Times New Roman" w:hAnsi="Times New Roman"/>
                <w:sz w:val="24"/>
                <w:szCs w:val="24"/>
              </w:rPr>
              <w:t>)</w:t>
            </w:r>
            <w:r w:rsidRPr="00744E9C">
              <w:rPr>
                <w:rFonts w:ascii="Times New Roman" w:hAnsi="Times New Roman"/>
                <w:sz w:val="24"/>
                <w:szCs w:val="24"/>
              </w:rPr>
              <w:t>:</w:t>
            </w:r>
          </w:p>
          <w:p w14:paraId="6AE244D0" w14:textId="41709275" w:rsidR="00E77FF3" w:rsidRPr="009867E1" w:rsidRDefault="00573648" w:rsidP="00E77FF3">
            <w:pPr>
              <w:numPr>
                <w:ilvl w:val="0"/>
                <w:numId w:val="1"/>
              </w:numPr>
              <w:spacing w:after="0" w:line="240" w:lineRule="auto"/>
              <w:ind w:left="132" w:right="202" w:firstLine="0"/>
              <w:jc w:val="both"/>
              <w:rPr>
                <w:rFonts w:ascii="Times New Roman" w:hAnsi="Times New Roman"/>
                <w:sz w:val="24"/>
                <w:szCs w:val="24"/>
              </w:rPr>
            </w:pPr>
            <w:r>
              <w:rPr>
                <w:rFonts w:ascii="Times New Roman" w:hAnsi="Times New Roman"/>
                <w:b/>
                <w:i/>
                <w:sz w:val="24"/>
                <w:szCs w:val="24"/>
                <w:u w:val="single"/>
              </w:rPr>
              <w:lastRenderedPageBreak/>
              <w:t xml:space="preserve">Papildināt </w:t>
            </w:r>
            <w:r w:rsidR="009867E1">
              <w:rPr>
                <w:rFonts w:ascii="Times New Roman" w:hAnsi="Times New Roman"/>
                <w:b/>
                <w:i/>
                <w:sz w:val="24"/>
                <w:szCs w:val="24"/>
                <w:u w:val="single"/>
              </w:rPr>
              <w:t>MK noteikumu 1.pielikumu ar jauniem finansējuma saņēmējiem</w:t>
            </w:r>
            <w:r w:rsidR="009F2FA5">
              <w:rPr>
                <w:rFonts w:ascii="Times New Roman" w:hAnsi="Times New Roman"/>
                <w:b/>
                <w:i/>
                <w:sz w:val="24"/>
                <w:szCs w:val="24"/>
                <w:u w:val="single"/>
              </w:rPr>
              <w:t xml:space="preserve"> un precizēt pieejamo publisko finansējumu</w:t>
            </w:r>
          </w:p>
          <w:p w14:paraId="44D981A4" w14:textId="5C74AC7A" w:rsidR="00D95AD8" w:rsidRDefault="00573648" w:rsidP="00D95AD8">
            <w:pPr>
              <w:spacing w:after="0" w:line="240" w:lineRule="auto"/>
              <w:ind w:left="132" w:right="202"/>
              <w:jc w:val="both"/>
              <w:rPr>
                <w:rFonts w:ascii="Times New Roman" w:hAnsi="Times New Roman"/>
                <w:sz w:val="24"/>
                <w:szCs w:val="24"/>
              </w:rPr>
            </w:pPr>
            <w:r>
              <w:rPr>
                <w:rFonts w:ascii="Times New Roman" w:hAnsi="Times New Roman"/>
                <w:sz w:val="24"/>
                <w:szCs w:val="24"/>
              </w:rPr>
              <w:t>P</w:t>
            </w:r>
            <w:r w:rsidRPr="009867E1">
              <w:rPr>
                <w:rFonts w:ascii="Times New Roman" w:hAnsi="Times New Roman"/>
                <w:sz w:val="24"/>
                <w:szCs w:val="24"/>
              </w:rPr>
              <w:t>alielināt 4.2.1.2.pasākuma otrās projektu iesniegumu atlases kārtas pieejamo publisko</w:t>
            </w:r>
            <w:r>
              <w:rPr>
                <w:rFonts w:ascii="Times New Roman" w:hAnsi="Times New Roman"/>
                <w:sz w:val="24"/>
                <w:szCs w:val="24"/>
              </w:rPr>
              <w:t xml:space="preserve"> finansējumu par </w:t>
            </w:r>
            <w:r w:rsidR="00EF7009">
              <w:rPr>
                <w:rFonts w:ascii="Times New Roman" w:hAnsi="Times New Roman"/>
                <w:sz w:val="24"/>
                <w:szCs w:val="24"/>
              </w:rPr>
              <w:t>7 970 418</w:t>
            </w:r>
            <w:r>
              <w:rPr>
                <w:rFonts w:ascii="Times New Roman" w:hAnsi="Times New Roman"/>
                <w:sz w:val="24"/>
                <w:szCs w:val="24"/>
              </w:rPr>
              <w:t xml:space="preserve"> </w:t>
            </w:r>
            <w:r w:rsidR="0069459B">
              <w:rPr>
                <w:rFonts w:ascii="Times New Roman" w:hAnsi="Times New Roman"/>
                <w:i/>
                <w:sz w:val="24"/>
                <w:szCs w:val="24"/>
              </w:rPr>
              <w:t>euro</w:t>
            </w:r>
            <w:r w:rsidRPr="009867E1">
              <w:rPr>
                <w:rFonts w:ascii="Times New Roman" w:hAnsi="Times New Roman"/>
                <w:sz w:val="24"/>
                <w:szCs w:val="24"/>
              </w:rPr>
              <w:t xml:space="preserve">, iekļaujot </w:t>
            </w:r>
            <w:r w:rsidR="004A0213">
              <w:rPr>
                <w:rFonts w:ascii="Times New Roman" w:hAnsi="Times New Roman"/>
                <w:sz w:val="24"/>
                <w:szCs w:val="24"/>
              </w:rPr>
              <w:t>šādus</w:t>
            </w:r>
            <w:r w:rsidRPr="009867E1">
              <w:rPr>
                <w:rFonts w:ascii="Times New Roman" w:hAnsi="Times New Roman"/>
                <w:sz w:val="24"/>
                <w:szCs w:val="24"/>
              </w:rPr>
              <w:t xml:space="preserve"> finansējuma saņēmējus:</w:t>
            </w:r>
          </w:p>
          <w:p w14:paraId="1ACD7A77" w14:textId="443BFFBC" w:rsidR="00D95AD8" w:rsidRDefault="00573648" w:rsidP="008C12CD">
            <w:pPr>
              <w:pStyle w:val="ListParagraph"/>
              <w:numPr>
                <w:ilvl w:val="0"/>
                <w:numId w:val="8"/>
              </w:numPr>
              <w:spacing w:after="0" w:line="240" w:lineRule="auto"/>
              <w:ind w:right="202"/>
              <w:jc w:val="both"/>
              <w:rPr>
                <w:rFonts w:ascii="Times New Roman" w:hAnsi="Times New Roman"/>
                <w:sz w:val="24"/>
                <w:szCs w:val="24"/>
              </w:rPr>
            </w:pPr>
            <w:r>
              <w:rPr>
                <w:rFonts w:ascii="Times New Roman" w:hAnsi="Times New Roman"/>
                <w:sz w:val="24"/>
                <w:szCs w:val="24"/>
              </w:rPr>
              <w:t xml:space="preserve">Valsts akciju sabiedrība "Valsts nekustamie īpašumi" (turpmāk – VNĪ") par </w:t>
            </w:r>
            <w:r w:rsidR="00376E1A">
              <w:rPr>
                <w:rFonts w:ascii="Times New Roman" w:hAnsi="Times New Roman"/>
                <w:sz w:val="24"/>
                <w:szCs w:val="24"/>
              </w:rPr>
              <w:t>projektu</w:t>
            </w:r>
            <w:r w:rsidR="008C12CD" w:rsidRPr="008C12CD">
              <w:rPr>
                <w:rFonts w:ascii="Times New Roman" w:hAnsi="Times New Roman"/>
                <w:sz w:val="24"/>
                <w:szCs w:val="24"/>
              </w:rPr>
              <w:t xml:space="preserve"> Pils ielā 38, Ventspilī, </w:t>
            </w:r>
            <w:r w:rsidR="00031648">
              <w:rPr>
                <w:rFonts w:ascii="Times New Roman" w:hAnsi="Times New Roman"/>
                <w:sz w:val="24"/>
                <w:szCs w:val="24"/>
              </w:rPr>
              <w:t>ar kopējo publisko finansējumu 1 050</w:t>
            </w:r>
            <w:r w:rsidR="0069459B">
              <w:rPr>
                <w:rFonts w:ascii="Times New Roman" w:hAnsi="Times New Roman"/>
                <w:sz w:val="24"/>
                <w:szCs w:val="24"/>
              </w:rPr>
              <w:t> </w:t>
            </w:r>
            <w:r w:rsidR="00031648">
              <w:rPr>
                <w:rFonts w:ascii="Times New Roman" w:hAnsi="Times New Roman"/>
                <w:sz w:val="24"/>
                <w:szCs w:val="24"/>
              </w:rPr>
              <w:t>001</w:t>
            </w:r>
            <w:r w:rsidR="0069459B">
              <w:rPr>
                <w:rFonts w:ascii="Times New Roman" w:hAnsi="Times New Roman"/>
                <w:sz w:val="24"/>
                <w:szCs w:val="24"/>
              </w:rPr>
              <w:t xml:space="preserve"> </w:t>
            </w:r>
            <w:r w:rsidR="0069459B">
              <w:rPr>
                <w:rFonts w:ascii="Times New Roman" w:hAnsi="Times New Roman"/>
                <w:i/>
                <w:sz w:val="24"/>
                <w:szCs w:val="24"/>
              </w:rPr>
              <w:t>euro</w:t>
            </w:r>
            <w:r>
              <w:rPr>
                <w:rFonts w:ascii="Times New Roman" w:hAnsi="Times New Roman"/>
                <w:sz w:val="24"/>
                <w:szCs w:val="24"/>
              </w:rPr>
              <w:t>,</w:t>
            </w:r>
            <w:r w:rsidR="008C12CD">
              <w:rPr>
                <w:rFonts w:ascii="Times New Roman" w:hAnsi="Times New Roman"/>
                <w:sz w:val="24"/>
                <w:szCs w:val="24"/>
              </w:rPr>
              <w:t xml:space="preserve"> </w:t>
            </w:r>
            <w:r w:rsidR="00376E1A">
              <w:rPr>
                <w:rFonts w:ascii="Times New Roman" w:hAnsi="Times New Roman"/>
                <w:sz w:val="24"/>
                <w:szCs w:val="24"/>
              </w:rPr>
              <w:t>projekt</w:t>
            </w:r>
            <w:r w:rsidR="008C12CD" w:rsidRPr="008C12CD">
              <w:rPr>
                <w:rFonts w:ascii="Times New Roman" w:hAnsi="Times New Roman"/>
                <w:sz w:val="24"/>
                <w:szCs w:val="24"/>
              </w:rPr>
              <w:t xml:space="preserve">u Kuģinieku ielā 2, Ventspilī, </w:t>
            </w:r>
            <w:r w:rsidR="00031648">
              <w:rPr>
                <w:rFonts w:ascii="Times New Roman" w:hAnsi="Times New Roman"/>
                <w:sz w:val="24"/>
                <w:szCs w:val="24"/>
              </w:rPr>
              <w:t>ar kopējo publisko finansējumu</w:t>
            </w:r>
            <w:r w:rsidR="00376E1A">
              <w:rPr>
                <w:rFonts w:ascii="Times New Roman" w:hAnsi="Times New Roman"/>
                <w:sz w:val="24"/>
                <w:szCs w:val="24"/>
              </w:rPr>
              <w:t xml:space="preserve"> </w:t>
            </w:r>
            <w:r w:rsidR="00031648">
              <w:rPr>
                <w:rFonts w:ascii="Times New Roman" w:hAnsi="Times New Roman"/>
                <w:sz w:val="24"/>
                <w:szCs w:val="24"/>
              </w:rPr>
              <w:t xml:space="preserve">1 050 001 </w:t>
            </w:r>
            <w:r w:rsidR="0069459B">
              <w:rPr>
                <w:rFonts w:ascii="Times New Roman" w:hAnsi="Times New Roman"/>
                <w:i/>
                <w:sz w:val="24"/>
                <w:szCs w:val="24"/>
              </w:rPr>
              <w:t>euro</w:t>
            </w:r>
            <w:r>
              <w:rPr>
                <w:rFonts w:ascii="Times New Roman" w:hAnsi="Times New Roman"/>
                <w:sz w:val="24"/>
                <w:szCs w:val="24"/>
              </w:rPr>
              <w:t xml:space="preserve"> un </w:t>
            </w:r>
            <w:r w:rsidRPr="00D95AD8">
              <w:rPr>
                <w:rFonts w:ascii="Times New Roman" w:hAnsi="Times New Roman"/>
                <w:sz w:val="24"/>
                <w:szCs w:val="24"/>
              </w:rPr>
              <w:t>valsts akciju sabi</w:t>
            </w:r>
            <w:r>
              <w:rPr>
                <w:rFonts w:ascii="Times New Roman" w:hAnsi="Times New Roman"/>
                <w:sz w:val="24"/>
                <w:szCs w:val="24"/>
              </w:rPr>
              <w:t>edrības</w:t>
            </w:r>
            <w:r w:rsidRPr="00D95AD8">
              <w:rPr>
                <w:rFonts w:ascii="Times New Roman" w:hAnsi="Times New Roman"/>
                <w:sz w:val="24"/>
                <w:szCs w:val="24"/>
              </w:rPr>
              <w:t xml:space="preserve"> ar ierobežotu atbildību “Jaunais Rīgas teātris”</w:t>
            </w:r>
            <w:r>
              <w:rPr>
                <w:rFonts w:ascii="Times New Roman" w:hAnsi="Times New Roman"/>
                <w:sz w:val="24"/>
                <w:szCs w:val="24"/>
              </w:rPr>
              <w:t xml:space="preserve"> (turpmāk – JRT) projektu</w:t>
            </w:r>
            <w:r w:rsidR="005F470E">
              <w:rPr>
                <w:rFonts w:ascii="Times New Roman" w:hAnsi="Times New Roman"/>
                <w:sz w:val="24"/>
                <w:szCs w:val="24"/>
              </w:rPr>
              <w:t xml:space="preserve"> ar</w:t>
            </w:r>
            <w:r w:rsidRPr="00D95AD8">
              <w:rPr>
                <w:rFonts w:ascii="Times New Roman" w:hAnsi="Times New Roman"/>
                <w:sz w:val="24"/>
                <w:szCs w:val="24"/>
              </w:rPr>
              <w:t xml:space="preserve"> </w:t>
            </w:r>
            <w:r>
              <w:rPr>
                <w:rFonts w:ascii="Times New Roman" w:hAnsi="Times New Roman"/>
                <w:sz w:val="24"/>
                <w:szCs w:val="24"/>
              </w:rPr>
              <w:t xml:space="preserve">kopējo finansējumu 2 170 416 </w:t>
            </w:r>
            <w:r w:rsidR="0069459B">
              <w:rPr>
                <w:rFonts w:ascii="Times New Roman" w:hAnsi="Times New Roman"/>
                <w:i/>
                <w:sz w:val="24"/>
                <w:szCs w:val="24"/>
              </w:rPr>
              <w:t>euro</w:t>
            </w:r>
            <w:r w:rsidR="009867E1" w:rsidRPr="009867E1">
              <w:rPr>
                <w:rFonts w:ascii="Times New Roman" w:hAnsi="Times New Roman"/>
                <w:sz w:val="24"/>
                <w:szCs w:val="24"/>
              </w:rPr>
              <w:t>;</w:t>
            </w:r>
          </w:p>
          <w:p w14:paraId="2224631C" w14:textId="233F54F4" w:rsidR="00D95AD8" w:rsidRPr="00D95AD8" w:rsidRDefault="00573648" w:rsidP="00D95AD8">
            <w:pPr>
              <w:pStyle w:val="ListParagraph"/>
              <w:numPr>
                <w:ilvl w:val="0"/>
                <w:numId w:val="8"/>
              </w:numPr>
              <w:spacing w:after="0" w:line="240" w:lineRule="auto"/>
              <w:ind w:right="202"/>
              <w:jc w:val="both"/>
              <w:rPr>
                <w:rFonts w:ascii="Times New Roman" w:hAnsi="Times New Roman"/>
                <w:sz w:val="24"/>
                <w:szCs w:val="24"/>
              </w:rPr>
            </w:pPr>
            <w:r w:rsidRPr="00D95AD8">
              <w:rPr>
                <w:rFonts w:ascii="Times New Roman" w:hAnsi="Times New Roman"/>
                <w:sz w:val="24"/>
                <w:szCs w:val="24"/>
              </w:rPr>
              <w:t>SIA "Vidzemes slimnīca"</w:t>
            </w:r>
            <w:r w:rsidR="00031648" w:rsidRPr="00D95AD8">
              <w:rPr>
                <w:rFonts w:ascii="Times New Roman" w:hAnsi="Times New Roman"/>
                <w:sz w:val="24"/>
                <w:szCs w:val="24"/>
              </w:rPr>
              <w:t xml:space="preserve"> ar kopējo publisko finansējumu 2 700 000 </w:t>
            </w:r>
            <w:r w:rsidR="0069459B">
              <w:rPr>
                <w:rFonts w:ascii="Times New Roman" w:hAnsi="Times New Roman"/>
                <w:i/>
                <w:sz w:val="24"/>
                <w:szCs w:val="24"/>
              </w:rPr>
              <w:t>euro</w:t>
            </w:r>
            <w:r w:rsidR="000053C9" w:rsidRPr="00D95AD8">
              <w:rPr>
                <w:rFonts w:ascii="Times New Roman" w:hAnsi="Times New Roman"/>
                <w:sz w:val="24"/>
                <w:szCs w:val="24"/>
              </w:rPr>
              <w:t>. Projekts ir ar augstu gatavības stadiju - ir izstrādāti tehniskie projekti Vidzemes slimnīcas energoefektivitātes pasākumu veicināšanai, tādējādi nodrošinot laicīgu finansējuma ieguldīšanu un rezultatīvo rādītāju sasniegšanu;</w:t>
            </w:r>
          </w:p>
          <w:p w14:paraId="5EEFB385" w14:textId="633DE710" w:rsidR="00D95AD8" w:rsidRPr="0073369E" w:rsidRDefault="00573648" w:rsidP="0073369E">
            <w:pPr>
              <w:pStyle w:val="ListParagraph"/>
              <w:numPr>
                <w:ilvl w:val="0"/>
                <w:numId w:val="8"/>
              </w:numPr>
              <w:spacing w:after="0" w:line="240" w:lineRule="auto"/>
              <w:ind w:right="202"/>
              <w:jc w:val="both"/>
              <w:rPr>
                <w:rFonts w:ascii="Times New Roman" w:hAnsi="Times New Roman"/>
                <w:sz w:val="24"/>
                <w:szCs w:val="24"/>
              </w:rPr>
            </w:pPr>
            <w:r w:rsidRPr="00D95AD8">
              <w:rPr>
                <w:rFonts w:ascii="Times New Roman" w:hAnsi="Times New Roman"/>
                <w:sz w:val="24"/>
                <w:szCs w:val="24"/>
              </w:rPr>
              <w:t>SIA "CĒSU KLĪNKA"</w:t>
            </w:r>
            <w:r w:rsidR="00031648" w:rsidRPr="00D95AD8">
              <w:rPr>
                <w:rFonts w:ascii="Times New Roman" w:hAnsi="Times New Roman"/>
                <w:sz w:val="24"/>
                <w:szCs w:val="24"/>
              </w:rPr>
              <w:t xml:space="preserve"> ar kopējo publisko finansējumu</w:t>
            </w:r>
            <w:r>
              <w:rPr>
                <w:rFonts w:ascii="Times New Roman" w:hAnsi="Times New Roman"/>
                <w:sz w:val="24"/>
                <w:szCs w:val="24"/>
              </w:rPr>
              <w:t xml:space="preserve"> </w:t>
            </w:r>
            <w:r>
              <w:rPr>
                <w:rFonts w:ascii="Times New Roman" w:hAnsi="Times New Roman"/>
                <w:sz w:val="24"/>
                <w:szCs w:val="24"/>
              </w:rPr>
              <w:br/>
            </w:r>
            <w:r w:rsidR="00031648" w:rsidRPr="00D95AD8">
              <w:rPr>
                <w:rFonts w:ascii="Times New Roman" w:hAnsi="Times New Roman"/>
                <w:sz w:val="24"/>
                <w:szCs w:val="24"/>
              </w:rPr>
              <w:t xml:space="preserve">1 000 000 </w:t>
            </w:r>
            <w:r w:rsidR="0069459B">
              <w:rPr>
                <w:rFonts w:ascii="Times New Roman" w:hAnsi="Times New Roman"/>
                <w:i/>
                <w:sz w:val="24"/>
                <w:szCs w:val="24"/>
              </w:rPr>
              <w:t>euro</w:t>
            </w:r>
            <w:r w:rsidRPr="00D95AD8">
              <w:rPr>
                <w:rFonts w:ascii="Times New Roman" w:hAnsi="Times New Roman"/>
                <w:sz w:val="24"/>
                <w:szCs w:val="24"/>
              </w:rPr>
              <w:t>;</w:t>
            </w:r>
          </w:p>
          <w:p w14:paraId="725B9612" w14:textId="47796ECA" w:rsidR="005639BB" w:rsidRDefault="00573648" w:rsidP="00031648">
            <w:pPr>
              <w:spacing w:after="0" w:line="240" w:lineRule="auto"/>
              <w:ind w:left="132" w:right="202"/>
              <w:jc w:val="both"/>
              <w:rPr>
                <w:rFonts w:ascii="Times New Roman" w:hAnsi="Times New Roman"/>
                <w:sz w:val="24"/>
                <w:szCs w:val="24"/>
              </w:rPr>
            </w:pPr>
            <w:r w:rsidRPr="00D95AD8">
              <w:rPr>
                <w:rFonts w:ascii="Times New Roman" w:hAnsi="Times New Roman"/>
                <w:sz w:val="24"/>
                <w:szCs w:val="24"/>
              </w:rPr>
              <w:t xml:space="preserve">Publiskais finansējums 5 800 002 </w:t>
            </w:r>
            <w:r w:rsidR="0069459B">
              <w:rPr>
                <w:rFonts w:ascii="Times New Roman" w:hAnsi="Times New Roman"/>
                <w:i/>
                <w:sz w:val="24"/>
                <w:szCs w:val="24"/>
              </w:rPr>
              <w:t>euro</w:t>
            </w:r>
            <w:r w:rsidRPr="00D95AD8">
              <w:rPr>
                <w:rFonts w:ascii="Times New Roman" w:hAnsi="Times New Roman"/>
                <w:sz w:val="24"/>
                <w:szCs w:val="24"/>
              </w:rPr>
              <w:t xml:space="preserve"> tiek pārdalīts no</w:t>
            </w:r>
            <w:r w:rsidR="004C0A86">
              <w:rPr>
                <w:rFonts w:ascii="Times New Roman" w:hAnsi="Times New Roman"/>
                <w:sz w:val="24"/>
                <w:szCs w:val="24"/>
              </w:rPr>
              <w:t xml:space="preserve"> publiskā finansējuma</w:t>
            </w:r>
            <w:r w:rsidR="004C0A86" w:rsidRPr="004C0A86">
              <w:rPr>
                <w:rFonts w:ascii="Times New Roman" w:hAnsi="Times New Roman"/>
                <w:sz w:val="24"/>
                <w:szCs w:val="24"/>
              </w:rPr>
              <w:t>, kas ir pieejams ESKO tirgus attīstības veicināšanai</w:t>
            </w:r>
            <w:r w:rsidR="00EF7009">
              <w:rPr>
                <w:rFonts w:ascii="Times New Roman" w:hAnsi="Times New Roman"/>
                <w:sz w:val="24"/>
                <w:szCs w:val="24"/>
              </w:rPr>
              <w:t xml:space="preserve">, bet publiskais finansējums 2 170 416 </w:t>
            </w:r>
            <w:r w:rsidR="0069459B">
              <w:rPr>
                <w:rFonts w:ascii="Times New Roman" w:hAnsi="Times New Roman"/>
                <w:i/>
                <w:sz w:val="24"/>
                <w:szCs w:val="24"/>
              </w:rPr>
              <w:t>euro</w:t>
            </w:r>
            <w:r w:rsidR="00EF7009">
              <w:rPr>
                <w:rFonts w:ascii="Times New Roman" w:hAnsi="Times New Roman"/>
                <w:sz w:val="24"/>
                <w:szCs w:val="24"/>
              </w:rPr>
              <w:t xml:space="preserve"> – no 4.2.1.2.pasākuma pirmās projektu iesniegumu atlases kārtas.</w:t>
            </w:r>
            <w:r w:rsidR="004C0A86">
              <w:rPr>
                <w:rFonts w:ascii="Times New Roman" w:hAnsi="Times New Roman"/>
                <w:sz w:val="24"/>
                <w:szCs w:val="24"/>
              </w:rPr>
              <w:t xml:space="preserve"> </w:t>
            </w:r>
          </w:p>
          <w:p w14:paraId="7BCDC143" w14:textId="794EEA91" w:rsidR="000053C9" w:rsidRDefault="00573648" w:rsidP="00176C49">
            <w:pPr>
              <w:spacing w:after="0" w:line="240" w:lineRule="auto"/>
              <w:ind w:left="132" w:right="202"/>
              <w:jc w:val="both"/>
              <w:rPr>
                <w:rFonts w:ascii="Times New Roman" w:hAnsi="Times New Roman"/>
                <w:sz w:val="24"/>
                <w:szCs w:val="24"/>
              </w:rPr>
            </w:pPr>
            <w:r w:rsidRPr="000053C9">
              <w:rPr>
                <w:rFonts w:ascii="Times New Roman" w:hAnsi="Times New Roman"/>
                <w:sz w:val="24"/>
                <w:szCs w:val="24"/>
              </w:rPr>
              <w:t xml:space="preserve">Likuma "Par </w:t>
            </w:r>
            <w:r w:rsidRPr="000053C9">
              <w:rPr>
                <w:rFonts w:ascii="Times New Roman" w:hAnsi="Times New Roman"/>
                <w:sz w:val="24"/>
                <w:szCs w:val="24"/>
              </w:rPr>
              <w:t>pašvaldībām" 15.panta 6.punkts nosaka, ka pašvaldības autonomā funkcija ir nodrošināt veselības aprūpes pieejamību, kā arī veicināt iedzīvotāju veselīgu dzīvesveidu un sportu. Ņemot vērā</w:t>
            </w:r>
            <w:r w:rsidR="00AB0D96">
              <w:rPr>
                <w:rFonts w:ascii="Times New Roman" w:hAnsi="Times New Roman"/>
                <w:sz w:val="24"/>
                <w:szCs w:val="24"/>
              </w:rPr>
              <w:t xml:space="preserve"> iepriekš minēto</w:t>
            </w:r>
            <w:r w:rsidRPr="000053C9">
              <w:rPr>
                <w:rFonts w:ascii="Times New Roman" w:hAnsi="Times New Roman"/>
                <w:sz w:val="24"/>
                <w:szCs w:val="24"/>
              </w:rPr>
              <w:t>, ēk</w:t>
            </w:r>
            <w:r w:rsidR="00AB0D96">
              <w:rPr>
                <w:rFonts w:ascii="Times New Roman" w:hAnsi="Times New Roman"/>
                <w:sz w:val="24"/>
                <w:szCs w:val="24"/>
              </w:rPr>
              <w:t>ā</w:t>
            </w:r>
            <w:r w:rsidRPr="000053C9">
              <w:rPr>
                <w:rFonts w:ascii="Times New Roman" w:hAnsi="Times New Roman"/>
                <w:sz w:val="24"/>
                <w:szCs w:val="24"/>
              </w:rPr>
              <w:t>s, kurās tiek</w:t>
            </w:r>
            <w:r w:rsidR="000A2B6C">
              <w:rPr>
                <w:rFonts w:ascii="Times New Roman" w:hAnsi="Times New Roman"/>
                <w:sz w:val="24"/>
                <w:szCs w:val="24"/>
              </w:rPr>
              <w:t xml:space="preserve"> </w:t>
            </w:r>
            <w:r w:rsidRPr="000053C9">
              <w:rPr>
                <w:rFonts w:ascii="Times New Roman" w:hAnsi="Times New Roman"/>
                <w:sz w:val="24"/>
                <w:szCs w:val="24"/>
              </w:rPr>
              <w:t>pakalpojumi</w:t>
            </w:r>
            <w:r w:rsidR="000A2B6C">
              <w:rPr>
                <w:rFonts w:ascii="Times New Roman" w:hAnsi="Times New Roman"/>
                <w:sz w:val="24"/>
                <w:szCs w:val="24"/>
              </w:rPr>
              <w:t>, par kuriem ir noslēgti līgumi ar Nacionālo veselības dienestu</w:t>
            </w:r>
            <w:r w:rsidRPr="000053C9">
              <w:rPr>
                <w:rFonts w:ascii="Times New Roman" w:hAnsi="Times New Roman"/>
                <w:sz w:val="24"/>
                <w:szCs w:val="24"/>
              </w:rPr>
              <w:t xml:space="preserve">, pēc būtības un gara atbilst 4.2.1.2.pasākuma mērķgrupai. Līdz ar to arī Vidzemes slimnīca </w:t>
            </w:r>
            <w:r>
              <w:rPr>
                <w:rFonts w:ascii="Times New Roman" w:hAnsi="Times New Roman"/>
                <w:sz w:val="24"/>
                <w:szCs w:val="24"/>
              </w:rPr>
              <w:t>ir</w:t>
            </w:r>
            <w:r w:rsidRPr="000053C9">
              <w:rPr>
                <w:rFonts w:ascii="Times New Roman" w:hAnsi="Times New Roman"/>
                <w:sz w:val="24"/>
                <w:szCs w:val="24"/>
              </w:rPr>
              <w:t xml:space="preserve"> iekļaujama 4.2.1.2.pasākuma otrās kārtas saņēmēju vidū, lai arī tā sniedz savus pakalpojumus pašvaldības ēkā.</w:t>
            </w:r>
            <w:r w:rsidR="00210CCC">
              <w:rPr>
                <w:rFonts w:ascii="Times New Roman" w:hAnsi="Times New Roman"/>
                <w:sz w:val="24"/>
                <w:szCs w:val="24"/>
              </w:rPr>
              <w:t xml:space="preserve"> </w:t>
            </w:r>
            <w:r>
              <w:rPr>
                <w:rFonts w:ascii="Times New Roman" w:hAnsi="Times New Roman"/>
                <w:sz w:val="24"/>
                <w:szCs w:val="24"/>
              </w:rPr>
              <w:t>L</w:t>
            </w:r>
            <w:r w:rsidRPr="000053C9">
              <w:rPr>
                <w:rFonts w:ascii="Times New Roman" w:hAnsi="Times New Roman"/>
                <w:sz w:val="24"/>
                <w:szCs w:val="24"/>
              </w:rPr>
              <w:t xml:space="preserve">ai arī ēka </w:t>
            </w:r>
            <w:r w:rsidRPr="000053C9">
              <w:rPr>
                <w:rFonts w:ascii="Times New Roman" w:hAnsi="Times New Roman"/>
                <w:sz w:val="24"/>
                <w:szCs w:val="24"/>
              </w:rPr>
              <w:t>ir tikusi uzturēta pienācīgā kārtībā, būtiski ēkas pārbūves darbi (pamatu stiprināšana, jumta nomaiņa utt.) finansējuma trūkuma dēļ nav veikti gadu desmitiem. Kā rezultātā Vidzemes slimnīca ir saņēmusi Būvniecības valsts kontroles biroja lēmumu,  ar ko uzd</w:t>
            </w:r>
            <w:r w:rsidRPr="000053C9">
              <w:rPr>
                <w:rFonts w:ascii="Times New Roman" w:hAnsi="Times New Roman"/>
                <w:sz w:val="24"/>
                <w:szCs w:val="24"/>
              </w:rPr>
              <w:t xml:space="preserve">od ēkas īpašniekam līdz 2018.gada 31.decembrim novērst virkni trūkumu, kas saistīti ar ēkas tehnisko stāvokli. Minēto trūkumu novēršanu vissaprātīgāk </w:t>
            </w:r>
            <w:r>
              <w:rPr>
                <w:rFonts w:ascii="Times New Roman" w:hAnsi="Times New Roman"/>
                <w:sz w:val="24"/>
                <w:szCs w:val="24"/>
              </w:rPr>
              <w:t>ir</w:t>
            </w:r>
            <w:r w:rsidRPr="000053C9">
              <w:rPr>
                <w:rFonts w:ascii="Times New Roman" w:hAnsi="Times New Roman"/>
                <w:sz w:val="24"/>
                <w:szCs w:val="24"/>
              </w:rPr>
              <w:t xml:space="preserve"> v</w:t>
            </w:r>
            <w:r>
              <w:rPr>
                <w:rFonts w:ascii="Times New Roman" w:hAnsi="Times New Roman"/>
                <w:sz w:val="24"/>
                <w:szCs w:val="24"/>
              </w:rPr>
              <w:t xml:space="preserve">eikt kopā ar energoefektivitātes paaugstināšanas </w:t>
            </w:r>
            <w:r w:rsidRPr="000053C9">
              <w:rPr>
                <w:rFonts w:ascii="Times New Roman" w:hAnsi="Times New Roman"/>
                <w:sz w:val="24"/>
                <w:szCs w:val="24"/>
              </w:rPr>
              <w:t>pasākum</w:t>
            </w:r>
            <w:r>
              <w:rPr>
                <w:rFonts w:ascii="Times New Roman" w:hAnsi="Times New Roman"/>
                <w:sz w:val="24"/>
                <w:szCs w:val="24"/>
              </w:rPr>
              <w:t>iem</w:t>
            </w:r>
            <w:r w:rsidRPr="000053C9">
              <w:rPr>
                <w:rFonts w:ascii="Times New Roman" w:hAnsi="Times New Roman"/>
                <w:sz w:val="24"/>
                <w:szCs w:val="24"/>
              </w:rPr>
              <w:t>, tādējādi nodrošinot racionālu līdzekļu iz</w:t>
            </w:r>
            <w:r w:rsidRPr="000053C9">
              <w:rPr>
                <w:rFonts w:ascii="Times New Roman" w:hAnsi="Times New Roman"/>
                <w:sz w:val="24"/>
                <w:szCs w:val="24"/>
              </w:rPr>
              <w:t xml:space="preserve">mantošanu un minimizējot ietekmi uz ārstnieciskā procesa kvalitatīvu nodrošināšanu. </w:t>
            </w:r>
          </w:p>
          <w:p w14:paraId="0CB81D94" w14:textId="3E0789B4" w:rsidR="00611285" w:rsidRDefault="00573648" w:rsidP="00176C49">
            <w:pPr>
              <w:spacing w:after="0" w:line="240" w:lineRule="auto"/>
              <w:ind w:left="132" w:right="202"/>
              <w:jc w:val="both"/>
              <w:rPr>
                <w:rFonts w:ascii="Times New Roman" w:hAnsi="Times New Roman"/>
                <w:sz w:val="24"/>
                <w:szCs w:val="24"/>
              </w:rPr>
            </w:pPr>
            <w:r>
              <w:rPr>
                <w:rFonts w:ascii="Times New Roman" w:hAnsi="Times New Roman"/>
                <w:sz w:val="24"/>
                <w:szCs w:val="24"/>
              </w:rPr>
              <w:t>Savukārt Cēsu klīnikas ē</w:t>
            </w:r>
            <w:r w:rsidRPr="00611285">
              <w:rPr>
                <w:rFonts w:ascii="Times New Roman" w:hAnsi="Times New Roman"/>
                <w:sz w:val="24"/>
                <w:szCs w:val="24"/>
              </w:rPr>
              <w:t xml:space="preserve">ku komplekss </w:t>
            </w:r>
            <w:r>
              <w:rPr>
                <w:rFonts w:ascii="Times New Roman" w:hAnsi="Times New Roman"/>
                <w:sz w:val="24"/>
                <w:szCs w:val="24"/>
              </w:rPr>
              <w:t>ir būvēts 1975.gadā, un</w:t>
            </w:r>
            <w:r w:rsidRPr="00611285">
              <w:rPr>
                <w:rFonts w:ascii="Times New Roman" w:hAnsi="Times New Roman"/>
                <w:sz w:val="24"/>
                <w:szCs w:val="24"/>
              </w:rPr>
              <w:t xml:space="preserve"> 2015.gadā </w:t>
            </w:r>
            <w:r>
              <w:rPr>
                <w:rFonts w:ascii="Times New Roman" w:hAnsi="Times New Roman"/>
                <w:sz w:val="24"/>
                <w:szCs w:val="24"/>
              </w:rPr>
              <w:t xml:space="preserve">ir </w:t>
            </w:r>
            <w:r w:rsidRPr="00611285">
              <w:rPr>
                <w:rFonts w:ascii="Times New Roman" w:hAnsi="Times New Roman"/>
                <w:sz w:val="24"/>
                <w:szCs w:val="24"/>
              </w:rPr>
              <w:t>veikta daļēja (1 korpusa) siltināšana KPFI projekta realizācijas ie</w:t>
            </w:r>
            <w:r>
              <w:rPr>
                <w:rFonts w:ascii="Times New Roman" w:hAnsi="Times New Roman"/>
                <w:sz w:val="24"/>
                <w:szCs w:val="24"/>
              </w:rPr>
              <w:t>tvaros. Otra korpusa atjaunoša</w:t>
            </w:r>
            <w:r>
              <w:rPr>
                <w:rFonts w:ascii="Times New Roman" w:hAnsi="Times New Roman"/>
                <w:sz w:val="24"/>
                <w:szCs w:val="24"/>
              </w:rPr>
              <w:t>na</w:t>
            </w:r>
            <w:r w:rsidRPr="00611285">
              <w:rPr>
                <w:rFonts w:ascii="Times New Roman" w:hAnsi="Times New Roman"/>
                <w:sz w:val="24"/>
                <w:szCs w:val="24"/>
              </w:rPr>
              <w:t xml:space="preserve"> nav realizēta līdzekļu trūkuma dēļ. </w:t>
            </w:r>
            <w:r w:rsidR="00271BB2" w:rsidRPr="00271BB2">
              <w:rPr>
                <w:rFonts w:ascii="Times New Roman" w:hAnsi="Times New Roman"/>
                <w:sz w:val="24"/>
                <w:szCs w:val="24"/>
              </w:rPr>
              <w:t xml:space="preserve">9.3.2.specifiskā atbalsta mērķa “Uzlabot kvalitatīvu veselības aprūpes pakalpojumu pieejamību, jo īpaši </w:t>
            </w:r>
            <w:r w:rsidR="00271BB2" w:rsidRPr="00271BB2">
              <w:rPr>
                <w:rFonts w:ascii="Times New Roman" w:hAnsi="Times New Roman"/>
                <w:sz w:val="24"/>
                <w:szCs w:val="24"/>
              </w:rPr>
              <w:lastRenderedPageBreak/>
              <w:t xml:space="preserve">sociālās, teritoriālās atstumtības un nabadzības riskam pakļautajiem iedzīvotājiem, attīstot veselības aprūpes infrastruktūru” </w:t>
            </w:r>
            <w:r w:rsidRPr="00611285">
              <w:rPr>
                <w:rFonts w:ascii="Times New Roman" w:hAnsi="Times New Roman"/>
                <w:sz w:val="24"/>
                <w:szCs w:val="24"/>
              </w:rPr>
              <w:t>trešās kārtas uzsāktajā realizācijas projektā, kur SIA „CĒSU KLĪNIKA“ ir viena no finansējuma saņēmējām, atbalstāmo darbību sarakst</w:t>
            </w:r>
            <w:r>
              <w:rPr>
                <w:rFonts w:ascii="Times New Roman" w:hAnsi="Times New Roman"/>
                <w:sz w:val="24"/>
                <w:szCs w:val="24"/>
              </w:rPr>
              <w:t xml:space="preserve">ā nav paredzēta ēku siltināšana, tāpēc nepieciešams piešķirt finansējuma korpusa atjaunošanai 4.2.1.2.pasākuma </w:t>
            </w:r>
            <w:r>
              <w:rPr>
                <w:rFonts w:ascii="Times New Roman" w:hAnsi="Times New Roman"/>
                <w:sz w:val="24"/>
                <w:szCs w:val="24"/>
              </w:rPr>
              <w:t>otrās kārtas ietvaros.</w:t>
            </w:r>
          </w:p>
          <w:p w14:paraId="2DE63C65" w14:textId="0898789B" w:rsidR="00FA07A3" w:rsidRDefault="00573648" w:rsidP="00176C49">
            <w:pPr>
              <w:spacing w:after="0" w:line="240" w:lineRule="auto"/>
              <w:ind w:left="132" w:right="202"/>
              <w:jc w:val="both"/>
              <w:rPr>
                <w:rFonts w:ascii="Times New Roman" w:hAnsi="Times New Roman"/>
                <w:sz w:val="24"/>
                <w:szCs w:val="24"/>
              </w:rPr>
            </w:pPr>
            <w:r>
              <w:rPr>
                <w:rFonts w:ascii="Times New Roman" w:hAnsi="Times New Roman"/>
                <w:sz w:val="24"/>
                <w:szCs w:val="24"/>
              </w:rPr>
              <w:t>Veselības ministrija</w:t>
            </w:r>
            <w:r w:rsidR="00536750">
              <w:rPr>
                <w:rFonts w:ascii="Times New Roman" w:hAnsi="Times New Roman"/>
                <w:sz w:val="24"/>
                <w:szCs w:val="24"/>
              </w:rPr>
              <w:t xml:space="preserve"> ar 03.05.2018. vēstuli Nr.</w:t>
            </w:r>
            <w:r w:rsidR="00536750" w:rsidRPr="00536750">
              <w:rPr>
                <w:rFonts w:ascii="Times New Roman" w:hAnsi="Times New Roman"/>
                <w:sz w:val="24"/>
                <w:szCs w:val="24"/>
              </w:rPr>
              <w:t xml:space="preserve"> 01-10.2-01/1854</w:t>
            </w:r>
            <w:r w:rsidR="00536750">
              <w:rPr>
                <w:rFonts w:ascii="Times New Roman" w:hAnsi="Times New Roman"/>
                <w:sz w:val="24"/>
                <w:szCs w:val="24"/>
              </w:rPr>
              <w:t xml:space="preserve"> apzinās</w:t>
            </w:r>
            <w:r>
              <w:rPr>
                <w:rFonts w:ascii="Times New Roman" w:hAnsi="Times New Roman"/>
                <w:sz w:val="24"/>
                <w:szCs w:val="24"/>
              </w:rPr>
              <w:t xml:space="preserve"> </w:t>
            </w:r>
            <w:r w:rsidR="00536750">
              <w:rPr>
                <w:rFonts w:ascii="Times New Roman" w:hAnsi="Times New Roman"/>
                <w:sz w:val="24"/>
                <w:szCs w:val="24"/>
              </w:rPr>
              <w:t>en</w:t>
            </w:r>
            <w:r w:rsidR="00536750" w:rsidRPr="00536750">
              <w:rPr>
                <w:rFonts w:ascii="Times New Roman" w:hAnsi="Times New Roman"/>
                <w:sz w:val="24"/>
                <w:szCs w:val="24"/>
              </w:rPr>
              <w:t xml:space="preserve">ergoefektivitātes pasākumu veikšanas nepieciešamību </w:t>
            </w:r>
            <w:r w:rsidR="00536750">
              <w:rPr>
                <w:rFonts w:ascii="Times New Roman" w:hAnsi="Times New Roman"/>
                <w:sz w:val="24"/>
                <w:szCs w:val="24"/>
              </w:rPr>
              <w:t>Vidzemes slimnīcā</w:t>
            </w:r>
            <w:r w:rsidR="00536750" w:rsidRPr="00536750">
              <w:rPr>
                <w:rFonts w:ascii="Times New Roman" w:hAnsi="Times New Roman"/>
                <w:sz w:val="24"/>
                <w:szCs w:val="24"/>
              </w:rPr>
              <w:t xml:space="preserve"> </w:t>
            </w:r>
            <w:r w:rsidR="00536750">
              <w:rPr>
                <w:rFonts w:ascii="Times New Roman" w:hAnsi="Times New Roman"/>
                <w:sz w:val="24"/>
                <w:szCs w:val="24"/>
              </w:rPr>
              <w:t xml:space="preserve">un konceptuāli atbalsta </w:t>
            </w:r>
            <w:r w:rsidR="00536750" w:rsidRPr="00536750">
              <w:rPr>
                <w:rFonts w:ascii="Times New Roman" w:hAnsi="Times New Roman"/>
                <w:sz w:val="24"/>
                <w:szCs w:val="24"/>
              </w:rPr>
              <w:t>Valmieras pilsētas pašvaldības lūgumu Ekonomikas ministrijai piešķirt papildus finansējumu ēkas energoefektivitātes pasākumu īs</w:t>
            </w:r>
            <w:r w:rsidR="00536750">
              <w:rPr>
                <w:rFonts w:ascii="Times New Roman" w:hAnsi="Times New Roman"/>
                <w:sz w:val="24"/>
                <w:szCs w:val="24"/>
              </w:rPr>
              <w:t>tenošanai</w:t>
            </w:r>
            <w:r w:rsidR="00536750" w:rsidRPr="00536750">
              <w:rPr>
                <w:rFonts w:ascii="Times New Roman" w:hAnsi="Times New Roman"/>
                <w:sz w:val="24"/>
                <w:szCs w:val="24"/>
              </w:rPr>
              <w:t>.</w:t>
            </w:r>
            <w:r w:rsidR="00B7203B">
              <w:rPr>
                <w:rFonts w:ascii="Times New Roman" w:hAnsi="Times New Roman"/>
                <w:sz w:val="24"/>
                <w:szCs w:val="24"/>
              </w:rPr>
              <w:t xml:space="preserve"> Papildus </w:t>
            </w:r>
            <w:r w:rsidR="00B7203B" w:rsidRPr="00B7203B">
              <w:rPr>
                <w:rFonts w:ascii="Times New Roman" w:hAnsi="Times New Roman"/>
                <w:sz w:val="24"/>
                <w:szCs w:val="24"/>
              </w:rPr>
              <w:t>Veselības ministrija norāda, ka ir identificētas arī citu ārstniecības iestāžu vajadzības uzlabot ēku energoefektivitāti, kā arī tās ir saņēmušas Būvniecības valsts kontroles biroja lēmumus ar uzdevumiem līdz noteiktam termiņam novērst konstatētos trūkumus</w:t>
            </w:r>
            <w:r w:rsidR="00B7203B">
              <w:rPr>
                <w:rFonts w:ascii="Times New Roman" w:hAnsi="Times New Roman"/>
                <w:sz w:val="24"/>
                <w:szCs w:val="24"/>
              </w:rPr>
              <w:t>.</w:t>
            </w:r>
          </w:p>
          <w:p w14:paraId="5F8152A8" w14:textId="180CA4DA" w:rsidR="00176C49" w:rsidRPr="00176C49" w:rsidRDefault="00573648" w:rsidP="00176C49">
            <w:pPr>
              <w:spacing w:after="0" w:line="240" w:lineRule="auto"/>
              <w:ind w:left="132" w:right="202"/>
              <w:jc w:val="both"/>
              <w:rPr>
                <w:rFonts w:ascii="Times New Roman" w:hAnsi="Times New Roman"/>
                <w:sz w:val="24"/>
                <w:szCs w:val="24"/>
              </w:rPr>
            </w:pPr>
            <w:r w:rsidRPr="00176C49">
              <w:rPr>
                <w:rFonts w:ascii="Times New Roman" w:hAnsi="Times New Roman"/>
                <w:sz w:val="24"/>
                <w:szCs w:val="24"/>
              </w:rPr>
              <w:t>V</w:t>
            </w:r>
            <w:r>
              <w:rPr>
                <w:rFonts w:ascii="Times New Roman" w:hAnsi="Times New Roman"/>
                <w:sz w:val="24"/>
                <w:szCs w:val="24"/>
              </w:rPr>
              <w:t>eselības ministrija</w:t>
            </w:r>
            <w:r w:rsidRPr="00176C49">
              <w:rPr>
                <w:rFonts w:ascii="Times New Roman" w:hAnsi="Times New Roman"/>
                <w:sz w:val="24"/>
                <w:szCs w:val="24"/>
              </w:rPr>
              <w:t xml:space="preserve"> 13.03.2018. vēstulē ir informējusi EM, ka, lai nodrošinātu 4.2.1.2.pasākuma otrās projektu iesniegumu atlases kārtas ietvaros prioritāro projektu īsten</w:t>
            </w:r>
            <w:r w:rsidRPr="00176C49">
              <w:rPr>
                <w:rFonts w:ascii="Times New Roman" w:hAnsi="Times New Roman"/>
                <w:sz w:val="24"/>
                <w:szCs w:val="24"/>
              </w:rPr>
              <w:t>ošanu kvalitatīvi un pilnā apjomā, VM atsakās no pr</w:t>
            </w:r>
            <w:r>
              <w:rPr>
                <w:rFonts w:ascii="Times New Roman" w:hAnsi="Times New Roman"/>
                <w:sz w:val="24"/>
                <w:szCs w:val="24"/>
              </w:rPr>
              <w:t xml:space="preserve">ojektu realizācijas divās ēkās. </w:t>
            </w:r>
            <w:r w:rsidRPr="00176C49">
              <w:rPr>
                <w:rFonts w:ascii="Times New Roman" w:hAnsi="Times New Roman"/>
                <w:sz w:val="24"/>
                <w:szCs w:val="24"/>
              </w:rPr>
              <w:t>Tādējādi finansējums iekšēji tiks novirzīts prioritāro projektu īstenošanai, kas nav iespējams esošā finansējuma ietvaros. Līdz ar to netiks realizēti šādi projekti:</w:t>
            </w:r>
          </w:p>
          <w:p w14:paraId="7F4CD55D" w14:textId="77777777" w:rsidR="00176C49" w:rsidRPr="00176C49" w:rsidRDefault="00573648" w:rsidP="003937F2">
            <w:pPr>
              <w:spacing w:after="0" w:line="240" w:lineRule="auto"/>
              <w:ind w:left="639" w:right="202" w:hanging="283"/>
              <w:jc w:val="both"/>
              <w:rPr>
                <w:rFonts w:ascii="Times New Roman" w:hAnsi="Times New Roman"/>
                <w:sz w:val="24"/>
                <w:szCs w:val="24"/>
              </w:rPr>
            </w:pPr>
            <w:r w:rsidRPr="00176C49">
              <w:rPr>
                <w:rFonts w:ascii="Times New Roman" w:hAnsi="Times New Roman"/>
                <w:sz w:val="24"/>
                <w:szCs w:val="24"/>
              </w:rPr>
              <w:t>•</w:t>
            </w:r>
            <w:r w:rsidRPr="00176C49">
              <w:rPr>
                <w:rFonts w:ascii="Times New Roman" w:hAnsi="Times New Roman"/>
                <w:sz w:val="24"/>
                <w:szCs w:val="24"/>
              </w:rPr>
              <w:tab/>
              <w:t>Valst</w:t>
            </w:r>
            <w:r w:rsidRPr="00176C49">
              <w:rPr>
                <w:rFonts w:ascii="Times New Roman" w:hAnsi="Times New Roman"/>
                <w:sz w:val="24"/>
                <w:szCs w:val="24"/>
              </w:rPr>
              <w:t>s sabiedrība ar ierobežotu atbildību "Nacionālais rehabilitācijas centrs "Vaivari"", Vakara ielā 6, Jūrmalā;</w:t>
            </w:r>
          </w:p>
          <w:p w14:paraId="35127E42" w14:textId="41A244ED" w:rsidR="00176C49" w:rsidRDefault="00573648" w:rsidP="003937F2">
            <w:pPr>
              <w:spacing w:after="0" w:line="240" w:lineRule="auto"/>
              <w:ind w:left="639" w:right="202" w:hanging="283"/>
              <w:jc w:val="both"/>
              <w:rPr>
                <w:rFonts w:ascii="Times New Roman" w:hAnsi="Times New Roman"/>
                <w:sz w:val="24"/>
                <w:szCs w:val="24"/>
              </w:rPr>
            </w:pPr>
            <w:r w:rsidRPr="00176C49">
              <w:rPr>
                <w:rFonts w:ascii="Times New Roman" w:hAnsi="Times New Roman"/>
                <w:sz w:val="24"/>
                <w:szCs w:val="24"/>
              </w:rPr>
              <w:t>•</w:t>
            </w:r>
            <w:r w:rsidRPr="00176C49">
              <w:rPr>
                <w:rFonts w:ascii="Times New Roman" w:hAnsi="Times New Roman"/>
                <w:sz w:val="24"/>
                <w:szCs w:val="24"/>
              </w:rPr>
              <w:tab/>
              <w:t>Valsts sabiedrība ar ierobežotu atbildību "Paula Stradiņa klīniskā universitātes slimnīca", Pilsoņu ielā 13 k-24, Rīgā;</w:t>
            </w:r>
          </w:p>
          <w:p w14:paraId="2AF5BE8E" w14:textId="75092816" w:rsidR="00D95AD8" w:rsidRDefault="00573648" w:rsidP="009867E1">
            <w:pPr>
              <w:spacing w:after="0" w:line="240" w:lineRule="auto"/>
              <w:ind w:left="132" w:right="202"/>
              <w:jc w:val="both"/>
              <w:rPr>
                <w:rFonts w:ascii="Times New Roman" w:hAnsi="Times New Roman"/>
                <w:sz w:val="24"/>
                <w:szCs w:val="24"/>
              </w:rPr>
            </w:pPr>
            <w:r>
              <w:rPr>
                <w:rFonts w:ascii="Times New Roman" w:hAnsi="Times New Roman"/>
                <w:sz w:val="24"/>
                <w:szCs w:val="24"/>
              </w:rPr>
              <w:t>Savstarpējas vienošanās r</w:t>
            </w:r>
            <w:r>
              <w:rPr>
                <w:rFonts w:ascii="Times New Roman" w:hAnsi="Times New Roman"/>
                <w:sz w:val="24"/>
                <w:szCs w:val="24"/>
              </w:rPr>
              <w:t>ezultātā starp VNĪ, FM un EM 4.2.1.2.pasākuma otrās kārtas ietvaros notiks JRT ēkas atjaunošana. Finansējuma pārdale notiks no 4.2.1.2.pasākuma pirmās kārtas FM kvotas, jo projekts Smilšu ielā 1 netiks realizēts. Lai nodrošinātu kvotu pārdali, VNĪ ir iesni</w:t>
            </w:r>
            <w:r>
              <w:rPr>
                <w:rFonts w:ascii="Times New Roman" w:hAnsi="Times New Roman"/>
                <w:sz w:val="24"/>
                <w:szCs w:val="24"/>
              </w:rPr>
              <w:t>e</w:t>
            </w:r>
            <w:r w:rsidR="001F430C">
              <w:rPr>
                <w:rFonts w:ascii="Times New Roman" w:hAnsi="Times New Roman"/>
                <w:sz w:val="24"/>
                <w:szCs w:val="24"/>
              </w:rPr>
              <w:t>gusi</w:t>
            </w:r>
            <w:r>
              <w:rPr>
                <w:rFonts w:ascii="Times New Roman" w:hAnsi="Times New Roman"/>
                <w:sz w:val="24"/>
                <w:szCs w:val="24"/>
              </w:rPr>
              <w:t xml:space="preserve"> atjaunojamo ēku sarakstu, kuras tiks ieskaitītas valsts ēku 3% atjaunošanas mērķī</w:t>
            </w:r>
            <w:r w:rsidR="001F430C">
              <w:rPr>
                <w:rFonts w:ascii="Times New Roman" w:hAnsi="Times New Roman"/>
                <w:sz w:val="24"/>
                <w:szCs w:val="24"/>
              </w:rPr>
              <w:t>,</w:t>
            </w:r>
            <w:bookmarkStart w:id="0" w:name="_GoBack"/>
            <w:r w:rsidR="001F430C">
              <w:rPr>
                <w:rFonts w:ascii="Times New Roman" w:hAnsi="Times New Roman"/>
                <w:sz w:val="24"/>
                <w:szCs w:val="24"/>
              </w:rPr>
              <w:t xml:space="preserve"> kas noteikts Direktīvas Nr. 2012/27/ES 5.panta 1.daļā</w:t>
            </w:r>
            <w:bookmarkEnd w:id="0"/>
            <w:r>
              <w:rPr>
                <w:rFonts w:ascii="Times New Roman" w:hAnsi="Times New Roman"/>
                <w:sz w:val="24"/>
                <w:szCs w:val="24"/>
              </w:rPr>
              <w:t>. Šo ēku atjaunošana notiek bez ES fondu līdzfinansējuma.</w:t>
            </w:r>
            <w:r w:rsidR="001F430C">
              <w:rPr>
                <w:rFonts w:ascii="Times New Roman" w:hAnsi="Times New Roman"/>
                <w:sz w:val="24"/>
                <w:szCs w:val="24"/>
              </w:rPr>
              <w:t xml:space="preserve"> Tādējādi attiecīgā finansējuma pārvirzīšanai uz otro projektu iesniegumu atlases kārtu nav tiešas ietekmes uz Direktīvā Nr. 2012/27/ES noteiktajiem mērķiem.</w:t>
            </w:r>
          </w:p>
          <w:p w14:paraId="7B53DB89" w14:textId="5C409955" w:rsidR="001F430C" w:rsidRDefault="00573648" w:rsidP="00A26E88">
            <w:pPr>
              <w:spacing w:after="0" w:line="240" w:lineRule="auto"/>
              <w:ind w:left="132" w:right="202"/>
              <w:jc w:val="both"/>
              <w:rPr>
                <w:rFonts w:ascii="Times New Roman" w:hAnsi="Times New Roman"/>
                <w:sz w:val="24"/>
                <w:szCs w:val="24"/>
              </w:rPr>
            </w:pPr>
            <w:r>
              <w:rPr>
                <w:rFonts w:ascii="Times New Roman" w:hAnsi="Times New Roman"/>
                <w:sz w:val="24"/>
                <w:szCs w:val="24"/>
              </w:rPr>
              <w:t>Savukārt</w:t>
            </w:r>
            <w:r>
              <w:rPr>
                <w:rFonts w:ascii="Times New Roman" w:hAnsi="Times New Roman"/>
                <w:sz w:val="24"/>
                <w:szCs w:val="24"/>
              </w:rPr>
              <w:t xml:space="preserve"> ēkas Pils ielā 38 un </w:t>
            </w:r>
            <w:r w:rsidRPr="008C12CD">
              <w:rPr>
                <w:rFonts w:ascii="Times New Roman" w:hAnsi="Times New Roman"/>
                <w:sz w:val="24"/>
                <w:szCs w:val="24"/>
              </w:rPr>
              <w:t>Kuģinieku ielā 2</w:t>
            </w:r>
            <w:r>
              <w:rPr>
                <w:rFonts w:ascii="Times New Roman" w:hAnsi="Times New Roman"/>
                <w:sz w:val="24"/>
                <w:szCs w:val="24"/>
              </w:rPr>
              <w:t xml:space="preserve">, Ventspilī 4.2.1.2.pasākuma otrās </w:t>
            </w:r>
            <w:r>
              <w:rPr>
                <w:rFonts w:ascii="Times New Roman" w:hAnsi="Times New Roman"/>
                <w:sz w:val="24"/>
                <w:szCs w:val="24"/>
              </w:rPr>
              <w:t xml:space="preserve">projektu iesniegumu atlases </w:t>
            </w:r>
            <w:r>
              <w:rPr>
                <w:rFonts w:ascii="Times New Roman" w:hAnsi="Times New Roman"/>
                <w:sz w:val="24"/>
                <w:szCs w:val="24"/>
              </w:rPr>
              <w:t xml:space="preserve">kārtas atjaunojamo ēku sarakstā nolemts iekļaut, balstoties uz </w:t>
            </w:r>
            <w:r w:rsidRPr="001F430C">
              <w:rPr>
                <w:rFonts w:ascii="Times New Roman" w:hAnsi="Times New Roman"/>
                <w:sz w:val="24"/>
                <w:szCs w:val="24"/>
              </w:rPr>
              <w:t>I</w:t>
            </w:r>
            <w:r>
              <w:rPr>
                <w:rFonts w:ascii="Times New Roman" w:hAnsi="Times New Roman"/>
                <w:sz w:val="24"/>
                <w:szCs w:val="24"/>
              </w:rPr>
              <w:t>zglītības un zinātnes ministrijas</w:t>
            </w:r>
            <w:r w:rsidRPr="001F430C">
              <w:rPr>
                <w:rFonts w:ascii="Times New Roman" w:hAnsi="Times New Roman"/>
                <w:sz w:val="24"/>
                <w:szCs w:val="24"/>
              </w:rPr>
              <w:t xml:space="preserve"> 2018.gada 26.februāra vēstulē Nr.4-4.1e/2018/676 un K</w:t>
            </w:r>
            <w:r>
              <w:rPr>
                <w:rFonts w:ascii="Times New Roman" w:hAnsi="Times New Roman"/>
                <w:sz w:val="24"/>
                <w:szCs w:val="24"/>
              </w:rPr>
              <w:t>ultūras ministrijas</w:t>
            </w:r>
            <w:r w:rsidRPr="001F430C">
              <w:rPr>
                <w:rFonts w:ascii="Times New Roman" w:hAnsi="Times New Roman"/>
                <w:sz w:val="24"/>
                <w:szCs w:val="24"/>
              </w:rPr>
              <w:t xml:space="preserve"> 2017.gada 22.decembra vēstulē Nr.3.3-1/2751 </w:t>
            </w:r>
            <w:r>
              <w:rPr>
                <w:rFonts w:ascii="Times New Roman" w:hAnsi="Times New Roman"/>
                <w:sz w:val="24"/>
                <w:szCs w:val="24"/>
              </w:rPr>
              <w:t xml:space="preserve">ietverto informāciju par </w:t>
            </w:r>
            <w:r w:rsidRPr="001F430C">
              <w:rPr>
                <w:rFonts w:ascii="Times New Roman" w:hAnsi="Times New Roman"/>
                <w:sz w:val="24"/>
                <w:szCs w:val="24"/>
              </w:rPr>
              <w:t>atbal</w:t>
            </w:r>
            <w:r>
              <w:rPr>
                <w:rFonts w:ascii="Times New Roman" w:hAnsi="Times New Roman"/>
                <w:sz w:val="24"/>
                <w:szCs w:val="24"/>
              </w:rPr>
              <w:t>s</w:t>
            </w:r>
            <w:r>
              <w:rPr>
                <w:rFonts w:ascii="Times New Roman" w:hAnsi="Times New Roman"/>
                <w:sz w:val="24"/>
                <w:szCs w:val="24"/>
              </w:rPr>
              <w:t>tu attiec</w:t>
            </w:r>
            <w:r>
              <w:rPr>
                <w:rFonts w:ascii="Times New Roman" w:hAnsi="Times New Roman"/>
                <w:sz w:val="24"/>
                <w:szCs w:val="24"/>
              </w:rPr>
              <w:t>ī</w:t>
            </w:r>
            <w:r>
              <w:rPr>
                <w:rFonts w:ascii="Times New Roman" w:hAnsi="Times New Roman"/>
                <w:sz w:val="24"/>
                <w:szCs w:val="24"/>
              </w:rPr>
              <w:t>go</w:t>
            </w:r>
            <w:r w:rsidRPr="001F430C">
              <w:rPr>
                <w:rFonts w:ascii="Times New Roman" w:hAnsi="Times New Roman"/>
                <w:sz w:val="24"/>
                <w:szCs w:val="24"/>
              </w:rPr>
              <w:t xml:space="preserve"> ēku </w:t>
            </w:r>
            <w:r>
              <w:rPr>
                <w:rFonts w:ascii="Times New Roman" w:hAnsi="Times New Roman"/>
                <w:sz w:val="24"/>
                <w:szCs w:val="24"/>
              </w:rPr>
              <w:t>atjaunošanai</w:t>
            </w:r>
            <w:r w:rsidRPr="001F430C">
              <w:rPr>
                <w:rFonts w:ascii="Times New Roman" w:hAnsi="Times New Roman"/>
                <w:sz w:val="24"/>
                <w:szCs w:val="24"/>
              </w:rPr>
              <w:t xml:space="preserve"> 4.2.1.2.pasākuma otrās projektu iesniegumu atlases kārtas ietvaros. </w:t>
            </w:r>
            <w:r w:rsidR="00A26E88">
              <w:rPr>
                <w:rFonts w:ascii="Times New Roman" w:hAnsi="Times New Roman"/>
                <w:sz w:val="24"/>
                <w:szCs w:val="24"/>
              </w:rPr>
              <w:t xml:space="preserve">Arī </w:t>
            </w:r>
            <w:r w:rsidRPr="001F430C">
              <w:rPr>
                <w:rFonts w:ascii="Times New Roman" w:hAnsi="Times New Roman"/>
                <w:sz w:val="24"/>
                <w:szCs w:val="24"/>
              </w:rPr>
              <w:t xml:space="preserve">VNĪ 2018.gada 27.februāra vēstulē Nr.7/2-2/2533 konceptuāli atbalstījusi </w:t>
            </w:r>
            <w:r w:rsidR="00A26E88">
              <w:rPr>
                <w:rFonts w:ascii="Times New Roman" w:hAnsi="Times New Roman"/>
                <w:sz w:val="24"/>
                <w:szCs w:val="24"/>
              </w:rPr>
              <w:t>attiecīgo</w:t>
            </w:r>
            <w:r w:rsidRPr="001F430C">
              <w:rPr>
                <w:rFonts w:ascii="Times New Roman" w:hAnsi="Times New Roman"/>
                <w:sz w:val="24"/>
                <w:szCs w:val="24"/>
              </w:rPr>
              <w:t xml:space="preserve"> ēku atjaunošanu, </w:t>
            </w:r>
            <w:r w:rsidR="00A26E88" w:rsidRPr="00A26E88">
              <w:rPr>
                <w:rFonts w:ascii="Times New Roman" w:hAnsi="Times New Roman"/>
                <w:sz w:val="24"/>
                <w:szCs w:val="24"/>
              </w:rPr>
              <w:t>un ar 2018.gada 15. m</w:t>
            </w:r>
            <w:r w:rsidR="00A26E88">
              <w:rPr>
                <w:rFonts w:ascii="Times New Roman" w:hAnsi="Times New Roman"/>
                <w:sz w:val="24"/>
                <w:szCs w:val="24"/>
              </w:rPr>
              <w:t>arta e-pasta vēstuli informējusi</w:t>
            </w:r>
            <w:r w:rsidR="00A26E88" w:rsidRPr="00A26E88">
              <w:rPr>
                <w:rFonts w:ascii="Times New Roman" w:hAnsi="Times New Roman"/>
                <w:sz w:val="24"/>
                <w:szCs w:val="24"/>
              </w:rPr>
              <w:t>, ka abu ēku atjaunošanai nepieciešamās izmaksas ir</w:t>
            </w:r>
            <w:r w:rsidR="00A26E88">
              <w:rPr>
                <w:rFonts w:ascii="Times New Roman" w:hAnsi="Times New Roman"/>
                <w:sz w:val="24"/>
                <w:szCs w:val="24"/>
              </w:rPr>
              <w:t xml:space="preserve"> </w:t>
            </w:r>
            <w:r w:rsidR="00A26E88" w:rsidRPr="00A26E88">
              <w:rPr>
                <w:rFonts w:ascii="Times New Roman" w:hAnsi="Times New Roman"/>
                <w:sz w:val="24"/>
                <w:szCs w:val="24"/>
              </w:rPr>
              <w:t xml:space="preserve">6 181 422 </w:t>
            </w:r>
            <w:r w:rsidR="00A26E88">
              <w:rPr>
                <w:rFonts w:ascii="Times New Roman" w:hAnsi="Times New Roman"/>
                <w:i/>
                <w:sz w:val="24"/>
                <w:szCs w:val="24"/>
              </w:rPr>
              <w:t>euro</w:t>
            </w:r>
            <w:r w:rsidR="00A26E88" w:rsidRPr="00A26E88">
              <w:rPr>
                <w:rFonts w:ascii="Times New Roman" w:hAnsi="Times New Roman"/>
                <w:sz w:val="24"/>
                <w:szCs w:val="24"/>
              </w:rPr>
              <w:t xml:space="preserve">, no </w:t>
            </w:r>
            <w:r w:rsidR="00A26E88">
              <w:rPr>
                <w:rFonts w:ascii="Times New Roman" w:hAnsi="Times New Roman"/>
                <w:sz w:val="24"/>
                <w:szCs w:val="24"/>
              </w:rPr>
              <w:lastRenderedPageBreak/>
              <w:t xml:space="preserve">kuriem 2 </w:t>
            </w:r>
            <w:r w:rsidR="00A26E88" w:rsidRPr="00A26E88">
              <w:rPr>
                <w:rFonts w:ascii="Times New Roman" w:hAnsi="Times New Roman"/>
                <w:sz w:val="24"/>
                <w:szCs w:val="24"/>
              </w:rPr>
              <w:t xml:space="preserve">100 002 milj. </w:t>
            </w:r>
            <w:r w:rsidR="00A26E88">
              <w:rPr>
                <w:rFonts w:ascii="Times New Roman" w:hAnsi="Times New Roman"/>
                <w:i/>
                <w:sz w:val="24"/>
                <w:szCs w:val="24"/>
              </w:rPr>
              <w:t>euro</w:t>
            </w:r>
            <w:r w:rsidR="00A26E88" w:rsidRPr="00A26E88">
              <w:rPr>
                <w:rFonts w:ascii="Times New Roman" w:hAnsi="Times New Roman"/>
                <w:sz w:val="24"/>
                <w:szCs w:val="24"/>
              </w:rPr>
              <w:t xml:space="preserve"> ir iespējams attiecināt 4.2.1.2.pasākuma otrās kārtas ietvaros</w:t>
            </w:r>
            <w:r w:rsidR="00A26E88">
              <w:rPr>
                <w:rFonts w:ascii="Times New Roman" w:hAnsi="Times New Roman"/>
                <w:sz w:val="24"/>
                <w:szCs w:val="24"/>
              </w:rPr>
              <w:t>.</w:t>
            </w:r>
          </w:p>
          <w:p w14:paraId="354742A6" w14:textId="47EFC198" w:rsidR="00A26E88" w:rsidRDefault="00573648" w:rsidP="00A26E88">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Attiecīgo ēku atjaunošana ir nepieciešama, lai nodrošinātu </w:t>
            </w:r>
            <w:r>
              <w:rPr>
                <w:rFonts w:ascii="Times New Roman" w:hAnsi="Times New Roman"/>
                <w:sz w:val="24"/>
                <w:szCs w:val="24"/>
              </w:rPr>
              <w:t>nepieciešamo guļvietu skaitu p</w:t>
            </w:r>
            <w:r w:rsidRPr="00A26E88">
              <w:rPr>
                <w:rFonts w:ascii="Times New Roman" w:hAnsi="Times New Roman"/>
                <w:sz w:val="24"/>
                <w:szCs w:val="24"/>
              </w:rPr>
              <w:t>rofesionāl</w:t>
            </w:r>
            <w:r>
              <w:rPr>
                <w:rFonts w:ascii="Times New Roman" w:hAnsi="Times New Roman"/>
                <w:sz w:val="24"/>
                <w:szCs w:val="24"/>
              </w:rPr>
              <w:t xml:space="preserve">ās </w:t>
            </w:r>
            <w:r>
              <w:rPr>
                <w:rFonts w:ascii="Times New Roman" w:hAnsi="Times New Roman"/>
                <w:sz w:val="24"/>
                <w:szCs w:val="24"/>
              </w:rPr>
              <w:t>izglītības kompetences centra "Ventspils Tehnikums" un p</w:t>
            </w:r>
            <w:r w:rsidRPr="00A26E88">
              <w:rPr>
                <w:rFonts w:ascii="Times New Roman" w:hAnsi="Times New Roman"/>
                <w:sz w:val="24"/>
                <w:szCs w:val="24"/>
              </w:rPr>
              <w:t>rofesionāl</w:t>
            </w:r>
            <w:r w:rsidR="00637362">
              <w:rPr>
                <w:rFonts w:ascii="Times New Roman" w:hAnsi="Times New Roman"/>
                <w:sz w:val="24"/>
                <w:szCs w:val="24"/>
              </w:rPr>
              <w:t>ās izglītības kompetences centra</w:t>
            </w:r>
            <w:r w:rsidRPr="00A26E88">
              <w:rPr>
                <w:rFonts w:ascii="Times New Roman" w:hAnsi="Times New Roman"/>
                <w:sz w:val="24"/>
                <w:szCs w:val="24"/>
              </w:rPr>
              <w:t xml:space="preserve"> "Ventspils mūzikas vidusskola"</w:t>
            </w:r>
            <w:r>
              <w:rPr>
                <w:rFonts w:ascii="Times New Roman" w:hAnsi="Times New Roman"/>
                <w:sz w:val="24"/>
                <w:szCs w:val="24"/>
              </w:rPr>
              <w:t xml:space="preserve"> audzēkņiem un pedagogiem.</w:t>
            </w:r>
          </w:p>
          <w:p w14:paraId="2EAE27E1" w14:textId="43CF5750" w:rsidR="009F2FA5" w:rsidRDefault="00573648" w:rsidP="009867E1">
            <w:pPr>
              <w:spacing w:after="0" w:line="240" w:lineRule="auto"/>
              <w:ind w:left="132" w:right="202"/>
              <w:jc w:val="both"/>
              <w:rPr>
                <w:rFonts w:ascii="Times New Roman" w:hAnsi="Times New Roman"/>
                <w:sz w:val="24"/>
                <w:szCs w:val="24"/>
              </w:rPr>
            </w:pPr>
            <w:r>
              <w:rPr>
                <w:rFonts w:ascii="Times New Roman" w:hAnsi="Times New Roman"/>
                <w:sz w:val="24"/>
                <w:szCs w:val="24"/>
              </w:rPr>
              <w:t>4</w:t>
            </w:r>
            <w:r w:rsidRPr="009F2FA5">
              <w:rPr>
                <w:rFonts w:ascii="Times New Roman" w:hAnsi="Times New Roman"/>
                <w:sz w:val="24"/>
                <w:szCs w:val="24"/>
              </w:rPr>
              <w:t xml:space="preserve">.2.1.2.pasākuma kopējais publiskais finansējums ir 115 127 027 </w:t>
            </w:r>
            <w:r w:rsidR="00AB7120">
              <w:rPr>
                <w:rFonts w:ascii="Times New Roman" w:hAnsi="Times New Roman"/>
                <w:i/>
                <w:sz w:val="24"/>
                <w:szCs w:val="24"/>
              </w:rPr>
              <w:t>euro</w:t>
            </w:r>
            <w:r w:rsidRPr="009F2FA5">
              <w:rPr>
                <w:rFonts w:ascii="Times New Roman" w:hAnsi="Times New Roman"/>
                <w:sz w:val="24"/>
                <w:szCs w:val="24"/>
              </w:rPr>
              <w:t>, tajā skaitā finanšu rezerve ir</w:t>
            </w:r>
            <w:r w:rsidRPr="009F2FA5">
              <w:rPr>
                <w:rFonts w:ascii="Times New Roman" w:hAnsi="Times New Roman"/>
                <w:sz w:val="24"/>
                <w:szCs w:val="24"/>
              </w:rPr>
              <w:t xml:space="preserve"> 7 022 201 </w:t>
            </w:r>
            <w:r w:rsidR="00AB7120">
              <w:rPr>
                <w:rFonts w:ascii="Times New Roman" w:hAnsi="Times New Roman"/>
                <w:i/>
                <w:sz w:val="24"/>
                <w:szCs w:val="24"/>
              </w:rPr>
              <w:t>euro</w:t>
            </w:r>
            <w:r w:rsidR="00AB7120" w:rsidRPr="009F2FA5">
              <w:rPr>
                <w:rFonts w:ascii="Times New Roman" w:hAnsi="Times New Roman"/>
                <w:sz w:val="24"/>
                <w:szCs w:val="24"/>
              </w:rPr>
              <w:t xml:space="preserve"> </w:t>
            </w:r>
            <w:r w:rsidRPr="009F2FA5">
              <w:rPr>
                <w:rFonts w:ascii="Times New Roman" w:hAnsi="Times New Roman"/>
                <w:sz w:val="24"/>
                <w:szCs w:val="24"/>
              </w:rPr>
              <w:t>apmērā.</w:t>
            </w:r>
            <w:r>
              <w:rPr>
                <w:rFonts w:ascii="Times New Roman" w:hAnsi="Times New Roman"/>
                <w:sz w:val="24"/>
                <w:szCs w:val="24"/>
              </w:rPr>
              <w:t xml:space="preserve"> 4.2.1.2.pasākuma otrās kārtas kopējais publiskais pieejamais finansējums ir 32</w:t>
            </w:r>
            <w:r w:rsidR="003A330D">
              <w:rPr>
                <w:rFonts w:ascii="Times New Roman" w:hAnsi="Times New Roman"/>
                <w:sz w:val="24"/>
                <w:szCs w:val="24"/>
              </w:rPr>
              <w:t xml:space="preserve"> 507 612</w:t>
            </w:r>
            <w:r>
              <w:rPr>
                <w:rFonts w:ascii="Times New Roman" w:hAnsi="Times New Roman"/>
                <w:sz w:val="24"/>
                <w:szCs w:val="24"/>
              </w:rPr>
              <w:t xml:space="preserve"> </w:t>
            </w:r>
            <w:r w:rsidR="00AB7120">
              <w:rPr>
                <w:rFonts w:ascii="Times New Roman" w:hAnsi="Times New Roman"/>
                <w:i/>
                <w:sz w:val="24"/>
                <w:szCs w:val="24"/>
              </w:rPr>
              <w:t>euro</w:t>
            </w:r>
            <w:r w:rsidR="004A0213">
              <w:rPr>
                <w:rFonts w:ascii="Times New Roman" w:hAnsi="Times New Roman"/>
                <w:sz w:val="24"/>
                <w:szCs w:val="24"/>
              </w:rPr>
              <w:t>, tajā skaitā</w:t>
            </w:r>
            <w:r w:rsidR="003A330D">
              <w:rPr>
                <w:rFonts w:ascii="Times New Roman" w:hAnsi="Times New Roman"/>
                <w:sz w:val="24"/>
                <w:szCs w:val="24"/>
              </w:rPr>
              <w:t xml:space="preserve"> </w:t>
            </w:r>
            <w:r w:rsidR="003A330D" w:rsidRPr="003A330D">
              <w:rPr>
                <w:rFonts w:ascii="Times New Roman" w:hAnsi="Times New Roman"/>
                <w:sz w:val="24"/>
                <w:szCs w:val="24"/>
              </w:rPr>
              <w:t xml:space="preserve">Eiropas Reģionālās attīstības fonda finansējums – 27 631 470 </w:t>
            </w:r>
            <w:r w:rsidR="00AB7120">
              <w:rPr>
                <w:rFonts w:ascii="Times New Roman" w:hAnsi="Times New Roman"/>
                <w:i/>
                <w:sz w:val="24"/>
                <w:szCs w:val="24"/>
              </w:rPr>
              <w:t>euro</w:t>
            </w:r>
            <w:r w:rsidR="00AB7120" w:rsidRPr="003A330D">
              <w:rPr>
                <w:rFonts w:ascii="Times New Roman" w:hAnsi="Times New Roman"/>
                <w:sz w:val="24"/>
                <w:szCs w:val="24"/>
              </w:rPr>
              <w:t xml:space="preserve"> </w:t>
            </w:r>
            <w:r w:rsidR="003A330D" w:rsidRPr="003A330D">
              <w:rPr>
                <w:rFonts w:ascii="Times New Roman" w:hAnsi="Times New Roman"/>
                <w:sz w:val="24"/>
                <w:szCs w:val="24"/>
              </w:rPr>
              <w:t xml:space="preserve">un valsts budžeta finansējums – 4 876 142 </w:t>
            </w:r>
            <w:r w:rsidR="00AB7120">
              <w:rPr>
                <w:rFonts w:ascii="Times New Roman" w:hAnsi="Times New Roman"/>
                <w:i/>
                <w:sz w:val="24"/>
                <w:szCs w:val="24"/>
              </w:rPr>
              <w:t>euro</w:t>
            </w:r>
            <w:r>
              <w:rPr>
                <w:rFonts w:ascii="Times New Roman" w:hAnsi="Times New Roman"/>
                <w:sz w:val="24"/>
                <w:szCs w:val="24"/>
              </w:rPr>
              <w:t xml:space="preserve">. Pēc </w:t>
            </w:r>
            <w:r w:rsidR="00475884">
              <w:rPr>
                <w:rFonts w:ascii="Times New Roman" w:hAnsi="Times New Roman"/>
                <w:sz w:val="24"/>
                <w:szCs w:val="24"/>
              </w:rPr>
              <w:t xml:space="preserve">finansējuma palielināšanas otrās kārtas publiskais pieejamais finansējums būs </w:t>
            </w:r>
            <w:r w:rsidR="00103DF6">
              <w:rPr>
                <w:rFonts w:ascii="Times New Roman" w:hAnsi="Times New Roman"/>
                <w:sz w:val="24"/>
                <w:szCs w:val="24"/>
              </w:rPr>
              <w:t>40 478 03</w:t>
            </w:r>
            <w:r w:rsidR="006407BA">
              <w:rPr>
                <w:rFonts w:ascii="Times New Roman" w:hAnsi="Times New Roman"/>
                <w:sz w:val="24"/>
                <w:szCs w:val="24"/>
              </w:rPr>
              <w:t>0</w:t>
            </w:r>
            <w:r w:rsidR="002D3504" w:rsidRPr="002D3504">
              <w:rPr>
                <w:rFonts w:ascii="Times New Roman" w:hAnsi="Times New Roman"/>
                <w:sz w:val="24"/>
                <w:szCs w:val="24"/>
              </w:rPr>
              <w:t xml:space="preserve"> </w:t>
            </w:r>
            <w:r w:rsidR="00AB7120">
              <w:rPr>
                <w:rFonts w:ascii="Times New Roman" w:hAnsi="Times New Roman"/>
                <w:i/>
                <w:sz w:val="24"/>
                <w:szCs w:val="24"/>
              </w:rPr>
              <w:t>euro</w:t>
            </w:r>
            <w:r w:rsidR="004A0213">
              <w:rPr>
                <w:rFonts w:ascii="Times New Roman" w:hAnsi="Times New Roman"/>
                <w:sz w:val="24"/>
                <w:szCs w:val="24"/>
              </w:rPr>
              <w:t>, tajā skaitā</w:t>
            </w:r>
            <w:r w:rsidR="003A330D">
              <w:rPr>
                <w:rFonts w:ascii="Times New Roman" w:hAnsi="Times New Roman"/>
                <w:sz w:val="24"/>
                <w:szCs w:val="24"/>
              </w:rPr>
              <w:t xml:space="preserve"> </w:t>
            </w:r>
            <w:r w:rsidR="003A330D" w:rsidRPr="003A330D">
              <w:rPr>
                <w:rFonts w:ascii="Times New Roman" w:hAnsi="Times New Roman"/>
                <w:sz w:val="24"/>
                <w:szCs w:val="24"/>
              </w:rPr>
              <w:t xml:space="preserve">Eiropas Reģionālās attīstības fonda finansējums – </w:t>
            </w:r>
            <w:r w:rsidR="002D3504" w:rsidRPr="002D3504">
              <w:rPr>
                <w:rFonts w:ascii="Times New Roman" w:hAnsi="Times New Roman"/>
                <w:sz w:val="24"/>
                <w:szCs w:val="24"/>
              </w:rPr>
              <w:t xml:space="preserve">34 406 326 </w:t>
            </w:r>
            <w:r w:rsidR="00AB7120">
              <w:rPr>
                <w:rFonts w:ascii="Times New Roman" w:hAnsi="Times New Roman"/>
                <w:i/>
                <w:sz w:val="24"/>
                <w:szCs w:val="24"/>
              </w:rPr>
              <w:t>euro</w:t>
            </w:r>
            <w:r w:rsidR="00AB7120" w:rsidRPr="003A330D">
              <w:rPr>
                <w:rFonts w:ascii="Times New Roman" w:hAnsi="Times New Roman"/>
                <w:sz w:val="24"/>
                <w:szCs w:val="24"/>
              </w:rPr>
              <w:t xml:space="preserve"> </w:t>
            </w:r>
            <w:r w:rsidR="003A330D" w:rsidRPr="003A330D">
              <w:rPr>
                <w:rFonts w:ascii="Times New Roman" w:hAnsi="Times New Roman"/>
                <w:sz w:val="24"/>
                <w:szCs w:val="24"/>
              </w:rPr>
              <w:t xml:space="preserve">un valsts budžeta finansējums – </w:t>
            </w:r>
            <w:r w:rsidR="002D3504" w:rsidRPr="002D3504">
              <w:rPr>
                <w:rFonts w:ascii="Times New Roman" w:hAnsi="Times New Roman"/>
                <w:sz w:val="24"/>
                <w:szCs w:val="24"/>
              </w:rPr>
              <w:t>6 071 70</w:t>
            </w:r>
            <w:r w:rsidR="006407BA">
              <w:rPr>
                <w:rFonts w:ascii="Times New Roman" w:hAnsi="Times New Roman"/>
                <w:sz w:val="24"/>
                <w:szCs w:val="24"/>
              </w:rPr>
              <w:t>4</w:t>
            </w:r>
            <w:r w:rsidR="002D3504" w:rsidRPr="002D3504">
              <w:rPr>
                <w:rFonts w:ascii="Times New Roman" w:hAnsi="Times New Roman"/>
                <w:sz w:val="24"/>
                <w:szCs w:val="24"/>
              </w:rPr>
              <w:t xml:space="preserve"> </w:t>
            </w:r>
            <w:r w:rsidR="00AB7120">
              <w:rPr>
                <w:rFonts w:ascii="Times New Roman" w:hAnsi="Times New Roman"/>
                <w:i/>
                <w:sz w:val="24"/>
                <w:szCs w:val="24"/>
              </w:rPr>
              <w:t>euro</w:t>
            </w:r>
            <w:r w:rsidR="00475884">
              <w:rPr>
                <w:rFonts w:ascii="Times New Roman" w:hAnsi="Times New Roman"/>
                <w:sz w:val="24"/>
                <w:szCs w:val="24"/>
              </w:rPr>
              <w:t>.</w:t>
            </w:r>
            <w:r w:rsidR="00290ACA">
              <w:rPr>
                <w:rFonts w:ascii="Times New Roman" w:hAnsi="Times New Roman"/>
                <w:sz w:val="24"/>
                <w:szCs w:val="24"/>
              </w:rPr>
              <w:t xml:space="preserve"> Savukārt 4</w:t>
            </w:r>
            <w:r w:rsidR="00290ACA" w:rsidRPr="009F2FA5">
              <w:rPr>
                <w:rFonts w:ascii="Times New Roman" w:hAnsi="Times New Roman"/>
                <w:sz w:val="24"/>
                <w:szCs w:val="24"/>
              </w:rPr>
              <w:t>.2.1.2.pasākuma ko</w:t>
            </w:r>
            <w:r w:rsidR="00290ACA">
              <w:rPr>
                <w:rFonts w:ascii="Times New Roman" w:hAnsi="Times New Roman"/>
                <w:sz w:val="24"/>
                <w:szCs w:val="24"/>
              </w:rPr>
              <w:t>pējais publiskais finansējums būs</w:t>
            </w:r>
            <w:r w:rsidR="00290ACA" w:rsidRPr="009F2FA5">
              <w:rPr>
                <w:rFonts w:ascii="Times New Roman" w:hAnsi="Times New Roman"/>
                <w:sz w:val="24"/>
                <w:szCs w:val="24"/>
              </w:rPr>
              <w:t xml:space="preserve"> </w:t>
            </w:r>
            <w:r w:rsidR="005E0F99">
              <w:rPr>
                <w:rFonts w:ascii="Times New Roman" w:hAnsi="Times New Roman"/>
                <w:sz w:val="24"/>
                <w:szCs w:val="24"/>
              </w:rPr>
              <w:t>120 927 029</w:t>
            </w:r>
            <w:r w:rsidR="00290ACA" w:rsidRPr="009F2FA5">
              <w:rPr>
                <w:rFonts w:ascii="Times New Roman" w:hAnsi="Times New Roman"/>
                <w:sz w:val="24"/>
                <w:szCs w:val="24"/>
              </w:rPr>
              <w:t xml:space="preserve"> </w:t>
            </w:r>
            <w:r w:rsidR="00AB7120">
              <w:rPr>
                <w:rFonts w:ascii="Times New Roman" w:hAnsi="Times New Roman"/>
                <w:i/>
                <w:sz w:val="24"/>
                <w:szCs w:val="24"/>
              </w:rPr>
              <w:t>euro</w:t>
            </w:r>
            <w:r w:rsidR="00290ACA" w:rsidRPr="009F2FA5">
              <w:rPr>
                <w:rFonts w:ascii="Times New Roman" w:hAnsi="Times New Roman"/>
                <w:sz w:val="24"/>
                <w:szCs w:val="24"/>
              </w:rPr>
              <w:t xml:space="preserve">, tajā skaitā finanšu rezerve ir 7 022 201 </w:t>
            </w:r>
            <w:r w:rsidR="00AB7120">
              <w:rPr>
                <w:rFonts w:ascii="Times New Roman" w:hAnsi="Times New Roman"/>
                <w:i/>
                <w:sz w:val="24"/>
                <w:szCs w:val="24"/>
              </w:rPr>
              <w:t>euro</w:t>
            </w:r>
            <w:r w:rsidR="00AB7120" w:rsidRPr="009F2FA5">
              <w:rPr>
                <w:rFonts w:ascii="Times New Roman" w:hAnsi="Times New Roman"/>
                <w:sz w:val="24"/>
                <w:szCs w:val="24"/>
              </w:rPr>
              <w:t xml:space="preserve"> </w:t>
            </w:r>
            <w:r w:rsidR="00290ACA" w:rsidRPr="009F2FA5">
              <w:rPr>
                <w:rFonts w:ascii="Times New Roman" w:hAnsi="Times New Roman"/>
                <w:sz w:val="24"/>
                <w:szCs w:val="24"/>
              </w:rPr>
              <w:t>apmērā.</w:t>
            </w:r>
          </w:p>
          <w:p w14:paraId="7BB459AB" w14:textId="77777777" w:rsidR="00475884" w:rsidRDefault="00475884" w:rsidP="009867E1">
            <w:pPr>
              <w:spacing w:after="0" w:line="240" w:lineRule="auto"/>
              <w:ind w:left="132" w:right="202"/>
              <w:jc w:val="both"/>
              <w:rPr>
                <w:rFonts w:ascii="Times New Roman" w:hAnsi="Times New Roman"/>
                <w:sz w:val="24"/>
                <w:szCs w:val="24"/>
              </w:rPr>
            </w:pPr>
          </w:p>
          <w:p w14:paraId="62E24F72" w14:textId="2A3039D3" w:rsidR="00475884" w:rsidRDefault="00573648" w:rsidP="00475884">
            <w:pPr>
              <w:numPr>
                <w:ilvl w:val="0"/>
                <w:numId w:val="1"/>
              </w:numPr>
              <w:spacing w:after="0" w:line="240" w:lineRule="auto"/>
              <w:ind w:left="132" w:right="202" w:firstLine="0"/>
              <w:jc w:val="both"/>
              <w:rPr>
                <w:rFonts w:ascii="Times New Roman" w:hAnsi="Times New Roman"/>
                <w:b/>
                <w:i/>
                <w:sz w:val="24"/>
                <w:szCs w:val="24"/>
                <w:u w:val="single"/>
              </w:rPr>
            </w:pPr>
            <w:r w:rsidRPr="00475884">
              <w:rPr>
                <w:rFonts w:ascii="Times New Roman" w:hAnsi="Times New Roman"/>
                <w:b/>
                <w:i/>
                <w:sz w:val="24"/>
                <w:szCs w:val="24"/>
                <w:u w:val="single"/>
              </w:rPr>
              <w:t>Precizēt MK noteikumu anotācijas pielikumu (IPIA tabulu), dzēšot naudas plūsmas prognozes</w:t>
            </w:r>
          </w:p>
          <w:p w14:paraId="33970DBC" w14:textId="2E2478A8" w:rsidR="00912D79" w:rsidRDefault="00573648" w:rsidP="00BF6FB6">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Ņemot vērā esošo situāciju būvniecības nozarē, kad tirgus strauji </w:t>
            </w:r>
            <w:r>
              <w:rPr>
                <w:rFonts w:ascii="Times New Roman" w:hAnsi="Times New Roman"/>
                <w:sz w:val="24"/>
                <w:szCs w:val="24"/>
              </w:rPr>
              <w:t>mainās, un tehniskās dokumentācijas sagatavošanas posmu, kurā bieži atklājas dažādi papildus nepieciešamie pasākumi, kuri pirms tam netika plānoti, tad nav iespējams precīzi plānot projektu naudas plūsmas. Iepriekš minēto iemeslu dēļ naudas plūsmas ir dzēs</w:t>
            </w:r>
            <w:r>
              <w:rPr>
                <w:rFonts w:ascii="Times New Roman" w:hAnsi="Times New Roman"/>
                <w:sz w:val="24"/>
                <w:szCs w:val="24"/>
              </w:rPr>
              <w:t>tas no anotācijas pielikuma.</w:t>
            </w:r>
          </w:p>
          <w:p w14:paraId="0FE51BF1" w14:textId="763C856F" w:rsidR="00BF6FB6" w:rsidRPr="00BF6FB6" w:rsidRDefault="00573648" w:rsidP="00BF6FB6">
            <w:pPr>
              <w:spacing w:after="0" w:line="240" w:lineRule="auto"/>
              <w:ind w:left="132" w:right="202"/>
              <w:jc w:val="both"/>
              <w:rPr>
                <w:rFonts w:ascii="Times New Roman" w:hAnsi="Times New Roman"/>
                <w:sz w:val="24"/>
                <w:szCs w:val="24"/>
              </w:rPr>
            </w:pPr>
            <w:r w:rsidRPr="00BF6FB6">
              <w:rPr>
                <w:rFonts w:ascii="Times New Roman" w:hAnsi="Times New Roman"/>
                <w:sz w:val="24"/>
                <w:szCs w:val="24"/>
              </w:rPr>
              <w:t xml:space="preserve">Finansējuma plūsmu prognoze tiks iegūta, balstoties uz līgumiem, kas noslēgti ar </w:t>
            </w:r>
            <w:r w:rsidR="00505345">
              <w:rPr>
                <w:rFonts w:ascii="Times New Roman" w:hAnsi="Times New Roman"/>
                <w:sz w:val="24"/>
                <w:szCs w:val="24"/>
              </w:rPr>
              <w:t xml:space="preserve">Centrālo finanšu un līgumu aģentūru (turpmāk – </w:t>
            </w:r>
            <w:r w:rsidRPr="00BF6FB6">
              <w:rPr>
                <w:rFonts w:ascii="Times New Roman" w:hAnsi="Times New Roman"/>
                <w:sz w:val="24"/>
                <w:szCs w:val="24"/>
              </w:rPr>
              <w:t>CFLA</w:t>
            </w:r>
            <w:r w:rsidR="00505345">
              <w:rPr>
                <w:rFonts w:ascii="Times New Roman" w:hAnsi="Times New Roman"/>
                <w:sz w:val="24"/>
                <w:szCs w:val="24"/>
              </w:rPr>
              <w:t>)</w:t>
            </w:r>
            <w:r w:rsidRPr="00BF6FB6">
              <w:rPr>
                <w:rFonts w:ascii="Times New Roman" w:hAnsi="Times New Roman"/>
                <w:sz w:val="24"/>
                <w:szCs w:val="24"/>
              </w:rPr>
              <w:t>, un līgumu ietvaros iesniegtajiem maksājumu pieprasījumu grafikiem.</w:t>
            </w:r>
          </w:p>
          <w:p w14:paraId="36C50F51" w14:textId="77777777" w:rsidR="009F2FA5" w:rsidRDefault="009F2FA5" w:rsidP="009867E1">
            <w:pPr>
              <w:spacing w:after="0" w:line="240" w:lineRule="auto"/>
              <w:ind w:left="132" w:right="202"/>
              <w:jc w:val="both"/>
              <w:rPr>
                <w:rFonts w:ascii="Times New Roman" w:hAnsi="Times New Roman"/>
                <w:sz w:val="24"/>
                <w:szCs w:val="24"/>
              </w:rPr>
            </w:pPr>
          </w:p>
          <w:p w14:paraId="38922E9A" w14:textId="442004D7" w:rsidR="00475884" w:rsidRPr="00475884" w:rsidRDefault="00573648" w:rsidP="00BB0771">
            <w:pPr>
              <w:numPr>
                <w:ilvl w:val="0"/>
                <w:numId w:val="1"/>
              </w:numPr>
              <w:spacing w:after="0" w:line="240" w:lineRule="auto"/>
              <w:ind w:right="202"/>
              <w:jc w:val="both"/>
              <w:rPr>
                <w:rFonts w:ascii="Times New Roman" w:hAnsi="Times New Roman"/>
                <w:b/>
                <w:i/>
                <w:sz w:val="24"/>
                <w:szCs w:val="24"/>
                <w:u w:val="single"/>
              </w:rPr>
            </w:pPr>
            <w:r w:rsidRPr="00475884">
              <w:rPr>
                <w:rFonts w:ascii="Times New Roman" w:hAnsi="Times New Roman"/>
                <w:b/>
                <w:i/>
                <w:sz w:val="24"/>
                <w:szCs w:val="24"/>
                <w:u w:val="single"/>
              </w:rPr>
              <w:t xml:space="preserve">Noteikt, ka finansējuma </w:t>
            </w:r>
            <w:r w:rsidRPr="00475884">
              <w:rPr>
                <w:rFonts w:ascii="Times New Roman" w:hAnsi="Times New Roman"/>
                <w:b/>
                <w:i/>
                <w:sz w:val="24"/>
                <w:szCs w:val="24"/>
                <w:u w:val="single"/>
              </w:rPr>
              <w:t>saņēmējs var palielināt projekta attiecināmās izmaksas</w:t>
            </w:r>
            <w:r w:rsidR="00BB0771">
              <w:t xml:space="preserve"> </w:t>
            </w:r>
            <w:r w:rsidR="00BB0771" w:rsidRPr="00BB0771">
              <w:rPr>
                <w:rFonts w:ascii="Times New Roman" w:hAnsi="Times New Roman"/>
                <w:b/>
                <w:i/>
                <w:sz w:val="24"/>
                <w:szCs w:val="24"/>
                <w:u w:val="single"/>
              </w:rPr>
              <w:t>pēc projekta iesnieguma iesniegšanas sadarbības iestādē līdz projekta apstiprināšanai nosacījumu izpildes laikā, ja projekts apstiprināts ar nosacīju</w:t>
            </w:r>
            <w:r w:rsidR="00BB0771">
              <w:rPr>
                <w:rFonts w:ascii="Times New Roman" w:hAnsi="Times New Roman"/>
                <w:b/>
                <w:i/>
                <w:sz w:val="24"/>
                <w:szCs w:val="24"/>
                <w:u w:val="single"/>
              </w:rPr>
              <w:t>mu, vai pēc vienošanās vai</w:t>
            </w:r>
            <w:r w:rsidRPr="00475884">
              <w:rPr>
                <w:rFonts w:ascii="Times New Roman" w:hAnsi="Times New Roman"/>
                <w:b/>
                <w:i/>
                <w:sz w:val="24"/>
                <w:szCs w:val="24"/>
                <w:u w:val="single"/>
              </w:rPr>
              <w:t xml:space="preserve"> līguma noslēgšanas ar CFLA.</w:t>
            </w:r>
          </w:p>
          <w:p w14:paraId="21EAA55B" w14:textId="77777777" w:rsidR="005F470E" w:rsidRDefault="00573648" w:rsidP="004C0C52">
            <w:pPr>
              <w:spacing w:after="0" w:line="240" w:lineRule="auto"/>
              <w:ind w:left="132" w:right="202"/>
              <w:jc w:val="both"/>
              <w:rPr>
                <w:rFonts w:ascii="Times New Roman" w:hAnsi="Times New Roman"/>
                <w:sz w:val="24"/>
                <w:szCs w:val="24"/>
              </w:rPr>
            </w:pPr>
            <w:r w:rsidRPr="00475884">
              <w:rPr>
                <w:rFonts w:ascii="Times New Roman" w:hAnsi="Times New Roman"/>
                <w:sz w:val="24"/>
                <w:szCs w:val="24"/>
              </w:rPr>
              <w:t xml:space="preserve">Lai paātrinātu finansējuma apguvi 4.2.1.2.pasākuma </w:t>
            </w:r>
            <w:r w:rsidR="00C20237">
              <w:rPr>
                <w:rFonts w:ascii="Times New Roman" w:hAnsi="Times New Roman"/>
                <w:sz w:val="24"/>
                <w:szCs w:val="24"/>
              </w:rPr>
              <w:t>otrās</w:t>
            </w:r>
            <w:r w:rsidRPr="00475884">
              <w:rPr>
                <w:rFonts w:ascii="Times New Roman" w:hAnsi="Times New Roman"/>
                <w:sz w:val="24"/>
                <w:szCs w:val="24"/>
              </w:rPr>
              <w:t xml:space="preserve"> projektu iesniegumu atlases kārtas ietvaros, nepieciešams noteikt, ka finansējuma saņēmējs</w:t>
            </w:r>
            <w:r w:rsidR="00B6709C">
              <w:rPr>
                <w:rFonts w:ascii="Times New Roman" w:hAnsi="Times New Roman"/>
                <w:sz w:val="24"/>
                <w:szCs w:val="24"/>
              </w:rPr>
              <w:t xml:space="preserve">, kas minēts MK noteikumu Nr.13 1.pielikuma </w:t>
            </w:r>
            <w:r w:rsidR="00B6709C" w:rsidRPr="00B6709C">
              <w:rPr>
                <w:rFonts w:ascii="Times New Roman" w:hAnsi="Times New Roman"/>
                <w:sz w:val="24"/>
                <w:szCs w:val="24"/>
              </w:rPr>
              <w:t>1., 2., 3., 4. un 7. punktā</w:t>
            </w:r>
            <w:r w:rsidR="00B6709C">
              <w:rPr>
                <w:rFonts w:ascii="Times New Roman" w:hAnsi="Times New Roman"/>
                <w:sz w:val="24"/>
                <w:szCs w:val="24"/>
              </w:rPr>
              <w:t>,</w:t>
            </w:r>
            <w:r w:rsidRPr="00475884">
              <w:rPr>
                <w:rFonts w:ascii="Times New Roman" w:hAnsi="Times New Roman"/>
                <w:sz w:val="24"/>
                <w:szCs w:val="24"/>
              </w:rPr>
              <w:t xml:space="preserve"> var pa</w:t>
            </w:r>
            <w:r w:rsidR="00C20237">
              <w:rPr>
                <w:rFonts w:ascii="Times New Roman" w:hAnsi="Times New Roman"/>
                <w:sz w:val="24"/>
                <w:szCs w:val="24"/>
              </w:rPr>
              <w:t>lielināt</w:t>
            </w:r>
            <w:r w:rsidRPr="00475884">
              <w:rPr>
                <w:rFonts w:ascii="Times New Roman" w:hAnsi="Times New Roman"/>
                <w:sz w:val="24"/>
                <w:szCs w:val="24"/>
              </w:rPr>
              <w:t xml:space="preserve"> projekta attiecināmās izmaksas </w:t>
            </w:r>
            <w:r w:rsidR="000825F6" w:rsidRPr="000825F6">
              <w:rPr>
                <w:rFonts w:ascii="Times New Roman" w:hAnsi="Times New Roman"/>
                <w:sz w:val="24"/>
                <w:szCs w:val="24"/>
              </w:rPr>
              <w:t>pēc projekta iesnieguma iesniegšanas sadarbības iestādē līdz projekta apstiprināšanai nosacījumu izpildes laikā, ja projekts apstiprināts ar nosacījumu, vai pēc vienošanās vai</w:t>
            </w:r>
            <w:r w:rsidRPr="00475884">
              <w:rPr>
                <w:rFonts w:ascii="Times New Roman" w:hAnsi="Times New Roman"/>
                <w:sz w:val="24"/>
                <w:szCs w:val="24"/>
              </w:rPr>
              <w:t xml:space="preserve"> līguma noslēgšanas ar CFLA.</w:t>
            </w:r>
            <w:r w:rsidR="000708D2">
              <w:rPr>
                <w:rFonts w:ascii="Times New Roman" w:hAnsi="Times New Roman"/>
                <w:sz w:val="24"/>
                <w:szCs w:val="24"/>
              </w:rPr>
              <w:t xml:space="preserve"> MK noteikumu Nr.13 1.pielikuma 5. un 6.punktā minēto finansējumu saņēmēju p</w:t>
            </w:r>
            <w:r w:rsidR="000708D2" w:rsidRPr="000708D2">
              <w:rPr>
                <w:rFonts w:ascii="Times New Roman" w:hAnsi="Times New Roman"/>
                <w:sz w:val="24"/>
                <w:szCs w:val="24"/>
              </w:rPr>
              <w:t xml:space="preserve">rojektiem, kas tiek īstenoti saskaņā ar Eiropas Komisijas 2014.gada 17.jūnija Regulas (ES) Nr.651/2014, ar ko noteiktas </w:t>
            </w:r>
            <w:r w:rsidR="000708D2" w:rsidRPr="000708D2">
              <w:rPr>
                <w:rFonts w:ascii="Times New Roman" w:hAnsi="Times New Roman"/>
                <w:sz w:val="24"/>
                <w:szCs w:val="24"/>
              </w:rPr>
              <w:lastRenderedPageBreak/>
              <w:t>atbalsta kategorijas atzīst par saderīgām ar iekšējo tirgu, piemērojot Līguma 107. un 108.pantu, 55.pantu un kas tiek īstenoti saskaņā ar Eiropas Komisijas lēmumu, nav iespējams palielināt attiecināmās izmaksas pēc līguma slēgšanas ar CFLA. Ja tiek pārsniegta tā summa, kas norādīta, apstiprinot projekta iesniegumu vai noslēdzot līgumu ar atbalsta sniedzēju, piešķirtais papildus finansējums kvalificējas kā jauns atbalsts, un attiecīgi tiks pārkāpti stimulējošās ietekmes nosacījumi.</w:t>
            </w:r>
          </w:p>
          <w:p w14:paraId="536E25EE" w14:textId="0E69316A" w:rsidR="004C0C52" w:rsidRPr="004C0C52" w:rsidRDefault="00573648" w:rsidP="004C0C52">
            <w:pPr>
              <w:spacing w:after="0" w:line="240" w:lineRule="auto"/>
              <w:ind w:left="132" w:right="202"/>
              <w:jc w:val="both"/>
              <w:rPr>
                <w:rFonts w:ascii="Times New Roman" w:hAnsi="Times New Roman"/>
                <w:sz w:val="24"/>
                <w:szCs w:val="24"/>
              </w:rPr>
            </w:pPr>
            <w:r>
              <w:rPr>
                <w:rFonts w:ascii="Times New Roman" w:hAnsi="Times New Roman"/>
                <w:sz w:val="24"/>
                <w:szCs w:val="24"/>
              </w:rPr>
              <w:t>Projektu attiecināmo izmaksu palielināšanas e</w:t>
            </w:r>
            <w:r w:rsidR="00475884" w:rsidRPr="00475884">
              <w:rPr>
                <w:rFonts w:ascii="Times New Roman" w:hAnsi="Times New Roman"/>
                <w:sz w:val="24"/>
                <w:szCs w:val="24"/>
              </w:rPr>
              <w:t xml:space="preserve">sošā kārtība nosaka, ka attiecīgajam resoram ir jāsagatavo informatīvais ziņojums un tas jāiesniedz Ministru </w:t>
            </w:r>
            <w:r w:rsidR="00505345">
              <w:rPr>
                <w:rFonts w:ascii="Times New Roman" w:hAnsi="Times New Roman"/>
                <w:sz w:val="24"/>
                <w:szCs w:val="24"/>
              </w:rPr>
              <w:t>k</w:t>
            </w:r>
            <w:r w:rsidR="00505345" w:rsidRPr="00475884">
              <w:rPr>
                <w:rFonts w:ascii="Times New Roman" w:hAnsi="Times New Roman"/>
                <w:sz w:val="24"/>
                <w:szCs w:val="24"/>
              </w:rPr>
              <w:t>abinetā</w:t>
            </w:r>
            <w:r w:rsidR="00505345">
              <w:rPr>
                <w:rFonts w:ascii="Times New Roman" w:hAnsi="Times New Roman"/>
                <w:sz w:val="24"/>
                <w:szCs w:val="24"/>
              </w:rPr>
              <w:t xml:space="preserve"> (turpmāk – MK)</w:t>
            </w:r>
            <w:r w:rsidR="00475884" w:rsidRPr="00475884">
              <w:rPr>
                <w:rFonts w:ascii="Times New Roman" w:hAnsi="Times New Roman"/>
                <w:sz w:val="24"/>
                <w:szCs w:val="24"/>
              </w:rPr>
              <w:t>, kas ir laikietilpīga procedūra. Jaunā kārtība noteiks, ka finansējuma saņēmēj</w:t>
            </w:r>
            <w:r>
              <w:rPr>
                <w:rFonts w:ascii="Times New Roman" w:hAnsi="Times New Roman"/>
                <w:sz w:val="24"/>
                <w:szCs w:val="24"/>
              </w:rPr>
              <w:t>iem</w:t>
            </w:r>
            <w:r w:rsidR="00475884" w:rsidRPr="00475884">
              <w:rPr>
                <w:rFonts w:ascii="Times New Roman" w:hAnsi="Times New Roman"/>
                <w:sz w:val="24"/>
                <w:szCs w:val="24"/>
              </w:rPr>
              <w:t xml:space="preserve"> CFLA būs jāiesniedz </w:t>
            </w:r>
            <w:r>
              <w:rPr>
                <w:rFonts w:ascii="Times New Roman" w:hAnsi="Times New Roman"/>
                <w:sz w:val="24"/>
                <w:szCs w:val="24"/>
              </w:rPr>
              <w:t>MK noteikumu Nr.13 17.punktā minētais</w:t>
            </w:r>
            <w:r w:rsidR="00475884" w:rsidRPr="00475884">
              <w:rPr>
                <w:rFonts w:ascii="Times New Roman" w:hAnsi="Times New Roman"/>
                <w:sz w:val="24"/>
                <w:szCs w:val="24"/>
              </w:rPr>
              <w:t xml:space="preserve"> apliecinājums, </w:t>
            </w:r>
            <w:r w:rsidRPr="004C0C52">
              <w:rPr>
                <w:rFonts w:ascii="Times New Roman" w:hAnsi="Times New Roman"/>
                <w:sz w:val="24"/>
                <w:szCs w:val="24"/>
              </w:rPr>
              <w:t xml:space="preserve">aktualizējot </w:t>
            </w:r>
            <w:r w:rsidRPr="004C0C52">
              <w:rPr>
                <w:rFonts w:ascii="Times New Roman" w:hAnsi="Times New Roman"/>
                <w:sz w:val="24"/>
                <w:szCs w:val="24"/>
              </w:rPr>
              <w:t>informāciju, ka</w:t>
            </w:r>
            <w:r w:rsidR="00965899">
              <w:rPr>
                <w:rFonts w:ascii="Times New Roman" w:hAnsi="Times New Roman"/>
                <w:sz w:val="24"/>
                <w:szCs w:val="24"/>
              </w:rPr>
              <w:t>s ir noteikta MK noteikumu Nr.13</w:t>
            </w:r>
            <w:r w:rsidRPr="004C0C52">
              <w:rPr>
                <w:rFonts w:ascii="Times New Roman" w:hAnsi="Times New Roman"/>
                <w:sz w:val="24"/>
                <w:szCs w:val="24"/>
              </w:rPr>
              <w:t xml:space="preserve"> </w:t>
            </w:r>
            <w:r w:rsidR="00E35A3B">
              <w:rPr>
                <w:rFonts w:ascii="Times New Roman" w:hAnsi="Times New Roman"/>
                <w:sz w:val="24"/>
                <w:szCs w:val="24"/>
              </w:rPr>
              <w:t>17.1., 17.2., 17.3. un 17.4.</w:t>
            </w:r>
            <w:r w:rsidRPr="004C0C52">
              <w:rPr>
                <w:rFonts w:ascii="Times New Roman" w:hAnsi="Times New Roman"/>
                <w:sz w:val="24"/>
                <w:szCs w:val="24"/>
              </w:rPr>
              <w:t>apakšpunktā.</w:t>
            </w:r>
            <w:r w:rsidR="00E961BA">
              <w:rPr>
                <w:rFonts w:ascii="Times New Roman" w:hAnsi="Times New Roman"/>
                <w:sz w:val="24"/>
                <w:szCs w:val="24"/>
              </w:rPr>
              <w:t xml:space="preserve"> Tās ministrijas, kuru pārraudzībā ir vairākas iestādes ar vairākiem projektiem, var veikt finansējuma pārdali savu projektu ietvaros, ievērojot iestādēm piešķirto kvotu kopsummu.</w:t>
            </w:r>
          </w:p>
          <w:p w14:paraId="43B1FEBE" w14:textId="0F437FE9" w:rsidR="004C0C52" w:rsidRPr="004C0C52" w:rsidRDefault="00573648" w:rsidP="004C0C52">
            <w:pPr>
              <w:spacing w:after="0" w:line="240" w:lineRule="auto"/>
              <w:ind w:left="132" w:right="202"/>
              <w:jc w:val="both"/>
              <w:rPr>
                <w:rFonts w:ascii="Times New Roman" w:hAnsi="Times New Roman"/>
                <w:sz w:val="24"/>
                <w:szCs w:val="24"/>
              </w:rPr>
            </w:pPr>
            <w:r w:rsidRPr="004C0C52">
              <w:rPr>
                <w:rFonts w:ascii="Times New Roman" w:hAnsi="Times New Roman"/>
                <w:sz w:val="24"/>
                <w:szCs w:val="24"/>
              </w:rPr>
              <w:t>Pēc finansējuma saņēmēja iesnieguma saņemšanas par attiecināmo izmaksu palielināšanu sadarbības iestāde veic projekta pārvērtēšanu, kuras ietvaros jāpārliecinās par projektu iesniegumu vērtēšanas kvalitātes kritērija Nr.1 "Ēkas energoefektivitā</w:t>
            </w:r>
            <w:r w:rsidRPr="004C0C52">
              <w:rPr>
                <w:rFonts w:ascii="Times New Roman" w:hAnsi="Times New Roman"/>
                <w:sz w:val="24"/>
                <w:szCs w:val="24"/>
              </w:rPr>
              <w:t>tes paaugstināšanas rezultātā plānotā siltumenerģijas un elektroenerģijas ietaupījuma kopsumma (megavatstundas/gadā) attiecībā pret projekta attieci</w:t>
            </w:r>
            <w:r>
              <w:rPr>
                <w:rFonts w:ascii="Times New Roman" w:hAnsi="Times New Roman"/>
                <w:sz w:val="24"/>
                <w:szCs w:val="24"/>
              </w:rPr>
              <w:t xml:space="preserve">nāmām izmaksām (tūkstošos </w:t>
            </w:r>
            <w:r w:rsidRPr="00AB7120">
              <w:rPr>
                <w:rFonts w:ascii="Times New Roman" w:hAnsi="Times New Roman"/>
                <w:i/>
                <w:sz w:val="24"/>
                <w:szCs w:val="24"/>
              </w:rPr>
              <w:t>euro</w:t>
            </w:r>
            <w:r>
              <w:rPr>
                <w:rFonts w:ascii="Times New Roman" w:hAnsi="Times New Roman"/>
                <w:sz w:val="24"/>
                <w:szCs w:val="24"/>
              </w:rPr>
              <w:t>)</w:t>
            </w:r>
            <w:r w:rsidRPr="004C0C52">
              <w:rPr>
                <w:rFonts w:ascii="Times New Roman" w:hAnsi="Times New Roman"/>
                <w:sz w:val="24"/>
                <w:szCs w:val="24"/>
              </w:rPr>
              <w:t>" atbilstību. Projekta iesnieguma vērtēšanas laikā ir iespējams veikt gan pro</w:t>
            </w:r>
            <w:r w:rsidRPr="004C0C52">
              <w:rPr>
                <w:rFonts w:ascii="Times New Roman" w:hAnsi="Times New Roman"/>
                <w:sz w:val="24"/>
                <w:szCs w:val="24"/>
              </w:rPr>
              <w:t xml:space="preserve">jekta datu precizēšanu, gan attiecināmo izmaksu apjomu. </w:t>
            </w:r>
          </w:p>
          <w:p w14:paraId="7B91A96A" w14:textId="77777777" w:rsidR="007456EF" w:rsidRDefault="007456EF" w:rsidP="00475884">
            <w:pPr>
              <w:spacing w:after="0" w:line="240" w:lineRule="auto"/>
              <w:ind w:left="132" w:right="202"/>
              <w:jc w:val="both"/>
              <w:rPr>
                <w:rFonts w:ascii="Times New Roman" w:hAnsi="Times New Roman"/>
                <w:sz w:val="24"/>
                <w:szCs w:val="24"/>
              </w:rPr>
            </w:pPr>
          </w:p>
          <w:p w14:paraId="2854FD68" w14:textId="571C4995" w:rsidR="008069B7" w:rsidRPr="00B6025E" w:rsidRDefault="00573648" w:rsidP="0073369E">
            <w:pPr>
              <w:numPr>
                <w:ilvl w:val="0"/>
                <w:numId w:val="1"/>
              </w:numPr>
              <w:spacing w:after="0" w:line="240" w:lineRule="auto"/>
              <w:ind w:right="202"/>
              <w:jc w:val="both"/>
              <w:rPr>
                <w:rFonts w:ascii="Times New Roman" w:hAnsi="Times New Roman"/>
                <w:sz w:val="24"/>
                <w:szCs w:val="24"/>
              </w:rPr>
            </w:pPr>
            <w:r w:rsidRPr="00B6025E">
              <w:rPr>
                <w:rFonts w:ascii="Times New Roman" w:hAnsi="Times New Roman"/>
                <w:b/>
                <w:i/>
                <w:sz w:val="24"/>
                <w:szCs w:val="24"/>
                <w:u w:val="single"/>
              </w:rPr>
              <w:t xml:space="preserve">Noteikt, ka, ja projekta īstenošanas laikā rodas neattiecināmie izdevumi vai sadārdzinās projekta plānotās attiecināmās izmaksas, kā rezultātā projekta izmaksas neiekļaujas MK noteikumu Nr.13 1. pielikumā  noteiktajā finansējuma saņēmējam </w:t>
            </w:r>
            <w:r w:rsidR="00A9668A" w:rsidRPr="00B6025E">
              <w:rPr>
                <w:rFonts w:ascii="Times New Roman" w:hAnsi="Times New Roman"/>
                <w:b/>
                <w:i/>
                <w:sz w:val="24"/>
                <w:szCs w:val="24"/>
                <w:u w:val="single"/>
              </w:rPr>
              <w:t>pieejam</w:t>
            </w:r>
            <w:r w:rsidRPr="00B6025E">
              <w:rPr>
                <w:rFonts w:ascii="Times New Roman" w:hAnsi="Times New Roman"/>
                <w:b/>
                <w:i/>
                <w:sz w:val="24"/>
                <w:szCs w:val="24"/>
                <w:u w:val="single"/>
              </w:rPr>
              <w:t>ā finansēj</w:t>
            </w:r>
            <w:r w:rsidRPr="00B6025E">
              <w:rPr>
                <w:rFonts w:ascii="Times New Roman" w:hAnsi="Times New Roman"/>
                <w:b/>
                <w:i/>
                <w:sz w:val="24"/>
                <w:szCs w:val="24"/>
                <w:u w:val="single"/>
              </w:rPr>
              <w:t>uma maksimālajā apmērā, finansējuma saņēmējs papildu izmaksas sedz no paša rīcībā esošajiem līdzekļiem.</w:t>
            </w:r>
          </w:p>
          <w:p w14:paraId="2B35C26F" w14:textId="198A2E60" w:rsidR="008069B7" w:rsidRPr="00F838D5" w:rsidRDefault="00573648" w:rsidP="00F66B7A">
            <w:pPr>
              <w:spacing w:after="0" w:line="240" w:lineRule="auto"/>
              <w:ind w:left="132" w:right="202"/>
              <w:jc w:val="both"/>
              <w:rPr>
                <w:rFonts w:ascii="Times New Roman" w:hAnsi="Times New Roman"/>
                <w:sz w:val="24"/>
                <w:szCs w:val="24"/>
              </w:rPr>
            </w:pPr>
            <w:r>
              <w:rPr>
                <w:rFonts w:ascii="Times New Roman" w:hAnsi="Times New Roman"/>
                <w:sz w:val="24"/>
                <w:szCs w:val="24"/>
              </w:rPr>
              <w:t>Noteikumu projekta 30.</w:t>
            </w:r>
            <w:r w:rsidRPr="001F430C">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rPr>
              <w:t xml:space="preserve">punkts attiecināms uz MK noteikumu Nr.13 1.pielikumā </w:t>
            </w:r>
            <w:r>
              <w:rPr>
                <w:rFonts w:ascii="Times New Roman" w:hAnsi="Times New Roman"/>
                <w:sz w:val="24"/>
                <w:szCs w:val="24"/>
              </w:rPr>
              <w:t xml:space="preserve">5. un 6.punktā </w:t>
            </w:r>
            <w:r>
              <w:rPr>
                <w:rFonts w:ascii="Times New Roman" w:hAnsi="Times New Roman"/>
                <w:sz w:val="24"/>
                <w:szCs w:val="24"/>
              </w:rPr>
              <w:t>minētajiem</w:t>
            </w:r>
            <w:r>
              <w:rPr>
                <w:rFonts w:ascii="Times New Roman" w:hAnsi="Times New Roman"/>
                <w:sz w:val="24"/>
                <w:szCs w:val="24"/>
              </w:rPr>
              <w:t xml:space="preserve"> finansējuma saņēmējiem analoģiski MK noteikumu Nr.13 </w:t>
            </w:r>
            <w:r>
              <w:rPr>
                <w:rFonts w:ascii="Times New Roman" w:hAnsi="Times New Roman"/>
                <w:sz w:val="24"/>
                <w:szCs w:val="24"/>
              </w:rPr>
              <w:t>30.2.apakšpunktam. Tas nozīmē, ka,</w:t>
            </w:r>
            <w:r>
              <w:rPr>
                <w:rFonts w:ascii="Times New Roman" w:hAnsi="Times New Roman"/>
                <w:sz w:val="24"/>
                <w:szCs w:val="24"/>
              </w:rPr>
              <w:t xml:space="preserve"> </w:t>
            </w:r>
            <w:r>
              <w:rPr>
                <w:rFonts w:ascii="Times New Roman" w:hAnsi="Times New Roman"/>
                <w:sz w:val="24"/>
                <w:szCs w:val="24"/>
              </w:rPr>
              <w:t>j</w:t>
            </w:r>
            <w:r w:rsidRPr="00F66B7A">
              <w:rPr>
                <w:rFonts w:ascii="Times New Roman" w:hAnsi="Times New Roman"/>
                <w:sz w:val="24"/>
                <w:szCs w:val="24"/>
              </w:rPr>
              <w:t xml:space="preserve">a projekta īstenošanas laikā rodas neattiecināmie izdevumi vai sadārdzinās projekta plānotās attiecināmās izmaksas, kā rezultātā projekta izmaksas neiekļaujas </w:t>
            </w:r>
            <w:r>
              <w:rPr>
                <w:rFonts w:ascii="Times New Roman" w:hAnsi="Times New Roman"/>
                <w:sz w:val="24"/>
                <w:szCs w:val="24"/>
              </w:rPr>
              <w:t>MK note</w:t>
            </w:r>
            <w:r>
              <w:rPr>
                <w:rFonts w:ascii="Times New Roman" w:hAnsi="Times New Roman"/>
                <w:sz w:val="24"/>
                <w:szCs w:val="24"/>
              </w:rPr>
              <w:t>ikumu Nr.13</w:t>
            </w:r>
            <w:r w:rsidRPr="00F66B7A">
              <w:rPr>
                <w:rFonts w:ascii="Times New Roman" w:hAnsi="Times New Roman"/>
                <w:sz w:val="24"/>
                <w:szCs w:val="24"/>
              </w:rPr>
              <w:t xml:space="preserve"> 1. pielikumā noteiktā finansējuma saņēmēja pieejamā finansējuma maksimālajā apmērā,</w:t>
            </w:r>
            <w:r>
              <w:rPr>
                <w:rFonts w:ascii="Times New Roman" w:hAnsi="Times New Roman"/>
                <w:sz w:val="24"/>
                <w:szCs w:val="24"/>
              </w:rPr>
              <w:t xml:space="preserve"> finansējuma saņēmēji</w:t>
            </w:r>
            <w:r w:rsidRPr="00F66B7A">
              <w:rPr>
                <w:rFonts w:ascii="Times New Roman" w:hAnsi="Times New Roman"/>
                <w:sz w:val="24"/>
                <w:szCs w:val="24"/>
              </w:rPr>
              <w:t xml:space="preserve"> papildu izmaksas sedz no līdzekļiem</w:t>
            </w:r>
            <w:r>
              <w:rPr>
                <w:rFonts w:ascii="Times New Roman" w:hAnsi="Times New Roman"/>
                <w:sz w:val="24"/>
                <w:szCs w:val="24"/>
              </w:rPr>
              <w:t>,</w:t>
            </w:r>
            <w:r w:rsidRPr="001F430C">
              <w:rPr>
                <w:rFonts w:ascii="Times New Roman" w:hAnsi="Times New Roman"/>
                <w:b/>
                <w:sz w:val="24"/>
                <w:szCs w:val="24"/>
              </w:rPr>
              <w:t xml:space="preserve"> </w:t>
            </w:r>
            <w:r w:rsidRPr="001F430C">
              <w:rPr>
                <w:rFonts w:ascii="Times New Roman" w:hAnsi="Times New Roman"/>
                <w:b/>
                <w:sz w:val="24"/>
                <w:szCs w:val="24"/>
              </w:rPr>
              <w:t>kas nav saistīti ar jebkādu valsts atbalstu.</w:t>
            </w:r>
            <w:r>
              <w:rPr>
                <w:rFonts w:ascii="Times New Roman" w:hAnsi="Times New Roman"/>
                <w:sz w:val="24"/>
                <w:szCs w:val="24"/>
              </w:rPr>
              <w:t xml:space="preserve"> </w:t>
            </w:r>
          </w:p>
        </w:tc>
      </w:tr>
      <w:tr w:rsidR="00620C3A" w14:paraId="5FB32C22" w14:textId="77777777" w:rsidTr="00E85BF0">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AE482BC"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8B78B2" w:rsidRDefault="00573648" w:rsidP="00E85BF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620C3A" w14:paraId="51FE2A99" w14:textId="77777777" w:rsidTr="00E85BF0">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8B78B2" w:rsidRDefault="00573648" w:rsidP="00E85BF0">
            <w:pPr>
              <w:spacing w:after="0" w:line="240" w:lineRule="auto"/>
              <w:ind w:firstLine="567"/>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620C3A" w14:paraId="0DCB5E53" w14:textId="77777777" w:rsidTr="00E85BF0">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573648" w:rsidP="00E85BF0">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620C3A" w14:paraId="16CD9905" w14:textId="77777777" w:rsidTr="00E85BF0">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4EC3C3" w14:textId="1BC5A9D4" w:rsidR="006778EB" w:rsidRDefault="00573648" w:rsidP="008175E3">
            <w:pPr>
              <w:spacing w:before="75" w:after="75"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w:t>
            </w:r>
            <w:r w:rsidRPr="006778EB">
              <w:rPr>
                <w:rFonts w:ascii="Times New Roman" w:eastAsia="Times New Roman" w:hAnsi="Times New Roman"/>
                <w:iCs/>
                <w:sz w:val="24"/>
                <w:szCs w:val="24"/>
                <w:lang w:eastAsia="lv-LV"/>
              </w:rPr>
              <w:t xml:space="preserve">alsts </w:t>
            </w:r>
            <w:r w:rsidRPr="006778EB">
              <w:rPr>
                <w:rFonts w:ascii="Times New Roman" w:eastAsia="Times New Roman" w:hAnsi="Times New Roman"/>
                <w:iCs/>
                <w:sz w:val="24"/>
                <w:szCs w:val="24"/>
                <w:lang w:eastAsia="lv-LV"/>
              </w:rPr>
              <w:t>kapitālsabiedrības</w:t>
            </w:r>
            <w:r>
              <w:rPr>
                <w:rFonts w:ascii="Times New Roman" w:eastAsia="Times New Roman" w:hAnsi="Times New Roman"/>
                <w:iCs/>
                <w:sz w:val="24"/>
                <w:szCs w:val="24"/>
                <w:lang w:eastAsia="lv-LV"/>
              </w:rPr>
              <w:t xml:space="preserve"> un kapitālsabiedrības</w:t>
            </w:r>
            <w:r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kurā valsts ir kapitāla daļu turētāja 100% apmērā, un ēka ir valsts vai valsts kapitālsabiedrības īpašumā.</w:t>
            </w:r>
          </w:p>
          <w:p w14:paraId="7BDF54E5" w14:textId="350B0D78" w:rsidR="008175E3" w:rsidRPr="006778EB" w:rsidRDefault="00573648" w:rsidP="008175E3">
            <w:pPr>
              <w:spacing w:before="75" w:after="75"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Kapitālsabiedrības</w:t>
            </w:r>
            <w:r w:rsidRPr="006778EB">
              <w:rPr>
                <w:rFonts w:ascii="Times New Roman" w:eastAsia="Times New Roman" w:hAnsi="Times New Roman"/>
                <w:iCs/>
                <w:sz w:val="24"/>
                <w:szCs w:val="24"/>
                <w:lang w:eastAsia="lv-LV"/>
              </w:rPr>
              <w:t xml:space="preserve"> </w:t>
            </w:r>
            <w:r w:rsidRPr="006778EB">
              <w:rPr>
                <w:rFonts w:ascii="Times New Roman" w:eastAsia="Times New Roman" w:hAnsi="Times New Roman"/>
                <w:iCs/>
                <w:sz w:val="24"/>
                <w:szCs w:val="24"/>
                <w:lang w:eastAsia="lv-LV"/>
              </w:rPr>
              <w:t xml:space="preserve">veselības jomā, kas veic valsts deleģētus uzdevumus un sniedz sabiedriskos pakalpojumus ar vispārēju tautsaimniecisku nozīmi, un ēka ir </w:t>
            </w:r>
            <w:r>
              <w:rPr>
                <w:rFonts w:ascii="Times New Roman" w:eastAsia="Times New Roman" w:hAnsi="Times New Roman"/>
                <w:iCs/>
                <w:sz w:val="24"/>
                <w:szCs w:val="24"/>
                <w:lang w:eastAsia="lv-LV"/>
              </w:rPr>
              <w:t>pašvaldības</w:t>
            </w:r>
            <w:r w:rsidR="00DD1681">
              <w:rPr>
                <w:rFonts w:ascii="Times New Roman" w:eastAsia="Times New Roman" w:hAnsi="Times New Roman"/>
                <w:iCs/>
                <w:sz w:val="24"/>
                <w:szCs w:val="24"/>
                <w:lang w:eastAsia="lv-LV"/>
              </w:rPr>
              <w:t xml:space="preserve"> </w:t>
            </w:r>
            <w:r w:rsidRPr="006778EB">
              <w:rPr>
                <w:rFonts w:ascii="Times New Roman" w:eastAsia="Times New Roman" w:hAnsi="Times New Roman"/>
                <w:iCs/>
                <w:sz w:val="24"/>
                <w:szCs w:val="24"/>
                <w:lang w:eastAsia="lv-LV"/>
              </w:rPr>
              <w:t>īpašumā.</w:t>
            </w:r>
          </w:p>
          <w:p w14:paraId="2AB8CEEE" w14:textId="0910FA7E" w:rsidR="006778EB" w:rsidRPr="006778EB" w:rsidRDefault="00573648" w:rsidP="008175E3">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Valsts kapitālsabiedrības kultūras jomā, kas veic valsts deleģētus uzdevumus un kurā valsts ir kapi</w:t>
            </w:r>
            <w:r w:rsidRPr="006778EB">
              <w:rPr>
                <w:rFonts w:ascii="Times New Roman" w:eastAsia="Times New Roman" w:hAnsi="Times New Roman"/>
                <w:iCs/>
                <w:sz w:val="24"/>
                <w:szCs w:val="24"/>
                <w:lang w:eastAsia="lv-LV"/>
              </w:rPr>
              <w:t>tāla daļu turētāja 100% apmērā, un ēka ir valsts vai valsts kapitālsabiedrības īpašumā.</w:t>
            </w:r>
          </w:p>
          <w:p w14:paraId="0EE7580E" w14:textId="6B666A65" w:rsidR="006778EB" w:rsidRPr="006778EB" w:rsidRDefault="00573648" w:rsidP="008175E3">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Valsts kapitālsabiedrības, kurās valsts ir kapitāla daļu turētāja 100% apmērā un to īpašumā vai lietojumā ir  nacionālās sporta bāzes.</w:t>
            </w:r>
          </w:p>
          <w:p w14:paraId="5C29D186" w14:textId="530C8E7D" w:rsidR="006778EB" w:rsidRPr="006778EB" w:rsidRDefault="00573648" w:rsidP="008175E3">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Valsts kapitālsabiedrības izglītī</w:t>
            </w:r>
            <w:r w:rsidRPr="006778EB">
              <w:rPr>
                <w:rFonts w:ascii="Times New Roman" w:eastAsia="Times New Roman" w:hAnsi="Times New Roman"/>
                <w:iCs/>
                <w:sz w:val="24"/>
                <w:szCs w:val="24"/>
                <w:lang w:eastAsia="lv-LV"/>
              </w:rPr>
              <w:t>bas jomā, kuru 100% kapitāldaļas pieder atvasinātai publiskai personai.</w:t>
            </w:r>
          </w:p>
          <w:p w14:paraId="4B57E39C" w14:textId="23C33D89" w:rsidR="006778EB" w:rsidRPr="006778EB" w:rsidRDefault="00573648" w:rsidP="008175E3">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Biedrības un nodibinājumi, ja ēkā veic valsts pārvaldes deleģētos uzdevumus kultūras un sociālajā jomā.</w:t>
            </w:r>
          </w:p>
          <w:p w14:paraId="398DFA71" w14:textId="141C685F" w:rsidR="009A312E" w:rsidRPr="008B78B2" w:rsidRDefault="00573648" w:rsidP="008175E3">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Tiešās valsts pārvaldes iestādes vai tās padotības iestādes, vai valsts deleģēto</w:t>
            </w:r>
            <w:r w:rsidRPr="006778EB">
              <w:rPr>
                <w:rFonts w:ascii="Times New Roman" w:eastAsia="Times New Roman" w:hAnsi="Times New Roman"/>
                <w:iCs/>
                <w:sz w:val="24"/>
                <w:szCs w:val="24"/>
                <w:lang w:eastAsia="lv-LV"/>
              </w:rPr>
              <w:t xml:space="preserve"> pārvaldes uzdevumu veicošas atvasinātas publiskas personas.</w:t>
            </w:r>
          </w:p>
        </w:tc>
      </w:tr>
      <w:tr w:rsidR="00620C3A" w14:paraId="106F4193" w14:textId="77777777" w:rsidTr="00E40776">
        <w:trPr>
          <w:trHeight w:val="2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AB8CFB" w14:textId="77777777" w:rsidR="009A312E" w:rsidRPr="00274E36" w:rsidRDefault="00573648" w:rsidP="00E85BF0">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Noteikumu projekts neparedz ietekmi uz administratīvo slogu</w:t>
            </w:r>
            <w:r>
              <w:rPr>
                <w:rFonts w:ascii="Times New Roman" w:eastAsia="Times New Roman" w:hAnsi="Times New Roman"/>
                <w:iCs/>
                <w:sz w:val="24"/>
                <w:szCs w:val="24"/>
                <w:lang w:eastAsia="lv-LV"/>
              </w:rPr>
              <w:t xml:space="preserve"> un tautsaimniecību</w:t>
            </w:r>
            <w:r w:rsidRPr="00274E36">
              <w:rPr>
                <w:rFonts w:ascii="Times New Roman" w:eastAsia="Times New Roman" w:hAnsi="Times New Roman"/>
                <w:iCs/>
                <w:sz w:val="24"/>
                <w:szCs w:val="24"/>
                <w:lang w:eastAsia="lv-LV"/>
              </w:rPr>
              <w:t>.</w:t>
            </w:r>
          </w:p>
          <w:p w14:paraId="004C769E" w14:textId="77777777" w:rsidR="009A312E" w:rsidRPr="00A61583" w:rsidRDefault="00573648" w:rsidP="00E85BF0">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 xml:space="preserve">Noteikumu projekta īstenošanu nodrošinās </w:t>
            </w:r>
            <w:r>
              <w:rPr>
                <w:rFonts w:ascii="Times New Roman" w:eastAsia="Times New Roman" w:hAnsi="Times New Roman"/>
                <w:iCs/>
                <w:sz w:val="24"/>
                <w:szCs w:val="24"/>
                <w:lang w:eastAsia="lv-LV"/>
              </w:rPr>
              <w:t>Centrālā finanšu un līgumu aģentūra</w:t>
            </w:r>
            <w:r w:rsidRPr="00274E36">
              <w:rPr>
                <w:rFonts w:ascii="Times New Roman" w:eastAsia="Times New Roman" w:hAnsi="Times New Roman"/>
                <w:iCs/>
                <w:sz w:val="24"/>
                <w:szCs w:val="24"/>
                <w:lang w:eastAsia="lv-LV"/>
              </w:rPr>
              <w:t>.</w:t>
            </w:r>
          </w:p>
        </w:tc>
      </w:tr>
      <w:tr w:rsidR="00620C3A" w14:paraId="214EDD6A" w14:textId="77777777" w:rsidTr="00E85BF0">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573648" w:rsidP="00E85BF0">
            <w:pPr>
              <w:spacing w:after="0" w:line="240" w:lineRule="auto"/>
              <w:ind w:firstLine="45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Noteikumu 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620C3A" w14:paraId="7C71C3A1" w14:textId="77777777" w:rsidTr="00E85BF0">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573648" w:rsidP="00E85BF0">
            <w:pPr>
              <w:spacing w:after="0" w:line="240" w:lineRule="auto"/>
              <w:ind w:firstLine="450"/>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Style w:val="TableGrid"/>
        <w:tblW w:w="11205" w:type="dxa"/>
        <w:tblInd w:w="-1433"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2054"/>
        <w:gridCol w:w="1349"/>
        <w:gridCol w:w="1276"/>
        <w:gridCol w:w="6"/>
        <w:gridCol w:w="1270"/>
        <w:gridCol w:w="1275"/>
        <w:gridCol w:w="6"/>
        <w:gridCol w:w="1270"/>
        <w:gridCol w:w="1276"/>
        <w:gridCol w:w="6"/>
        <w:gridCol w:w="1411"/>
        <w:gridCol w:w="6"/>
      </w:tblGrid>
      <w:tr w:rsidR="00620C3A" w14:paraId="62496AD1" w14:textId="77777777" w:rsidTr="00B249D6">
        <w:tc>
          <w:tcPr>
            <w:tcW w:w="11205" w:type="dxa"/>
            <w:gridSpan w:val="12"/>
          </w:tcPr>
          <w:p w14:paraId="6006070D" w14:textId="77777777" w:rsidR="00E40776" w:rsidRPr="00B81DE4" w:rsidRDefault="00573648" w:rsidP="00E40776">
            <w:pPr>
              <w:spacing w:before="120" w:after="120"/>
              <w:jc w:val="center"/>
              <w:rPr>
                <w:rFonts w:ascii="Times New Roman" w:hAnsi="Times New Roman"/>
                <w:sz w:val="24"/>
                <w:szCs w:val="24"/>
              </w:rPr>
            </w:pPr>
            <w:r w:rsidRPr="00B81DE4">
              <w:rPr>
                <w:rFonts w:ascii="Times New Roman" w:eastAsia="Times New Roman" w:hAnsi="Times New Roman"/>
                <w:b/>
                <w:sz w:val="24"/>
                <w:szCs w:val="24"/>
              </w:rPr>
              <w:t xml:space="preserve">III. Tiesību akta projekta ietekme uz valsts budžetu un pašvaldību </w:t>
            </w:r>
            <w:r w:rsidRPr="00B81DE4">
              <w:rPr>
                <w:rFonts w:ascii="Times New Roman" w:eastAsia="Times New Roman" w:hAnsi="Times New Roman"/>
                <w:b/>
                <w:sz w:val="24"/>
                <w:szCs w:val="24"/>
              </w:rPr>
              <w:t>budžetiem</w:t>
            </w:r>
          </w:p>
        </w:tc>
      </w:tr>
      <w:tr w:rsidR="00620C3A" w14:paraId="7A18FEA8" w14:textId="77777777" w:rsidTr="00B249D6">
        <w:tc>
          <w:tcPr>
            <w:tcW w:w="2054" w:type="dxa"/>
            <w:vMerge w:val="restart"/>
            <w:vAlign w:val="center"/>
          </w:tcPr>
          <w:p w14:paraId="002FEAD7" w14:textId="58456BD8" w:rsidR="00E40776" w:rsidRPr="00B81DE4" w:rsidRDefault="00573648" w:rsidP="00E40776">
            <w:pPr>
              <w:jc w:val="center"/>
              <w:rPr>
                <w:rFonts w:ascii="Times New Roman" w:eastAsia="Times New Roman" w:hAnsi="Times New Roman"/>
                <w:b/>
                <w:sz w:val="24"/>
                <w:szCs w:val="24"/>
              </w:rPr>
            </w:pPr>
            <w:r w:rsidRPr="00B81DE4">
              <w:rPr>
                <w:rFonts w:ascii="Times New Roman" w:eastAsia="Times New Roman" w:hAnsi="Times New Roman"/>
                <w:b/>
                <w:sz w:val="24"/>
                <w:szCs w:val="24"/>
              </w:rPr>
              <w:t>Rādītāji</w:t>
            </w:r>
          </w:p>
        </w:tc>
        <w:tc>
          <w:tcPr>
            <w:tcW w:w="2631" w:type="dxa"/>
            <w:gridSpan w:val="3"/>
            <w:vMerge w:val="restart"/>
            <w:vAlign w:val="center"/>
          </w:tcPr>
          <w:p w14:paraId="4950F586" w14:textId="77777777" w:rsidR="00E40776" w:rsidRPr="00B81DE4" w:rsidRDefault="00573648" w:rsidP="00E40776">
            <w:pPr>
              <w:spacing w:before="120" w:after="120"/>
              <w:jc w:val="center"/>
              <w:rPr>
                <w:rFonts w:ascii="Times New Roman" w:hAnsi="Times New Roman"/>
                <w:b/>
                <w:sz w:val="24"/>
                <w:szCs w:val="24"/>
              </w:rPr>
            </w:pPr>
            <w:r w:rsidRPr="00B81DE4">
              <w:rPr>
                <w:rFonts w:ascii="Times New Roman" w:eastAsia="Times New Roman" w:hAnsi="Times New Roman"/>
                <w:b/>
                <w:sz w:val="24"/>
                <w:szCs w:val="24"/>
              </w:rPr>
              <w:t>2018.gads</w:t>
            </w:r>
          </w:p>
        </w:tc>
        <w:tc>
          <w:tcPr>
            <w:tcW w:w="6520" w:type="dxa"/>
            <w:gridSpan w:val="8"/>
            <w:vAlign w:val="center"/>
          </w:tcPr>
          <w:p w14:paraId="41E7F118" w14:textId="77777777" w:rsidR="00E40776" w:rsidRPr="00B81DE4" w:rsidRDefault="00573648" w:rsidP="00E40776">
            <w:pPr>
              <w:tabs>
                <w:tab w:val="left" w:pos="1792"/>
              </w:tabs>
              <w:spacing w:before="120" w:after="120"/>
              <w:rPr>
                <w:rFonts w:ascii="Times New Roman" w:hAnsi="Times New Roman"/>
                <w:sz w:val="24"/>
                <w:szCs w:val="24"/>
              </w:rPr>
            </w:pPr>
            <w:r w:rsidRPr="00B81DE4">
              <w:rPr>
                <w:rFonts w:ascii="Times New Roman" w:hAnsi="Times New Roman"/>
                <w:sz w:val="24"/>
                <w:szCs w:val="24"/>
              </w:rPr>
              <w:tab/>
            </w:r>
            <w:r w:rsidRPr="00B81DE4">
              <w:rPr>
                <w:rFonts w:ascii="Times New Roman" w:eastAsia="Times New Roman" w:hAnsi="Times New Roman"/>
                <w:b/>
                <w:sz w:val="24"/>
                <w:szCs w:val="24"/>
              </w:rPr>
              <w:t>Turpmākie trīs gadi (</w:t>
            </w:r>
            <w:r w:rsidRPr="00B81DE4">
              <w:rPr>
                <w:rFonts w:ascii="Times New Roman" w:eastAsia="Times New Roman" w:hAnsi="Times New Roman"/>
                <w:b/>
                <w:i/>
                <w:sz w:val="24"/>
                <w:szCs w:val="24"/>
              </w:rPr>
              <w:t>euro</w:t>
            </w:r>
            <w:r w:rsidRPr="00B81DE4">
              <w:rPr>
                <w:rFonts w:ascii="Times New Roman" w:eastAsia="Times New Roman" w:hAnsi="Times New Roman"/>
                <w:b/>
                <w:sz w:val="24"/>
                <w:szCs w:val="24"/>
              </w:rPr>
              <w:t>)</w:t>
            </w:r>
          </w:p>
        </w:tc>
      </w:tr>
      <w:tr w:rsidR="00620C3A" w14:paraId="460B8DBF" w14:textId="77777777" w:rsidTr="00B249D6">
        <w:tc>
          <w:tcPr>
            <w:tcW w:w="2054" w:type="dxa"/>
            <w:vMerge/>
            <w:vAlign w:val="center"/>
          </w:tcPr>
          <w:p w14:paraId="2BEE642D" w14:textId="77777777" w:rsidR="00E40776" w:rsidRPr="00B81DE4" w:rsidRDefault="00E40776" w:rsidP="00E85BF0">
            <w:pPr>
              <w:rPr>
                <w:rFonts w:ascii="Times New Roman" w:hAnsi="Times New Roman"/>
                <w:sz w:val="24"/>
                <w:szCs w:val="24"/>
              </w:rPr>
            </w:pPr>
          </w:p>
        </w:tc>
        <w:tc>
          <w:tcPr>
            <w:tcW w:w="2631" w:type="dxa"/>
            <w:gridSpan w:val="3"/>
            <w:vMerge/>
            <w:vAlign w:val="center"/>
          </w:tcPr>
          <w:p w14:paraId="7385D09C" w14:textId="77777777" w:rsidR="00E40776" w:rsidRPr="00B81DE4" w:rsidRDefault="00E40776" w:rsidP="00E40776">
            <w:pPr>
              <w:spacing w:before="120" w:after="120"/>
              <w:rPr>
                <w:rFonts w:ascii="Times New Roman" w:hAnsi="Times New Roman"/>
                <w:sz w:val="24"/>
                <w:szCs w:val="24"/>
              </w:rPr>
            </w:pPr>
          </w:p>
        </w:tc>
        <w:tc>
          <w:tcPr>
            <w:tcW w:w="2551" w:type="dxa"/>
            <w:gridSpan w:val="3"/>
            <w:vAlign w:val="center"/>
          </w:tcPr>
          <w:p w14:paraId="6FA0EEB3" w14:textId="77777777" w:rsidR="00E40776" w:rsidRPr="00B81DE4" w:rsidRDefault="00573648" w:rsidP="00E40776">
            <w:pPr>
              <w:spacing w:before="120" w:after="120"/>
              <w:jc w:val="center"/>
              <w:rPr>
                <w:rFonts w:ascii="Times New Roman" w:hAnsi="Times New Roman"/>
                <w:b/>
                <w:sz w:val="24"/>
                <w:szCs w:val="24"/>
              </w:rPr>
            </w:pPr>
            <w:r w:rsidRPr="00B81DE4">
              <w:rPr>
                <w:rFonts w:ascii="Times New Roman" w:hAnsi="Times New Roman"/>
                <w:b/>
                <w:sz w:val="24"/>
                <w:szCs w:val="24"/>
              </w:rPr>
              <w:t>2019.gads</w:t>
            </w:r>
          </w:p>
        </w:tc>
        <w:tc>
          <w:tcPr>
            <w:tcW w:w="2552" w:type="dxa"/>
            <w:gridSpan w:val="3"/>
            <w:vAlign w:val="center"/>
          </w:tcPr>
          <w:p w14:paraId="0BF236F3" w14:textId="77777777" w:rsidR="00E40776" w:rsidRPr="00B81DE4" w:rsidRDefault="00573648" w:rsidP="00E40776">
            <w:pPr>
              <w:spacing w:before="120" w:after="120"/>
              <w:jc w:val="center"/>
              <w:rPr>
                <w:rFonts w:ascii="Times New Roman" w:hAnsi="Times New Roman"/>
                <w:b/>
                <w:sz w:val="24"/>
                <w:szCs w:val="24"/>
              </w:rPr>
            </w:pPr>
            <w:r w:rsidRPr="00B81DE4">
              <w:rPr>
                <w:rFonts w:ascii="Times New Roman" w:hAnsi="Times New Roman"/>
                <w:b/>
                <w:sz w:val="24"/>
                <w:szCs w:val="24"/>
              </w:rPr>
              <w:t>2020.gads</w:t>
            </w:r>
          </w:p>
        </w:tc>
        <w:tc>
          <w:tcPr>
            <w:tcW w:w="1417" w:type="dxa"/>
            <w:gridSpan w:val="2"/>
            <w:vAlign w:val="center"/>
          </w:tcPr>
          <w:p w14:paraId="6632CDBC" w14:textId="77777777" w:rsidR="00E40776" w:rsidRPr="00B81DE4" w:rsidRDefault="00573648" w:rsidP="00E40776">
            <w:pPr>
              <w:spacing w:before="120" w:after="120"/>
              <w:jc w:val="center"/>
              <w:rPr>
                <w:rFonts w:ascii="Times New Roman" w:hAnsi="Times New Roman"/>
                <w:b/>
                <w:sz w:val="24"/>
                <w:szCs w:val="24"/>
              </w:rPr>
            </w:pPr>
            <w:r w:rsidRPr="00B81DE4">
              <w:rPr>
                <w:rFonts w:ascii="Times New Roman" w:hAnsi="Times New Roman"/>
                <w:b/>
                <w:sz w:val="24"/>
                <w:szCs w:val="24"/>
              </w:rPr>
              <w:t>2021.gads</w:t>
            </w:r>
          </w:p>
        </w:tc>
      </w:tr>
      <w:tr w:rsidR="00620C3A" w14:paraId="2165F19F" w14:textId="77777777" w:rsidTr="00B249D6">
        <w:trPr>
          <w:gridAfter w:val="1"/>
          <w:wAfter w:w="6" w:type="dxa"/>
        </w:trPr>
        <w:tc>
          <w:tcPr>
            <w:tcW w:w="2054" w:type="dxa"/>
            <w:vMerge/>
            <w:vAlign w:val="center"/>
          </w:tcPr>
          <w:p w14:paraId="4449BA2B" w14:textId="77777777" w:rsidR="00E40776" w:rsidRPr="00B81DE4" w:rsidRDefault="00E40776" w:rsidP="00E85BF0">
            <w:pPr>
              <w:rPr>
                <w:rFonts w:ascii="Times New Roman" w:hAnsi="Times New Roman"/>
                <w:sz w:val="24"/>
                <w:szCs w:val="24"/>
              </w:rPr>
            </w:pPr>
          </w:p>
        </w:tc>
        <w:tc>
          <w:tcPr>
            <w:tcW w:w="1349" w:type="dxa"/>
            <w:vAlign w:val="center"/>
          </w:tcPr>
          <w:p w14:paraId="5B77DF08" w14:textId="77777777" w:rsidR="00E40776" w:rsidRPr="00B81DE4" w:rsidRDefault="00573648" w:rsidP="00E85BF0">
            <w:pPr>
              <w:jc w:val="center"/>
              <w:rPr>
                <w:rFonts w:ascii="Times New Roman" w:hAnsi="Times New Roman"/>
                <w:sz w:val="24"/>
                <w:szCs w:val="24"/>
              </w:rPr>
            </w:pPr>
            <w:r w:rsidRPr="00B81DE4">
              <w:rPr>
                <w:rFonts w:ascii="Times New Roman" w:eastAsia="Times New Roman" w:hAnsi="Times New Roman"/>
                <w:sz w:val="24"/>
                <w:szCs w:val="24"/>
              </w:rPr>
              <w:t xml:space="preserve">saskaņā ar valsts budžetu </w:t>
            </w:r>
            <w:r w:rsidRPr="00B81DE4">
              <w:rPr>
                <w:rFonts w:ascii="Times New Roman" w:eastAsia="Times New Roman" w:hAnsi="Times New Roman"/>
                <w:sz w:val="24"/>
                <w:szCs w:val="24"/>
              </w:rPr>
              <w:lastRenderedPageBreak/>
              <w:t>kārtējam gadam</w:t>
            </w:r>
          </w:p>
        </w:tc>
        <w:tc>
          <w:tcPr>
            <w:tcW w:w="1276" w:type="dxa"/>
            <w:vAlign w:val="center"/>
          </w:tcPr>
          <w:p w14:paraId="20B426D3" w14:textId="77777777" w:rsidR="00E40776" w:rsidRPr="00B81DE4" w:rsidRDefault="00573648" w:rsidP="00E85BF0">
            <w:pPr>
              <w:jc w:val="center"/>
              <w:rPr>
                <w:rFonts w:ascii="Times New Roman" w:hAnsi="Times New Roman"/>
                <w:sz w:val="24"/>
                <w:szCs w:val="24"/>
              </w:rPr>
            </w:pPr>
            <w:r w:rsidRPr="00B81DE4">
              <w:rPr>
                <w:rFonts w:ascii="Times New Roman" w:eastAsia="Times New Roman" w:hAnsi="Times New Roman"/>
                <w:sz w:val="24"/>
                <w:szCs w:val="24"/>
              </w:rPr>
              <w:lastRenderedPageBreak/>
              <w:t xml:space="preserve">izmaiņas kārtējā gadā, </w:t>
            </w:r>
            <w:r w:rsidRPr="00B81DE4">
              <w:rPr>
                <w:rFonts w:ascii="Times New Roman" w:eastAsia="Times New Roman" w:hAnsi="Times New Roman"/>
                <w:sz w:val="24"/>
                <w:szCs w:val="24"/>
              </w:rPr>
              <w:lastRenderedPageBreak/>
              <w:t>salīdzinot ar valsts budžetu kārtējam gadam</w:t>
            </w:r>
          </w:p>
        </w:tc>
        <w:tc>
          <w:tcPr>
            <w:tcW w:w="1276" w:type="dxa"/>
            <w:gridSpan w:val="2"/>
            <w:vAlign w:val="center"/>
          </w:tcPr>
          <w:p w14:paraId="3A423C3A" w14:textId="77777777" w:rsidR="00E40776" w:rsidRPr="00B81DE4" w:rsidRDefault="00573648" w:rsidP="00E85BF0">
            <w:pPr>
              <w:jc w:val="center"/>
              <w:rPr>
                <w:rFonts w:ascii="Times New Roman" w:hAnsi="Times New Roman"/>
                <w:sz w:val="24"/>
                <w:szCs w:val="24"/>
              </w:rPr>
            </w:pPr>
            <w:r w:rsidRPr="00B81DE4">
              <w:rPr>
                <w:rFonts w:ascii="Times New Roman" w:eastAsia="Times New Roman" w:hAnsi="Times New Roman"/>
                <w:sz w:val="24"/>
                <w:szCs w:val="24"/>
              </w:rPr>
              <w:lastRenderedPageBreak/>
              <w:t xml:space="preserve">saskaņā ar vidēja termiņa </w:t>
            </w:r>
            <w:r w:rsidRPr="00B81DE4">
              <w:rPr>
                <w:rFonts w:ascii="Times New Roman" w:eastAsia="Times New Roman" w:hAnsi="Times New Roman"/>
                <w:sz w:val="24"/>
                <w:szCs w:val="24"/>
              </w:rPr>
              <w:lastRenderedPageBreak/>
              <w:t>budžeta ietvaru</w:t>
            </w:r>
          </w:p>
        </w:tc>
        <w:tc>
          <w:tcPr>
            <w:tcW w:w="1275" w:type="dxa"/>
            <w:vAlign w:val="center"/>
          </w:tcPr>
          <w:p w14:paraId="1A0D532A" w14:textId="77777777" w:rsidR="00E40776" w:rsidRPr="00B81DE4" w:rsidRDefault="00573648" w:rsidP="00E85BF0">
            <w:pPr>
              <w:jc w:val="center"/>
              <w:rPr>
                <w:rFonts w:ascii="Times New Roman" w:hAnsi="Times New Roman"/>
                <w:sz w:val="24"/>
                <w:szCs w:val="24"/>
              </w:rPr>
            </w:pPr>
            <w:r w:rsidRPr="00B81DE4">
              <w:rPr>
                <w:rFonts w:ascii="Times New Roman" w:hAnsi="Times New Roman"/>
                <w:sz w:val="24"/>
                <w:szCs w:val="24"/>
              </w:rPr>
              <w:lastRenderedPageBreak/>
              <w:t xml:space="preserve">izmaiņas, salīdzinot ar vidēja </w:t>
            </w:r>
            <w:r w:rsidRPr="00B81DE4">
              <w:rPr>
                <w:rFonts w:ascii="Times New Roman" w:hAnsi="Times New Roman"/>
                <w:sz w:val="24"/>
                <w:szCs w:val="24"/>
              </w:rPr>
              <w:lastRenderedPageBreak/>
              <w:t>termiņa budžeta ietvaru 2019. gadam</w:t>
            </w:r>
          </w:p>
        </w:tc>
        <w:tc>
          <w:tcPr>
            <w:tcW w:w="1276" w:type="dxa"/>
            <w:gridSpan w:val="2"/>
            <w:vAlign w:val="center"/>
          </w:tcPr>
          <w:p w14:paraId="0C3C40C9" w14:textId="77777777" w:rsidR="00E40776" w:rsidRPr="00B81DE4" w:rsidRDefault="00573648" w:rsidP="00E85BF0">
            <w:pPr>
              <w:jc w:val="center"/>
              <w:rPr>
                <w:rFonts w:ascii="Times New Roman" w:hAnsi="Times New Roman"/>
                <w:sz w:val="24"/>
                <w:szCs w:val="24"/>
              </w:rPr>
            </w:pPr>
            <w:r w:rsidRPr="00B81DE4">
              <w:rPr>
                <w:rFonts w:ascii="Times New Roman" w:eastAsia="Times New Roman" w:hAnsi="Times New Roman"/>
                <w:sz w:val="24"/>
                <w:szCs w:val="24"/>
              </w:rPr>
              <w:lastRenderedPageBreak/>
              <w:t xml:space="preserve">saskaņā ar vidēja termiņa </w:t>
            </w:r>
            <w:r w:rsidRPr="00B81DE4">
              <w:rPr>
                <w:rFonts w:ascii="Times New Roman" w:eastAsia="Times New Roman" w:hAnsi="Times New Roman"/>
                <w:sz w:val="24"/>
                <w:szCs w:val="24"/>
              </w:rPr>
              <w:lastRenderedPageBreak/>
              <w:t>budžeta ietvaru</w:t>
            </w:r>
          </w:p>
        </w:tc>
        <w:tc>
          <w:tcPr>
            <w:tcW w:w="1276" w:type="dxa"/>
            <w:vAlign w:val="center"/>
          </w:tcPr>
          <w:p w14:paraId="7E8E2047" w14:textId="77777777" w:rsidR="00E40776" w:rsidRPr="00B81DE4" w:rsidRDefault="00573648" w:rsidP="00E85BF0">
            <w:pPr>
              <w:jc w:val="center"/>
              <w:rPr>
                <w:rFonts w:ascii="Times New Roman" w:hAnsi="Times New Roman"/>
                <w:sz w:val="24"/>
                <w:szCs w:val="24"/>
              </w:rPr>
            </w:pPr>
            <w:r w:rsidRPr="00B81DE4">
              <w:rPr>
                <w:rFonts w:ascii="Times New Roman" w:hAnsi="Times New Roman"/>
                <w:sz w:val="24"/>
                <w:szCs w:val="24"/>
              </w:rPr>
              <w:lastRenderedPageBreak/>
              <w:t xml:space="preserve">izmaiņas, salīdzinot ar vidēja </w:t>
            </w:r>
            <w:r w:rsidRPr="00B81DE4">
              <w:rPr>
                <w:rFonts w:ascii="Times New Roman" w:hAnsi="Times New Roman"/>
                <w:sz w:val="24"/>
                <w:szCs w:val="24"/>
              </w:rPr>
              <w:lastRenderedPageBreak/>
              <w:t>termiņa budžeta ietvaru 2020. gadam</w:t>
            </w:r>
          </w:p>
        </w:tc>
        <w:tc>
          <w:tcPr>
            <w:tcW w:w="1417" w:type="dxa"/>
            <w:gridSpan w:val="2"/>
            <w:vAlign w:val="center"/>
          </w:tcPr>
          <w:p w14:paraId="2D794C04" w14:textId="77777777" w:rsidR="00E40776" w:rsidRPr="00B81DE4" w:rsidRDefault="00573648" w:rsidP="00E85BF0">
            <w:pPr>
              <w:jc w:val="center"/>
              <w:rPr>
                <w:rFonts w:ascii="Times New Roman" w:hAnsi="Times New Roman"/>
                <w:sz w:val="24"/>
                <w:szCs w:val="24"/>
              </w:rPr>
            </w:pPr>
            <w:r w:rsidRPr="00B81DE4">
              <w:rPr>
                <w:rFonts w:ascii="Times New Roman" w:eastAsia="Times New Roman" w:hAnsi="Times New Roman"/>
                <w:sz w:val="24"/>
                <w:szCs w:val="24"/>
              </w:rPr>
              <w:lastRenderedPageBreak/>
              <w:t xml:space="preserve">izmaiņas, salīdzinot ar vidēja </w:t>
            </w:r>
            <w:r w:rsidRPr="00B81DE4">
              <w:rPr>
                <w:rFonts w:ascii="Times New Roman" w:eastAsia="Times New Roman" w:hAnsi="Times New Roman"/>
                <w:sz w:val="24"/>
                <w:szCs w:val="24"/>
              </w:rPr>
              <w:lastRenderedPageBreak/>
              <w:t>termiņa budžeta ietvaru 2021. gadam</w:t>
            </w:r>
          </w:p>
        </w:tc>
      </w:tr>
      <w:tr w:rsidR="00620C3A" w14:paraId="71810808" w14:textId="77777777" w:rsidTr="00B249D6">
        <w:trPr>
          <w:gridAfter w:val="1"/>
          <w:wAfter w:w="6" w:type="dxa"/>
        </w:trPr>
        <w:tc>
          <w:tcPr>
            <w:tcW w:w="2054" w:type="dxa"/>
            <w:vAlign w:val="center"/>
          </w:tcPr>
          <w:p w14:paraId="5EF33521" w14:textId="048A66FB"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lastRenderedPageBreak/>
              <w:t>1</w:t>
            </w:r>
          </w:p>
        </w:tc>
        <w:tc>
          <w:tcPr>
            <w:tcW w:w="1349" w:type="dxa"/>
            <w:vAlign w:val="center"/>
          </w:tcPr>
          <w:p w14:paraId="334A210F" w14:textId="4C9D5BF6"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2</w:t>
            </w:r>
          </w:p>
        </w:tc>
        <w:tc>
          <w:tcPr>
            <w:tcW w:w="1276" w:type="dxa"/>
            <w:vAlign w:val="center"/>
          </w:tcPr>
          <w:p w14:paraId="3DE30FC5" w14:textId="4BDDCFB9"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3</w:t>
            </w:r>
          </w:p>
        </w:tc>
        <w:tc>
          <w:tcPr>
            <w:tcW w:w="1276" w:type="dxa"/>
            <w:gridSpan w:val="2"/>
            <w:vAlign w:val="center"/>
          </w:tcPr>
          <w:p w14:paraId="4AE0D1CE" w14:textId="1776C081"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4</w:t>
            </w:r>
          </w:p>
        </w:tc>
        <w:tc>
          <w:tcPr>
            <w:tcW w:w="1275" w:type="dxa"/>
            <w:vAlign w:val="center"/>
          </w:tcPr>
          <w:p w14:paraId="2DDDB27D" w14:textId="41C3D59A"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5</w:t>
            </w:r>
          </w:p>
        </w:tc>
        <w:tc>
          <w:tcPr>
            <w:tcW w:w="1276" w:type="dxa"/>
            <w:gridSpan w:val="2"/>
            <w:vAlign w:val="center"/>
          </w:tcPr>
          <w:p w14:paraId="2D153968" w14:textId="10E64C64"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6</w:t>
            </w:r>
          </w:p>
        </w:tc>
        <w:tc>
          <w:tcPr>
            <w:tcW w:w="1276" w:type="dxa"/>
            <w:vAlign w:val="center"/>
          </w:tcPr>
          <w:p w14:paraId="22481603" w14:textId="6E0D4AD4"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7</w:t>
            </w:r>
          </w:p>
        </w:tc>
        <w:tc>
          <w:tcPr>
            <w:tcW w:w="1417" w:type="dxa"/>
            <w:gridSpan w:val="2"/>
            <w:vAlign w:val="center"/>
          </w:tcPr>
          <w:p w14:paraId="428132A7" w14:textId="0EFC9131" w:rsidR="00E40776" w:rsidRPr="00B81DE4" w:rsidRDefault="00573648" w:rsidP="00B81DE4">
            <w:pPr>
              <w:spacing w:after="0"/>
              <w:jc w:val="center"/>
              <w:rPr>
                <w:rFonts w:ascii="Times New Roman" w:hAnsi="Times New Roman"/>
                <w:sz w:val="24"/>
                <w:szCs w:val="24"/>
              </w:rPr>
            </w:pPr>
            <w:r w:rsidRPr="00B81DE4">
              <w:rPr>
                <w:rFonts w:ascii="Times New Roman" w:hAnsi="Times New Roman"/>
                <w:sz w:val="24"/>
                <w:szCs w:val="24"/>
              </w:rPr>
              <w:t>8</w:t>
            </w:r>
          </w:p>
        </w:tc>
      </w:tr>
      <w:tr w:rsidR="00620C3A" w14:paraId="02CF8B54" w14:textId="77777777" w:rsidTr="00B249D6">
        <w:trPr>
          <w:gridAfter w:val="1"/>
          <w:wAfter w:w="6" w:type="dxa"/>
        </w:trPr>
        <w:tc>
          <w:tcPr>
            <w:tcW w:w="2054" w:type="dxa"/>
          </w:tcPr>
          <w:p w14:paraId="7E1E132A" w14:textId="29A89067" w:rsidR="00EF7009" w:rsidRPr="00B81DE4" w:rsidRDefault="00573648" w:rsidP="00EF7009">
            <w:pPr>
              <w:rPr>
                <w:rFonts w:ascii="Times New Roman" w:hAnsi="Times New Roman"/>
                <w:sz w:val="24"/>
                <w:szCs w:val="24"/>
              </w:rPr>
            </w:pPr>
            <w:r w:rsidRPr="00B81DE4">
              <w:rPr>
                <w:rFonts w:ascii="Times New Roman" w:eastAsia="Times New Roman" w:hAnsi="Times New Roman"/>
                <w:sz w:val="24"/>
                <w:szCs w:val="24"/>
              </w:rPr>
              <w:t>1. Budžeta ieņēmumi:</w:t>
            </w:r>
          </w:p>
        </w:tc>
        <w:tc>
          <w:tcPr>
            <w:tcW w:w="1349" w:type="dxa"/>
            <w:vAlign w:val="center"/>
          </w:tcPr>
          <w:p w14:paraId="62D220A0" w14:textId="55913D60"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6 375 000</w:t>
            </w:r>
          </w:p>
        </w:tc>
        <w:tc>
          <w:tcPr>
            <w:tcW w:w="1276" w:type="dxa"/>
            <w:vAlign w:val="center"/>
          </w:tcPr>
          <w:p w14:paraId="323A8965" w14:textId="77100336"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1 147 500</w:t>
            </w:r>
          </w:p>
        </w:tc>
        <w:tc>
          <w:tcPr>
            <w:tcW w:w="1276" w:type="dxa"/>
            <w:gridSpan w:val="2"/>
            <w:vAlign w:val="center"/>
          </w:tcPr>
          <w:p w14:paraId="0AB5B76B" w14:textId="1003FAEA" w:rsidR="00EF7009" w:rsidRPr="00F52C57" w:rsidRDefault="00573648" w:rsidP="00EF7009">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5" w:type="dxa"/>
            <w:vAlign w:val="center"/>
          </w:tcPr>
          <w:p w14:paraId="784A4189" w14:textId="3FEC68A3"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1 875 785</w:t>
            </w:r>
          </w:p>
        </w:tc>
        <w:tc>
          <w:tcPr>
            <w:tcW w:w="1276" w:type="dxa"/>
            <w:gridSpan w:val="2"/>
            <w:vAlign w:val="center"/>
          </w:tcPr>
          <w:p w14:paraId="53C1116A" w14:textId="111D61AA" w:rsidR="00EF7009" w:rsidRPr="00F52C57" w:rsidRDefault="00573648" w:rsidP="00EF7009">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6" w:type="dxa"/>
            <w:vAlign w:val="center"/>
          </w:tcPr>
          <w:p w14:paraId="30C5F809" w14:textId="6B770A1B"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1 875 785</w:t>
            </w:r>
          </w:p>
        </w:tc>
        <w:tc>
          <w:tcPr>
            <w:tcW w:w="1417" w:type="dxa"/>
            <w:gridSpan w:val="2"/>
            <w:vAlign w:val="center"/>
          </w:tcPr>
          <w:p w14:paraId="35C933A8" w14:textId="50CBA64B"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1 875 785</w:t>
            </w:r>
          </w:p>
        </w:tc>
      </w:tr>
      <w:tr w:rsidR="00620C3A" w14:paraId="58A5D9EC" w14:textId="77777777" w:rsidTr="00B249D6">
        <w:trPr>
          <w:gridAfter w:val="1"/>
          <w:wAfter w:w="6" w:type="dxa"/>
        </w:trPr>
        <w:tc>
          <w:tcPr>
            <w:tcW w:w="2054" w:type="dxa"/>
          </w:tcPr>
          <w:p w14:paraId="70245F29" w14:textId="42B88088" w:rsidR="00EF7009" w:rsidRPr="00B81DE4" w:rsidRDefault="00573648" w:rsidP="00EF7009">
            <w:pPr>
              <w:rPr>
                <w:rFonts w:ascii="Times New Roman" w:hAnsi="Times New Roman"/>
                <w:sz w:val="24"/>
                <w:szCs w:val="24"/>
              </w:rPr>
            </w:pPr>
            <w:r w:rsidRPr="00B81DE4">
              <w:rPr>
                <w:rFonts w:ascii="Times New Roman" w:hAnsi="Times New Roman"/>
                <w:sz w:val="24"/>
                <w:szCs w:val="24"/>
              </w:rPr>
              <w:t>1.1. valsts pamatbudžets, tai skaitā ieņēmumi no maksas pakalpojumiem un citi pašu ieņēmumi</w:t>
            </w:r>
          </w:p>
        </w:tc>
        <w:tc>
          <w:tcPr>
            <w:tcW w:w="1349" w:type="dxa"/>
            <w:vAlign w:val="center"/>
          </w:tcPr>
          <w:p w14:paraId="3E639EF5" w14:textId="2A20C97E"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6 375 000</w:t>
            </w:r>
          </w:p>
        </w:tc>
        <w:tc>
          <w:tcPr>
            <w:tcW w:w="1276" w:type="dxa"/>
            <w:vAlign w:val="center"/>
          </w:tcPr>
          <w:p w14:paraId="0ED5E89C" w14:textId="46317BA4"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1 147 500</w:t>
            </w:r>
          </w:p>
        </w:tc>
        <w:tc>
          <w:tcPr>
            <w:tcW w:w="1276" w:type="dxa"/>
            <w:gridSpan w:val="2"/>
            <w:vAlign w:val="center"/>
          </w:tcPr>
          <w:p w14:paraId="3F4966B6" w14:textId="1A516F96" w:rsidR="00EF7009" w:rsidRPr="00F52C57" w:rsidRDefault="00573648" w:rsidP="00EF7009">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5" w:type="dxa"/>
            <w:vAlign w:val="center"/>
          </w:tcPr>
          <w:p w14:paraId="7DF63D3D" w14:textId="46DEB4C6"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1 875 785</w:t>
            </w:r>
          </w:p>
        </w:tc>
        <w:tc>
          <w:tcPr>
            <w:tcW w:w="1276" w:type="dxa"/>
            <w:gridSpan w:val="2"/>
            <w:vAlign w:val="center"/>
          </w:tcPr>
          <w:p w14:paraId="6A98474A" w14:textId="499BBAFD" w:rsidR="00EF7009" w:rsidRPr="00F52C57" w:rsidRDefault="00573648" w:rsidP="00EF7009">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6" w:type="dxa"/>
            <w:vAlign w:val="center"/>
          </w:tcPr>
          <w:p w14:paraId="6EF3E514" w14:textId="68C9ED23"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1 875 785</w:t>
            </w:r>
          </w:p>
        </w:tc>
        <w:tc>
          <w:tcPr>
            <w:tcW w:w="1417" w:type="dxa"/>
            <w:gridSpan w:val="2"/>
            <w:vAlign w:val="center"/>
          </w:tcPr>
          <w:p w14:paraId="1DA8327E" w14:textId="259B566C" w:rsidR="00EF7009" w:rsidRPr="00F52C57" w:rsidRDefault="00573648" w:rsidP="00EF7009">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1 875 </w:t>
            </w:r>
            <w:r>
              <w:rPr>
                <w:rFonts w:ascii="Times New Roman" w:eastAsia="Times New Roman" w:hAnsi="Times New Roman"/>
                <w:sz w:val="24"/>
                <w:szCs w:val="24"/>
              </w:rPr>
              <w:t>785</w:t>
            </w:r>
          </w:p>
        </w:tc>
      </w:tr>
      <w:tr w:rsidR="00620C3A" w14:paraId="14E81B7A" w14:textId="77777777" w:rsidTr="00B249D6">
        <w:trPr>
          <w:gridAfter w:val="1"/>
          <w:wAfter w:w="6" w:type="dxa"/>
        </w:trPr>
        <w:tc>
          <w:tcPr>
            <w:tcW w:w="2054" w:type="dxa"/>
          </w:tcPr>
          <w:p w14:paraId="0962D491" w14:textId="3B27B554" w:rsidR="0031180C" w:rsidRPr="00B81DE4" w:rsidRDefault="00573648" w:rsidP="0031180C">
            <w:pPr>
              <w:rPr>
                <w:rFonts w:ascii="Times New Roman" w:hAnsi="Times New Roman"/>
                <w:sz w:val="24"/>
                <w:szCs w:val="24"/>
              </w:rPr>
            </w:pPr>
            <w:r w:rsidRPr="00B81DE4">
              <w:rPr>
                <w:rFonts w:ascii="Times New Roman" w:hAnsi="Times New Roman"/>
                <w:sz w:val="24"/>
                <w:szCs w:val="24"/>
              </w:rPr>
              <w:t>1.2. valsts speciālais budžets</w:t>
            </w:r>
          </w:p>
        </w:tc>
        <w:tc>
          <w:tcPr>
            <w:tcW w:w="1349" w:type="dxa"/>
            <w:vAlign w:val="center"/>
          </w:tcPr>
          <w:p w14:paraId="2F816F3B" w14:textId="1A679DAD"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1394F8E3" w14:textId="1418AF3F"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551CD6C2" w14:textId="1207BC9C"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4E67B674" w14:textId="4DDB7367"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7BCF6225" w14:textId="76E7223D"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5DF515C2" w14:textId="1C19669D"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1E50981C" w14:textId="1582509B"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4D8B5F87" w14:textId="77777777" w:rsidTr="00B249D6">
        <w:trPr>
          <w:gridAfter w:val="1"/>
          <w:wAfter w:w="6" w:type="dxa"/>
        </w:trPr>
        <w:tc>
          <w:tcPr>
            <w:tcW w:w="2054" w:type="dxa"/>
          </w:tcPr>
          <w:p w14:paraId="0CBC7C15" w14:textId="7D641BC6" w:rsidR="0031180C" w:rsidRPr="00B81DE4" w:rsidRDefault="00573648" w:rsidP="0031180C">
            <w:pPr>
              <w:rPr>
                <w:rFonts w:ascii="Times New Roman" w:hAnsi="Times New Roman"/>
                <w:sz w:val="24"/>
                <w:szCs w:val="24"/>
              </w:rPr>
            </w:pPr>
            <w:r w:rsidRPr="00B81DE4">
              <w:rPr>
                <w:rFonts w:ascii="Times New Roman" w:hAnsi="Times New Roman"/>
                <w:sz w:val="24"/>
                <w:szCs w:val="24"/>
              </w:rPr>
              <w:t>1.3. pašvaldību budžets</w:t>
            </w:r>
          </w:p>
        </w:tc>
        <w:tc>
          <w:tcPr>
            <w:tcW w:w="1349" w:type="dxa"/>
            <w:vAlign w:val="center"/>
          </w:tcPr>
          <w:p w14:paraId="35F0F25E" w14:textId="435B0D4B"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778ED796" w14:textId="1719DEEC"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3DF194B9" w14:textId="5689D40E"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77E3412A" w14:textId="00991281"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6447DECB" w14:textId="0B67842E"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343AF95F" w14:textId="1D469DB9"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557D935E" w14:textId="391D8C59" w:rsidR="0031180C"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6A3DEEA5" w14:textId="77777777" w:rsidTr="00B249D6">
        <w:trPr>
          <w:gridAfter w:val="1"/>
          <w:wAfter w:w="6" w:type="dxa"/>
        </w:trPr>
        <w:tc>
          <w:tcPr>
            <w:tcW w:w="2054" w:type="dxa"/>
          </w:tcPr>
          <w:p w14:paraId="18AEEAF6" w14:textId="6BEA705B" w:rsidR="00EF7009" w:rsidRPr="00B81DE4" w:rsidRDefault="00573648" w:rsidP="00EF7009">
            <w:pPr>
              <w:rPr>
                <w:rFonts w:ascii="Times New Roman" w:hAnsi="Times New Roman"/>
                <w:sz w:val="24"/>
                <w:szCs w:val="24"/>
              </w:rPr>
            </w:pPr>
            <w:r w:rsidRPr="00B81DE4">
              <w:rPr>
                <w:rFonts w:ascii="Times New Roman" w:hAnsi="Times New Roman"/>
                <w:sz w:val="24"/>
                <w:szCs w:val="24"/>
              </w:rPr>
              <w:t>2. Budžeta izdevumi:</w:t>
            </w:r>
          </w:p>
        </w:tc>
        <w:tc>
          <w:tcPr>
            <w:tcW w:w="1349" w:type="dxa"/>
            <w:vAlign w:val="center"/>
          </w:tcPr>
          <w:p w14:paraId="097894A5" w14:textId="534F26A1"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7 500 000</w:t>
            </w:r>
          </w:p>
        </w:tc>
        <w:tc>
          <w:tcPr>
            <w:tcW w:w="1276" w:type="dxa"/>
            <w:vAlign w:val="center"/>
          </w:tcPr>
          <w:p w14:paraId="71EB3709" w14:textId="4DF155A2"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1 350 000</w:t>
            </w:r>
          </w:p>
        </w:tc>
        <w:tc>
          <w:tcPr>
            <w:tcW w:w="1276" w:type="dxa"/>
            <w:gridSpan w:val="2"/>
            <w:vAlign w:val="center"/>
          </w:tcPr>
          <w:p w14:paraId="67AB3DD7" w14:textId="4DC70D7C"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7 500 000</w:t>
            </w:r>
          </w:p>
        </w:tc>
        <w:tc>
          <w:tcPr>
            <w:tcW w:w="1275" w:type="dxa"/>
            <w:vAlign w:val="center"/>
          </w:tcPr>
          <w:p w14:paraId="2F705EC3" w14:textId="1E89CD93"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2 206 806</w:t>
            </w:r>
          </w:p>
        </w:tc>
        <w:tc>
          <w:tcPr>
            <w:tcW w:w="1276" w:type="dxa"/>
            <w:gridSpan w:val="2"/>
            <w:vAlign w:val="center"/>
          </w:tcPr>
          <w:p w14:paraId="04F029C6" w14:textId="5976B9A2"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7 500 000</w:t>
            </w:r>
          </w:p>
        </w:tc>
        <w:tc>
          <w:tcPr>
            <w:tcW w:w="1276" w:type="dxa"/>
            <w:vAlign w:val="center"/>
          </w:tcPr>
          <w:p w14:paraId="0C7F369F" w14:textId="27A04723"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2 206 806</w:t>
            </w:r>
          </w:p>
        </w:tc>
        <w:tc>
          <w:tcPr>
            <w:tcW w:w="1417" w:type="dxa"/>
            <w:gridSpan w:val="2"/>
            <w:vAlign w:val="center"/>
          </w:tcPr>
          <w:p w14:paraId="075F3341" w14:textId="4AD5CF2C"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2 206 806</w:t>
            </w:r>
          </w:p>
        </w:tc>
      </w:tr>
      <w:tr w:rsidR="00620C3A" w14:paraId="473949D1" w14:textId="77777777" w:rsidTr="00B249D6">
        <w:trPr>
          <w:gridAfter w:val="1"/>
          <w:wAfter w:w="6" w:type="dxa"/>
        </w:trPr>
        <w:tc>
          <w:tcPr>
            <w:tcW w:w="2054" w:type="dxa"/>
          </w:tcPr>
          <w:p w14:paraId="6F20BA14" w14:textId="1BE54627" w:rsidR="00EF7009" w:rsidRPr="00B81DE4" w:rsidRDefault="00573648" w:rsidP="00EF7009">
            <w:pPr>
              <w:rPr>
                <w:rFonts w:ascii="Times New Roman" w:hAnsi="Times New Roman"/>
                <w:sz w:val="24"/>
                <w:szCs w:val="24"/>
              </w:rPr>
            </w:pPr>
            <w:r w:rsidRPr="00B81DE4">
              <w:rPr>
                <w:rFonts w:ascii="Times New Roman" w:hAnsi="Times New Roman"/>
                <w:sz w:val="24"/>
                <w:szCs w:val="24"/>
              </w:rPr>
              <w:t>2.1. valsts pamatbudžets</w:t>
            </w:r>
          </w:p>
        </w:tc>
        <w:tc>
          <w:tcPr>
            <w:tcW w:w="1349" w:type="dxa"/>
            <w:vAlign w:val="center"/>
          </w:tcPr>
          <w:p w14:paraId="558F83AF" w14:textId="0779B370"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7 500 000</w:t>
            </w:r>
          </w:p>
        </w:tc>
        <w:tc>
          <w:tcPr>
            <w:tcW w:w="1276" w:type="dxa"/>
            <w:vAlign w:val="center"/>
          </w:tcPr>
          <w:p w14:paraId="7DBBA910" w14:textId="52AF38AF"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1 350 000</w:t>
            </w:r>
          </w:p>
        </w:tc>
        <w:tc>
          <w:tcPr>
            <w:tcW w:w="1276" w:type="dxa"/>
            <w:gridSpan w:val="2"/>
            <w:vAlign w:val="center"/>
          </w:tcPr>
          <w:p w14:paraId="2351B882" w14:textId="0B59BEBC"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7 500 000</w:t>
            </w:r>
          </w:p>
        </w:tc>
        <w:tc>
          <w:tcPr>
            <w:tcW w:w="1275" w:type="dxa"/>
            <w:vAlign w:val="center"/>
          </w:tcPr>
          <w:p w14:paraId="11202A12" w14:textId="62E58B1B"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2 206 806</w:t>
            </w:r>
          </w:p>
        </w:tc>
        <w:tc>
          <w:tcPr>
            <w:tcW w:w="1276" w:type="dxa"/>
            <w:gridSpan w:val="2"/>
            <w:vAlign w:val="center"/>
          </w:tcPr>
          <w:p w14:paraId="19FABC06" w14:textId="6A8B86CB"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7 500 000</w:t>
            </w:r>
          </w:p>
        </w:tc>
        <w:tc>
          <w:tcPr>
            <w:tcW w:w="1276" w:type="dxa"/>
            <w:vAlign w:val="center"/>
          </w:tcPr>
          <w:p w14:paraId="430BF098" w14:textId="1B166639"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2 206 806</w:t>
            </w:r>
          </w:p>
        </w:tc>
        <w:tc>
          <w:tcPr>
            <w:tcW w:w="1417" w:type="dxa"/>
            <w:gridSpan w:val="2"/>
            <w:vAlign w:val="center"/>
          </w:tcPr>
          <w:p w14:paraId="3C19DCD2" w14:textId="455C6343"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2 206 806</w:t>
            </w:r>
          </w:p>
        </w:tc>
      </w:tr>
      <w:tr w:rsidR="00620C3A" w14:paraId="2FC9ECDB" w14:textId="77777777" w:rsidTr="00B249D6">
        <w:trPr>
          <w:gridAfter w:val="1"/>
          <w:wAfter w:w="6" w:type="dxa"/>
        </w:trPr>
        <w:tc>
          <w:tcPr>
            <w:tcW w:w="2054" w:type="dxa"/>
          </w:tcPr>
          <w:p w14:paraId="1AFB0C0D" w14:textId="45C0F9A5" w:rsidR="005136D7" w:rsidRPr="00B81DE4" w:rsidRDefault="00573648" w:rsidP="005136D7">
            <w:pPr>
              <w:rPr>
                <w:rFonts w:ascii="Times New Roman" w:hAnsi="Times New Roman"/>
                <w:sz w:val="24"/>
                <w:szCs w:val="24"/>
              </w:rPr>
            </w:pPr>
            <w:r w:rsidRPr="00B81DE4">
              <w:rPr>
                <w:rFonts w:ascii="Times New Roman" w:hAnsi="Times New Roman"/>
                <w:sz w:val="24"/>
                <w:szCs w:val="24"/>
              </w:rPr>
              <w:t>2.2. valsts speciālais budžets</w:t>
            </w:r>
          </w:p>
        </w:tc>
        <w:tc>
          <w:tcPr>
            <w:tcW w:w="1349" w:type="dxa"/>
            <w:vAlign w:val="center"/>
          </w:tcPr>
          <w:p w14:paraId="2C0A1E26" w14:textId="350EA1B3"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1B335FF7" w14:textId="3FFF3834"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1CF53723" w14:textId="3D1BE7AD"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0650FA3B" w14:textId="7293A7F1"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6B9C6BF8" w14:textId="259ECF6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6AE6EE52" w14:textId="58883A46"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3851A8EA" w14:textId="7D3079AD"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17F16096" w14:textId="77777777" w:rsidTr="00B249D6">
        <w:trPr>
          <w:gridAfter w:val="1"/>
          <w:wAfter w:w="6" w:type="dxa"/>
        </w:trPr>
        <w:tc>
          <w:tcPr>
            <w:tcW w:w="2054" w:type="dxa"/>
          </w:tcPr>
          <w:p w14:paraId="5655B8D4" w14:textId="1736009E" w:rsidR="005136D7" w:rsidRPr="00B81DE4" w:rsidRDefault="00573648" w:rsidP="005136D7">
            <w:pPr>
              <w:rPr>
                <w:rFonts w:ascii="Times New Roman" w:hAnsi="Times New Roman"/>
                <w:sz w:val="24"/>
                <w:szCs w:val="24"/>
              </w:rPr>
            </w:pPr>
            <w:r w:rsidRPr="00B81DE4">
              <w:rPr>
                <w:rFonts w:ascii="Times New Roman" w:hAnsi="Times New Roman"/>
                <w:sz w:val="24"/>
                <w:szCs w:val="24"/>
              </w:rPr>
              <w:t>2.3. pašvaldību budžets</w:t>
            </w:r>
          </w:p>
        </w:tc>
        <w:tc>
          <w:tcPr>
            <w:tcW w:w="1349" w:type="dxa"/>
            <w:vAlign w:val="center"/>
          </w:tcPr>
          <w:p w14:paraId="31A0743C" w14:textId="6F50E8A3"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7397E5C1" w14:textId="0DF9B772"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255613A7" w14:textId="5529A2A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723CAEEE" w14:textId="2C33AABB"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1D0FC252" w14:textId="6C87AE39"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009E7FF6" w14:textId="1846BB2F"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5B9FAE5F" w14:textId="47B8D16A"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0FA3EC9F" w14:textId="77777777" w:rsidTr="00B249D6">
        <w:trPr>
          <w:gridAfter w:val="1"/>
          <w:wAfter w:w="6" w:type="dxa"/>
        </w:trPr>
        <w:tc>
          <w:tcPr>
            <w:tcW w:w="2054" w:type="dxa"/>
          </w:tcPr>
          <w:p w14:paraId="5E4A8967" w14:textId="27EC405F" w:rsidR="00EF7009" w:rsidRPr="00B81DE4" w:rsidRDefault="00573648" w:rsidP="00EF7009">
            <w:pPr>
              <w:rPr>
                <w:rFonts w:ascii="Times New Roman" w:hAnsi="Times New Roman"/>
                <w:sz w:val="24"/>
                <w:szCs w:val="24"/>
              </w:rPr>
            </w:pPr>
            <w:r w:rsidRPr="00B81DE4">
              <w:rPr>
                <w:rFonts w:ascii="Times New Roman" w:hAnsi="Times New Roman"/>
                <w:sz w:val="24"/>
                <w:szCs w:val="24"/>
              </w:rPr>
              <w:t>3. Finansiālā ietekme:</w:t>
            </w:r>
          </w:p>
        </w:tc>
        <w:tc>
          <w:tcPr>
            <w:tcW w:w="1349" w:type="dxa"/>
            <w:vAlign w:val="center"/>
          </w:tcPr>
          <w:p w14:paraId="6C861573" w14:textId="0458D0EB"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-1 125 000</w:t>
            </w:r>
          </w:p>
        </w:tc>
        <w:tc>
          <w:tcPr>
            <w:tcW w:w="1276" w:type="dxa"/>
            <w:vAlign w:val="center"/>
          </w:tcPr>
          <w:p w14:paraId="6EF1BF3B" w14:textId="2B491257"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-202 500</w:t>
            </w:r>
          </w:p>
        </w:tc>
        <w:tc>
          <w:tcPr>
            <w:tcW w:w="1276" w:type="dxa"/>
            <w:gridSpan w:val="2"/>
            <w:vAlign w:val="center"/>
          </w:tcPr>
          <w:p w14:paraId="4B422E59" w14:textId="54E05AE7"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5" w:type="dxa"/>
            <w:vAlign w:val="center"/>
          </w:tcPr>
          <w:p w14:paraId="44F8E62C" w14:textId="5E537719"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-331 02</w:t>
            </w:r>
            <w:r w:rsidR="00090FC4">
              <w:rPr>
                <w:rFonts w:ascii="Times New Roman" w:hAnsi="Times New Roman"/>
                <w:sz w:val="24"/>
                <w:szCs w:val="24"/>
              </w:rPr>
              <w:t>1</w:t>
            </w:r>
          </w:p>
        </w:tc>
        <w:tc>
          <w:tcPr>
            <w:tcW w:w="1276" w:type="dxa"/>
            <w:gridSpan w:val="2"/>
            <w:vAlign w:val="center"/>
          </w:tcPr>
          <w:p w14:paraId="1BA2F7A9" w14:textId="1F26A18F"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6" w:type="dxa"/>
            <w:vAlign w:val="center"/>
          </w:tcPr>
          <w:p w14:paraId="5603C16B" w14:textId="430CEEF8"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-331 021</w:t>
            </w:r>
          </w:p>
        </w:tc>
        <w:tc>
          <w:tcPr>
            <w:tcW w:w="1417" w:type="dxa"/>
            <w:gridSpan w:val="2"/>
            <w:vAlign w:val="center"/>
          </w:tcPr>
          <w:p w14:paraId="69201A75" w14:textId="623887B8"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-331 021</w:t>
            </w:r>
          </w:p>
        </w:tc>
      </w:tr>
      <w:tr w:rsidR="00620C3A" w14:paraId="62E391C0" w14:textId="77777777" w:rsidTr="00B249D6">
        <w:trPr>
          <w:gridAfter w:val="1"/>
          <w:wAfter w:w="6" w:type="dxa"/>
        </w:trPr>
        <w:tc>
          <w:tcPr>
            <w:tcW w:w="2054" w:type="dxa"/>
          </w:tcPr>
          <w:p w14:paraId="20021EC5" w14:textId="2D6E4079" w:rsidR="00EF7009" w:rsidRPr="00B81DE4" w:rsidRDefault="00573648" w:rsidP="00EF7009">
            <w:pPr>
              <w:rPr>
                <w:rFonts w:ascii="Times New Roman" w:hAnsi="Times New Roman"/>
                <w:sz w:val="24"/>
                <w:szCs w:val="24"/>
              </w:rPr>
            </w:pPr>
            <w:r w:rsidRPr="00B81DE4">
              <w:rPr>
                <w:rFonts w:ascii="Times New Roman" w:hAnsi="Times New Roman"/>
                <w:sz w:val="24"/>
                <w:szCs w:val="24"/>
              </w:rPr>
              <w:t>3.1. valsts pamatbudžets</w:t>
            </w:r>
          </w:p>
        </w:tc>
        <w:tc>
          <w:tcPr>
            <w:tcW w:w="1349" w:type="dxa"/>
            <w:vAlign w:val="center"/>
          </w:tcPr>
          <w:p w14:paraId="0C633E84" w14:textId="2DBB7FB4"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-1 125 000</w:t>
            </w:r>
          </w:p>
        </w:tc>
        <w:tc>
          <w:tcPr>
            <w:tcW w:w="1276" w:type="dxa"/>
            <w:vAlign w:val="center"/>
          </w:tcPr>
          <w:p w14:paraId="5662045A" w14:textId="2D5170BE"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-202 500</w:t>
            </w:r>
          </w:p>
        </w:tc>
        <w:tc>
          <w:tcPr>
            <w:tcW w:w="1276" w:type="dxa"/>
            <w:gridSpan w:val="2"/>
            <w:vAlign w:val="center"/>
          </w:tcPr>
          <w:p w14:paraId="094DC598" w14:textId="76D8448C"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5" w:type="dxa"/>
            <w:vAlign w:val="center"/>
          </w:tcPr>
          <w:p w14:paraId="07A203FB" w14:textId="0D1ED869"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-331 021</w:t>
            </w:r>
          </w:p>
        </w:tc>
        <w:tc>
          <w:tcPr>
            <w:tcW w:w="1276" w:type="dxa"/>
            <w:gridSpan w:val="2"/>
            <w:vAlign w:val="center"/>
          </w:tcPr>
          <w:p w14:paraId="6D7F6AA7" w14:textId="25ADD2D1" w:rsidR="00EF7009" w:rsidRPr="00B81DE4" w:rsidRDefault="00573648" w:rsidP="00EF7009">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6" w:type="dxa"/>
            <w:vAlign w:val="center"/>
          </w:tcPr>
          <w:p w14:paraId="4C2B8AE5" w14:textId="7360FA93"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-331 021</w:t>
            </w:r>
          </w:p>
        </w:tc>
        <w:tc>
          <w:tcPr>
            <w:tcW w:w="1417" w:type="dxa"/>
            <w:gridSpan w:val="2"/>
            <w:vAlign w:val="center"/>
          </w:tcPr>
          <w:p w14:paraId="3D7C4158" w14:textId="6A79CFB6" w:rsidR="00EF7009" w:rsidRPr="00B81DE4" w:rsidRDefault="00573648" w:rsidP="00EF7009">
            <w:pPr>
              <w:spacing w:after="0"/>
              <w:contextualSpacing/>
              <w:jc w:val="center"/>
              <w:rPr>
                <w:rFonts w:ascii="Times New Roman" w:hAnsi="Times New Roman"/>
                <w:sz w:val="24"/>
                <w:szCs w:val="24"/>
              </w:rPr>
            </w:pPr>
            <w:r>
              <w:rPr>
                <w:rFonts w:ascii="Times New Roman" w:hAnsi="Times New Roman"/>
                <w:sz w:val="24"/>
                <w:szCs w:val="24"/>
              </w:rPr>
              <w:t>-331 021</w:t>
            </w:r>
          </w:p>
        </w:tc>
      </w:tr>
      <w:tr w:rsidR="00620C3A" w14:paraId="3294AED1" w14:textId="77777777" w:rsidTr="00B249D6">
        <w:trPr>
          <w:gridAfter w:val="1"/>
          <w:wAfter w:w="6" w:type="dxa"/>
        </w:trPr>
        <w:tc>
          <w:tcPr>
            <w:tcW w:w="2054" w:type="dxa"/>
          </w:tcPr>
          <w:p w14:paraId="5945A602" w14:textId="79AC3221" w:rsidR="005136D7" w:rsidRPr="00B81DE4" w:rsidRDefault="00573648" w:rsidP="005136D7">
            <w:pPr>
              <w:rPr>
                <w:rFonts w:ascii="Times New Roman" w:hAnsi="Times New Roman"/>
                <w:sz w:val="24"/>
                <w:szCs w:val="24"/>
              </w:rPr>
            </w:pPr>
            <w:r w:rsidRPr="00B81DE4">
              <w:rPr>
                <w:rFonts w:ascii="Times New Roman" w:hAnsi="Times New Roman"/>
                <w:sz w:val="24"/>
                <w:szCs w:val="24"/>
              </w:rPr>
              <w:t>3.2. speciālais budžets</w:t>
            </w:r>
          </w:p>
        </w:tc>
        <w:tc>
          <w:tcPr>
            <w:tcW w:w="1349" w:type="dxa"/>
            <w:vAlign w:val="center"/>
          </w:tcPr>
          <w:p w14:paraId="5FFE8965" w14:textId="12DBB599"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42E9CC65" w14:textId="11D2704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1E531D54" w14:textId="512AD28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7598E2CC" w14:textId="72DC34E0"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0541B0A9" w14:textId="04E5646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4423034F" w14:textId="6F4A3E33"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0E42C538" w14:textId="0E4128D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16A9DC1C" w14:textId="77777777" w:rsidTr="00B249D6">
        <w:trPr>
          <w:gridAfter w:val="1"/>
          <w:wAfter w:w="6" w:type="dxa"/>
        </w:trPr>
        <w:tc>
          <w:tcPr>
            <w:tcW w:w="2054" w:type="dxa"/>
          </w:tcPr>
          <w:p w14:paraId="621BFE7C" w14:textId="5E0C0376" w:rsidR="005136D7" w:rsidRPr="00B81DE4" w:rsidRDefault="00573648" w:rsidP="005136D7">
            <w:pPr>
              <w:rPr>
                <w:rFonts w:ascii="Times New Roman" w:hAnsi="Times New Roman"/>
                <w:sz w:val="24"/>
                <w:szCs w:val="24"/>
              </w:rPr>
            </w:pPr>
            <w:r w:rsidRPr="00B81DE4">
              <w:rPr>
                <w:rFonts w:ascii="Times New Roman" w:hAnsi="Times New Roman"/>
                <w:sz w:val="24"/>
                <w:szCs w:val="24"/>
              </w:rPr>
              <w:t>3.3. pašvaldību budžets</w:t>
            </w:r>
          </w:p>
        </w:tc>
        <w:tc>
          <w:tcPr>
            <w:tcW w:w="1349" w:type="dxa"/>
            <w:vAlign w:val="center"/>
          </w:tcPr>
          <w:p w14:paraId="66FEBBA1" w14:textId="74C93CF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5570EE7F" w14:textId="6735912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687A6443" w14:textId="0D0F281E"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3A654E49" w14:textId="1982C64A"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5B79083B" w14:textId="48FDD1FC"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4D3DA4BC" w14:textId="4C6D86DD"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50E5B050" w14:textId="20DBAFB8" w:rsidR="005136D7" w:rsidRPr="00B81DE4" w:rsidRDefault="00573648" w:rsidP="005136D7">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7723E22B" w14:textId="77777777" w:rsidTr="00B249D6">
        <w:trPr>
          <w:gridAfter w:val="1"/>
          <w:wAfter w:w="6" w:type="dxa"/>
        </w:trPr>
        <w:tc>
          <w:tcPr>
            <w:tcW w:w="2054" w:type="dxa"/>
          </w:tcPr>
          <w:p w14:paraId="3E16ED65" w14:textId="6EC39F6F" w:rsidR="00727F3A" w:rsidRPr="00B81DE4" w:rsidRDefault="00573648" w:rsidP="00727F3A">
            <w:pPr>
              <w:rPr>
                <w:rFonts w:ascii="Times New Roman" w:hAnsi="Times New Roman"/>
                <w:sz w:val="24"/>
                <w:szCs w:val="24"/>
              </w:rPr>
            </w:pPr>
            <w:r w:rsidRPr="00B81DE4">
              <w:rPr>
                <w:rFonts w:ascii="Times New Roman" w:hAnsi="Times New Roman"/>
                <w:sz w:val="24"/>
                <w:szCs w:val="24"/>
              </w:rPr>
              <w:lastRenderedPageBreak/>
              <w:t>4. Finanšu līdzekļi papildu izdevumu finansēšanai (kompensējošu izdevumu samazinājumu norāda ar "+" zīmi)</w:t>
            </w:r>
          </w:p>
        </w:tc>
        <w:tc>
          <w:tcPr>
            <w:tcW w:w="1349" w:type="dxa"/>
            <w:vAlign w:val="center"/>
          </w:tcPr>
          <w:p w14:paraId="109E0174" w14:textId="0B86E42B"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18AA76BD" w14:textId="060279CE"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5E9A01F5" w14:textId="41CB11A9"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14:paraId="5549F0EA" w14:textId="64D36AA6"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14:paraId="10AC23D7" w14:textId="6A2CA060"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14:paraId="36E7B8FC" w14:textId="2EFC0032"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72B07921" w14:textId="64BC22C9" w:rsidR="00727F3A" w:rsidRPr="00B81DE4" w:rsidRDefault="00573648" w:rsidP="00727F3A">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4D67EA76" w14:textId="77777777" w:rsidTr="00B249D6">
        <w:trPr>
          <w:gridAfter w:val="1"/>
          <w:wAfter w:w="6" w:type="dxa"/>
        </w:trPr>
        <w:tc>
          <w:tcPr>
            <w:tcW w:w="2054" w:type="dxa"/>
          </w:tcPr>
          <w:p w14:paraId="15B50304" w14:textId="61C85D95" w:rsidR="00960C4F" w:rsidRPr="00B81DE4" w:rsidRDefault="00573648" w:rsidP="00960C4F">
            <w:pPr>
              <w:rPr>
                <w:rFonts w:ascii="Times New Roman" w:hAnsi="Times New Roman"/>
                <w:sz w:val="24"/>
                <w:szCs w:val="24"/>
              </w:rPr>
            </w:pPr>
            <w:r w:rsidRPr="00B81DE4">
              <w:rPr>
                <w:rFonts w:ascii="Times New Roman" w:hAnsi="Times New Roman"/>
                <w:sz w:val="24"/>
                <w:szCs w:val="24"/>
              </w:rPr>
              <w:t xml:space="preserve">5. Precizēta </w:t>
            </w:r>
            <w:r w:rsidRPr="00B81DE4">
              <w:rPr>
                <w:rFonts w:ascii="Times New Roman" w:hAnsi="Times New Roman"/>
                <w:sz w:val="24"/>
                <w:szCs w:val="24"/>
              </w:rPr>
              <w:t>finansiālā ietekme:</w:t>
            </w:r>
          </w:p>
        </w:tc>
        <w:tc>
          <w:tcPr>
            <w:tcW w:w="1349" w:type="dxa"/>
            <w:vAlign w:val="center"/>
          </w:tcPr>
          <w:p w14:paraId="5C416520" w14:textId="6A811CE0" w:rsidR="00960C4F" w:rsidRPr="00B81DE4" w:rsidRDefault="00573648" w:rsidP="00960C4F">
            <w:pPr>
              <w:spacing w:after="0"/>
              <w:contextualSpacing/>
              <w:jc w:val="center"/>
              <w:rPr>
                <w:rFonts w:ascii="Times New Roman" w:hAnsi="Times New Roman"/>
                <w:sz w:val="24"/>
                <w:szCs w:val="24"/>
              </w:rPr>
            </w:pPr>
            <w:r>
              <w:rPr>
                <w:rFonts w:ascii="Times New Roman" w:hAnsi="Times New Roman"/>
                <w:sz w:val="24"/>
                <w:szCs w:val="24"/>
              </w:rPr>
              <w:t>-1 125 000</w:t>
            </w:r>
          </w:p>
        </w:tc>
        <w:tc>
          <w:tcPr>
            <w:tcW w:w="1276" w:type="dxa"/>
            <w:vAlign w:val="center"/>
          </w:tcPr>
          <w:p w14:paraId="53D17110" w14:textId="763DA2C0" w:rsidR="00960C4F" w:rsidRPr="00B81DE4" w:rsidRDefault="00573648" w:rsidP="00960C4F">
            <w:pPr>
              <w:spacing w:after="0"/>
              <w:contextualSpacing/>
              <w:jc w:val="center"/>
              <w:rPr>
                <w:rFonts w:ascii="Times New Roman" w:hAnsi="Times New Roman"/>
                <w:sz w:val="24"/>
                <w:szCs w:val="24"/>
              </w:rPr>
            </w:pPr>
            <w:r w:rsidRPr="00F52C57">
              <w:rPr>
                <w:rFonts w:ascii="Times New Roman" w:hAnsi="Times New Roman"/>
                <w:sz w:val="24"/>
                <w:szCs w:val="24"/>
              </w:rPr>
              <w:t>-202 500</w:t>
            </w:r>
          </w:p>
        </w:tc>
        <w:tc>
          <w:tcPr>
            <w:tcW w:w="1276" w:type="dxa"/>
            <w:gridSpan w:val="2"/>
            <w:vAlign w:val="center"/>
          </w:tcPr>
          <w:p w14:paraId="24EB56FE" w14:textId="359996BD" w:rsidR="00960C4F" w:rsidRPr="00B81DE4" w:rsidRDefault="00573648" w:rsidP="00960C4F">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5" w:type="dxa"/>
            <w:vAlign w:val="center"/>
          </w:tcPr>
          <w:p w14:paraId="7375227D" w14:textId="60389538" w:rsidR="00960C4F" w:rsidRPr="00B81DE4" w:rsidRDefault="00573648" w:rsidP="00960C4F">
            <w:pPr>
              <w:spacing w:after="0"/>
              <w:contextualSpacing/>
              <w:jc w:val="center"/>
              <w:rPr>
                <w:rFonts w:ascii="Times New Roman" w:hAnsi="Times New Roman"/>
                <w:sz w:val="24"/>
                <w:szCs w:val="24"/>
              </w:rPr>
            </w:pPr>
            <w:r>
              <w:rPr>
                <w:rFonts w:ascii="Times New Roman" w:hAnsi="Times New Roman"/>
                <w:sz w:val="24"/>
                <w:szCs w:val="24"/>
              </w:rPr>
              <w:t>-331 021</w:t>
            </w:r>
          </w:p>
        </w:tc>
        <w:tc>
          <w:tcPr>
            <w:tcW w:w="1276" w:type="dxa"/>
            <w:gridSpan w:val="2"/>
            <w:vAlign w:val="center"/>
          </w:tcPr>
          <w:p w14:paraId="6FB91BE7" w14:textId="75C166E6" w:rsidR="00960C4F" w:rsidRPr="00B81DE4" w:rsidRDefault="00573648" w:rsidP="00960C4F">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6" w:type="dxa"/>
            <w:vAlign w:val="center"/>
          </w:tcPr>
          <w:p w14:paraId="2B706EEC" w14:textId="1795726E" w:rsidR="00960C4F" w:rsidRPr="00B81DE4" w:rsidRDefault="00573648" w:rsidP="00960C4F">
            <w:pPr>
              <w:spacing w:after="0"/>
              <w:contextualSpacing/>
              <w:jc w:val="center"/>
              <w:rPr>
                <w:rFonts w:ascii="Times New Roman" w:hAnsi="Times New Roman"/>
                <w:sz w:val="24"/>
                <w:szCs w:val="24"/>
              </w:rPr>
            </w:pPr>
            <w:r>
              <w:rPr>
                <w:rFonts w:ascii="Times New Roman" w:hAnsi="Times New Roman"/>
                <w:sz w:val="24"/>
                <w:szCs w:val="24"/>
              </w:rPr>
              <w:t>-331 021</w:t>
            </w:r>
          </w:p>
        </w:tc>
        <w:tc>
          <w:tcPr>
            <w:tcW w:w="1417" w:type="dxa"/>
            <w:gridSpan w:val="2"/>
            <w:vAlign w:val="center"/>
          </w:tcPr>
          <w:p w14:paraId="135C0CE8" w14:textId="5B539697" w:rsidR="00960C4F" w:rsidRPr="00B81DE4" w:rsidRDefault="00573648" w:rsidP="00960C4F">
            <w:pPr>
              <w:spacing w:after="0"/>
              <w:contextualSpacing/>
              <w:jc w:val="center"/>
              <w:rPr>
                <w:rFonts w:ascii="Times New Roman" w:hAnsi="Times New Roman"/>
                <w:sz w:val="24"/>
                <w:szCs w:val="24"/>
              </w:rPr>
            </w:pPr>
            <w:r>
              <w:rPr>
                <w:rFonts w:ascii="Times New Roman" w:hAnsi="Times New Roman"/>
                <w:sz w:val="24"/>
                <w:szCs w:val="24"/>
              </w:rPr>
              <w:t>-331 021</w:t>
            </w:r>
          </w:p>
        </w:tc>
      </w:tr>
      <w:tr w:rsidR="00620C3A" w14:paraId="7E019415" w14:textId="77777777" w:rsidTr="00B249D6">
        <w:trPr>
          <w:gridAfter w:val="1"/>
          <w:wAfter w:w="6" w:type="dxa"/>
        </w:trPr>
        <w:tc>
          <w:tcPr>
            <w:tcW w:w="2054" w:type="dxa"/>
          </w:tcPr>
          <w:p w14:paraId="6735CD98" w14:textId="5EBB0B7F" w:rsidR="00573D7B" w:rsidRPr="00B81DE4" w:rsidRDefault="00573648" w:rsidP="00573D7B">
            <w:pPr>
              <w:rPr>
                <w:rFonts w:ascii="Times New Roman" w:hAnsi="Times New Roman"/>
                <w:sz w:val="24"/>
                <w:szCs w:val="24"/>
              </w:rPr>
            </w:pPr>
            <w:r w:rsidRPr="00B81DE4">
              <w:rPr>
                <w:rFonts w:ascii="Times New Roman" w:hAnsi="Times New Roman"/>
                <w:sz w:val="24"/>
                <w:szCs w:val="24"/>
              </w:rPr>
              <w:t>5.1. valsts pamatbudžets</w:t>
            </w:r>
          </w:p>
        </w:tc>
        <w:tc>
          <w:tcPr>
            <w:tcW w:w="1349" w:type="dxa"/>
            <w:vMerge w:val="restart"/>
            <w:vAlign w:val="center"/>
          </w:tcPr>
          <w:p w14:paraId="161D20CE" w14:textId="686EA5A8"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X</w:t>
            </w:r>
          </w:p>
        </w:tc>
        <w:tc>
          <w:tcPr>
            <w:tcW w:w="1276" w:type="dxa"/>
            <w:vAlign w:val="center"/>
          </w:tcPr>
          <w:p w14:paraId="7680377B" w14:textId="4F73069D" w:rsidR="00573D7B" w:rsidRPr="00B81DE4" w:rsidRDefault="00573648" w:rsidP="00573D7B">
            <w:pPr>
              <w:spacing w:after="0"/>
              <w:contextualSpacing/>
              <w:jc w:val="center"/>
              <w:rPr>
                <w:rFonts w:ascii="Times New Roman" w:hAnsi="Times New Roman"/>
                <w:sz w:val="24"/>
                <w:szCs w:val="24"/>
              </w:rPr>
            </w:pPr>
            <w:r w:rsidRPr="00F52C57">
              <w:rPr>
                <w:rFonts w:ascii="Times New Roman" w:hAnsi="Times New Roman"/>
                <w:sz w:val="24"/>
                <w:szCs w:val="24"/>
              </w:rPr>
              <w:t>-202 500</w:t>
            </w:r>
          </w:p>
        </w:tc>
        <w:tc>
          <w:tcPr>
            <w:tcW w:w="1276" w:type="dxa"/>
            <w:gridSpan w:val="2"/>
            <w:vMerge w:val="restart"/>
            <w:vAlign w:val="center"/>
          </w:tcPr>
          <w:p w14:paraId="2FDD4FD0" w14:textId="77D605A7"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X</w:t>
            </w:r>
          </w:p>
        </w:tc>
        <w:tc>
          <w:tcPr>
            <w:tcW w:w="1275" w:type="dxa"/>
            <w:vAlign w:val="center"/>
          </w:tcPr>
          <w:p w14:paraId="584BA837" w14:textId="30C4F446"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-331 021</w:t>
            </w:r>
          </w:p>
        </w:tc>
        <w:tc>
          <w:tcPr>
            <w:tcW w:w="1276" w:type="dxa"/>
            <w:gridSpan w:val="2"/>
            <w:vMerge w:val="restart"/>
            <w:vAlign w:val="center"/>
          </w:tcPr>
          <w:p w14:paraId="69813506" w14:textId="68A3DFE3"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X</w:t>
            </w:r>
          </w:p>
        </w:tc>
        <w:tc>
          <w:tcPr>
            <w:tcW w:w="1276" w:type="dxa"/>
            <w:vAlign w:val="center"/>
          </w:tcPr>
          <w:p w14:paraId="1CDC085D" w14:textId="0EDBFDF8"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-331 021</w:t>
            </w:r>
          </w:p>
        </w:tc>
        <w:tc>
          <w:tcPr>
            <w:tcW w:w="1417" w:type="dxa"/>
            <w:gridSpan w:val="2"/>
            <w:vAlign w:val="center"/>
          </w:tcPr>
          <w:p w14:paraId="4039A1D1" w14:textId="28AAD316"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-331 021</w:t>
            </w:r>
          </w:p>
        </w:tc>
      </w:tr>
      <w:tr w:rsidR="00620C3A" w14:paraId="25BD9BCA" w14:textId="77777777" w:rsidTr="00B249D6">
        <w:trPr>
          <w:gridAfter w:val="1"/>
          <w:wAfter w:w="6" w:type="dxa"/>
        </w:trPr>
        <w:tc>
          <w:tcPr>
            <w:tcW w:w="2054" w:type="dxa"/>
          </w:tcPr>
          <w:p w14:paraId="3AFD4878" w14:textId="48B4F655" w:rsidR="00573D7B" w:rsidRPr="00B81DE4" w:rsidRDefault="00573648" w:rsidP="00573D7B">
            <w:pPr>
              <w:rPr>
                <w:rFonts w:ascii="Times New Roman" w:hAnsi="Times New Roman"/>
                <w:sz w:val="24"/>
                <w:szCs w:val="24"/>
              </w:rPr>
            </w:pPr>
            <w:r w:rsidRPr="00B81DE4">
              <w:rPr>
                <w:rFonts w:ascii="Times New Roman" w:hAnsi="Times New Roman"/>
                <w:sz w:val="24"/>
                <w:szCs w:val="24"/>
              </w:rPr>
              <w:t>5.2. speciālais budžets</w:t>
            </w:r>
          </w:p>
        </w:tc>
        <w:tc>
          <w:tcPr>
            <w:tcW w:w="1349" w:type="dxa"/>
            <w:vMerge/>
            <w:vAlign w:val="center"/>
          </w:tcPr>
          <w:p w14:paraId="21D1F591" w14:textId="77777777" w:rsidR="00573D7B" w:rsidRPr="00B81DE4" w:rsidRDefault="00573D7B" w:rsidP="00573D7B">
            <w:pPr>
              <w:spacing w:after="0"/>
              <w:contextualSpacing/>
              <w:jc w:val="center"/>
              <w:rPr>
                <w:rFonts w:ascii="Times New Roman" w:hAnsi="Times New Roman"/>
                <w:sz w:val="24"/>
                <w:szCs w:val="24"/>
              </w:rPr>
            </w:pPr>
          </w:p>
        </w:tc>
        <w:tc>
          <w:tcPr>
            <w:tcW w:w="1276" w:type="dxa"/>
            <w:vAlign w:val="center"/>
          </w:tcPr>
          <w:p w14:paraId="0EC68A94" w14:textId="1DD6CA46"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14:paraId="71BF0D81" w14:textId="77777777" w:rsidR="00573D7B" w:rsidRPr="00B81DE4" w:rsidRDefault="00573D7B" w:rsidP="00573D7B">
            <w:pPr>
              <w:spacing w:after="0"/>
              <w:contextualSpacing/>
              <w:jc w:val="center"/>
              <w:rPr>
                <w:rFonts w:ascii="Times New Roman" w:hAnsi="Times New Roman"/>
                <w:sz w:val="24"/>
                <w:szCs w:val="24"/>
              </w:rPr>
            </w:pPr>
          </w:p>
        </w:tc>
        <w:tc>
          <w:tcPr>
            <w:tcW w:w="1275" w:type="dxa"/>
            <w:vAlign w:val="center"/>
          </w:tcPr>
          <w:p w14:paraId="4976017A" w14:textId="476038F9"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14:paraId="4F2389A6" w14:textId="77777777" w:rsidR="00573D7B" w:rsidRPr="00B81DE4" w:rsidRDefault="00573D7B" w:rsidP="00573D7B">
            <w:pPr>
              <w:spacing w:after="0"/>
              <w:contextualSpacing/>
              <w:jc w:val="center"/>
              <w:rPr>
                <w:rFonts w:ascii="Times New Roman" w:hAnsi="Times New Roman"/>
                <w:sz w:val="24"/>
                <w:szCs w:val="24"/>
              </w:rPr>
            </w:pPr>
          </w:p>
        </w:tc>
        <w:tc>
          <w:tcPr>
            <w:tcW w:w="1276" w:type="dxa"/>
            <w:vAlign w:val="center"/>
          </w:tcPr>
          <w:p w14:paraId="21648777" w14:textId="53BFDC2A"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28AD91C3" w14:textId="33CEC5F5"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3F698C4A" w14:textId="77777777" w:rsidTr="00B249D6">
        <w:trPr>
          <w:gridAfter w:val="1"/>
          <w:wAfter w:w="6" w:type="dxa"/>
        </w:trPr>
        <w:tc>
          <w:tcPr>
            <w:tcW w:w="2054" w:type="dxa"/>
          </w:tcPr>
          <w:p w14:paraId="1E262292" w14:textId="615AE3A2" w:rsidR="00573D7B" w:rsidRPr="00B81DE4" w:rsidRDefault="00573648" w:rsidP="00573D7B">
            <w:pPr>
              <w:rPr>
                <w:rFonts w:ascii="Times New Roman" w:hAnsi="Times New Roman"/>
                <w:sz w:val="24"/>
                <w:szCs w:val="24"/>
              </w:rPr>
            </w:pPr>
            <w:r w:rsidRPr="00B81DE4">
              <w:rPr>
                <w:rFonts w:ascii="Times New Roman" w:hAnsi="Times New Roman"/>
                <w:sz w:val="24"/>
                <w:szCs w:val="24"/>
              </w:rPr>
              <w:t>5.3. pašvaldību budžets</w:t>
            </w:r>
          </w:p>
        </w:tc>
        <w:tc>
          <w:tcPr>
            <w:tcW w:w="1349" w:type="dxa"/>
            <w:vMerge/>
            <w:vAlign w:val="center"/>
          </w:tcPr>
          <w:p w14:paraId="3809031F" w14:textId="77777777" w:rsidR="00573D7B" w:rsidRPr="00B81DE4" w:rsidRDefault="00573D7B" w:rsidP="00573D7B">
            <w:pPr>
              <w:spacing w:after="0"/>
              <w:contextualSpacing/>
              <w:jc w:val="center"/>
              <w:rPr>
                <w:rFonts w:ascii="Times New Roman" w:hAnsi="Times New Roman"/>
                <w:sz w:val="24"/>
                <w:szCs w:val="24"/>
              </w:rPr>
            </w:pPr>
          </w:p>
        </w:tc>
        <w:tc>
          <w:tcPr>
            <w:tcW w:w="1276" w:type="dxa"/>
            <w:vAlign w:val="center"/>
          </w:tcPr>
          <w:p w14:paraId="4CC98C0F" w14:textId="4CEF9292"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14:paraId="6B0F0672" w14:textId="77777777" w:rsidR="00573D7B" w:rsidRPr="00B81DE4" w:rsidRDefault="00573D7B" w:rsidP="00573D7B">
            <w:pPr>
              <w:spacing w:after="0"/>
              <w:contextualSpacing/>
              <w:jc w:val="center"/>
              <w:rPr>
                <w:rFonts w:ascii="Times New Roman" w:hAnsi="Times New Roman"/>
                <w:sz w:val="24"/>
                <w:szCs w:val="24"/>
              </w:rPr>
            </w:pPr>
          </w:p>
        </w:tc>
        <w:tc>
          <w:tcPr>
            <w:tcW w:w="1275" w:type="dxa"/>
            <w:vAlign w:val="center"/>
          </w:tcPr>
          <w:p w14:paraId="3A772BF1" w14:textId="517692EE"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14:paraId="08DD7F04" w14:textId="77777777" w:rsidR="00573D7B" w:rsidRPr="00B81DE4" w:rsidRDefault="00573D7B" w:rsidP="00573D7B">
            <w:pPr>
              <w:spacing w:after="0"/>
              <w:contextualSpacing/>
              <w:jc w:val="center"/>
              <w:rPr>
                <w:rFonts w:ascii="Times New Roman" w:hAnsi="Times New Roman"/>
                <w:sz w:val="24"/>
                <w:szCs w:val="24"/>
              </w:rPr>
            </w:pPr>
          </w:p>
        </w:tc>
        <w:tc>
          <w:tcPr>
            <w:tcW w:w="1276" w:type="dxa"/>
            <w:vAlign w:val="center"/>
          </w:tcPr>
          <w:p w14:paraId="345E745A" w14:textId="256CA342"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14:paraId="26A26781" w14:textId="1E8D1508" w:rsidR="00573D7B" w:rsidRPr="00B81DE4" w:rsidRDefault="00573648" w:rsidP="00573D7B">
            <w:pPr>
              <w:spacing w:after="0"/>
              <w:contextualSpacing/>
              <w:jc w:val="center"/>
              <w:rPr>
                <w:rFonts w:ascii="Times New Roman" w:hAnsi="Times New Roman"/>
                <w:sz w:val="24"/>
                <w:szCs w:val="24"/>
              </w:rPr>
            </w:pPr>
            <w:r>
              <w:rPr>
                <w:rFonts w:ascii="Times New Roman" w:hAnsi="Times New Roman"/>
                <w:sz w:val="24"/>
                <w:szCs w:val="24"/>
              </w:rPr>
              <w:t>0</w:t>
            </w:r>
          </w:p>
        </w:tc>
      </w:tr>
      <w:tr w:rsidR="00620C3A" w14:paraId="49558438" w14:textId="77777777" w:rsidTr="00B249D6">
        <w:tc>
          <w:tcPr>
            <w:tcW w:w="2054" w:type="dxa"/>
          </w:tcPr>
          <w:p w14:paraId="4F975D52" w14:textId="76DBA600" w:rsidR="00573D7B" w:rsidRPr="00B81DE4" w:rsidRDefault="00573648" w:rsidP="00573D7B">
            <w:pPr>
              <w:rPr>
                <w:rFonts w:ascii="Times New Roman" w:hAnsi="Times New Roman"/>
                <w:sz w:val="24"/>
                <w:szCs w:val="24"/>
              </w:rPr>
            </w:pPr>
            <w:r w:rsidRPr="00B81DE4">
              <w:rPr>
                <w:rFonts w:ascii="Times New Roman" w:hAnsi="Times New Roman"/>
                <w:sz w:val="24"/>
                <w:szCs w:val="24"/>
              </w:rPr>
              <w:t xml:space="preserve">6. Detalizēts ieņēmumu un </w:t>
            </w:r>
            <w:r w:rsidRPr="00B81DE4">
              <w:rPr>
                <w:rFonts w:ascii="Times New Roman" w:hAnsi="Times New Roman"/>
                <w:sz w:val="24"/>
                <w:szCs w:val="24"/>
              </w:rPr>
              <w:t>izdevumu aprēķins (ja nepie</w:t>
            </w:r>
            <w:r w:rsidRPr="00B81DE4">
              <w:rPr>
                <w:rFonts w:ascii="Times New Roman" w:hAnsi="Times New Roman"/>
                <w:sz w:val="24"/>
                <w:szCs w:val="24"/>
              </w:rPr>
              <w:softHyphen/>
              <w:t>ciešams, detalizētu ieņēmumu un izdevumu aprēķinu var pie</w:t>
            </w:r>
            <w:r w:rsidRPr="00B81DE4">
              <w:rPr>
                <w:rFonts w:ascii="Times New Roman" w:hAnsi="Times New Roman"/>
                <w:sz w:val="24"/>
                <w:szCs w:val="24"/>
              </w:rPr>
              <w:softHyphen/>
              <w:t>vienot anotācijas pielikumā):</w:t>
            </w:r>
          </w:p>
        </w:tc>
        <w:tc>
          <w:tcPr>
            <w:tcW w:w="9151" w:type="dxa"/>
            <w:gridSpan w:val="11"/>
            <w:vMerge w:val="restart"/>
          </w:tcPr>
          <w:p w14:paraId="74C0E7CC" w14:textId="35C37E51" w:rsidR="00573D7B" w:rsidRPr="001C5253" w:rsidRDefault="00573648" w:rsidP="00573D7B">
            <w:pPr>
              <w:ind w:firstLine="18"/>
              <w:jc w:val="both"/>
              <w:rPr>
                <w:rFonts w:ascii="Times New Roman" w:hAnsi="Times New Roman"/>
                <w:bCs/>
                <w:sz w:val="24"/>
                <w:szCs w:val="24"/>
              </w:rPr>
            </w:pPr>
            <w:r w:rsidRPr="001C5253">
              <w:rPr>
                <w:rFonts w:ascii="Times New Roman" w:hAnsi="Times New Roman"/>
                <w:bCs/>
                <w:sz w:val="24"/>
                <w:szCs w:val="24"/>
              </w:rPr>
              <w:t>Otrās projektu iesniegumu atlases kārtas īstenošanai</w:t>
            </w:r>
            <w:r>
              <w:rPr>
                <w:rFonts w:ascii="Times New Roman" w:hAnsi="Times New Roman"/>
                <w:bCs/>
                <w:sz w:val="24"/>
                <w:szCs w:val="24"/>
              </w:rPr>
              <w:t xml:space="preserve"> sākotnējais</w:t>
            </w:r>
            <w:r w:rsidRPr="001C5253">
              <w:rPr>
                <w:rFonts w:ascii="Times New Roman" w:hAnsi="Times New Roman"/>
                <w:bCs/>
                <w:sz w:val="24"/>
                <w:szCs w:val="24"/>
              </w:rPr>
              <w:t xml:space="preserve"> kop</w:t>
            </w:r>
            <w:r>
              <w:rPr>
                <w:rFonts w:ascii="Times New Roman" w:hAnsi="Times New Roman"/>
                <w:bCs/>
                <w:sz w:val="24"/>
                <w:szCs w:val="24"/>
              </w:rPr>
              <w:t xml:space="preserve">ējais pieejamais finansējums bija </w:t>
            </w:r>
            <w:r w:rsidRPr="001C5253">
              <w:rPr>
                <w:rFonts w:ascii="Times New Roman" w:hAnsi="Times New Roman"/>
                <w:sz w:val="24"/>
                <w:szCs w:val="24"/>
              </w:rPr>
              <w:t xml:space="preserve">32 507 612 </w:t>
            </w:r>
            <w:r w:rsidRPr="001C5253">
              <w:rPr>
                <w:rFonts w:ascii="Times New Roman" w:hAnsi="Times New Roman"/>
                <w:bCs/>
                <w:i/>
                <w:sz w:val="24"/>
                <w:szCs w:val="24"/>
              </w:rPr>
              <w:t>euro,</w:t>
            </w:r>
            <w:r w:rsidRPr="001C5253">
              <w:rPr>
                <w:rFonts w:ascii="Times New Roman" w:hAnsi="Times New Roman"/>
                <w:bCs/>
                <w:sz w:val="24"/>
                <w:szCs w:val="24"/>
              </w:rPr>
              <w:t xml:space="preserve"> tajā skaitā ERAF  fin</w:t>
            </w:r>
            <w:r w:rsidRPr="001C5253">
              <w:rPr>
                <w:rFonts w:ascii="Times New Roman" w:hAnsi="Times New Roman"/>
                <w:bCs/>
                <w:sz w:val="24"/>
                <w:szCs w:val="24"/>
              </w:rPr>
              <w:t xml:space="preserve">ansējums </w:t>
            </w:r>
            <w:r w:rsidRPr="001C5253">
              <w:rPr>
                <w:rFonts w:ascii="Times New Roman" w:hAnsi="Times New Roman"/>
                <w:sz w:val="24"/>
                <w:szCs w:val="24"/>
              </w:rPr>
              <w:t xml:space="preserve">27 631 470 </w:t>
            </w:r>
            <w:r w:rsidRPr="001C5253">
              <w:rPr>
                <w:rFonts w:ascii="Times New Roman" w:hAnsi="Times New Roman"/>
                <w:bCs/>
                <w:i/>
                <w:sz w:val="24"/>
                <w:szCs w:val="24"/>
              </w:rPr>
              <w:t>euro</w:t>
            </w:r>
            <w:r w:rsidRPr="001C5253">
              <w:rPr>
                <w:rFonts w:ascii="Times New Roman" w:hAnsi="Times New Roman"/>
                <w:bCs/>
                <w:sz w:val="24"/>
                <w:szCs w:val="24"/>
              </w:rPr>
              <w:t xml:space="preserve"> un valsts budžeta finansējums </w:t>
            </w:r>
            <w:r w:rsidRPr="001C5253">
              <w:rPr>
                <w:rFonts w:ascii="Times New Roman" w:hAnsi="Times New Roman"/>
                <w:sz w:val="24"/>
                <w:szCs w:val="24"/>
              </w:rPr>
              <w:t xml:space="preserve">4 876 142 </w:t>
            </w:r>
            <w:r w:rsidRPr="001C5253">
              <w:rPr>
                <w:rFonts w:ascii="Times New Roman" w:hAnsi="Times New Roman"/>
                <w:bCs/>
                <w:i/>
                <w:sz w:val="24"/>
                <w:szCs w:val="24"/>
              </w:rPr>
              <w:t>euro</w:t>
            </w:r>
            <w:r w:rsidRPr="001C5253">
              <w:rPr>
                <w:rFonts w:ascii="Times New Roman" w:hAnsi="Times New Roman"/>
                <w:bCs/>
                <w:sz w:val="24"/>
                <w:szCs w:val="24"/>
              </w:rPr>
              <w:t>.</w:t>
            </w:r>
            <w:r>
              <w:rPr>
                <w:rFonts w:ascii="Times New Roman" w:hAnsi="Times New Roman"/>
                <w:bCs/>
                <w:sz w:val="24"/>
                <w:szCs w:val="24"/>
              </w:rPr>
              <w:t xml:space="preserve"> Papildus piešķirtais finansējums ir </w:t>
            </w:r>
            <w:r w:rsidR="00090FC4">
              <w:rPr>
                <w:rFonts w:ascii="Times New Roman" w:hAnsi="Times New Roman"/>
                <w:bCs/>
                <w:sz w:val="24"/>
                <w:szCs w:val="24"/>
              </w:rPr>
              <w:t>7 970 418</w:t>
            </w:r>
            <w:r w:rsidRPr="00A47456">
              <w:rPr>
                <w:rFonts w:ascii="Times New Roman" w:hAnsi="Times New Roman"/>
                <w:bCs/>
                <w:sz w:val="24"/>
                <w:szCs w:val="24"/>
              </w:rPr>
              <w:t xml:space="preserve"> </w:t>
            </w:r>
            <w:r w:rsidRPr="00A47456">
              <w:rPr>
                <w:rFonts w:ascii="Times New Roman" w:hAnsi="Times New Roman"/>
                <w:bCs/>
                <w:i/>
                <w:sz w:val="24"/>
                <w:szCs w:val="24"/>
              </w:rPr>
              <w:t>euro</w:t>
            </w:r>
            <w:r w:rsidRPr="00A47456">
              <w:rPr>
                <w:rFonts w:ascii="Times New Roman" w:hAnsi="Times New Roman"/>
                <w:bCs/>
                <w:sz w:val="24"/>
                <w:szCs w:val="24"/>
              </w:rPr>
              <w:t xml:space="preserve">, tajā skaitā Eiropas Reģionālās attīstības fonda finansējums </w:t>
            </w:r>
            <w:r w:rsidR="00090FC4">
              <w:rPr>
                <w:rFonts w:ascii="Times New Roman" w:hAnsi="Times New Roman"/>
                <w:bCs/>
                <w:sz w:val="24"/>
                <w:szCs w:val="24"/>
              </w:rPr>
              <w:t>6 774 855</w:t>
            </w:r>
            <w:r w:rsidRPr="00A47456">
              <w:rPr>
                <w:rFonts w:ascii="Times New Roman" w:hAnsi="Times New Roman"/>
                <w:bCs/>
                <w:sz w:val="24"/>
                <w:szCs w:val="24"/>
              </w:rPr>
              <w:t xml:space="preserve"> </w:t>
            </w:r>
            <w:r w:rsidRPr="00A47456">
              <w:rPr>
                <w:rFonts w:ascii="Times New Roman" w:hAnsi="Times New Roman"/>
                <w:bCs/>
                <w:i/>
                <w:sz w:val="24"/>
                <w:szCs w:val="24"/>
              </w:rPr>
              <w:t>euro</w:t>
            </w:r>
            <w:r w:rsidRPr="00A47456">
              <w:rPr>
                <w:rFonts w:ascii="Times New Roman" w:hAnsi="Times New Roman"/>
                <w:bCs/>
                <w:sz w:val="24"/>
                <w:szCs w:val="24"/>
              </w:rPr>
              <w:t xml:space="preserve"> un valsts budžeta finansējums </w:t>
            </w:r>
            <w:r w:rsidR="00090FC4">
              <w:rPr>
                <w:rFonts w:ascii="Times New Roman" w:hAnsi="Times New Roman"/>
                <w:bCs/>
                <w:sz w:val="24"/>
                <w:szCs w:val="24"/>
              </w:rPr>
              <w:t>1 195 563</w:t>
            </w:r>
            <w:r w:rsidRPr="00A47456">
              <w:rPr>
                <w:rFonts w:ascii="Times New Roman" w:hAnsi="Times New Roman"/>
                <w:bCs/>
                <w:sz w:val="24"/>
                <w:szCs w:val="24"/>
              </w:rPr>
              <w:t xml:space="preserve"> </w:t>
            </w:r>
            <w:r w:rsidRPr="00A47456">
              <w:rPr>
                <w:rFonts w:ascii="Times New Roman" w:hAnsi="Times New Roman"/>
                <w:bCs/>
                <w:i/>
                <w:sz w:val="24"/>
                <w:szCs w:val="24"/>
              </w:rPr>
              <w:t>euro</w:t>
            </w:r>
            <w:r>
              <w:rPr>
                <w:rFonts w:ascii="Times New Roman" w:hAnsi="Times New Roman"/>
                <w:bCs/>
                <w:i/>
                <w:sz w:val="24"/>
                <w:szCs w:val="24"/>
              </w:rPr>
              <w:t>.</w:t>
            </w:r>
          </w:p>
          <w:p w14:paraId="278973B9" w14:textId="77777777" w:rsidR="00573D7B" w:rsidRPr="001C5253" w:rsidRDefault="00573648" w:rsidP="00573D7B">
            <w:pPr>
              <w:jc w:val="both"/>
              <w:rPr>
                <w:rFonts w:ascii="Times New Roman" w:hAnsi="Times New Roman"/>
                <w:sz w:val="24"/>
                <w:szCs w:val="24"/>
              </w:rPr>
            </w:pPr>
            <w:r w:rsidRPr="001C5253">
              <w:rPr>
                <w:rFonts w:ascii="Times New Roman" w:hAnsi="Times New Roman"/>
                <w:sz w:val="24"/>
                <w:szCs w:val="24"/>
              </w:rPr>
              <w:t xml:space="preserve">Budžeta </w:t>
            </w:r>
            <w:r w:rsidRPr="001C5253">
              <w:rPr>
                <w:rFonts w:ascii="Times New Roman" w:hAnsi="Times New Roman"/>
                <w:sz w:val="24"/>
                <w:szCs w:val="24"/>
              </w:rPr>
              <w:t>izdevumi ir kopējie projekta ieviešanai nepieciešamie publiskā finansējuma līdzekļi projektu īstenošanai 100% apmērā (ERAF 85% un valsts budžets 15%) no projekta attiecināmajām izmaksām.</w:t>
            </w:r>
          </w:p>
          <w:p w14:paraId="5F29485D" w14:textId="313AA78C" w:rsidR="00573D7B" w:rsidRPr="00C557CA" w:rsidRDefault="00573648" w:rsidP="00573D7B">
            <w:pPr>
              <w:jc w:val="both"/>
              <w:rPr>
                <w:rFonts w:ascii="Times New Roman" w:hAnsi="Times New Roman"/>
                <w:sz w:val="24"/>
                <w:szCs w:val="24"/>
              </w:rPr>
            </w:pPr>
            <w:r>
              <w:rPr>
                <w:rFonts w:ascii="Times New Roman" w:hAnsi="Times New Roman"/>
                <w:sz w:val="24"/>
                <w:szCs w:val="24"/>
              </w:rPr>
              <w:t xml:space="preserve">2018.gadā </w:t>
            </w:r>
            <w:r w:rsidRPr="00C557CA">
              <w:rPr>
                <w:rFonts w:ascii="Times New Roman" w:hAnsi="Times New Roman"/>
                <w:sz w:val="24"/>
                <w:szCs w:val="24"/>
              </w:rPr>
              <w:t>no papildus piešķirtā finansējuma plānots mazāks finansējum</w:t>
            </w:r>
            <w:r w:rsidRPr="00C557CA">
              <w:rPr>
                <w:rFonts w:ascii="Times New Roman" w:hAnsi="Times New Roman"/>
                <w:sz w:val="24"/>
                <w:szCs w:val="24"/>
              </w:rPr>
              <w:t>s</w:t>
            </w:r>
            <w:r w:rsidRPr="00C557CA">
              <w:rPr>
                <w:rFonts w:ascii="Times New Roman" w:hAnsi="Times New Roman"/>
                <w:sz w:val="24"/>
                <w:szCs w:val="24"/>
              </w:rPr>
              <w:br/>
              <w:t xml:space="preserve">(1 350 000 </w:t>
            </w:r>
            <w:r w:rsidRPr="00C557CA">
              <w:rPr>
                <w:rFonts w:ascii="Times New Roman" w:hAnsi="Times New Roman"/>
                <w:i/>
                <w:sz w:val="24"/>
                <w:szCs w:val="24"/>
              </w:rPr>
              <w:t>euro</w:t>
            </w:r>
            <w:r w:rsidRPr="00C557CA">
              <w:rPr>
                <w:rFonts w:ascii="Times New Roman" w:hAnsi="Times New Roman"/>
                <w:sz w:val="24"/>
                <w:szCs w:val="24"/>
              </w:rPr>
              <w:t xml:space="preserve">), jo augsta projekta gatavības pakāpe (sagatavota tehniskā dokumentācija) ir tikai SIA "Vidzemes slimnīca" ēkas projektam. Kopējais publiskais finansējums attiecīgajam projektam ir 2,7 milj. </w:t>
            </w:r>
            <w:r w:rsidRPr="00C557CA">
              <w:rPr>
                <w:rFonts w:ascii="Times New Roman" w:hAnsi="Times New Roman"/>
                <w:i/>
                <w:sz w:val="24"/>
                <w:szCs w:val="24"/>
              </w:rPr>
              <w:t>euro</w:t>
            </w:r>
            <w:r w:rsidRPr="00C557CA">
              <w:rPr>
                <w:rFonts w:ascii="Times New Roman" w:hAnsi="Times New Roman"/>
                <w:sz w:val="24"/>
                <w:szCs w:val="24"/>
              </w:rPr>
              <w:t>.</w:t>
            </w:r>
          </w:p>
          <w:p w14:paraId="4DC9EE8D" w14:textId="0573538B" w:rsidR="00573D7B" w:rsidRPr="001C5253" w:rsidRDefault="00573648" w:rsidP="00573D7B">
            <w:pPr>
              <w:jc w:val="both"/>
              <w:rPr>
                <w:rFonts w:ascii="Times New Roman" w:hAnsi="Times New Roman"/>
                <w:sz w:val="24"/>
                <w:szCs w:val="24"/>
              </w:rPr>
            </w:pPr>
            <w:r w:rsidRPr="00C557CA">
              <w:rPr>
                <w:rFonts w:ascii="Times New Roman" w:hAnsi="Times New Roman"/>
                <w:sz w:val="24"/>
                <w:szCs w:val="24"/>
              </w:rPr>
              <w:t>No 2019. - 2021.gadam finansējums plānots</w:t>
            </w:r>
            <w:r w:rsidRPr="00C557CA">
              <w:rPr>
                <w:rFonts w:ascii="Times New Roman" w:hAnsi="Times New Roman"/>
                <w:sz w:val="24"/>
                <w:szCs w:val="24"/>
              </w:rPr>
              <w:t xml:space="preserve"> vienmērīgi (</w:t>
            </w:r>
            <w:r w:rsidR="00C557CA" w:rsidRPr="00C557CA">
              <w:rPr>
                <w:rFonts w:ascii="Times New Roman" w:hAnsi="Times New Roman"/>
                <w:sz w:val="24"/>
                <w:szCs w:val="24"/>
              </w:rPr>
              <w:t xml:space="preserve">2 206 806 </w:t>
            </w:r>
            <w:r w:rsidRPr="00C557CA">
              <w:rPr>
                <w:rFonts w:ascii="Times New Roman" w:hAnsi="Times New Roman"/>
                <w:i/>
                <w:sz w:val="24"/>
                <w:szCs w:val="24"/>
              </w:rPr>
              <w:t>euro</w:t>
            </w:r>
            <w:r w:rsidRPr="00C557CA">
              <w:rPr>
                <w:rFonts w:ascii="Times New Roman" w:hAnsi="Times New Roman"/>
                <w:sz w:val="24"/>
                <w:szCs w:val="24"/>
              </w:rPr>
              <w:t>).</w:t>
            </w:r>
          </w:p>
          <w:p w14:paraId="7DDAAE16" w14:textId="56D17E19" w:rsidR="00573D7B" w:rsidRPr="00B81DE4" w:rsidRDefault="00573648" w:rsidP="0073369E">
            <w:pPr>
              <w:jc w:val="both"/>
              <w:rPr>
                <w:rFonts w:ascii="Times New Roman" w:hAnsi="Times New Roman"/>
                <w:sz w:val="24"/>
                <w:szCs w:val="24"/>
              </w:rPr>
            </w:pPr>
            <w:r w:rsidRPr="001C5253">
              <w:rPr>
                <w:rFonts w:ascii="Times New Roman" w:hAnsi="Times New Roman"/>
                <w:sz w:val="24"/>
                <w:szCs w:val="24"/>
              </w:rPr>
              <w:t xml:space="preserve">Jāņem vērā, ka jau no 2017. gada maija ir pieejami atlases kritēriji un kritēriju piemērošanas metodika 4.2.1.2.pasākuma otrās atlases kārtas ietvaros, tādējādi ir paredzams, ka darbs pie tehniskās dokumentācijas izstrādes tiks nodrošināts jau laicīgi </w:t>
            </w:r>
            <w:r>
              <w:rPr>
                <w:rFonts w:ascii="Times New Roman" w:hAnsi="Times New Roman"/>
                <w:sz w:val="24"/>
                <w:szCs w:val="24"/>
              </w:rPr>
              <w:t>un k</w:t>
            </w:r>
            <w:r>
              <w:rPr>
                <w:rFonts w:ascii="Times New Roman" w:hAnsi="Times New Roman"/>
                <w:sz w:val="24"/>
                <w:szCs w:val="24"/>
              </w:rPr>
              <w:t>a būvdarbi tiks uzsākti 2019</w:t>
            </w:r>
            <w:r w:rsidRPr="001C5253">
              <w:rPr>
                <w:rFonts w:ascii="Times New Roman" w:hAnsi="Times New Roman"/>
                <w:sz w:val="24"/>
                <w:szCs w:val="24"/>
              </w:rPr>
              <w:t>.gada sezonā.</w:t>
            </w:r>
          </w:p>
        </w:tc>
      </w:tr>
      <w:tr w:rsidR="00620C3A" w14:paraId="5ED77447" w14:textId="77777777" w:rsidTr="00B249D6">
        <w:tc>
          <w:tcPr>
            <w:tcW w:w="2054" w:type="dxa"/>
          </w:tcPr>
          <w:p w14:paraId="55DB3432" w14:textId="59D2E5BB" w:rsidR="00573D7B" w:rsidRPr="00B81DE4" w:rsidRDefault="00573648" w:rsidP="00573D7B">
            <w:pPr>
              <w:rPr>
                <w:rFonts w:ascii="Times New Roman" w:hAnsi="Times New Roman"/>
                <w:sz w:val="24"/>
                <w:szCs w:val="24"/>
              </w:rPr>
            </w:pPr>
            <w:r w:rsidRPr="008F1B50">
              <w:rPr>
                <w:rFonts w:ascii="Times New Roman" w:hAnsi="Times New Roman"/>
                <w:sz w:val="24"/>
                <w:szCs w:val="24"/>
              </w:rPr>
              <w:t>6.1. detalizēts ieņēmumu aprēķins</w:t>
            </w:r>
          </w:p>
        </w:tc>
        <w:tc>
          <w:tcPr>
            <w:tcW w:w="9151" w:type="dxa"/>
            <w:gridSpan w:val="11"/>
            <w:vMerge/>
          </w:tcPr>
          <w:p w14:paraId="2E53C5C9" w14:textId="77777777" w:rsidR="00573D7B" w:rsidRPr="00B81DE4" w:rsidRDefault="00573D7B" w:rsidP="00573D7B">
            <w:pPr>
              <w:rPr>
                <w:rFonts w:ascii="Times New Roman" w:hAnsi="Times New Roman"/>
                <w:sz w:val="24"/>
                <w:szCs w:val="24"/>
              </w:rPr>
            </w:pPr>
          </w:p>
        </w:tc>
      </w:tr>
      <w:tr w:rsidR="00620C3A" w14:paraId="7267F7C0" w14:textId="77777777" w:rsidTr="00B249D6">
        <w:tc>
          <w:tcPr>
            <w:tcW w:w="2054" w:type="dxa"/>
          </w:tcPr>
          <w:p w14:paraId="3AE02FE5" w14:textId="67815408" w:rsidR="00573D7B" w:rsidRPr="00B81DE4" w:rsidRDefault="00573648" w:rsidP="00573D7B">
            <w:pPr>
              <w:rPr>
                <w:rFonts w:ascii="Times New Roman" w:hAnsi="Times New Roman"/>
                <w:sz w:val="24"/>
                <w:szCs w:val="24"/>
              </w:rPr>
            </w:pPr>
            <w:r w:rsidRPr="008F1B50">
              <w:rPr>
                <w:rFonts w:ascii="Times New Roman" w:hAnsi="Times New Roman"/>
                <w:sz w:val="24"/>
                <w:szCs w:val="24"/>
              </w:rPr>
              <w:t>6.2. detalizēts izdevumu aprēķins</w:t>
            </w:r>
          </w:p>
        </w:tc>
        <w:tc>
          <w:tcPr>
            <w:tcW w:w="9151" w:type="dxa"/>
            <w:gridSpan w:val="11"/>
            <w:vMerge/>
          </w:tcPr>
          <w:p w14:paraId="10644998" w14:textId="77777777" w:rsidR="00573D7B" w:rsidRPr="00B81DE4" w:rsidRDefault="00573D7B" w:rsidP="00573D7B">
            <w:pPr>
              <w:rPr>
                <w:rFonts w:ascii="Times New Roman" w:hAnsi="Times New Roman"/>
                <w:sz w:val="24"/>
                <w:szCs w:val="24"/>
              </w:rPr>
            </w:pPr>
          </w:p>
        </w:tc>
      </w:tr>
      <w:tr w:rsidR="00620C3A" w14:paraId="78F4E90A" w14:textId="77777777" w:rsidTr="00B249D6">
        <w:tc>
          <w:tcPr>
            <w:tcW w:w="2054" w:type="dxa"/>
          </w:tcPr>
          <w:p w14:paraId="1A574F61" w14:textId="513D4398" w:rsidR="00573D7B" w:rsidRPr="00B81DE4" w:rsidRDefault="00573648" w:rsidP="00573D7B">
            <w:pPr>
              <w:rPr>
                <w:rFonts w:ascii="Times New Roman" w:hAnsi="Times New Roman"/>
                <w:sz w:val="24"/>
                <w:szCs w:val="24"/>
              </w:rPr>
            </w:pPr>
            <w:r w:rsidRPr="008F1B50">
              <w:rPr>
                <w:rFonts w:ascii="Times New Roman" w:hAnsi="Times New Roman"/>
                <w:sz w:val="24"/>
                <w:szCs w:val="24"/>
              </w:rPr>
              <w:t>7. Amata vietu skaita izmaiņas</w:t>
            </w:r>
          </w:p>
        </w:tc>
        <w:tc>
          <w:tcPr>
            <w:tcW w:w="9151" w:type="dxa"/>
            <w:gridSpan w:val="11"/>
          </w:tcPr>
          <w:p w14:paraId="15806023" w14:textId="23A59077" w:rsidR="00573D7B" w:rsidRPr="00B81DE4" w:rsidRDefault="00573648" w:rsidP="00573D7B">
            <w:pPr>
              <w:rPr>
                <w:rFonts w:ascii="Times New Roman" w:hAnsi="Times New Roman"/>
                <w:sz w:val="24"/>
                <w:szCs w:val="24"/>
              </w:rPr>
            </w:pPr>
            <w:r>
              <w:rPr>
                <w:rFonts w:ascii="Times New Roman" w:hAnsi="Times New Roman"/>
                <w:sz w:val="24"/>
                <w:szCs w:val="24"/>
              </w:rPr>
              <w:t>Nav plānotas amata vietu skaita izmaiņas</w:t>
            </w:r>
            <w:r w:rsidR="00576086">
              <w:rPr>
                <w:rFonts w:ascii="Times New Roman" w:hAnsi="Times New Roman"/>
                <w:sz w:val="24"/>
                <w:szCs w:val="24"/>
              </w:rPr>
              <w:t>.</w:t>
            </w:r>
          </w:p>
        </w:tc>
      </w:tr>
      <w:tr w:rsidR="00620C3A" w14:paraId="09978A79" w14:textId="77777777" w:rsidTr="00B249D6">
        <w:tc>
          <w:tcPr>
            <w:tcW w:w="2054" w:type="dxa"/>
          </w:tcPr>
          <w:p w14:paraId="55129603" w14:textId="0C48B17C" w:rsidR="00573D7B" w:rsidRPr="00B81DE4" w:rsidRDefault="00573648" w:rsidP="00573D7B">
            <w:pPr>
              <w:rPr>
                <w:rFonts w:ascii="Times New Roman" w:hAnsi="Times New Roman"/>
                <w:sz w:val="24"/>
                <w:szCs w:val="24"/>
              </w:rPr>
            </w:pPr>
            <w:r w:rsidRPr="008F1B50">
              <w:rPr>
                <w:rFonts w:ascii="Times New Roman" w:hAnsi="Times New Roman"/>
                <w:sz w:val="24"/>
                <w:szCs w:val="24"/>
              </w:rPr>
              <w:lastRenderedPageBreak/>
              <w:t>8. Cita informācija</w:t>
            </w:r>
          </w:p>
        </w:tc>
        <w:tc>
          <w:tcPr>
            <w:tcW w:w="9151" w:type="dxa"/>
            <w:gridSpan w:val="11"/>
          </w:tcPr>
          <w:p w14:paraId="1785F869" w14:textId="3458BE7C" w:rsidR="00573D7B" w:rsidRPr="00B81DE4" w:rsidRDefault="00573648" w:rsidP="0073369E">
            <w:pPr>
              <w:jc w:val="both"/>
              <w:rPr>
                <w:rFonts w:ascii="Times New Roman" w:hAnsi="Times New Roman"/>
                <w:sz w:val="24"/>
                <w:szCs w:val="24"/>
              </w:rPr>
            </w:pPr>
            <w:r>
              <w:rPr>
                <w:rFonts w:ascii="Times New Roman" w:hAnsi="Times New Roman"/>
                <w:sz w:val="24"/>
                <w:szCs w:val="24"/>
              </w:rPr>
              <w:t>P</w:t>
            </w:r>
            <w:r w:rsidRPr="00D95AD8">
              <w:rPr>
                <w:rFonts w:ascii="Times New Roman" w:hAnsi="Times New Roman"/>
                <w:sz w:val="24"/>
                <w:szCs w:val="24"/>
              </w:rPr>
              <w:t xml:space="preserve">rojektu īstenošanai nepieciešamie valsts </w:t>
            </w:r>
            <w:r w:rsidRPr="00D95AD8">
              <w:rPr>
                <w:rFonts w:ascii="Times New Roman" w:hAnsi="Times New Roman"/>
                <w:sz w:val="24"/>
                <w:szCs w:val="24"/>
              </w:rPr>
              <w:t>budžeta līdzekļi normatīvajos aktos noteiktajā kārtībā tiks pieprasīti no 74.resora “Gadskārtējā valsts budžeta izpildes procesā pārdalāmais finansējums” 80.00.00 programmas “Nesadalītais finansējums Eiropas Savienības politiku instrumentu un pārējās ārval</w:t>
            </w:r>
            <w:r w:rsidRPr="00D95AD8">
              <w:rPr>
                <w:rFonts w:ascii="Times New Roman" w:hAnsi="Times New Roman"/>
                <w:sz w:val="24"/>
                <w:szCs w:val="24"/>
              </w:rPr>
              <w:t>stu finanšu palīdzības līdzfinansēto projektu un pasākumu īstenošanai”. "</w:t>
            </w:r>
          </w:p>
        </w:tc>
      </w:tr>
    </w:tbl>
    <w:p w14:paraId="5DF18994" w14:textId="1899E3B1" w:rsidR="00E5753A" w:rsidRDefault="00E5753A" w:rsidP="00D85523">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2127"/>
        <w:gridCol w:w="6819"/>
      </w:tblGrid>
      <w:tr w:rsidR="00620C3A" w14:paraId="762702AD" w14:textId="77777777" w:rsidTr="00D85523">
        <w:tc>
          <w:tcPr>
            <w:tcW w:w="937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573648"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620C3A" w14:paraId="4EEB6917" w14:textId="77777777" w:rsidTr="005C307E">
        <w:tc>
          <w:tcPr>
            <w:tcW w:w="42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8B0B05C" w14:textId="51299CDB" w:rsidR="005C307E" w:rsidRPr="005C307E" w:rsidRDefault="00573648" w:rsidP="005C307E">
            <w:pPr>
              <w:rPr>
                <w:rFonts w:ascii="Times New Roman" w:hAnsi="Times New Roman"/>
                <w:sz w:val="24"/>
                <w:szCs w:val="24"/>
              </w:rPr>
            </w:pPr>
            <w:r w:rsidRPr="005C307E">
              <w:rPr>
                <w:rFonts w:ascii="Times New Roman" w:hAnsi="Times New Roman"/>
                <w:sz w:val="24"/>
                <w:szCs w:val="24"/>
              </w:rPr>
              <w:t>1.</w:t>
            </w:r>
          </w:p>
        </w:tc>
        <w:tc>
          <w:tcPr>
            <w:tcW w:w="2127"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D6A8135" w14:textId="44735C0B" w:rsidR="005C307E" w:rsidRPr="005C307E" w:rsidRDefault="00573648" w:rsidP="005C307E">
            <w:pPr>
              <w:rPr>
                <w:rFonts w:ascii="Times New Roman" w:hAnsi="Times New Roman"/>
                <w:sz w:val="24"/>
                <w:szCs w:val="24"/>
              </w:rPr>
            </w:pPr>
            <w:r w:rsidRPr="005C307E">
              <w:rPr>
                <w:rFonts w:ascii="Times New Roman" w:hAnsi="Times New Roman"/>
                <w:sz w:val="24"/>
                <w:szCs w:val="24"/>
              </w:rPr>
              <w:t>Saistītie tiesību aktu projekti</w:t>
            </w:r>
          </w:p>
        </w:tc>
        <w:tc>
          <w:tcPr>
            <w:tcW w:w="681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7C1BFE5" w14:textId="37BAFDAA" w:rsidR="005C307E" w:rsidRPr="005C307E" w:rsidRDefault="00573648" w:rsidP="0073369E">
            <w:pPr>
              <w:jc w:val="both"/>
              <w:rPr>
                <w:rFonts w:ascii="Times New Roman" w:hAnsi="Times New Roman"/>
                <w:sz w:val="24"/>
                <w:szCs w:val="24"/>
              </w:rPr>
            </w:pPr>
            <w:r w:rsidRPr="005C307E">
              <w:rPr>
                <w:rFonts w:ascii="Times New Roman" w:hAnsi="Times New Roman"/>
                <w:sz w:val="24"/>
                <w:szCs w:val="24"/>
              </w:rPr>
              <w:t xml:space="preserve">Noteikumu projektam ir ietekme uz plānotajiem grozījumiem Ministru </w:t>
            </w:r>
            <w:r w:rsidRPr="005C307E">
              <w:rPr>
                <w:rFonts w:ascii="Times New Roman" w:hAnsi="Times New Roman"/>
                <w:sz w:val="24"/>
                <w:szCs w:val="24"/>
              </w:rPr>
              <w:t>kabineta 201</w:t>
            </w:r>
            <w:r>
              <w:rPr>
                <w:rFonts w:ascii="Times New Roman" w:hAnsi="Times New Roman"/>
                <w:sz w:val="24"/>
                <w:szCs w:val="24"/>
              </w:rPr>
              <w:t>6</w:t>
            </w:r>
            <w:r w:rsidRPr="005C307E">
              <w:rPr>
                <w:rFonts w:ascii="Times New Roman" w:hAnsi="Times New Roman"/>
                <w:sz w:val="24"/>
                <w:szCs w:val="24"/>
              </w:rPr>
              <w:t xml:space="preserve">. gada </w:t>
            </w:r>
            <w:r>
              <w:rPr>
                <w:rFonts w:ascii="Times New Roman" w:hAnsi="Times New Roman"/>
                <w:sz w:val="24"/>
                <w:szCs w:val="24"/>
              </w:rPr>
              <w:t>9.augusta noteikumiem Nr.534 "</w:t>
            </w:r>
            <w:r w:rsidRPr="005C307E">
              <w:rPr>
                <w:rFonts w:ascii="Times New Roman" w:hAnsi="Times New Roman"/>
                <w:sz w:val="24"/>
                <w:szCs w:val="24"/>
              </w:rPr>
              <w:t>Darbības programmas "Izaugsme un nodarbinātība" 4.2.1. specifiskā atbalsta mērķa "Veicināt energoefektivitātes paaugstināšanu valsts un dzīvojamās ēkās" 4.2.1.2. pasākuma "Veicināt energoefektivitātes paaug</w:t>
            </w:r>
            <w:r w:rsidRPr="005C307E">
              <w:rPr>
                <w:rFonts w:ascii="Times New Roman" w:hAnsi="Times New Roman"/>
                <w:sz w:val="24"/>
                <w:szCs w:val="24"/>
              </w:rPr>
              <w:t>stināšanu valsts ēkās" pirmās projektu iesniegumu atlases kārtas īstenošanas noteikumi"".</w:t>
            </w:r>
          </w:p>
        </w:tc>
      </w:tr>
      <w:tr w:rsidR="00620C3A" w14:paraId="4913D5F3" w14:textId="77777777" w:rsidTr="005C307E">
        <w:tc>
          <w:tcPr>
            <w:tcW w:w="42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01F575A6" w14:textId="24121F2F" w:rsidR="005C307E" w:rsidRPr="005C307E" w:rsidRDefault="00573648" w:rsidP="005C307E">
            <w:pPr>
              <w:rPr>
                <w:rFonts w:ascii="Times New Roman" w:hAnsi="Times New Roman"/>
                <w:sz w:val="24"/>
                <w:szCs w:val="24"/>
              </w:rPr>
            </w:pPr>
            <w:r w:rsidRPr="005C307E">
              <w:rPr>
                <w:rFonts w:ascii="Times New Roman" w:hAnsi="Times New Roman"/>
                <w:sz w:val="24"/>
                <w:szCs w:val="24"/>
              </w:rPr>
              <w:t>2.</w:t>
            </w:r>
          </w:p>
        </w:tc>
        <w:tc>
          <w:tcPr>
            <w:tcW w:w="2127"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40AF0D37" w14:textId="66430D29" w:rsidR="005C307E" w:rsidRPr="005C307E" w:rsidRDefault="00573648" w:rsidP="005C307E">
            <w:pPr>
              <w:rPr>
                <w:rFonts w:ascii="Times New Roman" w:hAnsi="Times New Roman"/>
                <w:sz w:val="24"/>
                <w:szCs w:val="24"/>
              </w:rPr>
            </w:pPr>
            <w:r w:rsidRPr="005C307E">
              <w:rPr>
                <w:rFonts w:ascii="Times New Roman" w:hAnsi="Times New Roman"/>
                <w:sz w:val="24"/>
                <w:szCs w:val="24"/>
              </w:rPr>
              <w:t>Atbildīgā institūcija</w:t>
            </w:r>
          </w:p>
        </w:tc>
        <w:tc>
          <w:tcPr>
            <w:tcW w:w="681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169ABB65" w14:textId="541D00E1" w:rsidR="005C307E" w:rsidRPr="005C307E" w:rsidRDefault="00573648" w:rsidP="005C307E">
            <w:pPr>
              <w:rPr>
                <w:rFonts w:ascii="Times New Roman" w:hAnsi="Times New Roman"/>
                <w:sz w:val="24"/>
                <w:szCs w:val="24"/>
              </w:rPr>
            </w:pPr>
            <w:r>
              <w:rPr>
                <w:rFonts w:ascii="Times New Roman" w:hAnsi="Times New Roman"/>
                <w:sz w:val="24"/>
                <w:szCs w:val="24"/>
              </w:rPr>
              <w:t>Ekonomikas</w:t>
            </w:r>
            <w:r w:rsidRPr="005C307E">
              <w:rPr>
                <w:rFonts w:ascii="Times New Roman" w:hAnsi="Times New Roman"/>
                <w:sz w:val="24"/>
                <w:szCs w:val="24"/>
              </w:rPr>
              <w:t xml:space="preserve"> ministrija</w:t>
            </w:r>
          </w:p>
        </w:tc>
      </w:tr>
      <w:tr w:rsidR="00620C3A" w14:paraId="2E2B91A4" w14:textId="77777777" w:rsidTr="005C307E">
        <w:tc>
          <w:tcPr>
            <w:tcW w:w="42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3BC7B819" w14:textId="466AFAA2" w:rsidR="005C307E" w:rsidRPr="005C307E" w:rsidRDefault="00573648" w:rsidP="005C307E">
            <w:pPr>
              <w:rPr>
                <w:rFonts w:ascii="Times New Roman" w:hAnsi="Times New Roman"/>
                <w:sz w:val="24"/>
                <w:szCs w:val="24"/>
              </w:rPr>
            </w:pPr>
            <w:r w:rsidRPr="005C307E">
              <w:rPr>
                <w:rFonts w:ascii="Times New Roman" w:hAnsi="Times New Roman"/>
                <w:sz w:val="24"/>
                <w:szCs w:val="24"/>
              </w:rPr>
              <w:t>3.</w:t>
            </w:r>
          </w:p>
        </w:tc>
        <w:tc>
          <w:tcPr>
            <w:tcW w:w="2127"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7EE7830" w14:textId="111DFAC9" w:rsidR="005C307E" w:rsidRPr="005C307E" w:rsidRDefault="00573648" w:rsidP="005C307E">
            <w:pPr>
              <w:rPr>
                <w:rFonts w:ascii="Times New Roman" w:hAnsi="Times New Roman"/>
                <w:sz w:val="24"/>
                <w:szCs w:val="24"/>
              </w:rPr>
            </w:pPr>
            <w:r w:rsidRPr="005C307E">
              <w:rPr>
                <w:rFonts w:ascii="Times New Roman" w:hAnsi="Times New Roman"/>
                <w:sz w:val="24"/>
                <w:szCs w:val="24"/>
              </w:rPr>
              <w:t>Cita informācija</w:t>
            </w:r>
            <w:r w:rsidRPr="005C307E">
              <w:rPr>
                <w:rFonts w:ascii="Times New Roman" w:hAnsi="Times New Roman"/>
                <w:sz w:val="24"/>
                <w:szCs w:val="24"/>
              </w:rPr>
              <w:tab/>
            </w:r>
          </w:p>
        </w:tc>
        <w:tc>
          <w:tcPr>
            <w:tcW w:w="681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1285B2DD" w14:textId="462AB401" w:rsidR="005C307E" w:rsidRPr="005C307E" w:rsidRDefault="00573648" w:rsidP="005C307E">
            <w:pPr>
              <w:rPr>
                <w:rFonts w:ascii="Times New Roman" w:hAnsi="Times New Roman"/>
                <w:sz w:val="24"/>
                <w:szCs w:val="24"/>
              </w:rPr>
            </w:pPr>
            <w:r w:rsidRPr="005C307E">
              <w:rPr>
                <w:rFonts w:ascii="Times New Roman" w:hAnsi="Times New Roman"/>
                <w:sz w:val="24"/>
                <w:szCs w:val="24"/>
              </w:rPr>
              <w:t>Nav</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620C3A"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573648"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620C3A" w14:paraId="0B34062D" w14:textId="77777777" w:rsidTr="00E85BF0">
        <w:tc>
          <w:tcPr>
            <w:tcW w:w="9326"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56ABF27" w14:textId="1A3B2C7E" w:rsidR="00E5753A" w:rsidRDefault="00573648" w:rsidP="00E5753A">
            <w:pPr>
              <w:spacing w:before="120" w:after="120" w:line="240" w:lineRule="auto"/>
              <w:jc w:val="center"/>
              <w:rPr>
                <w:rFonts w:ascii="Times New Roman" w:hAnsi="Times New Roman"/>
                <w:b/>
                <w:bCs/>
                <w:sz w:val="24"/>
                <w:szCs w:val="24"/>
              </w:rPr>
            </w:pPr>
            <w:r w:rsidRPr="00E5753A">
              <w:rPr>
                <w:rFonts w:ascii="Times New Roman" w:hAnsi="Times New Roman"/>
                <w:b/>
                <w:bCs/>
                <w:sz w:val="24"/>
                <w:szCs w:val="24"/>
              </w:rPr>
              <w:t>Projekts šo jomu neskar</w:t>
            </w:r>
          </w:p>
        </w:tc>
      </w:tr>
    </w:tbl>
    <w:p w14:paraId="6954F00A" w14:textId="1F1F842A" w:rsidR="001C5253" w:rsidRDefault="001C525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3686"/>
        <w:gridCol w:w="5245"/>
      </w:tblGrid>
      <w:tr w:rsidR="00620C3A"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573648" w:rsidP="00E85BF0">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620C3A" w14:paraId="500C365C" w14:textId="77777777" w:rsidTr="001C5253">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573648" w:rsidP="00E85BF0">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4C1813A5" w:rsidR="009A312E" w:rsidRPr="008B78B2" w:rsidRDefault="00573648" w:rsidP="00E85BF0">
            <w:pPr>
              <w:spacing w:after="0" w:line="240" w:lineRule="auto"/>
              <w:ind w:left="124" w:right="142" w:firstLine="301"/>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oteiku</w:t>
            </w:r>
            <w:r w:rsidR="002919BA">
              <w:rPr>
                <w:rFonts w:ascii="Times New Roman" w:eastAsia="Times New Roman" w:hAnsi="Times New Roman"/>
                <w:iCs/>
                <w:sz w:val="24"/>
                <w:szCs w:val="24"/>
                <w:lang w:eastAsia="lv-LV"/>
              </w:rPr>
              <w:t>mu projekts un tā anotācija tiks</w:t>
            </w:r>
            <w:r w:rsidRPr="008B78B2">
              <w:rPr>
                <w:rFonts w:ascii="Times New Roman" w:eastAsia="Times New Roman" w:hAnsi="Times New Roman"/>
                <w:iCs/>
                <w:sz w:val="24"/>
                <w:szCs w:val="24"/>
                <w:lang w:eastAsia="lv-LV"/>
              </w:rPr>
              <w:t xml:space="preserve"> ievietota </w:t>
            </w:r>
            <w:r>
              <w:rPr>
                <w:rFonts w:ascii="Times New Roman" w:eastAsia="Times New Roman" w:hAnsi="Times New Roman"/>
                <w:iCs/>
                <w:sz w:val="24"/>
                <w:szCs w:val="24"/>
                <w:lang w:eastAsia="lv-LV"/>
              </w:rPr>
              <w:t>EM</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620C3A" w14:paraId="2F9C45F7" w14:textId="77777777" w:rsidTr="001C5253">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573648" w:rsidP="00E85BF0">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573648" w:rsidP="00E85BF0">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8B78B2">
              <w:rPr>
                <w:rFonts w:ascii="Times New Roman" w:hAnsi="Times New Roman"/>
                <w:sz w:val="24"/>
                <w:szCs w:val="24"/>
              </w:rPr>
              <w:t>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791F8C1" w:rsidR="009A312E" w:rsidRPr="008B78B2" w:rsidRDefault="00573648" w:rsidP="00E85BF0">
            <w:pPr>
              <w:spacing w:after="0" w:line="240" w:lineRule="auto"/>
              <w:ind w:left="124" w:right="142" w:firstLine="301"/>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Sadarbība ar pašvaldībām un nevalstisko sektoru.</w:t>
            </w:r>
          </w:p>
        </w:tc>
      </w:tr>
      <w:tr w:rsidR="00620C3A" w14:paraId="1D285C1F" w14:textId="77777777" w:rsidTr="001C5253">
        <w:trPr>
          <w:trHeight w:val="72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573648" w:rsidP="00E85BF0">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573648" w:rsidP="00E85BF0">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līdzdalības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219F72DD" w:rsidR="009A312E" w:rsidRPr="008B78B2" w:rsidRDefault="00573648" w:rsidP="00E5753A">
            <w:pPr>
              <w:spacing w:after="0" w:line="240" w:lineRule="auto"/>
              <w:ind w:left="124" w:right="142" w:firstLine="301"/>
              <w:jc w:val="both"/>
              <w:rPr>
                <w:rFonts w:ascii="Times New Roman" w:eastAsia="Times New Roman" w:hAnsi="Times New Roman"/>
                <w:b/>
                <w:sz w:val="24"/>
                <w:szCs w:val="24"/>
                <w:lang w:eastAsia="lv-LV"/>
              </w:rPr>
            </w:pPr>
            <w:r w:rsidRPr="00E5753A">
              <w:rPr>
                <w:rFonts w:ascii="Times New Roman" w:eastAsia="Times New Roman" w:hAnsi="Times New Roman"/>
                <w:iCs/>
                <w:sz w:val="24"/>
                <w:szCs w:val="24"/>
                <w:lang w:eastAsia="lv-LV"/>
              </w:rPr>
              <w:t>Izstrādāts Noteikumu projekts, kas tiks nosūtīts saskaņošanai sadarbības partneriem.</w:t>
            </w:r>
          </w:p>
        </w:tc>
      </w:tr>
      <w:tr w:rsidR="00620C3A" w14:paraId="3C8DBE9C" w14:textId="77777777" w:rsidTr="001C5253">
        <w:trPr>
          <w:trHeight w:val="36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77777777" w:rsidR="009A312E" w:rsidRPr="008B78B2" w:rsidRDefault="00573648" w:rsidP="00E85BF0">
            <w:pPr>
              <w:spacing w:after="0" w:line="240" w:lineRule="auto"/>
              <w:ind w:left="143" w:firstLine="282"/>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620C3A" w14:paraId="166C01FC" w14:textId="77777777" w:rsidTr="00E85BF0">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573648" w:rsidP="00E85BF0">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VII. Tiesību akta projekta </w:t>
            </w:r>
            <w:r w:rsidRPr="008B78B2">
              <w:rPr>
                <w:rFonts w:ascii="Times New Roman" w:eastAsia="Times New Roman" w:hAnsi="Times New Roman"/>
                <w:b/>
                <w:sz w:val="24"/>
                <w:szCs w:val="24"/>
                <w:lang w:eastAsia="lv-LV"/>
              </w:rPr>
              <w:t>izpildes nodrošināšana un tās ietekme uz institūcijām</w:t>
            </w:r>
          </w:p>
        </w:tc>
      </w:tr>
      <w:tr w:rsidR="00620C3A" w14:paraId="37B4D165" w14:textId="77777777" w:rsidTr="00E85BF0">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7777777" w:rsidR="009A312E" w:rsidRPr="008B78B2" w:rsidRDefault="00573648" w:rsidP="00E85BF0">
            <w:pPr>
              <w:spacing w:after="0" w:line="240" w:lineRule="auto"/>
              <w:ind w:left="142" w:firstLine="283"/>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iestāde, 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C53EF">
              <w:rPr>
                <w:rFonts w:ascii="Times New Roman" w:hAnsi="Times New Roman"/>
                <w:sz w:val="24"/>
                <w:szCs w:val="24"/>
              </w:rPr>
              <w:t xml:space="preserve"> kā sadarbības iestāde</w:t>
            </w:r>
            <w:r>
              <w:rPr>
                <w:rFonts w:ascii="Times New Roman" w:hAnsi="Times New Roman"/>
                <w:sz w:val="24"/>
                <w:szCs w:val="24"/>
              </w:rPr>
              <w:t>.</w:t>
            </w:r>
          </w:p>
        </w:tc>
      </w:tr>
      <w:tr w:rsidR="00620C3A" w14:paraId="678718AA" w14:textId="77777777" w:rsidTr="00E85BF0">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573648" w:rsidP="00E85BF0">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funkcijām un institucionālo </w:t>
            </w:r>
            <w:r w:rsidRPr="008B78B2">
              <w:rPr>
                <w:rFonts w:ascii="Times New Roman" w:eastAsia="Times New Roman" w:hAnsi="Times New Roman"/>
                <w:sz w:val="24"/>
                <w:szCs w:val="24"/>
                <w:lang w:eastAsia="lv-LV"/>
              </w:rPr>
              <w:t>struktūru.</w:t>
            </w:r>
          </w:p>
          <w:p w14:paraId="689A82AC"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79224664" w:rsidR="009A312E" w:rsidRPr="008B78B2" w:rsidRDefault="00573648" w:rsidP="00E85BF0">
            <w:pPr>
              <w:spacing w:line="240" w:lineRule="auto"/>
              <w:ind w:left="142" w:firstLine="283"/>
              <w:jc w:val="both"/>
              <w:rPr>
                <w:rFonts w:ascii="Times New Roman" w:hAnsi="Times New Roman"/>
                <w:sz w:val="24"/>
                <w:szCs w:val="24"/>
              </w:rPr>
            </w:pPr>
            <w:r w:rsidRPr="008B78B2">
              <w:rPr>
                <w:rFonts w:ascii="Times New Roman" w:hAnsi="Times New Roman"/>
                <w:sz w:val="24"/>
                <w:szCs w:val="24"/>
              </w:rPr>
              <w:t xml:space="preserve">Noteikumu projekta izpildi nodrošinās </w:t>
            </w:r>
            <w:r w:rsidRPr="008C53EF">
              <w:rPr>
                <w:rFonts w:ascii="Times New Roman" w:hAnsi="Times New Roman"/>
                <w:sz w:val="24"/>
                <w:szCs w:val="24"/>
              </w:rPr>
              <w:t>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B78B2">
              <w:rPr>
                <w:rFonts w:ascii="Times New Roman" w:hAnsi="Times New Roman"/>
                <w:sz w:val="24"/>
                <w:szCs w:val="24"/>
              </w:rPr>
              <w:t xml:space="preserve"> </w:t>
            </w:r>
            <w:r w:rsidR="00D61012">
              <w:rPr>
                <w:rFonts w:ascii="Times New Roman" w:hAnsi="Times New Roman"/>
                <w:sz w:val="24"/>
                <w:szCs w:val="24"/>
              </w:rPr>
              <w:t xml:space="preserve">savas </w:t>
            </w:r>
            <w:r w:rsidRPr="008B78B2">
              <w:rPr>
                <w:rFonts w:ascii="Times New Roman" w:hAnsi="Times New Roman"/>
                <w:sz w:val="24"/>
                <w:szCs w:val="24"/>
              </w:rPr>
              <w:t>darbības ietvaros.</w:t>
            </w:r>
          </w:p>
        </w:tc>
      </w:tr>
      <w:tr w:rsidR="00620C3A" w14:paraId="17DEEA33" w14:textId="77777777" w:rsidTr="00E85BF0">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573648" w:rsidP="00E85BF0">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573648" w:rsidP="00E85BF0">
            <w:pPr>
              <w:spacing w:after="0" w:line="240" w:lineRule="auto"/>
              <w:ind w:firstLine="425"/>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5FCC8D11" w14:textId="77777777" w:rsidR="009A312E" w:rsidRDefault="009A312E" w:rsidP="009A312E">
      <w:pPr>
        <w:tabs>
          <w:tab w:val="right" w:pos="9071"/>
        </w:tabs>
        <w:spacing w:after="0" w:line="240" w:lineRule="auto"/>
        <w:jc w:val="both"/>
        <w:rPr>
          <w:rFonts w:ascii="Times New Roman" w:eastAsia="Times New Roman" w:hAnsi="Times New Roman"/>
          <w:sz w:val="16"/>
          <w:szCs w:val="16"/>
          <w:lang w:eastAsia="lv-LV"/>
        </w:rPr>
      </w:pPr>
    </w:p>
    <w:p w14:paraId="6FC9D794" w14:textId="77777777" w:rsidR="005630E5" w:rsidRDefault="005630E5" w:rsidP="009A312E">
      <w:pPr>
        <w:tabs>
          <w:tab w:val="right" w:pos="9071"/>
        </w:tabs>
        <w:spacing w:after="0" w:line="240" w:lineRule="auto"/>
        <w:jc w:val="both"/>
        <w:rPr>
          <w:rFonts w:ascii="Times New Roman" w:eastAsia="Times New Roman" w:hAnsi="Times New Roman"/>
          <w:sz w:val="16"/>
          <w:szCs w:val="16"/>
          <w:lang w:eastAsia="lv-LV"/>
        </w:rPr>
      </w:pPr>
    </w:p>
    <w:p w14:paraId="2D604021" w14:textId="77777777" w:rsidR="005630E5" w:rsidRPr="00245AE4" w:rsidRDefault="005630E5" w:rsidP="009A312E">
      <w:pPr>
        <w:tabs>
          <w:tab w:val="right" w:pos="9071"/>
        </w:tabs>
        <w:spacing w:after="0" w:line="240" w:lineRule="auto"/>
        <w:jc w:val="both"/>
        <w:rPr>
          <w:rFonts w:ascii="Times New Roman" w:eastAsia="Times New Roman" w:hAnsi="Times New Roman"/>
          <w:sz w:val="16"/>
          <w:szCs w:val="16"/>
          <w:lang w:eastAsia="lv-LV"/>
        </w:rPr>
      </w:pPr>
    </w:p>
    <w:p w14:paraId="454C9C2B" w14:textId="77777777" w:rsidR="009A312E" w:rsidRPr="005630E5" w:rsidRDefault="00573648"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 xml:space="preserve">Ministru prezidenta biedrs, </w:t>
      </w:r>
    </w:p>
    <w:p w14:paraId="270FF30B" w14:textId="77777777" w:rsidR="009A312E" w:rsidRPr="005630E5" w:rsidRDefault="00573648"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ekonomikas ministrs</w:t>
      </w:r>
      <w:r w:rsidRPr="005630E5">
        <w:rPr>
          <w:b/>
        </w:rPr>
        <w:t xml:space="preserve"> </w:t>
      </w:r>
      <w:r w:rsidRPr="005630E5">
        <w:rPr>
          <w:b/>
        </w:rPr>
        <w:tab/>
      </w:r>
      <w:r w:rsidRPr="005630E5">
        <w:rPr>
          <w:rFonts w:ascii="Times New Roman" w:hAnsi="Times New Roman"/>
          <w:b/>
          <w:color w:val="000000"/>
          <w:sz w:val="24"/>
          <w:szCs w:val="24"/>
        </w:rPr>
        <w:t>A. Ašeradens</w:t>
      </w: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573648"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t>Ē.Eglītis</w:t>
      </w:r>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77777777" w:rsidR="00D85523" w:rsidRDefault="00D85523" w:rsidP="009A312E">
      <w:pPr>
        <w:tabs>
          <w:tab w:val="right" w:pos="9071"/>
        </w:tabs>
        <w:spacing w:after="0" w:line="240" w:lineRule="auto"/>
        <w:jc w:val="both"/>
        <w:rPr>
          <w:rFonts w:ascii="Times New Roman" w:hAnsi="Times New Roman"/>
          <w:color w:val="000000"/>
          <w:sz w:val="24"/>
          <w:szCs w:val="24"/>
        </w:rPr>
      </w:pPr>
    </w:p>
    <w:p w14:paraId="47AE922F" w14:textId="146825CA" w:rsidR="005630E5" w:rsidRDefault="00573648" w:rsidP="009A312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Zvaigznītis</w:t>
      </w:r>
    </w:p>
    <w:p w14:paraId="2FF7C9A8" w14:textId="0F2AE89F" w:rsidR="009A312E" w:rsidRPr="0057709B" w:rsidRDefault="00573648" w:rsidP="009A312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670131</w:t>
      </w:r>
      <w:r w:rsidR="003D3BB6">
        <w:rPr>
          <w:rFonts w:ascii="Times New Roman" w:eastAsia="Times New Roman" w:hAnsi="Times New Roman"/>
          <w:sz w:val="20"/>
          <w:szCs w:val="20"/>
        </w:rPr>
        <w:t>7</w:t>
      </w:r>
      <w:r w:rsidRPr="0057709B">
        <w:rPr>
          <w:rFonts w:ascii="Times New Roman" w:eastAsia="Times New Roman" w:hAnsi="Times New Roman"/>
          <w:sz w:val="20"/>
          <w:szCs w:val="20"/>
        </w:rPr>
        <w:t>1</w:t>
      </w:r>
    </w:p>
    <w:p w14:paraId="4F503A51" w14:textId="1B55F063" w:rsidR="002319EF" w:rsidRPr="002319EF" w:rsidRDefault="00573648" w:rsidP="00E5753A">
      <w:pPr>
        <w:widowControl w:val="0"/>
        <w:spacing w:after="0" w:line="240" w:lineRule="auto"/>
        <w:jc w:val="both"/>
      </w:pPr>
      <w:hyperlink r:id="rId7" w:history="1">
        <w:r w:rsidR="00D85523" w:rsidRPr="00221A69">
          <w:rPr>
            <w:rStyle w:val="Hyperlink"/>
            <w:rFonts w:ascii="Times New Roman" w:eastAsia="Times New Roman" w:hAnsi="Times New Roman"/>
            <w:sz w:val="20"/>
            <w:szCs w:val="20"/>
          </w:rPr>
          <w:t>Kristaps.Zvaigznitis@em.gov.lv</w:t>
        </w:r>
      </w:hyperlink>
      <w:r w:rsidR="00D85523">
        <w:rPr>
          <w:rFonts w:ascii="Times New Roman" w:eastAsia="Times New Roman" w:hAnsi="Times New Roman"/>
          <w:sz w:val="20"/>
          <w:szCs w:val="20"/>
        </w:rPr>
        <w:t xml:space="preserve"> </w:t>
      </w:r>
    </w:p>
    <w:p w14:paraId="2D8F2238" w14:textId="53D8C33E" w:rsidR="0073369E" w:rsidRDefault="00573648" w:rsidP="002319EF">
      <w:pPr>
        <w:tabs>
          <w:tab w:val="left" w:pos="3315"/>
        </w:tabs>
      </w:pPr>
      <w:r>
        <w:tab/>
      </w:r>
    </w:p>
    <w:p w14:paraId="610C0770" w14:textId="77777777" w:rsidR="0073369E" w:rsidRPr="0073369E" w:rsidRDefault="0073369E" w:rsidP="0073369E"/>
    <w:p w14:paraId="3DC6F631" w14:textId="25862E6D" w:rsidR="0073369E" w:rsidRDefault="0073369E" w:rsidP="0073369E"/>
    <w:p w14:paraId="27AFE42A" w14:textId="21D0ED8F" w:rsidR="000F72AE" w:rsidRPr="0073369E" w:rsidRDefault="00573648" w:rsidP="0073369E">
      <w:pPr>
        <w:tabs>
          <w:tab w:val="left" w:pos="2520"/>
        </w:tabs>
      </w:pPr>
      <w:r>
        <w:tab/>
      </w:r>
    </w:p>
    <w:sectPr w:rsidR="000F72AE" w:rsidRPr="0073369E" w:rsidSect="00E85BF0">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C776" w14:textId="77777777" w:rsidR="00573648" w:rsidRDefault="00573648">
      <w:pPr>
        <w:spacing w:after="0" w:line="240" w:lineRule="auto"/>
      </w:pPr>
      <w:r>
        <w:separator/>
      </w:r>
    </w:p>
  </w:endnote>
  <w:endnote w:type="continuationSeparator" w:id="0">
    <w:p w14:paraId="1AF87B59" w14:textId="77777777" w:rsidR="00573648" w:rsidRDefault="0057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68257A71" w:rsidR="00E85BF0" w:rsidRPr="00B61820" w:rsidRDefault="00573648" w:rsidP="00B6182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5C15FF">
      <w:rPr>
        <w:rFonts w:ascii="Times New Roman" w:eastAsia="Times New Roman" w:hAnsi="Times New Roman"/>
        <w:sz w:val="20"/>
        <w:szCs w:val="20"/>
        <w:lang w:eastAsia="lv-LV"/>
      </w:rPr>
      <w:t>25</w:t>
    </w:r>
    <w:r w:rsidR="00706ABD">
      <w:rPr>
        <w:rFonts w:ascii="Times New Roman" w:eastAsia="Times New Roman" w:hAnsi="Times New Roman"/>
        <w:sz w:val="20"/>
        <w:szCs w:val="20"/>
        <w:lang w:eastAsia="lv-LV"/>
      </w:rPr>
      <w:t>062018</w:t>
    </w:r>
    <w:r>
      <w:rPr>
        <w:rFonts w:ascii="Times New Roman" w:eastAsia="Times New Roman" w:hAnsi="Times New Roman"/>
        <w:sz w:val="20"/>
        <w:szCs w:val="20"/>
        <w:lang w:eastAsia="lv-LV"/>
      </w:rPr>
      <w:t>_</w:t>
    </w:r>
    <w:r w:rsidR="00E97AEE">
      <w:rPr>
        <w:rFonts w:ascii="Times New Roman" w:eastAsia="Times New Roman" w:hAnsi="Times New Roman"/>
        <w:sz w:val="20"/>
        <w:szCs w:val="20"/>
        <w:lang w:eastAsia="lv-LV"/>
      </w:rPr>
      <w:t>g</w:t>
    </w:r>
    <w:r>
      <w:rPr>
        <w:rFonts w:ascii="Times New Roman" w:eastAsia="Times New Roman" w:hAnsi="Times New Roman"/>
        <w:sz w:val="20"/>
        <w:szCs w:val="20"/>
        <w:lang w:eastAsia="lv-LV"/>
      </w:rPr>
      <w:t>roz13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62C905E3" w:rsidR="00E85BF0" w:rsidRPr="002973CD" w:rsidRDefault="00573648" w:rsidP="00E85BF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EMAnot_1306</w:t>
    </w:r>
    <w:r w:rsidR="00E35A87">
      <w:rPr>
        <w:rFonts w:ascii="Times New Roman" w:eastAsia="Times New Roman" w:hAnsi="Times New Roman"/>
        <w:sz w:val="20"/>
        <w:szCs w:val="20"/>
        <w:lang w:eastAsia="lv-LV"/>
      </w:rPr>
      <w:t>20</w:t>
    </w:r>
    <w:r w:rsidR="00B61820">
      <w:rPr>
        <w:rFonts w:ascii="Times New Roman" w:eastAsia="Times New Roman" w:hAnsi="Times New Roman"/>
        <w:sz w:val="20"/>
        <w:szCs w:val="20"/>
        <w:lang w:eastAsia="lv-LV"/>
      </w:rPr>
      <w:t>18_</w:t>
    </w:r>
    <w:r w:rsidR="00E97AEE">
      <w:rPr>
        <w:rFonts w:ascii="Times New Roman" w:eastAsia="Times New Roman" w:hAnsi="Times New Roman"/>
        <w:sz w:val="20"/>
        <w:szCs w:val="20"/>
        <w:lang w:eastAsia="lv-LV"/>
      </w:rPr>
      <w:t>g</w:t>
    </w:r>
    <w:r w:rsidR="00B61820">
      <w:rPr>
        <w:rFonts w:ascii="Times New Roman" w:eastAsia="Times New Roman" w:hAnsi="Times New Roman"/>
        <w:sz w:val="20"/>
        <w:szCs w:val="20"/>
        <w:lang w:eastAsia="lv-LV"/>
      </w:rPr>
      <w:t>roz13</w:t>
    </w:r>
    <w:r w:rsidR="00B61820" w:rsidRPr="002973CD">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35E3" w14:textId="77777777" w:rsidR="00573648" w:rsidRDefault="00573648">
      <w:pPr>
        <w:spacing w:after="0" w:line="240" w:lineRule="auto"/>
      </w:pPr>
      <w:r>
        <w:separator/>
      </w:r>
    </w:p>
  </w:footnote>
  <w:footnote w:type="continuationSeparator" w:id="0">
    <w:p w14:paraId="4D576CC8" w14:textId="77777777" w:rsidR="00573648" w:rsidRDefault="0057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3DDD0587" w:rsidR="00E85BF0" w:rsidRDefault="00573648">
    <w:pPr>
      <w:pStyle w:val="Header"/>
      <w:jc w:val="center"/>
    </w:pPr>
    <w:r>
      <w:fldChar w:fldCharType="begin"/>
    </w:r>
    <w:r>
      <w:instrText xml:space="preserve"> PAGE   \* MERGEFORMAT </w:instrText>
    </w:r>
    <w:r>
      <w:fldChar w:fldCharType="separate"/>
    </w:r>
    <w:r w:rsidR="001D3A07">
      <w:rPr>
        <w:noProof/>
      </w:rPr>
      <w:t>4</w:t>
    </w:r>
    <w:r>
      <w:rPr>
        <w:noProof/>
      </w:rPr>
      <w:fldChar w:fldCharType="end"/>
    </w:r>
  </w:p>
  <w:p w14:paraId="7E32D89C" w14:textId="77777777" w:rsidR="00E85BF0" w:rsidRDefault="00E8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1E7F98"/>
    <w:multiLevelType w:val="hybridMultilevel"/>
    <w:tmpl w:val="2CFC372A"/>
    <w:lvl w:ilvl="0" w:tplc="C8FE3DE6">
      <w:start w:val="1"/>
      <w:numFmt w:val="decimal"/>
      <w:lvlText w:val="%1."/>
      <w:lvlJc w:val="left"/>
      <w:pPr>
        <w:ind w:left="927" w:hanging="360"/>
      </w:pPr>
      <w:rPr>
        <w:rFonts w:hint="default"/>
      </w:rPr>
    </w:lvl>
    <w:lvl w:ilvl="1" w:tplc="EFD0A8EE" w:tentative="1">
      <w:start w:val="1"/>
      <w:numFmt w:val="lowerLetter"/>
      <w:lvlText w:val="%2."/>
      <w:lvlJc w:val="left"/>
      <w:pPr>
        <w:ind w:left="1647" w:hanging="360"/>
      </w:pPr>
    </w:lvl>
    <w:lvl w:ilvl="2" w:tplc="255A78D8" w:tentative="1">
      <w:start w:val="1"/>
      <w:numFmt w:val="lowerRoman"/>
      <w:lvlText w:val="%3."/>
      <w:lvlJc w:val="right"/>
      <w:pPr>
        <w:ind w:left="2367" w:hanging="180"/>
      </w:pPr>
    </w:lvl>
    <w:lvl w:ilvl="3" w:tplc="6494F4B0" w:tentative="1">
      <w:start w:val="1"/>
      <w:numFmt w:val="decimal"/>
      <w:lvlText w:val="%4."/>
      <w:lvlJc w:val="left"/>
      <w:pPr>
        <w:ind w:left="3087" w:hanging="360"/>
      </w:pPr>
    </w:lvl>
    <w:lvl w:ilvl="4" w:tplc="A06490B4" w:tentative="1">
      <w:start w:val="1"/>
      <w:numFmt w:val="lowerLetter"/>
      <w:lvlText w:val="%5."/>
      <w:lvlJc w:val="left"/>
      <w:pPr>
        <w:ind w:left="3807" w:hanging="360"/>
      </w:pPr>
    </w:lvl>
    <w:lvl w:ilvl="5" w:tplc="EE8AB6C2" w:tentative="1">
      <w:start w:val="1"/>
      <w:numFmt w:val="lowerRoman"/>
      <w:lvlText w:val="%6."/>
      <w:lvlJc w:val="right"/>
      <w:pPr>
        <w:ind w:left="4527" w:hanging="180"/>
      </w:pPr>
    </w:lvl>
    <w:lvl w:ilvl="6" w:tplc="A87ACCDA" w:tentative="1">
      <w:start w:val="1"/>
      <w:numFmt w:val="decimal"/>
      <w:lvlText w:val="%7."/>
      <w:lvlJc w:val="left"/>
      <w:pPr>
        <w:ind w:left="5247" w:hanging="360"/>
      </w:pPr>
    </w:lvl>
    <w:lvl w:ilvl="7" w:tplc="70FAAC88" w:tentative="1">
      <w:start w:val="1"/>
      <w:numFmt w:val="lowerLetter"/>
      <w:lvlText w:val="%8."/>
      <w:lvlJc w:val="left"/>
      <w:pPr>
        <w:ind w:left="5967" w:hanging="360"/>
      </w:pPr>
    </w:lvl>
    <w:lvl w:ilvl="8" w:tplc="60F03B9A" w:tentative="1">
      <w:start w:val="1"/>
      <w:numFmt w:val="lowerRoman"/>
      <w:lvlText w:val="%9."/>
      <w:lvlJc w:val="right"/>
      <w:pPr>
        <w:ind w:left="6687" w:hanging="180"/>
      </w:pPr>
    </w:lvl>
  </w:abstractNum>
  <w:abstractNum w:abstractNumId="1" w15:restartNumberingAfterBreak="1">
    <w:nsid w:val="12FE537E"/>
    <w:multiLevelType w:val="hybridMultilevel"/>
    <w:tmpl w:val="AB8EF342"/>
    <w:lvl w:ilvl="0" w:tplc="BFDABD24">
      <w:start w:val="1"/>
      <w:numFmt w:val="bullet"/>
      <w:lvlText w:val=""/>
      <w:lvlJc w:val="left"/>
      <w:pPr>
        <w:ind w:left="720" w:hanging="360"/>
      </w:pPr>
      <w:rPr>
        <w:rFonts w:ascii="Symbol" w:hAnsi="Symbol" w:hint="default"/>
      </w:rPr>
    </w:lvl>
    <w:lvl w:ilvl="1" w:tplc="ADD2D73C" w:tentative="1">
      <w:start w:val="1"/>
      <w:numFmt w:val="bullet"/>
      <w:lvlText w:val="o"/>
      <w:lvlJc w:val="left"/>
      <w:pPr>
        <w:ind w:left="1440" w:hanging="360"/>
      </w:pPr>
      <w:rPr>
        <w:rFonts w:ascii="Courier New" w:hAnsi="Courier New" w:cs="Courier New" w:hint="default"/>
      </w:rPr>
    </w:lvl>
    <w:lvl w:ilvl="2" w:tplc="9E246D32" w:tentative="1">
      <w:start w:val="1"/>
      <w:numFmt w:val="bullet"/>
      <w:lvlText w:val=""/>
      <w:lvlJc w:val="left"/>
      <w:pPr>
        <w:ind w:left="2160" w:hanging="360"/>
      </w:pPr>
      <w:rPr>
        <w:rFonts w:ascii="Wingdings" w:hAnsi="Wingdings" w:hint="default"/>
      </w:rPr>
    </w:lvl>
    <w:lvl w:ilvl="3" w:tplc="B00894D4" w:tentative="1">
      <w:start w:val="1"/>
      <w:numFmt w:val="bullet"/>
      <w:lvlText w:val=""/>
      <w:lvlJc w:val="left"/>
      <w:pPr>
        <w:ind w:left="2880" w:hanging="360"/>
      </w:pPr>
      <w:rPr>
        <w:rFonts w:ascii="Symbol" w:hAnsi="Symbol" w:hint="default"/>
      </w:rPr>
    </w:lvl>
    <w:lvl w:ilvl="4" w:tplc="010A5A5E" w:tentative="1">
      <w:start w:val="1"/>
      <w:numFmt w:val="bullet"/>
      <w:lvlText w:val="o"/>
      <w:lvlJc w:val="left"/>
      <w:pPr>
        <w:ind w:left="3600" w:hanging="360"/>
      </w:pPr>
      <w:rPr>
        <w:rFonts w:ascii="Courier New" w:hAnsi="Courier New" w:cs="Courier New" w:hint="default"/>
      </w:rPr>
    </w:lvl>
    <w:lvl w:ilvl="5" w:tplc="1F14AFDA" w:tentative="1">
      <w:start w:val="1"/>
      <w:numFmt w:val="bullet"/>
      <w:lvlText w:val=""/>
      <w:lvlJc w:val="left"/>
      <w:pPr>
        <w:ind w:left="4320" w:hanging="360"/>
      </w:pPr>
      <w:rPr>
        <w:rFonts w:ascii="Wingdings" w:hAnsi="Wingdings" w:hint="default"/>
      </w:rPr>
    </w:lvl>
    <w:lvl w:ilvl="6" w:tplc="B982610A" w:tentative="1">
      <w:start w:val="1"/>
      <w:numFmt w:val="bullet"/>
      <w:lvlText w:val=""/>
      <w:lvlJc w:val="left"/>
      <w:pPr>
        <w:ind w:left="5040" w:hanging="360"/>
      </w:pPr>
      <w:rPr>
        <w:rFonts w:ascii="Symbol" w:hAnsi="Symbol" w:hint="default"/>
      </w:rPr>
    </w:lvl>
    <w:lvl w:ilvl="7" w:tplc="4E94F096" w:tentative="1">
      <w:start w:val="1"/>
      <w:numFmt w:val="bullet"/>
      <w:lvlText w:val="o"/>
      <w:lvlJc w:val="left"/>
      <w:pPr>
        <w:ind w:left="5760" w:hanging="360"/>
      </w:pPr>
      <w:rPr>
        <w:rFonts w:ascii="Courier New" w:hAnsi="Courier New" w:cs="Courier New" w:hint="default"/>
      </w:rPr>
    </w:lvl>
    <w:lvl w:ilvl="8" w:tplc="3384D1DC" w:tentative="1">
      <w:start w:val="1"/>
      <w:numFmt w:val="bullet"/>
      <w:lvlText w:val=""/>
      <w:lvlJc w:val="left"/>
      <w:pPr>
        <w:ind w:left="6480" w:hanging="360"/>
      </w:pPr>
      <w:rPr>
        <w:rFonts w:ascii="Wingdings" w:hAnsi="Wingdings" w:hint="default"/>
      </w:rPr>
    </w:lvl>
  </w:abstractNum>
  <w:abstractNum w:abstractNumId="2" w15:restartNumberingAfterBreak="1">
    <w:nsid w:val="64583E24"/>
    <w:multiLevelType w:val="hybridMultilevel"/>
    <w:tmpl w:val="E5D82616"/>
    <w:lvl w:ilvl="0" w:tplc="95BA7B0C">
      <w:start w:val="1"/>
      <w:numFmt w:val="decimal"/>
      <w:lvlText w:val="%1)"/>
      <w:lvlJc w:val="left"/>
      <w:pPr>
        <w:ind w:left="432" w:hanging="360"/>
      </w:pPr>
      <w:rPr>
        <w:rFonts w:hint="default"/>
      </w:rPr>
    </w:lvl>
    <w:lvl w:ilvl="1" w:tplc="E3FCFBE6" w:tentative="1">
      <w:start w:val="1"/>
      <w:numFmt w:val="lowerLetter"/>
      <w:lvlText w:val="%2."/>
      <w:lvlJc w:val="left"/>
      <w:pPr>
        <w:ind w:left="1152" w:hanging="360"/>
      </w:pPr>
    </w:lvl>
    <w:lvl w:ilvl="2" w:tplc="43BAC532" w:tentative="1">
      <w:start w:val="1"/>
      <w:numFmt w:val="lowerRoman"/>
      <w:lvlText w:val="%3."/>
      <w:lvlJc w:val="right"/>
      <w:pPr>
        <w:ind w:left="1872" w:hanging="180"/>
      </w:pPr>
    </w:lvl>
    <w:lvl w:ilvl="3" w:tplc="970085CC" w:tentative="1">
      <w:start w:val="1"/>
      <w:numFmt w:val="decimal"/>
      <w:lvlText w:val="%4."/>
      <w:lvlJc w:val="left"/>
      <w:pPr>
        <w:ind w:left="2592" w:hanging="360"/>
      </w:pPr>
    </w:lvl>
    <w:lvl w:ilvl="4" w:tplc="7914782C" w:tentative="1">
      <w:start w:val="1"/>
      <w:numFmt w:val="lowerLetter"/>
      <w:lvlText w:val="%5."/>
      <w:lvlJc w:val="left"/>
      <w:pPr>
        <w:ind w:left="3312" w:hanging="360"/>
      </w:pPr>
    </w:lvl>
    <w:lvl w:ilvl="5" w:tplc="90349C04" w:tentative="1">
      <w:start w:val="1"/>
      <w:numFmt w:val="lowerRoman"/>
      <w:lvlText w:val="%6."/>
      <w:lvlJc w:val="right"/>
      <w:pPr>
        <w:ind w:left="4032" w:hanging="180"/>
      </w:pPr>
    </w:lvl>
    <w:lvl w:ilvl="6" w:tplc="D854949C" w:tentative="1">
      <w:start w:val="1"/>
      <w:numFmt w:val="decimal"/>
      <w:lvlText w:val="%7."/>
      <w:lvlJc w:val="left"/>
      <w:pPr>
        <w:ind w:left="4752" w:hanging="360"/>
      </w:pPr>
    </w:lvl>
    <w:lvl w:ilvl="7" w:tplc="CD608A58" w:tentative="1">
      <w:start w:val="1"/>
      <w:numFmt w:val="lowerLetter"/>
      <w:lvlText w:val="%8."/>
      <w:lvlJc w:val="left"/>
      <w:pPr>
        <w:ind w:left="5472" w:hanging="360"/>
      </w:pPr>
    </w:lvl>
    <w:lvl w:ilvl="8" w:tplc="C3E48348" w:tentative="1">
      <w:start w:val="1"/>
      <w:numFmt w:val="lowerRoman"/>
      <w:lvlText w:val="%9."/>
      <w:lvlJc w:val="right"/>
      <w:pPr>
        <w:ind w:left="6192" w:hanging="180"/>
      </w:pPr>
    </w:lvl>
  </w:abstractNum>
  <w:abstractNum w:abstractNumId="3" w15:restartNumberingAfterBreak="1">
    <w:nsid w:val="664B2B4F"/>
    <w:multiLevelType w:val="hybridMultilevel"/>
    <w:tmpl w:val="091CCBEE"/>
    <w:lvl w:ilvl="0" w:tplc="4BAC9778">
      <w:start w:val="1"/>
      <w:numFmt w:val="decimal"/>
      <w:lvlText w:val="%1."/>
      <w:lvlJc w:val="left"/>
      <w:pPr>
        <w:ind w:left="432" w:hanging="360"/>
      </w:pPr>
      <w:rPr>
        <w:rFonts w:hint="default"/>
      </w:rPr>
    </w:lvl>
    <w:lvl w:ilvl="1" w:tplc="505AFF02" w:tentative="1">
      <w:start w:val="1"/>
      <w:numFmt w:val="lowerLetter"/>
      <w:lvlText w:val="%2."/>
      <w:lvlJc w:val="left"/>
      <w:pPr>
        <w:ind w:left="1152" w:hanging="360"/>
      </w:pPr>
    </w:lvl>
    <w:lvl w:ilvl="2" w:tplc="906029CE" w:tentative="1">
      <w:start w:val="1"/>
      <w:numFmt w:val="lowerRoman"/>
      <w:lvlText w:val="%3."/>
      <w:lvlJc w:val="right"/>
      <w:pPr>
        <w:ind w:left="1872" w:hanging="180"/>
      </w:pPr>
    </w:lvl>
    <w:lvl w:ilvl="3" w:tplc="490009BE" w:tentative="1">
      <w:start w:val="1"/>
      <w:numFmt w:val="decimal"/>
      <w:lvlText w:val="%4."/>
      <w:lvlJc w:val="left"/>
      <w:pPr>
        <w:ind w:left="2592" w:hanging="360"/>
      </w:pPr>
    </w:lvl>
    <w:lvl w:ilvl="4" w:tplc="38E041CC" w:tentative="1">
      <w:start w:val="1"/>
      <w:numFmt w:val="lowerLetter"/>
      <w:lvlText w:val="%5."/>
      <w:lvlJc w:val="left"/>
      <w:pPr>
        <w:ind w:left="3312" w:hanging="360"/>
      </w:pPr>
    </w:lvl>
    <w:lvl w:ilvl="5" w:tplc="AE9E9928" w:tentative="1">
      <w:start w:val="1"/>
      <w:numFmt w:val="lowerRoman"/>
      <w:lvlText w:val="%6."/>
      <w:lvlJc w:val="right"/>
      <w:pPr>
        <w:ind w:left="4032" w:hanging="180"/>
      </w:pPr>
    </w:lvl>
    <w:lvl w:ilvl="6" w:tplc="0FC209F8" w:tentative="1">
      <w:start w:val="1"/>
      <w:numFmt w:val="decimal"/>
      <w:lvlText w:val="%7."/>
      <w:lvlJc w:val="left"/>
      <w:pPr>
        <w:ind w:left="4752" w:hanging="360"/>
      </w:pPr>
    </w:lvl>
    <w:lvl w:ilvl="7" w:tplc="DA28C92A" w:tentative="1">
      <w:start w:val="1"/>
      <w:numFmt w:val="lowerLetter"/>
      <w:lvlText w:val="%8."/>
      <w:lvlJc w:val="left"/>
      <w:pPr>
        <w:ind w:left="5472" w:hanging="360"/>
      </w:pPr>
    </w:lvl>
    <w:lvl w:ilvl="8" w:tplc="D3002114" w:tentative="1">
      <w:start w:val="1"/>
      <w:numFmt w:val="lowerRoman"/>
      <w:lvlText w:val="%9."/>
      <w:lvlJc w:val="right"/>
      <w:pPr>
        <w:ind w:left="6192" w:hanging="180"/>
      </w:pPr>
    </w:lvl>
  </w:abstractNum>
  <w:abstractNum w:abstractNumId="4" w15:restartNumberingAfterBreak="1">
    <w:nsid w:val="69996C18"/>
    <w:multiLevelType w:val="hybridMultilevel"/>
    <w:tmpl w:val="E1D8D800"/>
    <w:lvl w:ilvl="0" w:tplc="E824441A">
      <w:start w:val="1"/>
      <w:numFmt w:val="decimal"/>
      <w:lvlText w:val="%1."/>
      <w:lvlJc w:val="left"/>
      <w:pPr>
        <w:ind w:left="927" w:hanging="360"/>
      </w:pPr>
      <w:rPr>
        <w:rFonts w:hint="default"/>
      </w:rPr>
    </w:lvl>
    <w:lvl w:ilvl="1" w:tplc="F4CE4EAA" w:tentative="1">
      <w:start w:val="1"/>
      <w:numFmt w:val="lowerLetter"/>
      <w:lvlText w:val="%2."/>
      <w:lvlJc w:val="left"/>
      <w:pPr>
        <w:ind w:left="1647" w:hanging="360"/>
      </w:pPr>
    </w:lvl>
    <w:lvl w:ilvl="2" w:tplc="5080B680" w:tentative="1">
      <w:start w:val="1"/>
      <w:numFmt w:val="lowerRoman"/>
      <w:lvlText w:val="%3."/>
      <w:lvlJc w:val="right"/>
      <w:pPr>
        <w:ind w:left="2367" w:hanging="180"/>
      </w:pPr>
    </w:lvl>
    <w:lvl w:ilvl="3" w:tplc="F3744CD8" w:tentative="1">
      <w:start w:val="1"/>
      <w:numFmt w:val="decimal"/>
      <w:lvlText w:val="%4."/>
      <w:lvlJc w:val="left"/>
      <w:pPr>
        <w:ind w:left="3087" w:hanging="360"/>
      </w:pPr>
    </w:lvl>
    <w:lvl w:ilvl="4" w:tplc="4EDE0F80" w:tentative="1">
      <w:start w:val="1"/>
      <w:numFmt w:val="lowerLetter"/>
      <w:lvlText w:val="%5."/>
      <w:lvlJc w:val="left"/>
      <w:pPr>
        <w:ind w:left="3807" w:hanging="360"/>
      </w:pPr>
    </w:lvl>
    <w:lvl w:ilvl="5" w:tplc="1450AB26" w:tentative="1">
      <w:start w:val="1"/>
      <w:numFmt w:val="lowerRoman"/>
      <w:lvlText w:val="%6."/>
      <w:lvlJc w:val="right"/>
      <w:pPr>
        <w:ind w:left="4527" w:hanging="180"/>
      </w:pPr>
    </w:lvl>
    <w:lvl w:ilvl="6" w:tplc="78BC2C9A" w:tentative="1">
      <w:start w:val="1"/>
      <w:numFmt w:val="decimal"/>
      <w:lvlText w:val="%7."/>
      <w:lvlJc w:val="left"/>
      <w:pPr>
        <w:ind w:left="5247" w:hanging="360"/>
      </w:pPr>
    </w:lvl>
    <w:lvl w:ilvl="7" w:tplc="57D29D2A" w:tentative="1">
      <w:start w:val="1"/>
      <w:numFmt w:val="lowerLetter"/>
      <w:lvlText w:val="%8."/>
      <w:lvlJc w:val="left"/>
      <w:pPr>
        <w:ind w:left="5967" w:hanging="360"/>
      </w:pPr>
    </w:lvl>
    <w:lvl w:ilvl="8" w:tplc="F112DBA0" w:tentative="1">
      <w:start w:val="1"/>
      <w:numFmt w:val="lowerRoman"/>
      <w:lvlText w:val="%9."/>
      <w:lvlJc w:val="right"/>
      <w:pPr>
        <w:ind w:left="6687" w:hanging="180"/>
      </w:pPr>
    </w:lvl>
  </w:abstractNum>
  <w:abstractNum w:abstractNumId="5" w15:restartNumberingAfterBreak="1">
    <w:nsid w:val="72087BA2"/>
    <w:multiLevelType w:val="hybridMultilevel"/>
    <w:tmpl w:val="6EC6128C"/>
    <w:lvl w:ilvl="0" w:tplc="F9887AAE">
      <w:start w:val="1"/>
      <w:numFmt w:val="bullet"/>
      <w:lvlText w:val=""/>
      <w:lvlJc w:val="left"/>
      <w:pPr>
        <w:ind w:left="852" w:hanging="360"/>
      </w:pPr>
      <w:rPr>
        <w:rFonts w:ascii="Symbol" w:hAnsi="Symbol" w:hint="default"/>
      </w:rPr>
    </w:lvl>
    <w:lvl w:ilvl="1" w:tplc="F9DC02F0" w:tentative="1">
      <w:start w:val="1"/>
      <w:numFmt w:val="bullet"/>
      <w:lvlText w:val="o"/>
      <w:lvlJc w:val="left"/>
      <w:pPr>
        <w:ind w:left="1572" w:hanging="360"/>
      </w:pPr>
      <w:rPr>
        <w:rFonts w:ascii="Courier New" w:hAnsi="Courier New" w:cs="Courier New" w:hint="default"/>
      </w:rPr>
    </w:lvl>
    <w:lvl w:ilvl="2" w:tplc="1DC09596" w:tentative="1">
      <w:start w:val="1"/>
      <w:numFmt w:val="bullet"/>
      <w:lvlText w:val=""/>
      <w:lvlJc w:val="left"/>
      <w:pPr>
        <w:ind w:left="2292" w:hanging="360"/>
      </w:pPr>
      <w:rPr>
        <w:rFonts w:ascii="Wingdings" w:hAnsi="Wingdings" w:hint="default"/>
      </w:rPr>
    </w:lvl>
    <w:lvl w:ilvl="3" w:tplc="3716C37C" w:tentative="1">
      <w:start w:val="1"/>
      <w:numFmt w:val="bullet"/>
      <w:lvlText w:val=""/>
      <w:lvlJc w:val="left"/>
      <w:pPr>
        <w:ind w:left="3012" w:hanging="360"/>
      </w:pPr>
      <w:rPr>
        <w:rFonts w:ascii="Symbol" w:hAnsi="Symbol" w:hint="default"/>
      </w:rPr>
    </w:lvl>
    <w:lvl w:ilvl="4" w:tplc="238E503A" w:tentative="1">
      <w:start w:val="1"/>
      <w:numFmt w:val="bullet"/>
      <w:lvlText w:val="o"/>
      <w:lvlJc w:val="left"/>
      <w:pPr>
        <w:ind w:left="3732" w:hanging="360"/>
      </w:pPr>
      <w:rPr>
        <w:rFonts w:ascii="Courier New" w:hAnsi="Courier New" w:cs="Courier New" w:hint="default"/>
      </w:rPr>
    </w:lvl>
    <w:lvl w:ilvl="5" w:tplc="25BAD7C2" w:tentative="1">
      <w:start w:val="1"/>
      <w:numFmt w:val="bullet"/>
      <w:lvlText w:val=""/>
      <w:lvlJc w:val="left"/>
      <w:pPr>
        <w:ind w:left="4452" w:hanging="360"/>
      </w:pPr>
      <w:rPr>
        <w:rFonts w:ascii="Wingdings" w:hAnsi="Wingdings" w:hint="default"/>
      </w:rPr>
    </w:lvl>
    <w:lvl w:ilvl="6" w:tplc="C9CE935C" w:tentative="1">
      <w:start w:val="1"/>
      <w:numFmt w:val="bullet"/>
      <w:lvlText w:val=""/>
      <w:lvlJc w:val="left"/>
      <w:pPr>
        <w:ind w:left="5172" w:hanging="360"/>
      </w:pPr>
      <w:rPr>
        <w:rFonts w:ascii="Symbol" w:hAnsi="Symbol" w:hint="default"/>
      </w:rPr>
    </w:lvl>
    <w:lvl w:ilvl="7" w:tplc="9EC0A918" w:tentative="1">
      <w:start w:val="1"/>
      <w:numFmt w:val="bullet"/>
      <w:lvlText w:val="o"/>
      <w:lvlJc w:val="left"/>
      <w:pPr>
        <w:ind w:left="5892" w:hanging="360"/>
      </w:pPr>
      <w:rPr>
        <w:rFonts w:ascii="Courier New" w:hAnsi="Courier New" w:cs="Courier New" w:hint="default"/>
      </w:rPr>
    </w:lvl>
    <w:lvl w:ilvl="8" w:tplc="B228385A" w:tentative="1">
      <w:start w:val="1"/>
      <w:numFmt w:val="bullet"/>
      <w:lvlText w:val=""/>
      <w:lvlJc w:val="left"/>
      <w:pPr>
        <w:ind w:left="6612" w:hanging="360"/>
      </w:pPr>
      <w:rPr>
        <w:rFonts w:ascii="Wingdings" w:hAnsi="Wingdings" w:hint="default"/>
      </w:rPr>
    </w:lvl>
  </w:abstractNum>
  <w:abstractNum w:abstractNumId="6" w15:restartNumberingAfterBreak="1">
    <w:nsid w:val="739575DE"/>
    <w:multiLevelType w:val="hybridMultilevel"/>
    <w:tmpl w:val="D342239A"/>
    <w:lvl w:ilvl="0" w:tplc="60925F00">
      <w:start w:val="1"/>
      <w:numFmt w:val="decimal"/>
      <w:lvlText w:val="%1."/>
      <w:lvlJc w:val="left"/>
      <w:pPr>
        <w:ind w:left="502" w:hanging="360"/>
      </w:pPr>
      <w:rPr>
        <w:rFonts w:hint="default"/>
        <w:b/>
      </w:rPr>
    </w:lvl>
    <w:lvl w:ilvl="1" w:tplc="0CF2F07A" w:tentative="1">
      <w:start w:val="1"/>
      <w:numFmt w:val="lowerLetter"/>
      <w:lvlText w:val="%2."/>
      <w:lvlJc w:val="left"/>
      <w:pPr>
        <w:ind w:left="1647" w:hanging="360"/>
      </w:pPr>
    </w:lvl>
    <w:lvl w:ilvl="2" w:tplc="0F266D60" w:tentative="1">
      <w:start w:val="1"/>
      <w:numFmt w:val="lowerRoman"/>
      <w:lvlText w:val="%3."/>
      <w:lvlJc w:val="right"/>
      <w:pPr>
        <w:ind w:left="2367" w:hanging="180"/>
      </w:pPr>
    </w:lvl>
    <w:lvl w:ilvl="3" w:tplc="808E517A" w:tentative="1">
      <w:start w:val="1"/>
      <w:numFmt w:val="decimal"/>
      <w:lvlText w:val="%4."/>
      <w:lvlJc w:val="left"/>
      <w:pPr>
        <w:ind w:left="3087" w:hanging="360"/>
      </w:pPr>
    </w:lvl>
    <w:lvl w:ilvl="4" w:tplc="2830FE94" w:tentative="1">
      <w:start w:val="1"/>
      <w:numFmt w:val="lowerLetter"/>
      <w:lvlText w:val="%5."/>
      <w:lvlJc w:val="left"/>
      <w:pPr>
        <w:ind w:left="3807" w:hanging="360"/>
      </w:pPr>
    </w:lvl>
    <w:lvl w:ilvl="5" w:tplc="120A779E" w:tentative="1">
      <w:start w:val="1"/>
      <w:numFmt w:val="lowerRoman"/>
      <w:lvlText w:val="%6."/>
      <w:lvlJc w:val="right"/>
      <w:pPr>
        <w:ind w:left="4527" w:hanging="180"/>
      </w:pPr>
    </w:lvl>
    <w:lvl w:ilvl="6" w:tplc="4970D85A" w:tentative="1">
      <w:start w:val="1"/>
      <w:numFmt w:val="decimal"/>
      <w:lvlText w:val="%7."/>
      <w:lvlJc w:val="left"/>
      <w:pPr>
        <w:ind w:left="5247" w:hanging="360"/>
      </w:pPr>
    </w:lvl>
    <w:lvl w:ilvl="7" w:tplc="B23675C8" w:tentative="1">
      <w:start w:val="1"/>
      <w:numFmt w:val="lowerLetter"/>
      <w:lvlText w:val="%8."/>
      <w:lvlJc w:val="left"/>
      <w:pPr>
        <w:ind w:left="5967" w:hanging="360"/>
      </w:pPr>
    </w:lvl>
    <w:lvl w:ilvl="8" w:tplc="FA90FDCE" w:tentative="1">
      <w:start w:val="1"/>
      <w:numFmt w:val="lowerRoman"/>
      <w:lvlText w:val="%9."/>
      <w:lvlJc w:val="right"/>
      <w:pPr>
        <w:ind w:left="6687" w:hanging="180"/>
      </w:pPr>
    </w:lvl>
  </w:abstractNum>
  <w:abstractNum w:abstractNumId="7" w15:restartNumberingAfterBreak="1">
    <w:nsid w:val="7B3F653F"/>
    <w:multiLevelType w:val="hybridMultilevel"/>
    <w:tmpl w:val="C13EEA84"/>
    <w:lvl w:ilvl="0" w:tplc="6DC0DE22">
      <w:start w:val="1"/>
      <w:numFmt w:val="bullet"/>
      <w:lvlText w:val=""/>
      <w:lvlJc w:val="left"/>
      <w:pPr>
        <w:ind w:left="852" w:hanging="360"/>
      </w:pPr>
      <w:rPr>
        <w:rFonts w:ascii="Symbol" w:hAnsi="Symbol" w:hint="default"/>
      </w:rPr>
    </w:lvl>
    <w:lvl w:ilvl="1" w:tplc="7C6E1B7E" w:tentative="1">
      <w:start w:val="1"/>
      <w:numFmt w:val="bullet"/>
      <w:lvlText w:val="o"/>
      <w:lvlJc w:val="left"/>
      <w:pPr>
        <w:ind w:left="1572" w:hanging="360"/>
      </w:pPr>
      <w:rPr>
        <w:rFonts w:ascii="Courier New" w:hAnsi="Courier New" w:cs="Courier New" w:hint="default"/>
      </w:rPr>
    </w:lvl>
    <w:lvl w:ilvl="2" w:tplc="1BACDE8A" w:tentative="1">
      <w:start w:val="1"/>
      <w:numFmt w:val="bullet"/>
      <w:lvlText w:val=""/>
      <w:lvlJc w:val="left"/>
      <w:pPr>
        <w:ind w:left="2292" w:hanging="360"/>
      </w:pPr>
      <w:rPr>
        <w:rFonts w:ascii="Wingdings" w:hAnsi="Wingdings" w:hint="default"/>
      </w:rPr>
    </w:lvl>
    <w:lvl w:ilvl="3" w:tplc="0000588C" w:tentative="1">
      <w:start w:val="1"/>
      <w:numFmt w:val="bullet"/>
      <w:lvlText w:val=""/>
      <w:lvlJc w:val="left"/>
      <w:pPr>
        <w:ind w:left="3012" w:hanging="360"/>
      </w:pPr>
      <w:rPr>
        <w:rFonts w:ascii="Symbol" w:hAnsi="Symbol" w:hint="default"/>
      </w:rPr>
    </w:lvl>
    <w:lvl w:ilvl="4" w:tplc="53E299DC" w:tentative="1">
      <w:start w:val="1"/>
      <w:numFmt w:val="bullet"/>
      <w:lvlText w:val="o"/>
      <w:lvlJc w:val="left"/>
      <w:pPr>
        <w:ind w:left="3732" w:hanging="360"/>
      </w:pPr>
      <w:rPr>
        <w:rFonts w:ascii="Courier New" w:hAnsi="Courier New" w:cs="Courier New" w:hint="default"/>
      </w:rPr>
    </w:lvl>
    <w:lvl w:ilvl="5" w:tplc="131EE12E" w:tentative="1">
      <w:start w:val="1"/>
      <w:numFmt w:val="bullet"/>
      <w:lvlText w:val=""/>
      <w:lvlJc w:val="left"/>
      <w:pPr>
        <w:ind w:left="4452" w:hanging="360"/>
      </w:pPr>
      <w:rPr>
        <w:rFonts w:ascii="Wingdings" w:hAnsi="Wingdings" w:hint="default"/>
      </w:rPr>
    </w:lvl>
    <w:lvl w:ilvl="6" w:tplc="26A4EFFA" w:tentative="1">
      <w:start w:val="1"/>
      <w:numFmt w:val="bullet"/>
      <w:lvlText w:val=""/>
      <w:lvlJc w:val="left"/>
      <w:pPr>
        <w:ind w:left="5172" w:hanging="360"/>
      </w:pPr>
      <w:rPr>
        <w:rFonts w:ascii="Symbol" w:hAnsi="Symbol" w:hint="default"/>
      </w:rPr>
    </w:lvl>
    <w:lvl w:ilvl="7" w:tplc="C9846394" w:tentative="1">
      <w:start w:val="1"/>
      <w:numFmt w:val="bullet"/>
      <w:lvlText w:val="o"/>
      <w:lvlJc w:val="left"/>
      <w:pPr>
        <w:ind w:left="5892" w:hanging="360"/>
      </w:pPr>
      <w:rPr>
        <w:rFonts w:ascii="Courier New" w:hAnsi="Courier New" w:cs="Courier New" w:hint="default"/>
      </w:rPr>
    </w:lvl>
    <w:lvl w:ilvl="8" w:tplc="8FE48D4E" w:tentative="1">
      <w:start w:val="1"/>
      <w:numFmt w:val="bullet"/>
      <w:lvlText w:val=""/>
      <w:lvlJc w:val="left"/>
      <w:pPr>
        <w:ind w:left="6612"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28E2"/>
    <w:rsid w:val="00003AF3"/>
    <w:rsid w:val="000053C9"/>
    <w:rsid w:val="00006DC5"/>
    <w:rsid w:val="00024CCD"/>
    <w:rsid w:val="00031648"/>
    <w:rsid w:val="000318AE"/>
    <w:rsid w:val="00033B2E"/>
    <w:rsid w:val="0004420B"/>
    <w:rsid w:val="000471F2"/>
    <w:rsid w:val="00064581"/>
    <w:rsid w:val="000708D2"/>
    <w:rsid w:val="000825F6"/>
    <w:rsid w:val="00090BDF"/>
    <w:rsid w:val="00090FC4"/>
    <w:rsid w:val="000A2B6C"/>
    <w:rsid w:val="000A5B3A"/>
    <w:rsid w:val="000B4FA8"/>
    <w:rsid w:val="000D4151"/>
    <w:rsid w:val="000E5AA6"/>
    <w:rsid w:val="000F72AE"/>
    <w:rsid w:val="00101DB2"/>
    <w:rsid w:val="0010387F"/>
    <w:rsid w:val="00103DF6"/>
    <w:rsid w:val="0010496B"/>
    <w:rsid w:val="00115BD6"/>
    <w:rsid w:val="001243B9"/>
    <w:rsid w:val="001305B9"/>
    <w:rsid w:val="001312A1"/>
    <w:rsid w:val="0015517D"/>
    <w:rsid w:val="001609E2"/>
    <w:rsid w:val="00161E65"/>
    <w:rsid w:val="00164527"/>
    <w:rsid w:val="00164AB1"/>
    <w:rsid w:val="00164E69"/>
    <w:rsid w:val="00176C49"/>
    <w:rsid w:val="00196785"/>
    <w:rsid w:val="001A67CD"/>
    <w:rsid w:val="001A6DE0"/>
    <w:rsid w:val="001C3799"/>
    <w:rsid w:val="001C4BBF"/>
    <w:rsid w:val="001C5253"/>
    <w:rsid w:val="001D209B"/>
    <w:rsid w:val="001D3A07"/>
    <w:rsid w:val="001E1D46"/>
    <w:rsid w:val="001F1B7D"/>
    <w:rsid w:val="001F430C"/>
    <w:rsid w:val="001F44B8"/>
    <w:rsid w:val="00210CCC"/>
    <w:rsid w:val="002171C9"/>
    <w:rsid w:val="00221A69"/>
    <w:rsid w:val="002319EF"/>
    <w:rsid w:val="00244FFB"/>
    <w:rsid w:val="00245AE4"/>
    <w:rsid w:val="00245EF5"/>
    <w:rsid w:val="00271BB2"/>
    <w:rsid w:val="002733DE"/>
    <w:rsid w:val="00274E36"/>
    <w:rsid w:val="00276DA9"/>
    <w:rsid w:val="00290ACA"/>
    <w:rsid w:val="002919BA"/>
    <w:rsid w:val="002973CD"/>
    <w:rsid w:val="002A0AF5"/>
    <w:rsid w:val="002A1C23"/>
    <w:rsid w:val="002B28B8"/>
    <w:rsid w:val="002B4E1B"/>
    <w:rsid w:val="002D19C0"/>
    <w:rsid w:val="002D3504"/>
    <w:rsid w:val="002E1F44"/>
    <w:rsid w:val="002F10D3"/>
    <w:rsid w:val="0030292E"/>
    <w:rsid w:val="0031180C"/>
    <w:rsid w:val="003123AC"/>
    <w:rsid w:val="00321E69"/>
    <w:rsid w:val="0033091B"/>
    <w:rsid w:val="00336B4E"/>
    <w:rsid w:val="00376E1A"/>
    <w:rsid w:val="00390E8D"/>
    <w:rsid w:val="003937F2"/>
    <w:rsid w:val="00397AC2"/>
    <w:rsid w:val="003A330D"/>
    <w:rsid w:val="003D205C"/>
    <w:rsid w:val="003D3BB6"/>
    <w:rsid w:val="003E1F77"/>
    <w:rsid w:val="00405E29"/>
    <w:rsid w:val="0041103E"/>
    <w:rsid w:val="00424910"/>
    <w:rsid w:val="0042491D"/>
    <w:rsid w:val="00435A14"/>
    <w:rsid w:val="00446511"/>
    <w:rsid w:val="00460FE5"/>
    <w:rsid w:val="00475884"/>
    <w:rsid w:val="004763A8"/>
    <w:rsid w:val="0049163F"/>
    <w:rsid w:val="0049449C"/>
    <w:rsid w:val="0049516E"/>
    <w:rsid w:val="004A0213"/>
    <w:rsid w:val="004A2782"/>
    <w:rsid w:val="004B11BD"/>
    <w:rsid w:val="004C0A86"/>
    <w:rsid w:val="004C0C52"/>
    <w:rsid w:val="004C44CD"/>
    <w:rsid w:val="004C4CA9"/>
    <w:rsid w:val="004E0FE2"/>
    <w:rsid w:val="0050427E"/>
    <w:rsid w:val="00505345"/>
    <w:rsid w:val="005136D7"/>
    <w:rsid w:val="0051409A"/>
    <w:rsid w:val="00534EE8"/>
    <w:rsid w:val="00536750"/>
    <w:rsid w:val="00536D5A"/>
    <w:rsid w:val="005439AB"/>
    <w:rsid w:val="00550D86"/>
    <w:rsid w:val="00551783"/>
    <w:rsid w:val="00560866"/>
    <w:rsid w:val="005630E5"/>
    <w:rsid w:val="005639BB"/>
    <w:rsid w:val="0056492C"/>
    <w:rsid w:val="00573648"/>
    <w:rsid w:val="00573D7B"/>
    <w:rsid w:val="00576086"/>
    <w:rsid w:val="0057709B"/>
    <w:rsid w:val="00577A22"/>
    <w:rsid w:val="00581DBC"/>
    <w:rsid w:val="00587678"/>
    <w:rsid w:val="0059104A"/>
    <w:rsid w:val="005A0A82"/>
    <w:rsid w:val="005A1673"/>
    <w:rsid w:val="005B5BEB"/>
    <w:rsid w:val="005C15FF"/>
    <w:rsid w:val="005C184F"/>
    <w:rsid w:val="005C1C05"/>
    <w:rsid w:val="005C307E"/>
    <w:rsid w:val="005E0F99"/>
    <w:rsid w:val="005E1B08"/>
    <w:rsid w:val="005E272D"/>
    <w:rsid w:val="005F470E"/>
    <w:rsid w:val="00605F9E"/>
    <w:rsid w:val="00606264"/>
    <w:rsid w:val="00611285"/>
    <w:rsid w:val="00620C3A"/>
    <w:rsid w:val="006272F2"/>
    <w:rsid w:val="00637362"/>
    <w:rsid w:val="006407BA"/>
    <w:rsid w:val="006460D7"/>
    <w:rsid w:val="00666251"/>
    <w:rsid w:val="00667785"/>
    <w:rsid w:val="00671CDC"/>
    <w:rsid w:val="00674365"/>
    <w:rsid w:val="00676665"/>
    <w:rsid w:val="006778EB"/>
    <w:rsid w:val="006810E0"/>
    <w:rsid w:val="006876EB"/>
    <w:rsid w:val="0069459B"/>
    <w:rsid w:val="00694AA8"/>
    <w:rsid w:val="006971DC"/>
    <w:rsid w:val="00697558"/>
    <w:rsid w:val="006A30B4"/>
    <w:rsid w:val="006B3E89"/>
    <w:rsid w:val="006B739A"/>
    <w:rsid w:val="006D3730"/>
    <w:rsid w:val="006D5F4A"/>
    <w:rsid w:val="006D7ED9"/>
    <w:rsid w:val="006E1CC9"/>
    <w:rsid w:val="006F21EF"/>
    <w:rsid w:val="006F7762"/>
    <w:rsid w:val="007009AA"/>
    <w:rsid w:val="0070163B"/>
    <w:rsid w:val="00702B4B"/>
    <w:rsid w:val="00706ABD"/>
    <w:rsid w:val="00727F3A"/>
    <w:rsid w:val="0073369E"/>
    <w:rsid w:val="0074295E"/>
    <w:rsid w:val="00744E9C"/>
    <w:rsid w:val="007456EF"/>
    <w:rsid w:val="00770DA9"/>
    <w:rsid w:val="00777603"/>
    <w:rsid w:val="007A0278"/>
    <w:rsid w:val="007A108E"/>
    <w:rsid w:val="007B3495"/>
    <w:rsid w:val="007B41BF"/>
    <w:rsid w:val="007C3465"/>
    <w:rsid w:val="007D7F36"/>
    <w:rsid w:val="007E400F"/>
    <w:rsid w:val="007E7107"/>
    <w:rsid w:val="008069B7"/>
    <w:rsid w:val="00807543"/>
    <w:rsid w:val="00807582"/>
    <w:rsid w:val="008175E3"/>
    <w:rsid w:val="00817E08"/>
    <w:rsid w:val="00843637"/>
    <w:rsid w:val="00845DF7"/>
    <w:rsid w:val="00850193"/>
    <w:rsid w:val="0085251D"/>
    <w:rsid w:val="00853512"/>
    <w:rsid w:val="00861701"/>
    <w:rsid w:val="0087065C"/>
    <w:rsid w:val="00870CEC"/>
    <w:rsid w:val="00894D2B"/>
    <w:rsid w:val="008B23A8"/>
    <w:rsid w:val="008B3ACF"/>
    <w:rsid w:val="008B5ED6"/>
    <w:rsid w:val="008B78B2"/>
    <w:rsid w:val="008C12CD"/>
    <w:rsid w:val="008C4C6D"/>
    <w:rsid w:val="008C53EF"/>
    <w:rsid w:val="008F1587"/>
    <w:rsid w:val="008F1B50"/>
    <w:rsid w:val="008F257A"/>
    <w:rsid w:val="008F7393"/>
    <w:rsid w:val="0090361D"/>
    <w:rsid w:val="0091195B"/>
    <w:rsid w:val="00912D79"/>
    <w:rsid w:val="00915852"/>
    <w:rsid w:val="00927E8B"/>
    <w:rsid w:val="009440D7"/>
    <w:rsid w:val="00960C4F"/>
    <w:rsid w:val="00960C53"/>
    <w:rsid w:val="00965899"/>
    <w:rsid w:val="00966B6C"/>
    <w:rsid w:val="009867E1"/>
    <w:rsid w:val="00994063"/>
    <w:rsid w:val="009A2938"/>
    <w:rsid w:val="009A312E"/>
    <w:rsid w:val="009B68F6"/>
    <w:rsid w:val="009F13DA"/>
    <w:rsid w:val="009F2FA5"/>
    <w:rsid w:val="009F5B84"/>
    <w:rsid w:val="00A01391"/>
    <w:rsid w:val="00A112EB"/>
    <w:rsid w:val="00A133DF"/>
    <w:rsid w:val="00A1429A"/>
    <w:rsid w:val="00A2193A"/>
    <w:rsid w:val="00A23EAD"/>
    <w:rsid w:val="00A2526D"/>
    <w:rsid w:val="00A26E88"/>
    <w:rsid w:val="00A44DBD"/>
    <w:rsid w:val="00A47456"/>
    <w:rsid w:val="00A57869"/>
    <w:rsid w:val="00A61583"/>
    <w:rsid w:val="00A6259F"/>
    <w:rsid w:val="00A67844"/>
    <w:rsid w:val="00A67EE3"/>
    <w:rsid w:val="00A9644F"/>
    <w:rsid w:val="00A9668A"/>
    <w:rsid w:val="00AA10EA"/>
    <w:rsid w:val="00AA7956"/>
    <w:rsid w:val="00AB0B37"/>
    <w:rsid w:val="00AB0D96"/>
    <w:rsid w:val="00AB2C1B"/>
    <w:rsid w:val="00AB40C4"/>
    <w:rsid w:val="00AB7120"/>
    <w:rsid w:val="00AC0047"/>
    <w:rsid w:val="00AC20DC"/>
    <w:rsid w:val="00AC3BF5"/>
    <w:rsid w:val="00AE10A7"/>
    <w:rsid w:val="00AE3271"/>
    <w:rsid w:val="00AE6E05"/>
    <w:rsid w:val="00B07BB3"/>
    <w:rsid w:val="00B2343F"/>
    <w:rsid w:val="00B249D6"/>
    <w:rsid w:val="00B27579"/>
    <w:rsid w:val="00B32CA1"/>
    <w:rsid w:val="00B33F0A"/>
    <w:rsid w:val="00B4109B"/>
    <w:rsid w:val="00B43025"/>
    <w:rsid w:val="00B57DDB"/>
    <w:rsid w:val="00B6025E"/>
    <w:rsid w:val="00B61820"/>
    <w:rsid w:val="00B6430E"/>
    <w:rsid w:val="00B6709C"/>
    <w:rsid w:val="00B7178A"/>
    <w:rsid w:val="00B7203B"/>
    <w:rsid w:val="00B742CC"/>
    <w:rsid w:val="00B7667A"/>
    <w:rsid w:val="00B7752B"/>
    <w:rsid w:val="00B8037C"/>
    <w:rsid w:val="00B81DE4"/>
    <w:rsid w:val="00B931B2"/>
    <w:rsid w:val="00B94698"/>
    <w:rsid w:val="00BA075C"/>
    <w:rsid w:val="00BB0771"/>
    <w:rsid w:val="00BB3056"/>
    <w:rsid w:val="00BC1915"/>
    <w:rsid w:val="00BE4388"/>
    <w:rsid w:val="00BF332A"/>
    <w:rsid w:val="00BF6FB6"/>
    <w:rsid w:val="00C03A89"/>
    <w:rsid w:val="00C074FB"/>
    <w:rsid w:val="00C1009E"/>
    <w:rsid w:val="00C113C2"/>
    <w:rsid w:val="00C20237"/>
    <w:rsid w:val="00C3388D"/>
    <w:rsid w:val="00C4560B"/>
    <w:rsid w:val="00C557CA"/>
    <w:rsid w:val="00C6181C"/>
    <w:rsid w:val="00C67E4B"/>
    <w:rsid w:val="00C96EA1"/>
    <w:rsid w:val="00CA115C"/>
    <w:rsid w:val="00CA6220"/>
    <w:rsid w:val="00CA7A80"/>
    <w:rsid w:val="00CB166C"/>
    <w:rsid w:val="00CB2925"/>
    <w:rsid w:val="00CC46D3"/>
    <w:rsid w:val="00CC6E1B"/>
    <w:rsid w:val="00CD38CB"/>
    <w:rsid w:val="00CD6674"/>
    <w:rsid w:val="00CE1E1D"/>
    <w:rsid w:val="00CE3D70"/>
    <w:rsid w:val="00CF2E14"/>
    <w:rsid w:val="00D31E6F"/>
    <w:rsid w:val="00D61012"/>
    <w:rsid w:val="00D644C0"/>
    <w:rsid w:val="00D67976"/>
    <w:rsid w:val="00D71954"/>
    <w:rsid w:val="00D747D8"/>
    <w:rsid w:val="00D85523"/>
    <w:rsid w:val="00D95AD8"/>
    <w:rsid w:val="00DA38B4"/>
    <w:rsid w:val="00DD11B5"/>
    <w:rsid w:val="00DD1681"/>
    <w:rsid w:val="00DD2519"/>
    <w:rsid w:val="00DD365A"/>
    <w:rsid w:val="00DD7C9C"/>
    <w:rsid w:val="00DF1FB1"/>
    <w:rsid w:val="00DF62F1"/>
    <w:rsid w:val="00DF7F03"/>
    <w:rsid w:val="00E04395"/>
    <w:rsid w:val="00E2719F"/>
    <w:rsid w:val="00E3578E"/>
    <w:rsid w:val="00E35A3B"/>
    <w:rsid w:val="00E35A87"/>
    <w:rsid w:val="00E40776"/>
    <w:rsid w:val="00E4106B"/>
    <w:rsid w:val="00E42C2F"/>
    <w:rsid w:val="00E46679"/>
    <w:rsid w:val="00E5753A"/>
    <w:rsid w:val="00E66395"/>
    <w:rsid w:val="00E6704D"/>
    <w:rsid w:val="00E77FF3"/>
    <w:rsid w:val="00E85BF0"/>
    <w:rsid w:val="00E86AA4"/>
    <w:rsid w:val="00E8770C"/>
    <w:rsid w:val="00E961BA"/>
    <w:rsid w:val="00E96710"/>
    <w:rsid w:val="00E97AEE"/>
    <w:rsid w:val="00EB67CA"/>
    <w:rsid w:val="00EB7215"/>
    <w:rsid w:val="00EC103F"/>
    <w:rsid w:val="00EE7C8B"/>
    <w:rsid w:val="00EF7009"/>
    <w:rsid w:val="00F11E6B"/>
    <w:rsid w:val="00F211FB"/>
    <w:rsid w:val="00F214BB"/>
    <w:rsid w:val="00F21A78"/>
    <w:rsid w:val="00F40204"/>
    <w:rsid w:val="00F528C9"/>
    <w:rsid w:val="00F52C57"/>
    <w:rsid w:val="00F55331"/>
    <w:rsid w:val="00F628CC"/>
    <w:rsid w:val="00F648C4"/>
    <w:rsid w:val="00F66B7A"/>
    <w:rsid w:val="00F76002"/>
    <w:rsid w:val="00F838D5"/>
    <w:rsid w:val="00F845E2"/>
    <w:rsid w:val="00F8547F"/>
    <w:rsid w:val="00FA07A3"/>
    <w:rsid w:val="00FA328A"/>
    <w:rsid w:val="00FA4B15"/>
    <w:rsid w:val="00FB6F01"/>
    <w:rsid w:val="00FC293B"/>
    <w:rsid w:val="00FC7E42"/>
    <w:rsid w:val="00FD5F60"/>
    <w:rsid w:val="00FD68CD"/>
    <w:rsid w:val="00FD7112"/>
    <w:rsid w:val="00FE0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F7A4D-B008-45AC-A516-5CA42A7B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H&amp;P List Paragraph,List Paragraph1,Strip"/>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List Paragraph1 Char,Strip Char"/>
    <w:link w:val="ListParagraph"/>
    <w:uiPriority w:val="34"/>
    <w:rsid w:val="001C5253"/>
    <w:rPr>
      <w:rFonts w:ascii="Calibri" w:eastAsia="Calibri" w:hAnsi="Calibri" w:cs="Times New Roman"/>
    </w:rPr>
  </w:style>
  <w:style w:type="character" w:customStyle="1" w:styleId="UnresolvedMention2">
    <w:name w:val="Unresolved Mention2"/>
    <w:basedOn w:val="DefaultParagraphFont"/>
    <w:uiPriority w:val="99"/>
    <w:semiHidden/>
    <w:unhideWhenUsed/>
    <w:rsid w:val="00D85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aps.Zvaigznit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13392</Words>
  <Characters>7634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4. janvāra noteikumos Nr. 13 "Darbības programmas "Izaugsme un nodarbinātība" 4.2.1. specifiskā atbalsta mērķa "Veicināt energoefektivitātes paaugstināšanu valsts un dzīvojamās ē</vt:lpstr>
    </vt:vector>
  </TitlesOfParts>
  <Company>Ekonomikas ministrija</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sākotnējās ietekmes novērtējuma ziņojums (anotācija)</dc:title>
  <dc:subject>Anotācija</dc:subject>
  <dc:creator>Kristaps Zvaigznītis</dc:creator>
  <dc:description>67013171, Kristaps.Zvaigznitis@em.gov.lv</dc:description>
  <cp:lastModifiedBy>Laimdota Adlere</cp:lastModifiedBy>
  <cp:revision>2</cp:revision>
  <dcterms:created xsi:type="dcterms:W3CDTF">2018-06-26T08:01:00Z</dcterms:created>
  <dcterms:modified xsi:type="dcterms:W3CDTF">2018-06-26T08:01:00Z</dcterms:modified>
</cp:coreProperties>
</file>