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8522" w14:textId="33AC376A" w:rsidR="001F22C2" w:rsidRDefault="001F22C2" w:rsidP="00DB357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0D6B6AB" w14:textId="77777777" w:rsidR="001571C2" w:rsidRPr="00063E25" w:rsidRDefault="001571C2" w:rsidP="00DB357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CF180A9" w14:textId="3C97B21E" w:rsidR="001571C2" w:rsidRPr="007779EA" w:rsidRDefault="001571C2" w:rsidP="00DB357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3C5FBD">
        <w:rPr>
          <w:rFonts w:ascii="Times New Roman" w:eastAsia="Times New Roman" w:hAnsi="Times New Roman"/>
          <w:sz w:val="28"/>
          <w:szCs w:val="28"/>
        </w:rPr>
        <w:t>26.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C5FBD">
        <w:rPr>
          <w:rFonts w:ascii="Times New Roman" w:eastAsia="Times New Roman" w:hAnsi="Times New Roman"/>
          <w:sz w:val="28"/>
          <w:szCs w:val="28"/>
        </w:rPr>
        <w:t> 361</w:t>
      </w:r>
    </w:p>
    <w:p w14:paraId="47E19209" w14:textId="128040C3" w:rsidR="001571C2" w:rsidRPr="007779EA" w:rsidRDefault="001571C2" w:rsidP="00DB357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C5FBD">
        <w:rPr>
          <w:rFonts w:ascii="Times New Roman" w:eastAsia="Times New Roman" w:hAnsi="Times New Roman"/>
          <w:sz w:val="28"/>
          <w:szCs w:val="28"/>
        </w:rPr>
        <w:t> 30 8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  <w:bookmarkStart w:id="0" w:name="_GoBack"/>
      <w:bookmarkEnd w:id="0"/>
    </w:p>
    <w:p w14:paraId="7BB3A988" w14:textId="77777777" w:rsidR="00063E25" w:rsidRPr="00063E25" w:rsidRDefault="00063E25" w:rsidP="00DB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7BB3A989" w14:textId="77777777" w:rsidR="00383810" w:rsidRPr="00063E25" w:rsidRDefault="00B607E6" w:rsidP="00DB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</w:t>
      </w:r>
      <w:r w:rsidR="00583CDB"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rozījum</w:t>
      </w:r>
      <w:r w:rsidR="00F04AAF"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="00583CDB"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Ministru kabineta 2017.</w:t>
      </w:r>
      <w:r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583CDB"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gada </w:t>
      </w:r>
      <w:r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9. </w:t>
      </w:r>
      <w:r w:rsidR="00583CDB"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maija noteikumos Nr.</w:t>
      </w:r>
      <w:r w:rsidR="00037A16"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583CDB"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253</w:t>
      </w:r>
      <w:r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</w:p>
    <w:p w14:paraId="7BB3A98A" w14:textId="45A684CC" w:rsidR="00583CDB" w:rsidRPr="00063E25" w:rsidRDefault="001571C2" w:rsidP="00DB35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B607E6"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Atsevišķu inženierbūvju būvnoteikumi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7BB3A98C" w14:textId="77777777" w:rsidR="00063E25" w:rsidRPr="00063E25" w:rsidRDefault="00063E25" w:rsidP="00DB35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8B5E7" w14:textId="77777777" w:rsidR="00DB3573" w:rsidRDefault="00B607E6" w:rsidP="00DB357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7BB3A98D" w14:textId="0484936F" w:rsidR="00FA222A" w:rsidRPr="001571C2" w:rsidRDefault="00B607E6" w:rsidP="00DB357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Būvniecības likuma</w:t>
      </w:r>
    </w:p>
    <w:p w14:paraId="7E491509" w14:textId="77777777" w:rsidR="00DB3573" w:rsidRDefault="00B607E6" w:rsidP="00DB357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5.</w:t>
      </w:r>
      <w:r w:rsidR="00383810"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panta pirmās daļas 2.</w:t>
      </w:r>
      <w:r w:rsidR="00383810"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punktu un </w:t>
      </w:r>
    </w:p>
    <w:p w14:paraId="7BB3A98F" w14:textId="585C5B0B" w:rsidR="00583CDB" w:rsidRPr="001571C2" w:rsidRDefault="00B607E6" w:rsidP="00DB357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otrās daļas</w:t>
      </w:r>
      <w:r w:rsidR="00DB35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</w:t>
      </w:r>
      <w:r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5., 7.</w:t>
      </w:r>
      <w:r w:rsidR="00383810"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un 10.</w:t>
      </w:r>
      <w:r w:rsidR="00383810"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157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punktu</w:t>
      </w:r>
    </w:p>
    <w:p w14:paraId="7BB3A990" w14:textId="77777777" w:rsidR="00583CDB" w:rsidRPr="001571C2" w:rsidRDefault="00583CDB" w:rsidP="00DB357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7BB3A992" w14:textId="547A8D5D" w:rsidR="00AF2A76" w:rsidRPr="00063E25" w:rsidRDefault="00B607E6" w:rsidP="00DB35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2017.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gada 9.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maija noteikumos Nr.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253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Atsevišķu inženierbūvju būvnoteikumi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</w:t>
      </w:r>
      <w:r w:rsidR="00FC1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045E62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="00045E62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45E62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) šādus grozījumus:</w:t>
      </w:r>
    </w:p>
    <w:p w14:paraId="7BB3A994" w14:textId="77777777" w:rsidR="00063E25" w:rsidRPr="00063E25" w:rsidRDefault="00063E25" w:rsidP="00DB35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95" w14:textId="62504B64" w:rsidR="007622DD" w:rsidRPr="00063E25" w:rsidRDefault="00B607E6" w:rsidP="00DB357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>Aizstāt noteikumu tekstā vārdu</w:t>
      </w:r>
      <w:r w:rsidR="004F4538" w:rsidRPr="004F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F4538" w:rsidRPr="004F4538">
        <w:rPr>
          <w:rFonts w:ascii="Times New Roman" w:hAnsi="Times New Roman" w:cs="Times New Roman"/>
          <w:color w:val="000000" w:themeColor="text1"/>
          <w:sz w:val="28"/>
          <w:szCs w:val="28"/>
        </w:rPr>
        <w:t>pasūtītājs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B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8" w:rsidRPr="004F4538">
        <w:rPr>
          <w:rFonts w:ascii="Times New Roman" w:hAnsi="Times New Roman" w:cs="Times New Roman"/>
          <w:color w:val="000000" w:themeColor="text1"/>
          <w:sz w:val="28"/>
          <w:szCs w:val="28"/>
        </w:rPr>
        <w:t>(attiecīgā locījumā)</w:t>
      </w:r>
      <w:r w:rsidR="004F4538" w:rsidRPr="004F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vārdus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F4538" w:rsidRPr="004F4538">
        <w:rPr>
          <w:rFonts w:ascii="Times New Roman" w:hAnsi="Times New Roman" w:cs="Times New Roman"/>
          <w:color w:val="000000" w:themeColor="text1"/>
          <w:sz w:val="28"/>
          <w:szCs w:val="28"/>
        </w:rPr>
        <w:t>būvniecības ierosinātājs (pasūtītājs)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F4538" w:rsidRPr="004F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(attiecīgā locījumā) ar vārdiem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F4538" w:rsidRPr="004F4538">
        <w:rPr>
          <w:rFonts w:ascii="Times New Roman" w:hAnsi="Times New Roman" w:cs="Times New Roman"/>
          <w:color w:val="000000" w:themeColor="text1"/>
          <w:sz w:val="28"/>
          <w:szCs w:val="28"/>
        </w:rPr>
        <w:t>būvniecības ierosinātājs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F4538" w:rsidRPr="004F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(attiecīgā locījumā)</w:t>
      </w:r>
      <w:r w:rsidR="00615FAC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B3A996" w14:textId="77777777" w:rsidR="007622DD" w:rsidRPr="00063E25" w:rsidRDefault="007622DD" w:rsidP="00DB35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97" w14:textId="5B5A2E34" w:rsidR="002323D4" w:rsidRPr="00063E25" w:rsidRDefault="00B607E6" w:rsidP="00DB35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Aizstāt noteikumu tekstā 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>(i</w:t>
      </w:r>
      <w:r w:rsidR="00DB3573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zņemot 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>5. un 179. punktu, 5. pielikuma 14. punktu un 12. pielikumu)</w:t>
      </w:r>
      <w:r w:rsidR="00DB3573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vārdu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būvvalde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76E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(attiecīgā locījumā)</w:t>
      </w:r>
      <w:r w:rsidR="009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vārdu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8076E">
        <w:rPr>
          <w:rFonts w:ascii="Times New Roman" w:hAnsi="Times New Roman" w:cs="Times New Roman"/>
          <w:color w:val="000000" w:themeColor="text1"/>
          <w:sz w:val="28"/>
          <w:szCs w:val="28"/>
        </w:rPr>
        <w:t>birojs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(attiecīgā locījumā)</w:t>
      </w:r>
      <w:r w:rsidR="009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vārdus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8076E">
        <w:rPr>
          <w:rFonts w:ascii="Times New Roman" w:hAnsi="Times New Roman" w:cs="Times New Roman"/>
          <w:color w:val="000000" w:themeColor="text1"/>
          <w:sz w:val="28"/>
          <w:szCs w:val="28"/>
        </w:rPr>
        <w:t>būvvalde vai birojs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(attiecīgā locījumā)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vārdiem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8076E"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>(attiecīgā locījumā)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B3A998" w14:textId="77777777" w:rsidR="002323D4" w:rsidRPr="00063E25" w:rsidRDefault="002323D4" w:rsidP="00DB35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99" w14:textId="77777777" w:rsidR="00F127A0" w:rsidRPr="00063E25" w:rsidRDefault="00B607E6" w:rsidP="00DB35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B62611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Izteik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t 3.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C4A94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BB3A99A" w14:textId="77777777" w:rsidR="009A25E1" w:rsidRPr="00063E25" w:rsidRDefault="009A25E1" w:rsidP="00DB35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9B" w14:textId="22572303" w:rsidR="00177A75" w:rsidRPr="000729F7" w:rsidRDefault="001571C2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E1AF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Šajos noteikumos 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noteikto inženierbūvju</w:t>
      </w:r>
      <w:r w:rsidR="00B607E6"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būvniecības (turpmāk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>– būvniecība) procesa kontroli un tiesiskumu nodrošina institūcija, kura pilda būvvaldes funkcijas:</w:t>
      </w:r>
    </w:p>
    <w:p w14:paraId="7BB3A99C" w14:textId="77777777" w:rsidR="00177A75" w:rsidRPr="000729F7" w:rsidRDefault="00B607E6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>.1. Būvniecības likuma 6.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panta pirmās daļas 1. un 1.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>punktā minētajos gadījumos – Būvniecības valsts kontroles birojs (turpmāk – birojs);</w:t>
      </w:r>
    </w:p>
    <w:p w14:paraId="7BB3A99D" w14:textId="4DBD1398" w:rsidR="00177A75" w:rsidRPr="00903947" w:rsidRDefault="00B607E6" w:rsidP="00DB3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 citos gadījumos 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attiecīgās administratīvās teritorijas būvvalde.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7BB3A99E" w14:textId="77777777" w:rsidR="00F127A0" w:rsidRDefault="00F127A0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9F" w14:textId="77777777" w:rsidR="0098076E" w:rsidRDefault="00B607E6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Izteikt 13. punktu šādā redakcijā:</w:t>
      </w:r>
    </w:p>
    <w:p w14:paraId="7BB3A9A0" w14:textId="77777777" w:rsidR="0098076E" w:rsidRDefault="0098076E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A1" w14:textId="3BF7B46F" w:rsidR="0098076E" w:rsidRDefault="001571C2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"13. 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>Būvniecības ieceres dokumentāciju (paskaidrojuma raksts, paskaidrojuma raksts inženierbūves konservācijai,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>apliecinājuma karte, būvprojekt</w:t>
      </w:r>
      <w:r w:rsidR="00FC115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minimālā sastāvā) izstrādā trijos oriģinālos eksemplāros, bet 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Būvniecības likuma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607E6" w:rsidRPr="003A2D6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panta pirmās daļas 1. punktā minētajos gadījumos – četros eksemplāros (izņemot būvprojektu minimālā sastāvā).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>Vien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eksemplār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glabā 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institūcij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, kura pilda būvvaldes funkcijas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pa vienam eksemplāram pie būvniecības ierosinātāja un </w:t>
      </w:r>
      <w:proofErr w:type="spellStart"/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>būvspeciālista</w:t>
      </w:r>
      <w:proofErr w:type="spellEnd"/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vai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>būvkomersanta, un Būvniecības likuma 6.</w:t>
      </w:r>
      <w:r w:rsidR="00B607E6" w:rsidRPr="003A2D6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panta pirmās daļas 1. 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>punktā minētajos gadījumos – birojā. Būvniecības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98076E">
        <w:rPr>
          <w:rFonts w:ascii="Times New Roman" w:hAnsi="Times New Roman" w:cs="Times New Roman"/>
          <w:color w:val="000000" w:themeColor="text1"/>
          <w:sz w:val="28"/>
          <w:szCs w:val="28"/>
        </w:rPr>
        <w:t>ieceres dokumentāciju izstrādā vienā eksemplārā, ja dokuments ir sagatavots un iesniegts elektroniski.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737E111C" w14:textId="4663679E" w:rsidR="00536346" w:rsidRDefault="00536346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8AE965" w14:textId="11AE02B1" w:rsidR="00536346" w:rsidRDefault="00536346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Izteikt 16. punkta pirmo teikumu šādā redakcijā:</w:t>
      </w:r>
    </w:p>
    <w:p w14:paraId="50A9D84B" w14:textId="1EDB88B8" w:rsidR="00536346" w:rsidRDefault="00536346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18BBA8" w14:textId="41DBB545" w:rsidR="00536346" w:rsidRPr="00536346" w:rsidRDefault="00536346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46">
        <w:rPr>
          <w:rFonts w:ascii="Times New Roman" w:hAnsi="Times New Roman" w:cs="Times New Roman"/>
          <w:sz w:val="28"/>
          <w:szCs w:val="28"/>
        </w:rPr>
        <w:t>"</w:t>
      </w:r>
      <w:r w:rsidRPr="00536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jaunas būves būvniecībai 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6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saskaņojusi būvniecības ieceres dokumentāciju, šīs plānotās būves papildu inženiertīkla pievada būvniecībai var iesniegt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minētajā institūcijā</w:t>
      </w:r>
      <w:r w:rsidRPr="00536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atsevišķu būvniecības ieceres dokumentāciju.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7BB3A9A2" w14:textId="77777777" w:rsidR="0098076E" w:rsidRPr="00063E25" w:rsidRDefault="0098076E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A3" w14:textId="7E5E7563" w:rsidR="00583CDB" w:rsidRDefault="006232FC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949D2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F2A7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izstāt 38.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F2A7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un 39.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skaitli un vārdus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panta otrajā daļā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skaitli un vārdu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pantā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C4A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4A38FF" w14:textId="025ADB02" w:rsidR="006232FC" w:rsidRDefault="006232FC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909199" w14:textId="53F1DCDE" w:rsidR="006232FC" w:rsidRDefault="006232FC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Izteikt 49. punktu šādā redakcijā:</w:t>
      </w:r>
    </w:p>
    <w:p w14:paraId="00B30FD0" w14:textId="77777777" w:rsidR="006232FC" w:rsidRDefault="006232FC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A989C" w14:textId="3F2858C8" w:rsidR="006232FC" w:rsidRPr="006232FC" w:rsidRDefault="006232FC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232FC">
        <w:rPr>
          <w:rFonts w:ascii="Times New Roman" w:hAnsi="Times New Roman" w:cs="Times New Roman"/>
          <w:sz w:val="28"/>
          <w:szCs w:val="28"/>
          <w:shd w:val="clear" w:color="auto" w:fill="FFFFFF"/>
        </w:rPr>
        <w:t>49. </w:t>
      </w:r>
      <w:r w:rsidR="007673D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7673D2"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>nstitūcija, kura pilda būvvaldes funkcijas</w:t>
      </w:r>
      <w:r w:rsidRPr="00623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izvērtējot būvniecības ieceres dokumentāciju un būvniecības iesniegumā norādīto informāciju, būvatļaujas projektēšanas nosacījumos var noteikt mazāku izstrādājamo un </w:t>
      </w:r>
      <w:r w:rsidR="007673D2">
        <w:rPr>
          <w:rFonts w:ascii="Times New Roman" w:hAnsi="Times New Roman" w:cs="Times New Roman"/>
          <w:sz w:val="28"/>
          <w:szCs w:val="28"/>
          <w:shd w:val="clear" w:color="auto" w:fill="FFFFFF"/>
        </w:rPr>
        <w:t>minētajā institūcijā</w:t>
      </w:r>
      <w:r w:rsidRPr="00623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iesniedzamo būvprojekta daļu (sadaļu) skaitu, nekā noteikts otrās vai trešās grupas inženierbūves būvprojektam, ja plānota otrās vai trešās grupas inženierbūves atjaunošana, pārbūve vai restaurācija.</w:t>
      </w:r>
      <w:r w:rsidR="007673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7BB3A9A4" w14:textId="77777777" w:rsidR="009D3FCB" w:rsidRPr="00063E25" w:rsidRDefault="009D3FCB" w:rsidP="00DB3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A5" w14:textId="6D3585C0" w:rsidR="00AF2A76" w:rsidRDefault="007673D2" w:rsidP="00DB357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949D2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Aizstāt 75.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skaitli un vārdus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panta trešajā daļā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skaitli un vārdu 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B607E6" w:rsidRPr="00063E2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383810" w:rsidRPr="00063E2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="00F6143D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pantā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6143D"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B3A9A6" w14:textId="77777777" w:rsidR="005E6F5C" w:rsidRDefault="005E6F5C" w:rsidP="00DB357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A7" w14:textId="286270F1" w:rsidR="005E6F5C" w:rsidRDefault="007673D2" w:rsidP="00DB357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. Izteikt 80.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7BB3A9A8" w14:textId="77777777" w:rsidR="005E6F5C" w:rsidRDefault="005E6F5C" w:rsidP="00DB357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A9" w14:textId="5D0375DC" w:rsidR="005E6F5C" w:rsidRDefault="001571C2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E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80. 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Izstrādātā būvprojekta oriģinālu (ar atbildīgā būvprojekta izstrādātāja un </w:t>
      </w:r>
      <w:r w:rsidR="007F7DBF">
        <w:rPr>
          <w:rFonts w:ascii="Times New Roman" w:hAnsi="Times New Roman" w:cs="Times New Roman"/>
          <w:color w:val="000000" w:themeColor="text1"/>
          <w:sz w:val="28"/>
          <w:szCs w:val="28"/>
        </w:rPr>
        <w:t>būvniecības ierosinātāja</w:t>
      </w:r>
      <w:r w:rsidR="007F7DBF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>oriģināliem parakstiem un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>saskaņojumiem uz būvprojekta ģenerālplāna rasējuma lapas) trijos eksemplāros (Būvniecības likuma 6.</w:t>
      </w:r>
      <w:r w:rsidR="00B607E6" w:rsidRPr="00E72C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panta pirmās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>daļas 1. punktā minētajos gadījumos – četros eksemplāros), ja nepieciešams, pievienojot būvprojekta ekspertīzes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atzinumu, iesniedz 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institūcijā, kura pilda būvvaldes funkcijas</w:t>
      </w:r>
      <w:r w:rsidR="00DB35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būvatļaujas projektēšanas nosacījumu izpildes termiņa laikā. Vienu eksemplāru glabā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institūcijā, kura pilda būvvaldes funkcijas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pa vienam eksemplāram pie </w:t>
      </w:r>
      <w:r w:rsidR="007F7DBF">
        <w:rPr>
          <w:rFonts w:ascii="Times New Roman" w:hAnsi="Times New Roman" w:cs="Times New Roman"/>
          <w:color w:val="000000" w:themeColor="text1"/>
          <w:sz w:val="28"/>
          <w:szCs w:val="28"/>
        </w:rPr>
        <w:t>būvniecības ierosinātāja</w:t>
      </w:r>
      <w:r w:rsidR="007F7DBF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būvprojekta izstrādātāja vai atbildīgā </w:t>
      </w:r>
      <w:proofErr w:type="spellStart"/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>būvspeciālista</w:t>
      </w:r>
      <w:proofErr w:type="spellEnd"/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attiecīgajā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>projektēšanas jomā</w:t>
      </w:r>
      <w:r w:rsidR="004916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Būvniecības likuma 6.</w:t>
      </w:r>
      <w:r w:rsidR="00B607E6" w:rsidRPr="00E72C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49168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>panta pirmās daļas 1.</w:t>
      </w:r>
      <w:r w:rsidR="0049168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>punktā minētajos gadījumos – birojā.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5E6F5C">
        <w:rPr>
          <w:rFonts w:ascii="Times New Roman" w:hAnsi="Times New Roman" w:cs="Times New Roman"/>
          <w:color w:val="000000" w:themeColor="text1"/>
          <w:sz w:val="28"/>
          <w:szCs w:val="28"/>
        </w:rPr>
        <w:t>Būvprojektu iesniedz vienā eksemplārā, ja dokuments ir sagata</w:t>
      </w:r>
      <w:r w:rsidR="009B0FB3">
        <w:rPr>
          <w:rFonts w:ascii="Times New Roman" w:hAnsi="Times New Roman" w:cs="Times New Roman"/>
          <w:color w:val="000000" w:themeColor="text1"/>
          <w:sz w:val="28"/>
          <w:szCs w:val="28"/>
        </w:rPr>
        <w:t>vots un iesniegts elektroniski.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68CD548F" w14:textId="2831D169" w:rsidR="007673D2" w:rsidRPr="00DD010D" w:rsidRDefault="007673D2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B6C5C" w14:textId="6254AA00" w:rsidR="007673D2" w:rsidRDefault="007673D2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Izteikt 84. punktu šādā redakcijā:</w:t>
      </w:r>
    </w:p>
    <w:p w14:paraId="650AABB9" w14:textId="656ABD5C" w:rsidR="00443202" w:rsidRPr="00DD010D" w:rsidRDefault="00443202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212C3" w14:textId="5E194402" w:rsidR="007673D2" w:rsidRDefault="007673D2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7673D2">
        <w:rPr>
          <w:rFonts w:ascii="Times New Roman" w:hAnsi="Times New Roman" w:cs="Times New Roman"/>
          <w:sz w:val="28"/>
          <w:szCs w:val="28"/>
          <w:shd w:val="clear" w:color="auto" w:fill="FFFFFF"/>
        </w:rPr>
        <w:t>84. </w:t>
      </w:r>
      <w:r w:rsidR="00443202" w:rsidRPr="008C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Pēc tam kad būvniecības ierosinātājs novērsis trūkumus, </w:t>
      </w:r>
      <w:r w:rsidR="00443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kurus </w:t>
      </w:r>
      <w:r w:rsidR="00443202" w:rsidRPr="008C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konstatējusi </w:t>
      </w:r>
      <w:r w:rsidR="00443202" w:rsidRPr="008C04A8">
        <w:rPr>
          <w:rFonts w:ascii="Times New Roman" w:hAnsi="Times New Roman" w:cs="Times New Roman"/>
          <w:sz w:val="28"/>
          <w:szCs w:val="28"/>
        </w:rPr>
        <w:t>institūcija, kura pilda būvvaldes funkcijas,</w:t>
      </w:r>
      <w:r w:rsidR="00443202" w:rsidRPr="008C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būvniecības ierosinātājs atkārtoti būvatļaujas projektēšanas nosacījumu izpildes termiņa laikā iesniedz būvprojektu izvērtēšanai minētajā institūcijā</w:t>
      </w:r>
      <w:r w:rsidRPr="007673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320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0A52D9F9" w14:textId="5606895F" w:rsidR="0016319F" w:rsidRDefault="0016319F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D0F846" w14:textId="558292D2" w:rsidR="0016319F" w:rsidRDefault="0016319F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Izteikt 89. </w:t>
      </w:r>
      <w:r w:rsidR="00BE1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90.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5D2F40C5" w14:textId="78D4AC37" w:rsidR="0016319F" w:rsidRPr="00DD010D" w:rsidRDefault="0016319F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8C9D25" w14:textId="1E283978" w:rsidR="00BE13DD" w:rsidRDefault="005776BD" w:rsidP="00DD0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6319F" w:rsidRP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>89. Ja saskaņā ar šo noteikumu </w:t>
      </w:r>
      <w:hyperlink r:id="rId7" w:anchor="p88" w:tgtFrame="_blank" w:history="1">
        <w:r w:rsidR="0016319F" w:rsidRPr="0016319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88.</w:t>
        </w:r>
      </w:hyperlink>
      <w:r w:rsidR="0016319F" w:rsidRP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punktu ir veikta atkārtota būvniecības ieceres izvērtēšana, būvatļauju (būvdarbu veikšanas ilgumu) pagarina uz </w:t>
      </w:r>
      <w:r w:rsidR="0016319F" w:rsidRPr="008C0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laiku, ko noteikusi </w:t>
      </w:r>
      <w:r w:rsidR="0016319F" w:rsidRPr="008C04A8">
        <w:rPr>
          <w:rFonts w:ascii="Times New Roman" w:hAnsi="Times New Roman" w:cs="Times New Roman"/>
          <w:sz w:val="28"/>
          <w:szCs w:val="28"/>
        </w:rPr>
        <w:t>institūcija, kura pilda būvvaldes funkcijas</w:t>
      </w:r>
      <w:r w:rsidR="0016319F" w:rsidRP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bet ne ilgāk kā uz </w:t>
      </w:r>
      <w:r w:rsid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>trijiem</w:t>
      </w:r>
      <w:r w:rsidR="0016319F" w:rsidRP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gadiem, ja </w:t>
      </w:r>
      <w:r w:rsid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>minētajā institūcijā</w:t>
      </w:r>
      <w:r w:rsidR="0016319F" w:rsidRP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iesniegts inženierbūves </w:t>
      </w:r>
      <w:proofErr w:type="spellStart"/>
      <w:r w:rsidR="0016319F" w:rsidRP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>izpildmērījums</w:t>
      </w:r>
      <w:proofErr w:type="spellEnd"/>
      <w:r w:rsidR="0016319F" w:rsidRP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šo noteikumu </w:t>
      </w:r>
      <w:hyperlink r:id="rId8" w:anchor="p146" w:tgtFrame="_blank" w:history="1">
        <w:r w:rsidR="0016319F" w:rsidRPr="0016319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146.</w:t>
        </w:r>
      </w:hyperlink>
      <w:r w:rsid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> punktā minētajos gadījumos un</w:t>
      </w:r>
      <w:r w:rsidR="0016319F" w:rsidRP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atbilstoša attiecīgā būvdarbu veicēja civiltiesiskās atbildības obligātās apdrošināšanas polises kopija. Ja inženierbūve minētajā termiņā netiek nodota ekspluatācijā un ir mainījušies faktiskie vai tiesiskie apstākļi, uz kuru pamata tika uzsākta būvniecība, </w:t>
      </w:r>
      <w:r w:rsidR="0016319F" w:rsidRPr="008C04A8">
        <w:rPr>
          <w:rFonts w:ascii="Times New Roman" w:hAnsi="Times New Roman" w:cs="Times New Roman"/>
          <w:sz w:val="28"/>
          <w:szCs w:val="28"/>
        </w:rPr>
        <w:t>institūcija, kura pilda būvvaldes funkcijas</w:t>
      </w:r>
      <w:r w:rsidR="0016319F">
        <w:rPr>
          <w:rFonts w:ascii="Times New Roman" w:hAnsi="Times New Roman" w:cs="Times New Roman"/>
          <w:sz w:val="28"/>
          <w:szCs w:val="28"/>
        </w:rPr>
        <w:t>,</w:t>
      </w:r>
      <w:r w:rsidR="0016319F" w:rsidRPr="00163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var pieņem lēmumu par pašvaldības teritorijas plānojumam neatbilstošas inženierbūves nojaukšanu.</w:t>
      </w:r>
    </w:p>
    <w:p w14:paraId="24B60D1E" w14:textId="77777777" w:rsidR="00BE13DD" w:rsidRDefault="00BE13DD" w:rsidP="00DD0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16BEF3" w14:textId="169E38E9" w:rsidR="00DD010D" w:rsidRDefault="00DD010D" w:rsidP="00DD010D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90. Ja inženierbūve, kurai nav veikts ietekmes uz vidi novērtējums atbil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sto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ši likumam "</w:t>
      </w:r>
      <w:hyperlink r:id="rId9" w:tgtFrame="_blank" w:history="1">
        <w:r w:rsidRPr="00DD01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Par ietekmes uz vidi novērtējumu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", vai tās kārta (ja inženierbūvi pare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dzēts īstenot pa kārtām) nav nodota ekspluatācijā noteiktajā termiņā, būv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at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ļau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ju (būvdarbu veikšanas ilgumu) pagarina uz laiku, ko pieprasījis būvniecības iero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si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nātājs, ja </w:t>
      </w:r>
      <w:r w:rsidRPr="00DD0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institūcijā, kura pilda būvvaldes funkciju,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ir iesniegts inženier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bū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ves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izpildmērījums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šo noteikumu </w:t>
      </w:r>
      <w:hyperlink r:id="rId10" w:anchor="p146" w:tgtFrame="_blank" w:history="1">
        <w:r w:rsidRPr="00DD01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146.</w:t>
        </w:r>
      </w:hyperlink>
      <w:r w:rsidRPr="00DD01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punktā minētajos gadījumos un atbilstoša attiecīgā būvdarbu veicēja civiltiesiskās atbildības obligātās apdrošināšanas polises kopija."</w:t>
      </w:r>
    </w:p>
    <w:p w14:paraId="7BB3A9AA" w14:textId="77777777" w:rsidR="003138AA" w:rsidRDefault="003138AA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AB" w14:textId="0206A547" w:rsidR="003138AA" w:rsidRDefault="00F8756A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Izteikt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136. un 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137.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0687FE9E" w14:textId="2A3FA6A7" w:rsidR="00F8756A" w:rsidRDefault="00F8756A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E9116F" w14:textId="095A0F13" w:rsidR="00F8756A" w:rsidRPr="00F8756A" w:rsidRDefault="00F8756A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F87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136. Ja atbilstoši kompetencei iestāde, kas nav </w:t>
      </w:r>
      <w:r w:rsidRPr="00F8756A">
        <w:rPr>
          <w:rFonts w:ascii="Times New Roman" w:hAnsi="Times New Roman" w:cs="Times New Roman"/>
          <w:sz w:val="28"/>
          <w:szCs w:val="28"/>
        </w:rPr>
        <w:t>institūcija, kura pilda būvvaldes funkcijas</w:t>
      </w:r>
      <w:r w:rsidRPr="00F8756A">
        <w:rPr>
          <w:rFonts w:ascii="Times New Roman" w:hAnsi="Times New Roman" w:cs="Times New Roman"/>
          <w:sz w:val="28"/>
          <w:szCs w:val="28"/>
          <w:shd w:val="clear" w:color="auto" w:fill="FFFFFF"/>
        </w:rPr>
        <w:t>, ir apturējusi būvdarbus, tā nekavējoties par to informē minēto institūciju.</w:t>
      </w:r>
    </w:p>
    <w:p w14:paraId="7BB3A9AC" w14:textId="265C4E07" w:rsidR="003138AA" w:rsidRPr="00DD010D" w:rsidRDefault="003138AA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3A9AD" w14:textId="4A25A3C3" w:rsidR="003138AA" w:rsidRDefault="002E1AF6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137. 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</w:t>
      </w:r>
      <w:r w:rsidR="001C05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07E6" w:rsidRPr="0031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darbdienu laikā pēc šo noteikumu 134. un 136. punktā minētās informācijas saņemšanas apseko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3138AA">
        <w:rPr>
          <w:rFonts w:ascii="Times New Roman" w:hAnsi="Times New Roman" w:cs="Times New Roman"/>
          <w:color w:val="000000" w:themeColor="text1"/>
          <w:sz w:val="28"/>
          <w:szCs w:val="28"/>
        </w:rPr>
        <w:t>objektu un pieņem lēmumu par atļauju pārtraukt būvdarbus, saskaņo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3138AA">
        <w:rPr>
          <w:rFonts w:ascii="Times New Roman" w:hAnsi="Times New Roman" w:cs="Times New Roman"/>
          <w:color w:val="000000" w:themeColor="text1"/>
          <w:sz w:val="28"/>
          <w:szCs w:val="28"/>
        </w:rPr>
        <w:t>inženierbūves konservācijas darbu veikšanas projektu vai, ja nepieciešams, pieņem lēmumu par inženierbūves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3138AA">
        <w:rPr>
          <w:rFonts w:ascii="Times New Roman" w:hAnsi="Times New Roman" w:cs="Times New Roman"/>
          <w:color w:val="000000" w:themeColor="text1"/>
          <w:sz w:val="28"/>
          <w:szCs w:val="28"/>
        </w:rPr>
        <w:t>konservāciju.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21084DE1" w14:textId="56A062A4" w:rsidR="001C0525" w:rsidRDefault="001C052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F5065E" w14:textId="1A9CA331" w:rsidR="001C0525" w:rsidRDefault="001C052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Izteikt 138. punkta ievaddaļu šādā redakcijā:</w:t>
      </w:r>
    </w:p>
    <w:p w14:paraId="062D4D38" w14:textId="77777777" w:rsidR="00DD010D" w:rsidRDefault="00DD010D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AAFA71" w14:textId="468E82AA" w:rsidR="001C0525" w:rsidRDefault="001C052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525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1C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138. Ja pēc objekta apsekošanas konstatēta inženierbūves konservācijas nepieciešamība un būvniecības ierosinātājs nav iesniedzis </w:t>
      </w:r>
      <w:r w:rsidRPr="001C0525">
        <w:rPr>
          <w:rFonts w:ascii="Times New Roman" w:hAnsi="Times New Roman" w:cs="Times New Roman"/>
          <w:sz w:val="28"/>
          <w:szCs w:val="28"/>
        </w:rPr>
        <w:t>institūcijā, kura pilda būvvaldes funkcijas,</w:t>
      </w:r>
      <w:r w:rsidRPr="001C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inženierbūves konservācijas darbu veikšanas projektu, minētā institūcija lēmumā par inženierbūves konservāciju norāda:".</w:t>
      </w:r>
    </w:p>
    <w:p w14:paraId="64379F34" w14:textId="44E379DD" w:rsidR="001C0525" w:rsidRDefault="001C052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C6E34E" w14:textId="5DF66D86" w:rsidR="001C0525" w:rsidRDefault="001C052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 Izteikt 142. punktu šādā redakcijā:</w:t>
      </w:r>
    </w:p>
    <w:p w14:paraId="51D4A32B" w14:textId="65847B44" w:rsidR="001C0525" w:rsidRDefault="001C052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79C6F5" w14:textId="13E9596B" w:rsidR="001C0525" w:rsidRDefault="001C052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Start"/>
      <w:r w:rsidRPr="001C0525">
        <w:rPr>
          <w:rFonts w:ascii="Times New Roman" w:hAnsi="Times New Roman" w:cs="Times New Roman"/>
          <w:sz w:val="28"/>
          <w:szCs w:val="28"/>
          <w:shd w:val="clear" w:color="auto" w:fill="FFFFFF"/>
        </w:rPr>
        <w:t>142.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525">
        <w:rPr>
          <w:rFonts w:ascii="Times New Roman" w:hAnsi="Times New Roman" w:cs="Times New Roman"/>
          <w:sz w:val="28"/>
          <w:szCs w:val="28"/>
          <w:shd w:val="clear" w:color="auto" w:fill="FFFFFF"/>
        </w:rPr>
        <w:t>Būvdarbi</w:t>
      </w:r>
      <w:proofErr w:type="gramEnd"/>
      <w:r w:rsidRPr="001C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uzskatāmi par pārtrauktiem ar brīdi, kad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funkcijas,</w:t>
      </w:r>
      <w:r w:rsidRPr="001C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pieņēmusi lēmumu par atļauju apturēt būvdarbus vai kad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būvniecības ierosinātājs</w:t>
      </w:r>
      <w:r w:rsidRPr="001C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pabeidzis inženierbūves konservācijas darbus atbilstoši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minētās institūcijas</w:t>
      </w:r>
      <w:r w:rsidRPr="001C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saskaņotajam inženierbūves konservācijas darbu veikšanas projektam.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7A182413" w14:textId="0B2CF4AD" w:rsidR="001C0525" w:rsidRDefault="001C052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B3496B" w14:textId="26EC9C04" w:rsidR="001C0525" w:rsidRDefault="001C052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 Izteikt 144. un 145. punktu šādā redakcijā:</w:t>
      </w:r>
    </w:p>
    <w:p w14:paraId="1F7A2EDB" w14:textId="2D6453FD" w:rsidR="001C0525" w:rsidRDefault="001C052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AF9E46" w14:textId="5057B549" w:rsidR="001C0525" w:rsidRDefault="004646B7" w:rsidP="001C0525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C0525" w:rsidRPr="001C0525">
        <w:rPr>
          <w:sz w:val="28"/>
          <w:szCs w:val="28"/>
        </w:rPr>
        <w:t xml:space="preserve">144. Ja </w:t>
      </w:r>
      <w:r>
        <w:rPr>
          <w:color w:val="000000" w:themeColor="text1"/>
          <w:sz w:val="28"/>
          <w:szCs w:val="28"/>
        </w:rPr>
        <w:t xml:space="preserve">institūcija, </w:t>
      </w:r>
      <w:proofErr w:type="gramStart"/>
      <w:r>
        <w:rPr>
          <w:color w:val="000000" w:themeColor="text1"/>
          <w:sz w:val="28"/>
          <w:szCs w:val="28"/>
        </w:rPr>
        <w:t>kura pilda būvvaldes funkcijas,</w:t>
      </w:r>
      <w:r w:rsidRPr="001C0525">
        <w:rPr>
          <w:sz w:val="28"/>
          <w:szCs w:val="28"/>
        </w:rPr>
        <w:t xml:space="preserve"> </w:t>
      </w:r>
      <w:r w:rsidR="001C0525" w:rsidRPr="001C0525">
        <w:rPr>
          <w:sz w:val="28"/>
          <w:szCs w:val="28"/>
        </w:rPr>
        <w:t>pēc būvdarbu pārtrauk</w:t>
      </w:r>
      <w:r w:rsidR="00DD010D">
        <w:rPr>
          <w:sz w:val="28"/>
          <w:szCs w:val="28"/>
        </w:rPr>
        <w:softHyphen/>
      </w:r>
      <w:r w:rsidR="001C0525" w:rsidRPr="001C0525">
        <w:rPr>
          <w:sz w:val="28"/>
          <w:szCs w:val="28"/>
        </w:rPr>
        <w:t>ša</w:t>
      </w:r>
      <w:r w:rsidR="00DD010D">
        <w:rPr>
          <w:sz w:val="28"/>
          <w:szCs w:val="28"/>
        </w:rPr>
        <w:softHyphen/>
      </w:r>
      <w:r w:rsidR="001C0525" w:rsidRPr="001C0525">
        <w:rPr>
          <w:sz w:val="28"/>
          <w:szCs w:val="28"/>
        </w:rPr>
        <w:t>nas vēlākā laikposmā konstatē, ka inženierbūve var radīt bīstamību videi vai cilvē</w:t>
      </w:r>
      <w:r w:rsidR="00DD010D">
        <w:rPr>
          <w:sz w:val="28"/>
          <w:szCs w:val="28"/>
        </w:rPr>
        <w:softHyphen/>
      </w:r>
      <w:r w:rsidR="001C0525" w:rsidRPr="001C0525">
        <w:rPr>
          <w:sz w:val="28"/>
          <w:szCs w:val="28"/>
        </w:rPr>
        <w:t xml:space="preserve">ku dzīvībai un veselībai vai </w:t>
      </w:r>
      <w:r w:rsidR="00D273D3">
        <w:rPr>
          <w:sz w:val="28"/>
          <w:szCs w:val="28"/>
        </w:rPr>
        <w:t xml:space="preserve">tai </w:t>
      </w:r>
      <w:r w:rsidR="001C0525" w:rsidRPr="001C0525">
        <w:rPr>
          <w:sz w:val="28"/>
          <w:szCs w:val="28"/>
        </w:rPr>
        <w:t>ir bīstami bojātas</w:t>
      </w:r>
      <w:r>
        <w:rPr>
          <w:sz w:val="28"/>
          <w:szCs w:val="28"/>
        </w:rPr>
        <w:t xml:space="preserve"> </w:t>
      </w:r>
      <w:r w:rsidR="001C0525" w:rsidRPr="001C0525">
        <w:rPr>
          <w:sz w:val="28"/>
          <w:szCs w:val="28"/>
        </w:rPr>
        <w:t xml:space="preserve">konstrukcijas, </w:t>
      </w:r>
      <w:r>
        <w:rPr>
          <w:sz w:val="28"/>
          <w:szCs w:val="28"/>
        </w:rPr>
        <w:t>minētā</w:t>
      </w:r>
      <w:r w:rsidR="00D273D3">
        <w:rPr>
          <w:sz w:val="28"/>
          <w:szCs w:val="28"/>
        </w:rPr>
        <w:t xml:space="preserve"> institūcija</w:t>
      </w:r>
      <w:proofErr w:type="gramEnd"/>
      <w:r w:rsidR="001C0525" w:rsidRPr="001C0525">
        <w:rPr>
          <w:sz w:val="28"/>
          <w:szCs w:val="28"/>
        </w:rPr>
        <w:t xml:space="preserve"> pieņem lēmumu par inženierbūves konservāciju šajā nodaļā minētajā kārtībā.</w:t>
      </w:r>
    </w:p>
    <w:p w14:paraId="41CA6766" w14:textId="77777777" w:rsidR="001C0525" w:rsidRPr="001C0525" w:rsidRDefault="001C0525" w:rsidP="001C0525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14:paraId="2757DFD0" w14:textId="5ED99052" w:rsidR="001C0525" w:rsidRPr="001C0525" w:rsidRDefault="001C0525" w:rsidP="001C0525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bookmarkStart w:id="1" w:name="p145"/>
      <w:bookmarkStart w:id="2" w:name="p-624950"/>
      <w:bookmarkEnd w:id="1"/>
      <w:bookmarkEnd w:id="2"/>
      <w:r w:rsidRPr="001C0525">
        <w:rPr>
          <w:sz w:val="28"/>
          <w:szCs w:val="28"/>
        </w:rPr>
        <w:t xml:space="preserve">145. Ja pēc būvdarbu apturēšanas </w:t>
      </w:r>
      <w:r w:rsidR="00D273D3">
        <w:rPr>
          <w:color w:val="000000" w:themeColor="text1"/>
          <w:sz w:val="28"/>
          <w:szCs w:val="28"/>
        </w:rPr>
        <w:t>institūcija, kura pilda būvvaldes fun</w:t>
      </w:r>
      <w:r w:rsidR="00DD010D">
        <w:rPr>
          <w:color w:val="000000" w:themeColor="text1"/>
          <w:sz w:val="28"/>
          <w:szCs w:val="28"/>
        </w:rPr>
        <w:softHyphen/>
      </w:r>
      <w:r w:rsidR="00D273D3">
        <w:rPr>
          <w:color w:val="000000" w:themeColor="text1"/>
          <w:sz w:val="28"/>
          <w:szCs w:val="28"/>
        </w:rPr>
        <w:t>kci</w:t>
      </w:r>
      <w:r w:rsidR="00DD010D">
        <w:rPr>
          <w:color w:val="000000" w:themeColor="text1"/>
          <w:sz w:val="28"/>
          <w:szCs w:val="28"/>
        </w:rPr>
        <w:softHyphen/>
      </w:r>
      <w:r w:rsidR="00D273D3">
        <w:rPr>
          <w:color w:val="000000" w:themeColor="text1"/>
          <w:sz w:val="28"/>
          <w:szCs w:val="28"/>
        </w:rPr>
        <w:t>jas,</w:t>
      </w:r>
      <w:r w:rsidRPr="001C0525">
        <w:rPr>
          <w:sz w:val="28"/>
          <w:szCs w:val="28"/>
        </w:rPr>
        <w:t xml:space="preserve"> konstatē, ka nepieciešama inženierbūves konservācija, </w:t>
      </w:r>
      <w:r w:rsidR="00555E14">
        <w:rPr>
          <w:sz w:val="28"/>
          <w:szCs w:val="28"/>
        </w:rPr>
        <w:t xml:space="preserve">minētā institūcija </w:t>
      </w:r>
      <w:r w:rsidRPr="001C0525">
        <w:rPr>
          <w:sz w:val="28"/>
          <w:szCs w:val="28"/>
        </w:rPr>
        <w:t>pieņem lēmumu par inženierbūves konservāciju šajā nodaļā minētajā kārtībā.</w:t>
      </w:r>
      <w:r w:rsidR="00555E14">
        <w:rPr>
          <w:sz w:val="28"/>
          <w:szCs w:val="28"/>
        </w:rPr>
        <w:t>"</w:t>
      </w:r>
    </w:p>
    <w:p w14:paraId="7BB3A9AF" w14:textId="77777777" w:rsidR="009D3FCB" w:rsidRPr="001C0525" w:rsidRDefault="009D3FCB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3A9B0" w14:textId="4990B07D" w:rsidR="003138AA" w:rsidRDefault="00555E14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. Izteikt 163.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punkta ievaddaļu šādā redakcijā:</w:t>
      </w:r>
    </w:p>
    <w:p w14:paraId="7BB3A9B1" w14:textId="77777777" w:rsidR="00E72CD3" w:rsidRDefault="00E72CD3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B2" w14:textId="2762631E" w:rsidR="00E72CD3" w:rsidRDefault="001571C2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E1AF6">
        <w:rPr>
          <w:rFonts w:ascii="Times New Roman" w:hAnsi="Times New Roman" w:cs="Times New Roman"/>
          <w:color w:val="000000" w:themeColor="text1"/>
          <w:sz w:val="28"/>
          <w:szCs w:val="28"/>
        </w:rPr>
        <w:t>163.</w:t>
      </w:r>
      <w:r w:rsidR="00555E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 w:rsidRPr="00E72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Ierosinot inženierbūves pieņemšanu ekspluatācijā, </w:t>
      </w:r>
      <w:r w:rsidR="007F7DBF">
        <w:rPr>
          <w:rFonts w:ascii="Times New Roman" w:hAnsi="Times New Roman" w:cs="Times New Roman"/>
          <w:color w:val="000000" w:themeColor="text1"/>
          <w:sz w:val="28"/>
          <w:szCs w:val="28"/>
        </w:rPr>
        <w:t>būvniecības ierosinātājs</w:t>
      </w:r>
      <w:r w:rsidR="007F7DBF" w:rsidRPr="00E72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institūcijā, kura pilda būvvaldes funkcijas</w:t>
      </w:r>
      <w:r w:rsidR="00FC11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iesniedz šādus dokumentus: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E1A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B3A9B3" w14:textId="77777777" w:rsidR="003138AA" w:rsidRDefault="003138AA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B4" w14:textId="5FEFE2D6" w:rsidR="003A2D6C" w:rsidRDefault="00555E14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. Izteikt 165.</w:t>
      </w:r>
      <w:r w:rsidR="001571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7BB3A9B5" w14:textId="77777777" w:rsidR="003A2D6C" w:rsidRDefault="003A2D6C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B6" w14:textId="62987C25" w:rsidR="003A2D6C" w:rsidRDefault="001571C2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E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165. </w:t>
      </w:r>
      <w:r w:rsidR="00B607E6" w:rsidRPr="003A2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Inženierbūvi pieņem ekspluatācijā 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</w:t>
      </w:r>
      <w:r w:rsidR="00B607E6" w:rsidRPr="003A2D6C">
        <w:rPr>
          <w:rFonts w:ascii="Times New Roman" w:hAnsi="Times New Roman" w:cs="Times New Roman"/>
          <w:color w:val="000000" w:themeColor="text1"/>
          <w:sz w:val="28"/>
          <w:szCs w:val="28"/>
        </w:rPr>
        <w:t>. Birojs pieņemšanas procesā pieaicina būvvaldes</w:t>
      </w:r>
      <w:r w:rsidR="00B6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7E6" w:rsidRPr="003A2D6C">
        <w:rPr>
          <w:rFonts w:ascii="Times New Roman" w:hAnsi="Times New Roman" w:cs="Times New Roman"/>
          <w:color w:val="000000" w:themeColor="text1"/>
          <w:sz w:val="28"/>
          <w:szCs w:val="28"/>
        </w:rPr>
        <w:t>amatpersonu, ja būvvalde ir izteikusi vēlmi tajā piedalīties.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7BB3A9B7" w14:textId="10DE21FB" w:rsidR="003A2D6C" w:rsidRDefault="003A2D6C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A65CA" w14:textId="3CECC024" w:rsidR="00555E14" w:rsidRDefault="00555E14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Izteikt 167. punktu šādā redakcijā:</w:t>
      </w:r>
    </w:p>
    <w:p w14:paraId="6193F866" w14:textId="77777777" w:rsidR="00555E14" w:rsidRDefault="00555E14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B6234" w14:textId="65FC4215" w:rsidR="00555E14" w:rsidRDefault="00555E14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555E14">
        <w:rPr>
          <w:rFonts w:ascii="Times New Roman" w:hAnsi="Times New Roman" w:cs="Times New Roman"/>
          <w:sz w:val="28"/>
          <w:szCs w:val="28"/>
          <w:shd w:val="clear" w:color="auto" w:fill="FFFFFF"/>
        </w:rPr>
        <w:t>167. 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funkcijas,</w:t>
      </w:r>
      <w:r w:rsidRPr="0055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novērtē</w:t>
      </w:r>
      <w:r w:rsidRPr="0055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inženierbūves gatavību ekspluatācijai, pamatojoties uz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minētajā institūcijā</w:t>
      </w:r>
      <w:r w:rsidRPr="0055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iesniegtajiem šo noteikumu </w:t>
      </w:r>
      <w:hyperlink r:id="rId11" w:anchor="p163" w:tgtFrame="_blank" w:history="1">
        <w:r w:rsidRPr="00555E1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163.</w:t>
        </w:r>
      </w:hyperlink>
      <w:r w:rsidRPr="00555E14">
        <w:rPr>
          <w:rFonts w:ascii="Times New Roman" w:hAnsi="Times New Roman" w:cs="Times New Roman"/>
          <w:sz w:val="28"/>
          <w:szCs w:val="28"/>
          <w:shd w:val="clear" w:color="auto" w:fill="FFFFFF"/>
        </w:rPr>
        <w:t> punktā minētajiem dokumentiem, kā arī atbilstību normatīvajiem aktiem būvniecības jomā.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6C205DF5" w14:textId="77777777" w:rsidR="005776BD" w:rsidRDefault="005776BD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41FB4A" w14:textId="08317349" w:rsidR="00317E95" w:rsidRDefault="00317E9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19. Izteikt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194. punktu šādā redakcijā:</w:t>
      </w:r>
    </w:p>
    <w:p w14:paraId="030B5EA5" w14:textId="77777777" w:rsidR="00317E95" w:rsidRPr="00317E95" w:rsidRDefault="00317E9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7C2852" w14:textId="3B99BB77" w:rsidR="00317E95" w:rsidRDefault="00317E9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17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194. Šo noteikumu 193.1. apakšpunktā minētā dokumenta oriģinālu un šo noteikumu 193.2., 193.3.  un 193.4. apakšpunktā minēto dokumentu kopijas </w:t>
      </w:r>
      <w:r w:rsidR="00826E14">
        <w:rPr>
          <w:rFonts w:ascii="Times New Roman" w:hAnsi="Times New Roman" w:cs="Times New Roman"/>
          <w:sz w:val="28"/>
          <w:szCs w:val="28"/>
          <w:shd w:val="clear" w:color="auto" w:fill="FFFFFF"/>
        </w:rPr>
        <w:t>būvniecības ierosinātājs</w:t>
      </w:r>
      <w:r w:rsidRPr="00317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nodod glabāšanā</w:t>
      </w:r>
      <w:r w:rsidR="00826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tās</w:t>
      </w:r>
      <w:r w:rsidRPr="00317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E14">
        <w:rPr>
          <w:rFonts w:ascii="Times New Roman" w:hAnsi="Times New Roman" w:cs="Times New Roman"/>
          <w:color w:val="000000" w:themeColor="text1"/>
          <w:sz w:val="28"/>
          <w:szCs w:val="28"/>
        </w:rPr>
        <w:t>institūcijas arhīvā, kura pilda būvvaldes funkcijas</w:t>
      </w:r>
      <w:r w:rsidRPr="00317E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6E1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13B9874B" w14:textId="3873942D" w:rsidR="00826E14" w:rsidRDefault="00826E14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08628E" w14:textId="60241F81" w:rsidR="00826E14" w:rsidRDefault="00826E14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 Izteikt 198. punktu šādā redakcijā:</w:t>
      </w:r>
    </w:p>
    <w:p w14:paraId="3215343F" w14:textId="7282244F" w:rsidR="00826E14" w:rsidRDefault="00826E14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B7D939" w14:textId="302D8C76" w:rsidR="00826E14" w:rsidRPr="00826E14" w:rsidRDefault="00826E14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E14">
        <w:rPr>
          <w:rFonts w:ascii="Times New Roman" w:hAnsi="Times New Roman" w:cs="Times New Roman"/>
          <w:sz w:val="28"/>
          <w:szCs w:val="28"/>
          <w:shd w:val="clear" w:color="auto" w:fill="FFFFFF"/>
        </w:rPr>
        <w:t>"198.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</w:t>
      </w:r>
      <w:r w:rsidRPr="00826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pieņemot inženierbūves nojaukšanu, novērtē inženierbūves nojaukšanas un teritorijas sakārtošanas darbus, pamatojoties uz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minētajā institūcijā</w:t>
      </w:r>
      <w:r w:rsidRPr="00826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iesniegtajiem šo noteikumu </w:t>
      </w:r>
      <w:hyperlink r:id="rId12" w:anchor="p193" w:tgtFrame="_blank" w:history="1">
        <w:r w:rsidRPr="00826E1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193.</w:t>
        </w:r>
      </w:hyperlink>
      <w:r w:rsidRPr="00826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punktā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norādītajiem</w:t>
      </w:r>
      <w:r w:rsidRPr="00826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dokumentiem, kā arī atbilstību normatīvajiem aktiem būvniecības jomā."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36AFD72" w14:textId="77777777" w:rsidR="00317E95" w:rsidRPr="00826E14" w:rsidRDefault="00317E95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546A5" w14:textId="6491D8F6" w:rsidR="001D1B06" w:rsidRPr="008C04A8" w:rsidRDefault="001D1B06" w:rsidP="001D1B0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C04A8">
        <w:rPr>
          <w:rFonts w:ascii="Times New Roman" w:hAnsi="Times New Roman" w:cs="Times New Roman"/>
          <w:sz w:val="28"/>
          <w:szCs w:val="28"/>
        </w:rPr>
        <w:t xml:space="preserve">. Aizstāt 1., 2., </w:t>
      </w:r>
      <w:r w:rsidR="006444BA">
        <w:rPr>
          <w:rFonts w:ascii="Times New Roman" w:hAnsi="Times New Roman" w:cs="Times New Roman"/>
          <w:sz w:val="28"/>
          <w:szCs w:val="28"/>
        </w:rPr>
        <w:t>3</w:t>
      </w:r>
      <w:r w:rsidRPr="008C04A8">
        <w:rPr>
          <w:rFonts w:ascii="Times New Roman" w:hAnsi="Times New Roman" w:cs="Times New Roman"/>
          <w:sz w:val="28"/>
          <w:szCs w:val="28"/>
        </w:rPr>
        <w:t xml:space="preserve">. un </w:t>
      </w:r>
      <w:r w:rsidR="006444BA">
        <w:rPr>
          <w:rFonts w:ascii="Times New Roman" w:hAnsi="Times New Roman" w:cs="Times New Roman"/>
          <w:sz w:val="28"/>
          <w:szCs w:val="28"/>
        </w:rPr>
        <w:t>4</w:t>
      </w:r>
      <w:r w:rsidRPr="008C04A8">
        <w:rPr>
          <w:rFonts w:ascii="Times New Roman" w:hAnsi="Times New Roman" w:cs="Times New Roman"/>
          <w:sz w:val="28"/>
          <w:szCs w:val="28"/>
        </w:rPr>
        <w:t>. pielikumā tekstu "________būvvaldei" ar tekstu</w:t>
      </w:r>
    </w:p>
    <w:p w14:paraId="266411F8" w14:textId="77777777" w:rsidR="001D1B06" w:rsidRPr="008C04A8" w:rsidRDefault="001D1B06" w:rsidP="001D1B0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5709"/>
        <w:gridCol w:w="401"/>
      </w:tblGrid>
      <w:tr w:rsidR="001D1B06" w:rsidRPr="008C04A8" w14:paraId="2966F2AF" w14:textId="77777777" w:rsidTr="00D11B72">
        <w:tc>
          <w:tcPr>
            <w:tcW w:w="236" w:type="dxa"/>
          </w:tcPr>
          <w:p w14:paraId="68120B64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4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174BF34B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57C1304E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4A8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1D1B06" w:rsidRPr="008C04A8" w14:paraId="595D6768" w14:textId="77777777" w:rsidTr="00D11B72">
        <w:tc>
          <w:tcPr>
            <w:tcW w:w="236" w:type="dxa"/>
          </w:tcPr>
          <w:p w14:paraId="6D78EEF3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</w:tcBorders>
          </w:tcPr>
          <w:p w14:paraId="5373D624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8">
              <w:rPr>
                <w:rFonts w:ascii="Times New Roman" w:hAnsi="Times New Roman" w:cs="Times New Roman"/>
                <w:sz w:val="24"/>
                <w:szCs w:val="24"/>
              </w:rPr>
              <w:t>(institūcija, kura pilda būvvaldes funkcijas)</w:t>
            </w:r>
          </w:p>
        </w:tc>
        <w:tc>
          <w:tcPr>
            <w:tcW w:w="331" w:type="dxa"/>
          </w:tcPr>
          <w:p w14:paraId="1DEAF248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54E3E9" w14:textId="77777777" w:rsidR="001D1B06" w:rsidRPr="008C04A8" w:rsidRDefault="001D1B06" w:rsidP="001D1B0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6B84766" w14:textId="2DD92650" w:rsidR="001D1B06" w:rsidRPr="008C04A8" w:rsidRDefault="001D1B06" w:rsidP="001D1B0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C04A8">
        <w:rPr>
          <w:rFonts w:ascii="Times New Roman" w:hAnsi="Times New Roman" w:cs="Times New Roman"/>
          <w:sz w:val="28"/>
          <w:szCs w:val="28"/>
        </w:rPr>
        <w:t>. Aizstāt 7. pielikumā tekstu "</w:t>
      </w:r>
      <w:r w:rsidRPr="008C04A8">
        <w:rPr>
          <w:rFonts w:ascii="Times New Roman" w:hAnsi="Times New Roman" w:cs="Times New Roman"/>
          <w:sz w:val="28"/>
          <w:szCs w:val="28"/>
        </w:rPr>
        <w:softHyphen/>
      </w:r>
      <w:r w:rsidRPr="008C04A8">
        <w:rPr>
          <w:rFonts w:ascii="Times New Roman" w:hAnsi="Times New Roman" w:cs="Times New Roman"/>
          <w:sz w:val="28"/>
          <w:szCs w:val="28"/>
        </w:rPr>
        <w:softHyphen/>
      </w:r>
      <w:r w:rsidRPr="008C04A8">
        <w:rPr>
          <w:rFonts w:ascii="Times New Roman" w:hAnsi="Times New Roman" w:cs="Times New Roman"/>
          <w:sz w:val="28"/>
          <w:szCs w:val="28"/>
        </w:rPr>
        <w:softHyphen/>
      </w:r>
      <w:r w:rsidRPr="008C04A8">
        <w:rPr>
          <w:rFonts w:ascii="Times New Roman" w:hAnsi="Times New Roman" w:cs="Times New Roman"/>
          <w:sz w:val="28"/>
          <w:szCs w:val="28"/>
        </w:rPr>
        <w:softHyphen/>
        <w:t>_________________ būvvaldes" ar tekstu</w:t>
      </w:r>
    </w:p>
    <w:p w14:paraId="0697E14F" w14:textId="77777777" w:rsidR="001D1B06" w:rsidRPr="008C04A8" w:rsidRDefault="001D1B06" w:rsidP="001D1B0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5709"/>
        <w:gridCol w:w="401"/>
      </w:tblGrid>
      <w:tr w:rsidR="001D1B06" w:rsidRPr="008C04A8" w14:paraId="70A753A9" w14:textId="77777777" w:rsidTr="00D11B72">
        <w:tc>
          <w:tcPr>
            <w:tcW w:w="236" w:type="dxa"/>
          </w:tcPr>
          <w:p w14:paraId="0BAB5198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4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4665E90B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4EAA2702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4A8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1D1B06" w:rsidRPr="008C04A8" w14:paraId="13839F31" w14:textId="77777777" w:rsidTr="00D11B72">
        <w:tc>
          <w:tcPr>
            <w:tcW w:w="236" w:type="dxa"/>
          </w:tcPr>
          <w:p w14:paraId="5E4175BA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</w:tcBorders>
          </w:tcPr>
          <w:p w14:paraId="104E39D0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8">
              <w:rPr>
                <w:rFonts w:ascii="Times New Roman" w:hAnsi="Times New Roman" w:cs="Times New Roman"/>
                <w:sz w:val="24"/>
                <w:szCs w:val="24"/>
              </w:rPr>
              <w:t>(institūcija, kura pilda būvvaldes funkcijas)</w:t>
            </w:r>
          </w:p>
        </w:tc>
        <w:tc>
          <w:tcPr>
            <w:tcW w:w="331" w:type="dxa"/>
          </w:tcPr>
          <w:p w14:paraId="240CA0DA" w14:textId="77777777" w:rsidR="001D1B06" w:rsidRPr="008C04A8" w:rsidRDefault="001D1B06" w:rsidP="00D11B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7EE608" w14:textId="77777777" w:rsidR="001D1B06" w:rsidRPr="008C04A8" w:rsidRDefault="001D1B06" w:rsidP="001D1B0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BB3A9B8" w14:textId="77777777" w:rsidR="003A2D6C" w:rsidRDefault="003A2D6C" w:rsidP="00D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3A9B9" w14:textId="77777777" w:rsidR="009E65CB" w:rsidRPr="005E6F5C" w:rsidRDefault="009E65CB" w:rsidP="00DB3573">
      <w:pPr>
        <w:tabs>
          <w:tab w:val="left" w:pos="3438"/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FDD8C" w14:textId="77777777" w:rsidR="001571C2" w:rsidRPr="002C4961" w:rsidRDefault="001571C2" w:rsidP="00DB357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C4961">
        <w:rPr>
          <w:rFonts w:ascii="Times New Roman" w:hAnsi="Times New Roman"/>
          <w:sz w:val="28"/>
        </w:rPr>
        <w:t>Ministru prezidents</w:t>
      </w:r>
      <w:r w:rsidRPr="002C4961">
        <w:rPr>
          <w:rFonts w:ascii="Times New Roman" w:hAnsi="Times New Roman"/>
          <w:sz w:val="28"/>
        </w:rPr>
        <w:tab/>
        <w:t>Māris Kučinskis</w:t>
      </w:r>
    </w:p>
    <w:p w14:paraId="2C732664" w14:textId="77777777" w:rsidR="001571C2" w:rsidRPr="002C4961" w:rsidRDefault="001571C2" w:rsidP="00DB3573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8949EB2" w14:textId="77777777" w:rsidR="001571C2" w:rsidRPr="002C4961" w:rsidRDefault="001571C2" w:rsidP="00DB3573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89900BC" w14:textId="77777777" w:rsidR="001571C2" w:rsidRPr="002C4961" w:rsidRDefault="001571C2" w:rsidP="00DB3573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0BDFF9F" w14:textId="77777777" w:rsidR="001571C2" w:rsidRPr="002C4961" w:rsidRDefault="001571C2" w:rsidP="00DB3573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140429A4" w14:textId="77777777" w:rsidR="001571C2" w:rsidRPr="002C4961" w:rsidRDefault="001571C2" w:rsidP="00DB357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4961">
        <w:rPr>
          <w:rFonts w:ascii="Times New Roman" w:hAnsi="Times New Roman"/>
          <w:sz w:val="28"/>
        </w:rPr>
        <w:t xml:space="preserve">ekonomikas ministrs </w:t>
      </w:r>
      <w:r w:rsidRPr="002C4961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2C4961">
        <w:rPr>
          <w:rFonts w:ascii="Times New Roman" w:hAnsi="Times New Roman"/>
          <w:sz w:val="28"/>
        </w:rPr>
        <w:t>Ašeradens</w:t>
      </w:r>
      <w:proofErr w:type="spellEnd"/>
    </w:p>
    <w:sectPr w:rsidR="001571C2" w:rsidRPr="002C4961" w:rsidSect="001571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A9E6" w14:textId="77777777" w:rsidR="0073269A" w:rsidRDefault="00B607E6">
      <w:pPr>
        <w:spacing w:after="0" w:line="240" w:lineRule="auto"/>
      </w:pPr>
      <w:r>
        <w:separator/>
      </w:r>
    </w:p>
  </w:endnote>
  <w:endnote w:type="continuationSeparator" w:id="0">
    <w:p w14:paraId="7BB3A9E8" w14:textId="77777777" w:rsidR="0073269A" w:rsidRDefault="00B6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025A" w14:textId="5F7C73C4" w:rsidR="001571C2" w:rsidRPr="001571C2" w:rsidRDefault="001571C2">
    <w:pPr>
      <w:pStyle w:val="Footer"/>
      <w:rPr>
        <w:rFonts w:ascii="Times New Roman" w:hAnsi="Times New Roman" w:cs="Times New Roman"/>
        <w:sz w:val="16"/>
        <w:szCs w:val="16"/>
      </w:rPr>
    </w:pPr>
    <w:r w:rsidRPr="001571C2">
      <w:rPr>
        <w:rFonts w:ascii="Times New Roman" w:hAnsi="Times New Roman" w:cs="Times New Roman"/>
        <w:sz w:val="16"/>
        <w:szCs w:val="16"/>
      </w:rPr>
      <w:t>N0875_8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FAD3" w14:textId="41B0C192" w:rsidR="001571C2" w:rsidRPr="001571C2" w:rsidRDefault="001571C2">
    <w:pPr>
      <w:pStyle w:val="Footer"/>
      <w:rPr>
        <w:rFonts w:ascii="Times New Roman" w:hAnsi="Times New Roman" w:cs="Times New Roman"/>
        <w:sz w:val="16"/>
        <w:szCs w:val="16"/>
      </w:rPr>
    </w:pPr>
    <w:r w:rsidRPr="001571C2">
      <w:rPr>
        <w:rFonts w:ascii="Times New Roman" w:hAnsi="Times New Roman" w:cs="Times New Roman"/>
        <w:sz w:val="16"/>
        <w:szCs w:val="16"/>
      </w:rPr>
      <w:t>N0875_8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A9E2" w14:textId="77777777" w:rsidR="0073269A" w:rsidRDefault="00B607E6">
      <w:pPr>
        <w:spacing w:after="0" w:line="240" w:lineRule="auto"/>
      </w:pPr>
      <w:r>
        <w:separator/>
      </w:r>
    </w:p>
  </w:footnote>
  <w:footnote w:type="continuationSeparator" w:id="0">
    <w:p w14:paraId="7BB3A9E4" w14:textId="77777777" w:rsidR="0073269A" w:rsidRDefault="00B6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38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56FE560" w14:textId="53EEE604" w:rsidR="001571C2" w:rsidRPr="001571C2" w:rsidRDefault="001571C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571C2">
          <w:rPr>
            <w:rFonts w:ascii="Times New Roman" w:hAnsi="Times New Roman" w:cs="Times New Roman"/>
            <w:sz w:val="24"/>
          </w:rPr>
          <w:fldChar w:fldCharType="begin"/>
        </w:r>
        <w:r w:rsidRPr="001571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571C2">
          <w:rPr>
            <w:rFonts w:ascii="Times New Roman" w:hAnsi="Times New Roman" w:cs="Times New Roman"/>
            <w:sz w:val="24"/>
          </w:rPr>
          <w:fldChar w:fldCharType="separate"/>
        </w:r>
        <w:r w:rsidR="003C5FBD">
          <w:rPr>
            <w:rFonts w:ascii="Times New Roman" w:hAnsi="Times New Roman" w:cs="Times New Roman"/>
            <w:noProof/>
            <w:sz w:val="24"/>
          </w:rPr>
          <w:t>5</w:t>
        </w:r>
        <w:r w:rsidRPr="001571C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39DEF52" w14:textId="77777777" w:rsidR="001571C2" w:rsidRDefault="00157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5FC9" w14:textId="77777777" w:rsidR="001571C2" w:rsidRPr="00A142D0" w:rsidRDefault="001571C2">
    <w:pPr>
      <w:pStyle w:val="Header"/>
    </w:pPr>
  </w:p>
  <w:p w14:paraId="5FEB7033" w14:textId="3020F30F" w:rsidR="001571C2" w:rsidRDefault="001571C2">
    <w:pPr>
      <w:pStyle w:val="Header"/>
    </w:pPr>
    <w:r>
      <w:rPr>
        <w:noProof/>
      </w:rPr>
      <w:drawing>
        <wp:inline distT="0" distB="0" distL="0" distR="0" wp14:anchorId="10369517" wp14:editId="1746FC0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1202A2"/>
    <w:multiLevelType w:val="hybridMultilevel"/>
    <w:tmpl w:val="54A46A6C"/>
    <w:lvl w:ilvl="0" w:tplc="567AED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F3161314" w:tentative="1">
      <w:start w:val="1"/>
      <w:numFmt w:val="lowerLetter"/>
      <w:lvlText w:val="%2."/>
      <w:lvlJc w:val="left"/>
      <w:pPr>
        <w:ind w:left="1647" w:hanging="360"/>
      </w:pPr>
    </w:lvl>
    <w:lvl w:ilvl="2" w:tplc="5B2E7866" w:tentative="1">
      <w:start w:val="1"/>
      <w:numFmt w:val="lowerRoman"/>
      <w:lvlText w:val="%3."/>
      <w:lvlJc w:val="right"/>
      <w:pPr>
        <w:ind w:left="2367" w:hanging="180"/>
      </w:pPr>
    </w:lvl>
    <w:lvl w:ilvl="3" w:tplc="7E282B44" w:tentative="1">
      <w:start w:val="1"/>
      <w:numFmt w:val="decimal"/>
      <w:lvlText w:val="%4."/>
      <w:lvlJc w:val="left"/>
      <w:pPr>
        <w:ind w:left="3087" w:hanging="360"/>
      </w:pPr>
    </w:lvl>
    <w:lvl w:ilvl="4" w:tplc="18B8B9D2" w:tentative="1">
      <w:start w:val="1"/>
      <w:numFmt w:val="lowerLetter"/>
      <w:lvlText w:val="%5."/>
      <w:lvlJc w:val="left"/>
      <w:pPr>
        <w:ind w:left="3807" w:hanging="360"/>
      </w:pPr>
    </w:lvl>
    <w:lvl w:ilvl="5" w:tplc="65B431D8" w:tentative="1">
      <w:start w:val="1"/>
      <w:numFmt w:val="lowerRoman"/>
      <w:lvlText w:val="%6."/>
      <w:lvlJc w:val="right"/>
      <w:pPr>
        <w:ind w:left="4527" w:hanging="180"/>
      </w:pPr>
    </w:lvl>
    <w:lvl w:ilvl="6" w:tplc="A8FA2F12" w:tentative="1">
      <w:start w:val="1"/>
      <w:numFmt w:val="decimal"/>
      <w:lvlText w:val="%7."/>
      <w:lvlJc w:val="left"/>
      <w:pPr>
        <w:ind w:left="5247" w:hanging="360"/>
      </w:pPr>
    </w:lvl>
    <w:lvl w:ilvl="7" w:tplc="368CF378" w:tentative="1">
      <w:start w:val="1"/>
      <w:numFmt w:val="lowerLetter"/>
      <w:lvlText w:val="%8."/>
      <w:lvlJc w:val="left"/>
      <w:pPr>
        <w:ind w:left="5967" w:hanging="360"/>
      </w:pPr>
    </w:lvl>
    <w:lvl w:ilvl="8" w:tplc="C83C3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492C56EC"/>
    <w:multiLevelType w:val="hybridMultilevel"/>
    <w:tmpl w:val="1A9C5104"/>
    <w:lvl w:ilvl="0" w:tplc="CAD6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802A5F0" w:tentative="1">
      <w:start w:val="1"/>
      <w:numFmt w:val="lowerLetter"/>
      <w:lvlText w:val="%2."/>
      <w:lvlJc w:val="left"/>
      <w:pPr>
        <w:ind w:left="1647" w:hanging="360"/>
      </w:pPr>
    </w:lvl>
    <w:lvl w:ilvl="2" w:tplc="53B4B1F4" w:tentative="1">
      <w:start w:val="1"/>
      <w:numFmt w:val="lowerRoman"/>
      <w:lvlText w:val="%3."/>
      <w:lvlJc w:val="right"/>
      <w:pPr>
        <w:ind w:left="2367" w:hanging="180"/>
      </w:pPr>
    </w:lvl>
    <w:lvl w:ilvl="3" w:tplc="64521308" w:tentative="1">
      <w:start w:val="1"/>
      <w:numFmt w:val="decimal"/>
      <w:lvlText w:val="%4."/>
      <w:lvlJc w:val="left"/>
      <w:pPr>
        <w:ind w:left="3087" w:hanging="360"/>
      </w:pPr>
    </w:lvl>
    <w:lvl w:ilvl="4" w:tplc="5BA66722" w:tentative="1">
      <w:start w:val="1"/>
      <w:numFmt w:val="lowerLetter"/>
      <w:lvlText w:val="%5."/>
      <w:lvlJc w:val="left"/>
      <w:pPr>
        <w:ind w:left="3807" w:hanging="360"/>
      </w:pPr>
    </w:lvl>
    <w:lvl w:ilvl="5" w:tplc="082E3FAA" w:tentative="1">
      <w:start w:val="1"/>
      <w:numFmt w:val="lowerRoman"/>
      <w:lvlText w:val="%6."/>
      <w:lvlJc w:val="right"/>
      <w:pPr>
        <w:ind w:left="4527" w:hanging="180"/>
      </w:pPr>
    </w:lvl>
    <w:lvl w:ilvl="6" w:tplc="CD7A456A" w:tentative="1">
      <w:start w:val="1"/>
      <w:numFmt w:val="decimal"/>
      <w:lvlText w:val="%7."/>
      <w:lvlJc w:val="left"/>
      <w:pPr>
        <w:ind w:left="5247" w:hanging="360"/>
      </w:pPr>
    </w:lvl>
    <w:lvl w:ilvl="7" w:tplc="6A16418E" w:tentative="1">
      <w:start w:val="1"/>
      <w:numFmt w:val="lowerLetter"/>
      <w:lvlText w:val="%8."/>
      <w:lvlJc w:val="left"/>
      <w:pPr>
        <w:ind w:left="5967" w:hanging="360"/>
      </w:pPr>
    </w:lvl>
    <w:lvl w:ilvl="8" w:tplc="3E6E5706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B"/>
    <w:rsid w:val="00037A16"/>
    <w:rsid w:val="00045E62"/>
    <w:rsid w:val="00063E25"/>
    <w:rsid w:val="00070B7B"/>
    <w:rsid w:val="000729F7"/>
    <w:rsid w:val="00085E4D"/>
    <w:rsid w:val="000D0531"/>
    <w:rsid w:val="000E5F33"/>
    <w:rsid w:val="000F6C17"/>
    <w:rsid w:val="001025F9"/>
    <w:rsid w:val="00103590"/>
    <w:rsid w:val="00117CDE"/>
    <w:rsid w:val="00150154"/>
    <w:rsid w:val="001571C2"/>
    <w:rsid w:val="001618AE"/>
    <w:rsid w:val="0016319F"/>
    <w:rsid w:val="00177A75"/>
    <w:rsid w:val="001A067B"/>
    <w:rsid w:val="001B30F8"/>
    <w:rsid w:val="001C0525"/>
    <w:rsid w:val="001D1B06"/>
    <w:rsid w:val="001F22C2"/>
    <w:rsid w:val="002323D4"/>
    <w:rsid w:val="00253739"/>
    <w:rsid w:val="0025459D"/>
    <w:rsid w:val="00290A57"/>
    <w:rsid w:val="002949D2"/>
    <w:rsid w:val="00297E0B"/>
    <w:rsid w:val="002C7476"/>
    <w:rsid w:val="002D3BC8"/>
    <w:rsid w:val="002E1AF6"/>
    <w:rsid w:val="003041C9"/>
    <w:rsid w:val="003138AA"/>
    <w:rsid w:val="0031793A"/>
    <w:rsid w:val="00317E95"/>
    <w:rsid w:val="00325BB1"/>
    <w:rsid w:val="00383810"/>
    <w:rsid w:val="003A2B53"/>
    <w:rsid w:val="003A2D6C"/>
    <w:rsid w:val="003A6716"/>
    <w:rsid w:val="003C5FBD"/>
    <w:rsid w:val="003F0314"/>
    <w:rsid w:val="00405E88"/>
    <w:rsid w:val="00421DE1"/>
    <w:rsid w:val="00433540"/>
    <w:rsid w:val="00443202"/>
    <w:rsid w:val="004646B7"/>
    <w:rsid w:val="00477665"/>
    <w:rsid w:val="00481E25"/>
    <w:rsid w:val="0049168D"/>
    <w:rsid w:val="004E4DD4"/>
    <w:rsid w:val="004F4538"/>
    <w:rsid w:val="0052436D"/>
    <w:rsid w:val="00536346"/>
    <w:rsid w:val="0053724F"/>
    <w:rsid w:val="00555E14"/>
    <w:rsid w:val="005776BD"/>
    <w:rsid w:val="00583CDB"/>
    <w:rsid w:val="00585EA5"/>
    <w:rsid w:val="00596181"/>
    <w:rsid w:val="005A267E"/>
    <w:rsid w:val="005B3EA1"/>
    <w:rsid w:val="005E6B6F"/>
    <w:rsid w:val="005E6F5C"/>
    <w:rsid w:val="00615FAC"/>
    <w:rsid w:val="006232FC"/>
    <w:rsid w:val="006247BB"/>
    <w:rsid w:val="006444BA"/>
    <w:rsid w:val="00667D76"/>
    <w:rsid w:val="006C5F9E"/>
    <w:rsid w:val="006F7C9E"/>
    <w:rsid w:val="00730D0C"/>
    <w:rsid w:val="0073269A"/>
    <w:rsid w:val="00745871"/>
    <w:rsid w:val="007622DD"/>
    <w:rsid w:val="00764AA6"/>
    <w:rsid w:val="007673D2"/>
    <w:rsid w:val="0077567A"/>
    <w:rsid w:val="007D1260"/>
    <w:rsid w:val="007F23FC"/>
    <w:rsid w:val="007F7DBF"/>
    <w:rsid w:val="00813F57"/>
    <w:rsid w:val="00826E14"/>
    <w:rsid w:val="00842745"/>
    <w:rsid w:val="00850409"/>
    <w:rsid w:val="00862D0F"/>
    <w:rsid w:val="008B423C"/>
    <w:rsid w:val="008E3745"/>
    <w:rsid w:val="00903947"/>
    <w:rsid w:val="00914EC6"/>
    <w:rsid w:val="00925D4A"/>
    <w:rsid w:val="009405A1"/>
    <w:rsid w:val="0098076E"/>
    <w:rsid w:val="009A10B7"/>
    <w:rsid w:val="009A2120"/>
    <w:rsid w:val="009A25E1"/>
    <w:rsid w:val="009B0FB3"/>
    <w:rsid w:val="009C675A"/>
    <w:rsid w:val="009D3FCB"/>
    <w:rsid w:val="009D470F"/>
    <w:rsid w:val="009E65CB"/>
    <w:rsid w:val="00A07E0E"/>
    <w:rsid w:val="00A37B7D"/>
    <w:rsid w:val="00AC082A"/>
    <w:rsid w:val="00AF2A76"/>
    <w:rsid w:val="00AF537D"/>
    <w:rsid w:val="00B1169F"/>
    <w:rsid w:val="00B42F61"/>
    <w:rsid w:val="00B500A1"/>
    <w:rsid w:val="00B546FC"/>
    <w:rsid w:val="00B607E6"/>
    <w:rsid w:val="00B62611"/>
    <w:rsid w:val="00B83005"/>
    <w:rsid w:val="00BA298D"/>
    <w:rsid w:val="00BA6097"/>
    <w:rsid w:val="00BB065C"/>
    <w:rsid w:val="00BD3003"/>
    <w:rsid w:val="00BD4B6B"/>
    <w:rsid w:val="00BE13DD"/>
    <w:rsid w:val="00BE7F28"/>
    <w:rsid w:val="00C22BDE"/>
    <w:rsid w:val="00C500C4"/>
    <w:rsid w:val="00C576C1"/>
    <w:rsid w:val="00C62845"/>
    <w:rsid w:val="00C92C51"/>
    <w:rsid w:val="00CA6A5F"/>
    <w:rsid w:val="00CB1BB9"/>
    <w:rsid w:val="00CD3F46"/>
    <w:rsid w:val="00CE28E3"/>
    <w:rsid w:val="00D273D3"/>
    <w:rsid w:val="00DB3573"/>
    <w:rsid w:val="00DC183A"/>
    <w:rsid w:val="00DC1D67"/>
    <w:rsid w:val="00DD010D"/>
    <w:rsid w:val="00DF224F"/>
    <w:rsid w:val="00E00F0B"/>
    <w:rsid w:val="00E0690E"/>
    <w:rsid w:val="00E25F44"/>
    <w:rsid w:val="00E43A5F"/>
    <w:rsid w:val="00E60363"/>
    <w:rsid w:val="00E72CD3"/>
    <w:rsid w:val="00E7315E"/>
    <w:rsid w:val="00ED11E7"/>
    <w:rsid w:val="00F04AAF"/>
    <w:rsid w:val="00F127A0"/>
    <w:rsid w:val="00F6143D"/>
    <w:rsid w:val="00F70C83"/>
    <w:rsid w:val="00F8756A"/>
    <w:rsid w:val="00F922C3"/>
    <w:rsid w:val="00FA222A"/>
    <w:rsid w:val="00FB0E28"/>
    <w:rsid w:val="00FC115D"/>
    <w:rsid w:val="00FC18A1"/>
    <w:rsid w:val="00FC4A94"/>
    <w:rsid w:val="00FE5568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982"/>
  <w15:chartTrackingRefBased/>
  <w15:docId w15:val="{B0291AF3-8BAC-418F-AE80-89C58D05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D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3C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3CD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83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D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83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D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8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82A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qFormat/>
    <w:rsid w:val="00AC082A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AC082A"/>
    <w:rPr>
      <w:rFonts w:eastAsia="Times New Roman" w:cs="Times New Roman"/>
      <w:b/>
      <w:sz w:val="24"/>
      <w:szCs w:val="20"/>
      <w:lang w:val="x-none"/>
    </w:rPr>
  </w:style>
  <w:style w:type="paragraph" w:customStyle="1" w:styleId="tv213">
    <w:name w:val="tv213"/>
    <w:basedOn w:val="Normal"/>
    <w:rsid w:val="001C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D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doc.php?id=29119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likumi.lv/doc.php?id=291197" TargetMode="External"/><Relationship Id="rId12" Type="http://schemas.openxmlformats.org/officeDocument/2006/relationships/hyperlink" Target="https://m.likumi.lv/doc.php?id=2911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likumi.lv/doc.php?id=29119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.likumi.lv/doc.php?id=291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likumi.lv/ta/id/51522-par-ietekmes-uz-vidi-novertejum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6264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Jekaterina Borovika</cp:lastModifiedBy>
  <cp:revision>34</cp:revision>
  <cp:lastPrinted>2018-06-19T07:02:00Z</cp:lastPrinted>
  <dcterms:created xsi:type="dcterms:W3CDTF">2018-01-11T07:01:00Z</dcterms:created>
  <dcterms:modified xsi:type="dcterms:W3CDTF">2018-06-27T09:20:00Z</dcterms:modified>
</cp:coreProperties>
</file>