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9A3530" w:rsidP="00C338E3" w14:paraId="17E96A1A" w14:textId="54D8B27A">
      <w:pPr>
        <w:spacing w:line="360" w:lineRule="auto"/>
        <w:jc w:val="center"/>
        <w:rPr>
          <w:rFonts w:ascii="Times New Roman" w:hAnsi="Times New Roman" w:cs="Times New Roman"/>
          <w:b/>
          <w:sz w:val="28"/>
          <w:szCs w:val="24"/>
        </w:rPr>
      </w:pPr>
      <w:r w:rsidRPr="00724E3C">
        <w:rPr>
          <w:rFonts w:ascii="Times New Roman" w:hAnsi="Times New Roman" w:cs="Times New Roman"/>
          <w:b/>
          <w:sz w:val="28"/>
          <w:szCs w:val="24"/>
        </w:rPr>
        <w:t xml:space="preserve">Informatīvais ziņojums “Par Baltijas valstu elektrotīklu sinhronizāciju ar </w:t>
      </w:r>
      <w:r w:rsidR="00BA238D">
        <w:rPr>
          <w:rFonts w:ascii="Times New Roman" w:hAnsi="Times New Roman" w:cs="Times New Roman"/>
          <w:b/>
          <w:sz w:val="28"/>
          <w:szCs w:val="24"/>
        </w:rPr>
        <w:t>k</w:t>
      </w:r>
      <w:r w:rsidR="00C138B9">
        <w:rPr>
          <w:rFonts w:ascii="Times New Roman" w:hAnsi="Times New Roman" w:cs="Times New Roman"/>
          <w:b/>
          <w:sz w:val="28"/>
          <w:szCs w:val="24"/>
        </w:rPr>
        <w:t xml:space="preserve">ontinentālās </w:t>
      </w:r>
      <w:r w:rsidRPr="00724E3C">
        <w:rPr>
          <w:rFonts w:ascii="Times New Roman" w:hAnsi="Times New Roman" w:cs="Times New Roman"/>
          <w:b/>
          <w:sz w:val="28"/>
          <w:szCs w:val="24"/>
        </w:rPr>
        <w:t>Eiropas elektrotīkliem”</w:t>
      </w:r>
    </w:p>
    <w:p w:rsidR="00724E3C" w:rsidP="00C338E3" w14:paraId="70981E84" w14:textId="347D90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A659E6">
        <w:rPr>
          <w:rFonts w:ascii="Times New Roman" w:hAnsi="Times New Roman" w:cs="Times New Roman"/>
          <w:sz w:val="24"/>
          <w:szCs w:val="24"/>
        </w:rPr>
        <w:t xml:space="preserve">Atšķirībā no citām </w:t>
      </w:r>
      <w:r w:rsidRPr="00A659E6" w:rsidR="005115C5">
        <w:rPr>
          <w:rFonts w:ascii="Times New Roman" w:hAnsi="Times New Roman" w:cs="Times New Roman"/>
          <w:sz w:val="24"/>
          <w:szCs w:val="24"/>
        </w:rPr>
        <w:t>Eiropas Savienības (turpmāk – ES)</w:t>
      </w:r>
      <w:r w:rsidRPr="00A659E6">
        <w:rPr>
          <w:rFonts w:ascii="Times New Roman" w:hAnsi="Times New Roman" w:cs="Times New Roman"/>
          <w:sz w:val="24"/>
          <w:szCs w:val="24"/>
        </w:rPr>
        <w:t xml:space="preserve"> valstīm, Baltijas valstu elektroenerģijas sistēmas darbojas paralēlā, sinhronā režīmā ar IPS/UPS (</w:t>
      </w:r>
      <w:r w:rsidRPr="00DF7FC4">
        <w:rPr>
          <w:rFonts w:ascii="Times New Roman" w:hAnsi="Times New Roman" w:cs="Times New Roman"/>
          <w:sz w:val="24"/>
          <w:szCs w:val="24"/>
        </w:rPr>
        <w:t>Integrated</w:t>
      </w:r>
      <w:r w:rsidRPr="00DF7FC4">
        <w:rPr>
          <w:rFonts w:ascii="Times New Roman" w:hAnsi="Times New Roman" w:cs="Times New Roman"/>
          <w:sz w:val="24"/>
          <w:szCs w:val="24"/>
        </w:rPr>
        <w:t xml:space="preserve"> </w:t>
      </w:r>
      <w:r w:rsidRPr="00DF7FC4">
        <w:rPr>
          <w:rFonts w:ascii="Times New Roman" w:hAnsi="Times New Roman" w:cs="Times New Roman"/>
          <w:sz w:val="24"/>
          <w:szCs w:val="24"/>
        </w:rPr>
        <w:t>Power</w:t>
      </w:r>
      <w:r w:rsidRPr="00DF7FC4">
        <w:rPr>
          <w:rFonts w:ascii="Times New Roman" w:hAnsi="Times New Roman" w:cs="Times New Roman"/>
          <w:sz w:val="24"/>
          <w:szCs w:val="24"/>
        </w:rPr>
        <w:t xml:space="preserve"> </w:t>
      </w:r>
      <w:r w:rsidRPr="00DF7FC4">
        <w:rPr>
          <w:rFonts w:ascii="Times New Roman" w:hAnsi="Times New Roman" w:cs="Times New Roman"/>
          <w:sz w:val="24"/>
          <w:szCs w:val="24"/>
        </w:rPr>
        <w:t>System</w:t>
      </w:r>
      <w:r w:rsidRPr="00DF7FC4">
        <w:rPr>
          <w:rFonts w:ascii="Times New Roman" w:hAnsi="Times New Roman" w:cs="Times New Roman"/>
          <w:sz w:val="24"/>
          <w:szCs w:val="24"/>
        </w:rPr>
        <w:t>/</w:t>
      </w:r>
      <w:r w:rsidRPr="006B46CA" w:rsidR="000E5B08">
        <w:rPr>
          <w:rFonts w:ascii="Times New Roman" w:hAnsi="Times New Roman" w:cs="Times New Roman"/>
          <w:sz w:val="24"/>
          <w:szCs w:val="24"/>
        </w:rPr>
        <w:t>Uni</w:t>
      </w:r>
      <w:r w:rsidRPr="006B46CA" w:rsidR="00A71A96">
        <w:rPr>
          <w:rFonts w:ascii="Times New Roman" w:hAnsi="Times New Roman" w:cs="Times New Roman"/>
          <w:sz w:val="24"/>
          <w:szCs w:val="24"/>
        </w:rPr>
        <w:t>fi</w:t>
      </w:r>
      <w:r w:rsidRPr="006B46CA" w:rsidR="000E5B08">
        <w:rPr>
          <w:rFonts w:ascii="Times New Roman" w:hAnsi="Times New Roman" w:cs="Times New Roman"/>
          <w:sz w:val="24"/>
          <w:szCs w:val="24"/>
        </w:rPr>
        <w:t>ed</w:t>
      </w:r>
      <w:r w:rsidRPr="006B46CA" w:rsidR="000E5B08">
        <w:rPr>
          <w:rFonts w:ascii="Times New Roman" w:hAnsi="Times New Roman" w:cs="Times New Roman"/>
          <w:sz w:val="24"/>
          <w:szCs w:val="24"/>
        </w:rPr>
        <w:t xml:space="preserve"> </w:t>
      </w:r>
      <w:r w:rsidRPr="006B46CA">
        <w:rPr>
          <w:rFonts w:ascii="Times New Roman" w:hAnsi="Times New Roman" w:cs="Times New Roman"/>
          <w:sz w:val="24"/>
          <w:szCs w:val="24"/>
        </w:rPr>
        <w:t>Power</w:t>
      </w:r>
      <w:r w:rsidRPr="006B46CA">
        <w:rPr>
          <w:rFonts w:ascii="Times New Roman" w:hAnsi="Times New Roman" w:cs="Times New Roman"/>
          <w:sz w:val="24"/>
          <w:szCs w:val="24"/>
        </w:rPr>
        <w:t xml:space="preserve"> </w:t>
      </w:r>
      <w:r w:rsidRPr="006B46CA">
        <w:rPr>
          <w:rFonts w:ascii="Times New Roman" w:hAnsi="Times New Roman" w:cs="Times New Roman"/>
          <w:sz w:val="24"/>
          <w:szCs w:val="24"/>
        </w:rPr>
        <w:t>System</w:t>
      </w:r>
      <w:r w:rsidRPr="00A659E6">
        <w:rPr>
          <w:rFonts w:ascii="Times New Roman" w:hAnsi="Times New Roman" w:cs="Times New Roman"/>
          <w:sz w:val="24"/>
          <w:szCs w:val="24"/>
        </w:rPr>
        <w:t xml:space="preserve"> – Krievijas vienotā energosistēm</w:t>
      </w:r>
      <w:r w:rsidR="005115C5">
        <w:rPr>
          <w:rFonts w:ascii="Times New Roman" w:hAnsi="Times New Roman" w:cs="Times New Roman"/>
          <w:sz w:val="24"/>
          <w:szCs w:val="24"/>
        </w:rPr>
        <w:t>a</w:t>
      </w:r>
      <w:r w:rsidRPr="00A659E6">
        <w:rPr>
          <w:rFonts w:ascii="Times New Roman" w:hAnsi="Times New Roman" w:cs="Times New Roman"/>
          <w:sz w:val="24"/>
          <w:szCs w:val="24"/>
        </w:rPr>
        <w:t xml:space="preserve">/Ukrainas, Baltkrievijas, Kazahstānas, Kirgizstānas, Azerbaidžānas, Gruzijas, Tadžikistānas, Moldovas un Mongolijas integrētā energosistēma) reģionu, nevis Eiropas elektroenerģijas sistēmām. Baltijas valstu, Krievijas un Baltkrievijas elektroenerģijas tirgu pārrobežu darbību nosaka Baltkrievijas, Krievijas, Igaunijas, Lietuvas un Latvijas </w:t>
      </w:r>
      <w:r w:rsidR="005115C5">
        <w:rPr>
          <w:rFonts w:ascii="Times New Roman" w:hAnsi="Times New Roman" w:cs="Times New Roman"/>
          <w:sz w:val="24"/>
          <w:szCs w:val="24"/>
        </w:rPr>
        <w:t>pārvades sistēmas operatoru</w:t>
      </w:r>
      <w:r w:rsidRPr="00B84F8A" w:rsidR="005115C5">
        <w:rPr>
          <w:rFonts w:ascii="Times New Roman" w:hAnsi="Times New Roman" w:cs="Times New Roman"/>
          <w:sz w:val="24"/>
          <w:szCs w:val="24"/>
        </w:rPr>
        <w:t xml:space="preserve"> </w:t>
      </w:r>
      <w:r w:rsidR="005115C5">
        <w:rPr>
          <w:rFonts w:ascii="Times New Roman" w:hAnsi="Times New Roman" w:cs="Times New Roman"/>
          <w:sz w:val="24"/>
          <w:szCs w:val="24"/>
        </w:rPr>
        <w:t xml:space="preserve">(turpmāk – </w:t>
      </w:r>
      <w:r w:rsidRPr="00A659E6">
        <w:rPr>
          <w:rFonts w:ascii="Times New Roman" w:hAnsi="Times New Roman" w:cs="Times New Roman"/>
          <w:sz w:val="24"/>
          <w:szCs w:val="24"/>
        </w:rPr>
        <w:t>PSO</w:t>
      </w:r>
      <w:r w:rsidR="005115C5">
        <w:rPr>
          <w:rFonts w:ascii="Times New Roman" w:hAnsi="Times New Roman" w:cs="Times New Roman"/>
          <w:sz w:val="24"/>
          <w:szCs w:val="24"/>
        </w:rPr>
        <w:t>)</w:t>
      </w:r>
      <w:r w:rsidRPr="00A659E6">
        <w:rPr>
          <w:rFonts w:ascii="Times New Roman" w:hAnsi="Times New Roman" w:cs="Times New Roman"/>
          <w:sz w:val="24"/>
          <w:szCs w:val="24"/>
        </w:rPr>
        <w:t xml:space="preserve"> noslēgtais BRELL (saīsinājums no: </w:t>
      </w:r>
      <w:r w:rsidRPr="00A659E6">
        <w:rPr>
          <w:rFonts w:ascii="Times New Roman" w:hAnsi="Times New Roman" w:cs="Times New Roman"/>
          <w:i/>
          <w:sz w:val="24"/>
          <w:szCs w:val="24"/>
        </w:rPr>
        <w:t xml:space="preserve">Belarus, </w:t>
      </w:r>
      <w:r w:rsidRPr="00A659E6">
        <w:rPr>
          <w:rFonts w:ascii="Times New Roman" w:hAnsi="Times New Roman" w:cs="Times New Roman"/>
          <w:i/>
          <w:sz w:val="24"/>
          <w:szCs w:val="24"/>
        </w:rPr>
        <w:t>Russia</w:t>
      </w:r>
      <w:r w:rsidRPr="00A659E6">
        <w:rPr>
          <w:rFonts w:ascii="Times New Roman" w:hAnsi="Times New Roman" w:cs="Times New Roman"/>
          <w:i/>
          <w:sz w:val="24"/>
          <w:szCs w:val="24"/>
        </w:rPr>
        <w:t xml:space="preserve">, </w:t>
      </w:r>
      <w:r w:rsidRPr="00A659E6">
        <w:rPr>
          <w:rFonts w:ascii="Times New Roman" w:hAnsi="Times New Roman" w:cs="Times New Roman"/>
          <w:i/>
          <w:sz w:val="24"/>
          <w:szCs w:val="24"/>
        </w:rPr>
        <w:t>Estonia</w:t>
      </w:r>
      <w:r w:rsidRPr="00A659E6">
        <w:rPr>
          <w:rFonts w:ascii="Times New Roman" w:hAnsi="Times New Roman" w:cs="Times New Roman"/>
          <w:i/>
          <w:sz w:val="24"/>
          <w:szCs w:val="24"/>
        </w:rPr>
        <w:t xml:space="preserve">, Latvia, </w:t>
      </w:r>
      <w:r w:rsidRPr="00A659E6">
        <w:rPr>
          <w:rFonts w:ascii="Times New Roman" w:hAnsi="Times New Roman" w:cs="Times New Roman"/>
          <w:i/>
          <w:sz w:val="24"/>
          <w:szCs w:val="24"/>
        </w:rPr>
        <w:t>Lithuania</w:t>
      </w:r>
      <w:r w:rsidRPr="00A659E6">
        <w:rPr>
          <w:rFonts w:ascii="Times New Roman" w:hAnsi="Times New Roman" w:cs="Times New Roman"/>
          <w:sz w:val="24"/>
          <w:szCs w:val="24"/>
        </w:rPr>
        <w:t>) līgums.</w:t>
      </w:r>
    </w:p>
    <w:p w:rsidR="00A659E6" w:rsidP="00C338E3" w14:paraId="16D79B34" w14:textId="4DA280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1402F">
        <w:rPr>
          <w:rFonts w:ascii="Times New Roman" w:hAnsi="Times New Roman" w:cs="Times New Roman"/>
          <w:sz w:val="24"/>
          <w:szCs w:val="24"/>
        </w:rPr>
        <w:t>Līdz ar to š</w:t>
      </w:r>
      <w:r w:rsidRPr="00D1402F" w:rsidR="00D1402F">
        <w:rPr>
          <w:rFonts w:ascii="Times New Roman" w:hAnsi="Times New Roman" w:cs="Times New Roman"/>
          <w:sz w:val="24"/>
          <w:szCs w:val="24"/>
        </w:rPr>
        <w:t xml:space="preserve">obrīd Baltijas valstu elektroenerģijas sistēma tiek pārvaldīta no trešajām valstīm, kas </w:t>
      </w:r>
      <w:r w:rsidR="000B6FEE">
        <w:rPr>
          <w:rFonts w:ascii="Times New Roman" w:hAnsi="Times New Roman" w:cs="Times New Roman"/>
          <w:sz w:val="24"/>
          <w:szCs w:val="24"/>
        </w:rPr>
        <w:t xml:space="preserve">palielina </w:t>
      </w:r>
      <w:r w:rsidRPr="000B6FEE" w:rsidR="000B6FEE">
        <w:rPr>
          <w:rFonts w:ascii="Times New Roman" w:hAnsi="Times New Roman" w:cs="Times New Roman"/>
          <w:color w:val="353838"/>
          <w:sz w:val="24"/>
          <w:szCs w:val="24"/>
        </w:rPr>
        <w:t>enerģētisk</w:t>
      </w:r>
      <w:r w:rsidR="000B6FEE">
        <w:rPr>
          <w:rFonts w:ascii="Times New Roman" w:hAnsi="Times New Roman" w:cs="Times New Roman"/>
          <w:color w:val="353838"/>
          <w:sz w:val="24"/>
          <w:szCs w:val="24"/>
        </w:rPr>
        <w:t>o</w:t>
      </w:r>
      <w:r w:rsidRPr="000B6FEE" w:rsidR="000B6FEE">
        <w:rPr>
          <w:rFonts w:ascii="Times New Roman" w:hAnsi="Times New Roman" w:cs="Times New Roman"/>
          <w:color w:val="353838"/>
          <w:sz w:val="24"/>
          <w:szCs w:val="24"/>
        </w:rPr>
        <w:t xml:space="preserve"> atkarīb</w:t>
      </w:r>
      <w:r w:rsidR="000B6FEE">
        <w:rPr>
          <w:rFonts w:ascii="Times New Roman" w:hAnsi="Times New Roman" w:cs="Times New Roman"/>
          <w:color w:val="353838"/>
          <w:sz w:val="24"/>
          <w:szCs w:val="24"/>
        </w:rPr>
        <w:t>u no trešajām valstīm un ietekm</w:t>
      </w:r>
      <w:r w:rsidR="00DF7FC4">
        <w:rPr>
          <w:rFonts w:ascii="Times New Roman" w:hAnsi="Times New Roman" w:cs="Times New Roman"/>
          <w:color w:val="353838"/>
          <w:sz w:val="24"/>
          <w:szCs w:val="24"/>
        </w:rPr>
        <w:t>i</w:t>
      </w:r>
      <w:r w:rsidR="000B6FEE">
        <w:rPr>
          <w:rFonts w:ascii="Times New Roman" w:hAnsi="Times New Roman" w:cs="Times New Roman"/>
          <w:color w:val="353838"/>
          <w:sz w:val="24"/>
          <w:szCs w:val="24"/>
        </w:rPr>
        <w:t xml:space="preserve"> uz</w:t>
      </w:r>
      <w:r w:rsidRPr="000B6FEE" w:rsidR="000B6FEE">
        <w:rPr>
          <w:rFonts w:ascii="Times New Roman" w:hAnsi="Times New Roman" w:cs="Times New Roman"/>
          <w:color w:val="353838"/>
          <w:sz w:val="24"/>
          <w:szCs w:val="24"/>
        </w:rPr>
        <w:t xml:space="preserve"> sistēmas drošuma </w:t>
      </w:r>
      <w:r w:rsidR="000B6FEE">
        <w:rPr>
          <w:rFonts w:ascii="Times New Roman" w:hAnsi="Times New Roman" w:cs="Times New Roman"/>
          <w:color w:val="353838"/>
          <w:sz w:val="24"/>
          <w:szCs w:val="24"/>
        </w:rPr>
        <w:t>jautājumiem,</w:t>
      </w:r>
      <w:r w:rsidR="000B6FEE">
        <w:rPr>
          <w:rFonts w:ascii="Segoe UI" w:hAnsi="Segoe UI" w:cs="Segoe UI"/>
          <w:color w:val="353838"/>
          <w:sz w:val="20"/>
          <w:szCs w:val="20"/>
        </w:rPr>
        <w:t xml:space="preserve"> </w:t>
      </w:r>
      <w:r w:rsidRPr="00D1402F" w:rsidR="00D1402F">
        <w:rPr>
          <w:rFonts w:ascii="Times New Roman" w:hAnsi="Times New Roman" w:cs="Times New Roman"/>
          <w:sz w:val="24"/>
          <w:szCs w:val="24"/>
        </w:rPr>
        <w:t xml:space="preserve">apgrūtina informācijas apmaiņu ar Eiropas </w:t>
      </w:r>
      <w:r w:rsidR="009B7542">
        <w:rPr>
          <w:rFonts w:ascii="Times New Roman" w:hAnsi="Times New Roman" w:cs="Times New Roman"/>
          <w:sz w:val="24"/>
          <w:szCs w:val="24"/>
        </w:rPr>
        <w:t>PSO</w:t>
      </w:r>
      <w:r w:rsidRPr="00D1402F" w:rsidR="00D1402F">
        <w:rPr>
          <w:rFonts w:ascii="Times New Roman" w:hAnsi="Times New Roman" w:cs="Times New Roman"/>
          <w:sz w:val="24"/>
          <w:szCs w:val="24"/>
        </w:rPr>
        <w:t xml:space="preserve">, kā arī nav iespējams nodrošināt saskaņotu rīcību (piemēram, attiecībā uz elektropārvades līniju </w:t>
      </w:r>
      <w:r w:rsidRPr="00D1402F" w:rsidR="00D1402F">
        <w:rPr>
          <w:rFonts w:ascii="Times New Roman" w:hAnsi="Times New Roman" w:cs="Times New Roman"/>
          <w:sz w:val="24"/>
          <w:szCs w:val="24"/>
        </w:rPr>
        <w:t>atslēgumiem</w:t>
      </w:r>
      <w:r w:rsidRPr="00D1402F" w:rsidR="00D1402F">
        <w:rPr>
          <w:rFonts w:ascii="Times New Roman" w:hAnsi="Times New Roman" w:cs="Times New Roman"/>
          <w:sz w:val="24"/>
          <w:szCs w:val="24"/>
        </w:rPr>
        <w:t xml:space="preserve">) starp Baltijas valstīm un pārējo Eiropu. </w:t>
      </w:r>
      <w:r w:rsidRPr="00A659E6">
        <w:rPr>
          <w:rFonts w:ascii="Times New Roman" w:hAnsi="Times New Roman" w:cs="Times New Roman"/>
          <w:sz w:val="24"/>
          <w:szCs w:val="24"/>
        </w:rPr>
        <w:t>Baltijas valstu elektrotīklu integrācija ES elektroenerģijas sistēmā ir izvirzīta kā viena no ES enerģētikas politikas stratēģiskajām prioritātēm.</w:t>
      </w:r>
      <w:r>
        <w:rPr>
          <w:rFonts w:ascii="Times New Roman" w:hAnsi="Times New Roman" w:cs="Times New Roman"/>
          <w:sz w:val="24"/>
          <w:szCs w:val="24"/>
        </w:rPr>
        <w:t xml:space="preserve"> </w:t>
      </w:r>
      <w:r w:rsidRPr="00A659E6">
        <w:rPr>
          <w:rFonts w:ascii="Times New Roman" w:hAnsi="Times New Roman" w:cs="Times New Roman"/>
          <w:sz w:val="24"/>
          <w:szCs w:val="24"/>
        </w:rPr>
        <w:t xml:space="preserve">Baltijas valstu premjerministri izvirzīja ideju par </w:t>
      </w:r>
      <w:r w:rsidRPr="00A659E6">
        <w:rPr>
          <w:rFonts w:ascii="Times New Roman" w:hAnsi="Times New Roman" w:cs="Times New Roman"/>
          <w:sz w:val="24"/>
          <w:szCs w:val="24"/>
        </w:rPr>
        <w:t>d</w:t>
      </w:r>
      <w:r>
        <w:rPr>
          <w:rFonts w:ascii="Times New Roman" w:hAnsi="Times New Roman" w:cs="Times New Roman"/>
          <w:sz w:val="24"/>
          <w:szCs w:val="24"/>
        </w:rPr>
        <w:t>esinhronizāciju</w:t>
      </w:r>
      <w:r>
        <w:rPr>
          <w:rFonts w:ascii="Times New Roman" w:hAnsi="Times New Roman" w:cs="Times New Roman"/>
          <w:sz w:val="24"/>
          <w:szCs w:val="24"/>
        </w:rPr>
        <w:t xml:space="preserve"> jau </w:t>
      </w:r>
      <w:r w:rsidR="000E5B08">
        <w:rPr>
          <w:rFonts w:ascii="Times New Roman" w:hAnsi="Times New Roman" w:cs="Times New Roman"/>
          <w:sz w:val="24"/>
          <w:szCs w:val="24"/>
        </w:rPr>
        <w:t>2007</w:t>
      </w:r>
      <w:r>
        <w:rPr>
          <w:rFonts w:ascii="Times New Roman" w:hAnsi="Times New Roman" w:cs="Times New Roman"/>
          <w:sz w:val="24"/>
          <w:szCs w:val="24"/>
        </w:rPr>
        <w:t>. gadā un s</w:t>
      </w:r>
      <w:r w:rsidRPr="00A659E6">
        <w:rPr>
          <w:rFonts w:ascii="Times New Roman" w:hAnsi="Times New Roman" w:cs="Times New Roman"/>
          <w:sz w:val="24"/>
          <w:szCs w:val="24"/>
        </w:rPr>
        <w:t>inhronizācijas projekta nozīmīgums pēdējo gadu laikā ir uzsvērts vairākos politikas dokumentos</w:t>
      </w:r>
      <w:r w:rsidR="00B84F8A">
        <w:rPr>
          <w:rFonts w:ascii="Times New Roman" w:hAnsi="Times New Roman" w:cs="Times New Roman"/>
          <w:sz w:val="24"/>
          <w:szCs w:val="24"/>
        </w:rPr>
        <w:t>.</w:t>
      </w:r>
    </w:p>
    <w:p w:rsidR="00B84F8A" w:rsidP="00C338E3" w14:paraId="6869C712" w14:textId="777777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84F8A">
        <w:rPr>
          <w:rFonts w:ascii="Times New Roman" w:hAnsi="Times New Roman" w:cs="Times New Roman"/>
          <w:sz w:val="24"/>
          <w:szCs w:val="24"/>
        </w:rPr>
        <w:t xml:space="preserve">2012./2013. gadā trīs Baltijas valstu </w:t>
      </w:r>
      <w:r w:rsidR="005115C5">
        <w:rPr>
          <w:rFonts w:ascii="Times New Roman" w:hAnsi="Times New Roman" w:cs="Times New Roman"/>
          <w:sz w:val="24"/>
          <w:szCs w:val="24"/>
        </w:rPr>
        <w:t>PSO</w:t>
      </w:r>
      <w:r w:rsidRPr="00B84F8A">
        <w:rPr>
          <w:rFonts w:ascii="Times New Roman" w:hAnsi="Times New Roman" w:cs="Times New Roman"/>
          <w:sz w:val="24"/>
          <w:szCs w:val="24"/>
        </w:rPr>
        <w:t xml:space="preserve"> AS "Augstsprieguma tīkls", "</w:t>
      </w:r>
      <w:r w:rsidRPr="00B84F8A">
        <w:rPr>
          <w:rFonts w:ascii="Times New Roman" w:hAnsi="Times New Roman" w:cs="Times New Roman"/>
          <w:sz w:val="24"/>
          <w:szCs w:val="24"/>
        </w:rPr>
        <w:t>Elering</w:t>
      </w:r>
      <w:r w:rsidRPr="00B84F8A">
        <w:rPr>
          <w:rFonts w:ascii="Times New Roman" w:hAnsi="Times New Roman" w:cs="Times New Roman"/>
          <w:sz w:val="24"/>
          <w:szCs w:val="24"/>
        </w:rPr>
        <w:t>" un "</w:t>
      </w:r>
      <w:r w:rsidRPr="00B84F8A">
        <w:rPr>
          <w:rFonts w:ascii="Times New Roman" w:hAnsi="Times New Roman" w:cs="Times New Roman"/>
          <w:sz w:val="24"/>
          <w:szCs w:val="24"/>
        </w:rPr>
        <w:t>Litgrid</w:t>
      </w:r>
      <w:r w:rsidRPr="00B84F8A">
        <w:rPr>
          <w:rFonts w:ascii="Times New Roman" w:hAnsi="Times New Roman" w:cs="Times New Roman"/>
          <w:sz w:val="24"/>
          <w:szCs w:val="24"/>
        </w:rPr>
        <w:t>" piesaistot Zviedrijas enerģētikas nozares konsultantu "</w:t>
      </w:r>
      <w:r w:rsidRPr="00B84F8A">
        <w:rPr>
          <w:rFonts w:ascii="Times New Roman" w:hAnsi="Times New Roman" w:cs="Times New Roman"/>
          <w:sz w:val="24"/>
          <w:szCs w:val="24"/>
        </w:rPr>
        <w:t>Gothia</w:t>
      </w:r>
      <w:r w:rsidRPr="00B84F8A">
        <w:rPr>
          <w:rFonts w:ascii="Times New Roman" w:hAnsi="Times New Roman" w:cs="Times New Roman"/>
          <w:sz w:val="24"/>
          <w:szCs w:val="24"/>
        </w:rPr>
        <w:t xml:space="preserve"> </w:t>
      </w:r>
      <w:r w:rsidRPr="00B84F8A">
        <w:rPr>
          <w:rFonts w:ascii="Times New Roman" w:hAnsi="Times New Roman" w:cs="Times New Roman"/>
          <w:sz w:val="24"/>
          <w:szCs w:val="24"/>
        </w:rPr>
        <w:t>Power</w:t>
      </w:r>
      <w:r w:rsidRPr="00B84F8A">
        <w:rPr>
          <w:rFonts w:ascii="Times New Roman" w:hAnsi="Times New Roman" w:cs="Times New Roman"/>
          <w:sz w:val="24"/>
          <w:szCs w:val="24"/>
        </w:rPr>
        <w:t xml:space="preserve">", veica </w:t>
      </w:r>
      <w:r w:rsidRPr="00B84F8A">
        <w:rPr>
          <w:rFonts w:ascii="Times New Roman" w:hAnsi="Times New Roman" w:cs="Times New Roman"/>
          <w:sz w:val="24"/>
          <w:szCs w:val="24"/>
        </w:rPr>
        <w:t>priekšizpēti</w:t>
      </w:r>
      <w:r w:rsidRPr="00B84F8A">
        <w:rPr>
          <w:rFonts w:ascii="Times New Roman" w:hAnsi="Times New Roman" w:cs="Times New Roman"/>
          <w:sz w:val="24"/>
          <w:szCs w:val="24"/>
        </w:rPr>
        <w:t xml:space="preserve"> par iespējām sinhronizēt Baltijas valstis ar kontinentālo Eiropu caur Poliju. Pētījums secināja, ka sinhronizācija ir tehniski iespējama, bet tās sasniegšanai būs nepieciešams vienots Baltijas valstu un Baltijas jūras reģiona valstu atbalsts, galvenokārt Polijas, nacionālo regulatīvo iestāžu atbalsts un atbalsts no E</w:t>
      </w:r>
      <w:r w:rsidR="005115C5">
        <w:rPr>
          <w:rFonts w:ascii="Times New Roman" w:hAnsi="Times New Roman" w:cs="Times New Roman"/>
          <w:sz w:val="24"/>
          <w:szCs w:val="24"/>
        </w:rPr>
        <w:t xml:space="preserve">iropas </w:t>
      </w:r>
      <w:r w:rsidRPr="00B84F8A">
        <w:rPr>
          <w:rFonts w:ascii="Times New Roman" w:hAnsi="Times New Roman" w:cs="Times New Roman"/>
          <w:sz w:val="24"/>
          <w:szCs w:val="24"/>
        </w:rPr>
        <w:t>K</w:t>
      </w:r>
      <w:r w:rsidR="005115C5">
        <w:rPr>
          <w:rFonts w:ascii="Times New Roman" w:hAnsi="Times New Roman" w:cs="Times New Roman"/>
          <w:sz w:val="24"/>
          <w:szCs w:val="24"/>
        </w:rPr>
        <w:t>omisijas (turpmāk – EK)</w:t>
      </w:r>
      <w:r w:rsidRPr="00B84F8A">
        <w:rPr>
          <w:rFonts w:ascii="Times New Roman" w:hAnsi="Times New Roman" w:cs="Times New Roman"/>
          <w:sz w:val="24"/>
          <w:szCs w:val="24"/>
        </w:rPr>
        <w:t xml:space="preserve"> puses, lai veiktu pārrunas ar Krieviju un Baltkrieviju, kā arī ievērojami finansiālie līdzekļi.</w:t>
      </w:r>
    </w:p>
    <w:p w:rsidR="00B84F8A" w:rsidP="00C338E3" w14:paraId="3D06EBAF" w14:textId="504621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84F8A">
        <w:rPr>
          <w:rFonts w:ascii="Times New Roman" w:hAnsi="Times New Roman" w:cs="Times New Roman"/>
          <w:sz w:val="24"/>
          <w:szCs w:val="24"/>
        </w:rPr>
        <w:t xml:space="preserve">2014. gada decembrī Baltijas valstu PSO izstrādāja potenciālo ceļa karti Baltijas valstu </w:t>
      </w:r>
      <w:r w:rsidR="000E5B08">
        <w:rPr>
          <w:rFonts w:ascii="Times New Roman" w:hAnsi="Times New Roman" w:cs="Times New Roman"/>
          <w:sz w:val="24"/>
          <w:szCs w:val="24"/>
        </w:rPr>
        <w:t>sinhronizācijai</w:t>
      </w:r>
      <w:r w:rsidRPr="00B84F8A">
        <w:rPr>
          <w:rFonts w:ascii="Times New Roman" w:hAnsi="Times New Roman" w:cs="Times New Roman"/>
          <w:sz w:val="24"/>
          <w:szCs w:val="24"/>
        </w:rPr>
        <w:t xml:space="preserve"> </w:t>
      </w:r>
      <w:r w:rsidR="000E5B08">
        <w:rPr>
          <w:rFonts w:ascii="Times New Roman" w:hAnsi="Times New Roman" w:cs="Times New Roman"/>
          <w:sz w:val="24"/>
          <w:szCs w:val="24"/>
        </w:rPr>
        <w:t>(</w:t>
      </w:r>
      <w:r w:rsidRPr="00B84F8A">
        <w:rPr>
          <w:rFonts w:ascii="Times New Roman" w:hAnsi="Times New Roman" w:cs="Times New Roman"/>
          <w:sz w:val="24"/>
          <w:szCs w:val="24"/>
        </w:rPr>
        <w:t>pievienošanos</w:t>
      </w:r>
      <w:r w:rsidR="000E5B08">
        <w:rPr>
          <w:rFonts w:ascii="Times New Roman" w:hAnsi="Times New Roman" w:cs="Times New Roman"/>
          <w:sz w:val="24"/>
          <w:szCs w:val="24"/>
        </w:rPr>
        <w:t>) ar</w:t>
      </w:r>
      <w:r w:rsidRPr="00B84F8A">
        <w:rPr>
          <w:rFonts w:ascii="Times New Roman" w:hAnsi="Times New Roman" w:cs="Times New Roman"/>
          <w:sz w:val="24"/>
          <w:szCs w:val="24"/>
        </w:rPr>
        <w:t xml:space="preserve"> kontinentālās Eiropas </w:t>
      </w:r>
      <w:r w:rsidRPr="00B84F8A" w:rsidR="000E5B08">
        <w:rPr>
          <w:rFonts w:ascii="Times New Roman" w:hAnsi="Times New Roman" w:cs="Times New Roman"/>
          <w:sz w:val="24"/>
          <w:szCs w:val="24"/>
        </w:rPr>
        <w:t>elektrotīkl</w:t>
      </w:r>
      <w:r w:rsidR="000E5B08">
        <w:rPr>
          <w:rFonts w:ascii="Times New Roman" w:hAnsi="Times New Roman" w:cs="Times New Roman"/>
          <w:sz w:val="24"/>
          <w:szCs w:val="24"/>
        </w:rPr>
        <w:t xml:space="preserve">iem un </w:t>
      </w:r>
      <w:r w:rsidRPr="00B84F8A" w:rsidR="000E5B08">
        <w:rPr>
          <w:rFonts w:ascii="Times New Roman" w:hAnsi="Times New Roman" w:cs="Times New Roman"/>
          <w:sz w:val="24"/>
          <w:szCs w:val="24"/>
        </w:rPr>
        <w:t>desinhronizācijai</w:t>
      </w:r>
      <w:r w:rsidRPr="00B84F8A" w:rsidR="000E5B08">
        <w:rPr>
          <w:rFonts w:ascii="Times New Roman" w:hAnsi="Times New Roman" w:cs="Times New Roman"/>
          <w:sz w:val="24"/>
          <w:szCs w:val="24"/>
        </w:rPr>
        <w:t xml:space="preserve"> </w:t>
      </w:r>
      <w:r w:rsidR="000E5B08">
        <w:rPr>
          <w:rFonts w:ascii="Times New Roman" w:hAnsi="Times New Roman" w:cs="Times New Roman"/>
          <w:sz w:val="24"/>
          <w:szCs w:val="24"/>
        </w:rPr>
        <w:t>(atvienošan</w:t>
      </w:r>
      <w:r w:rsidR="00DF7FC4">
        <w:rPr>
          <w:rFonts w:ascii="Times New Roman" w:hAnsi="Times New Roman" w:cs="Times New Roman"/>
          <w:sz w:val="24"/>
          <w:szCs w:val="24"/>
        </w:rPr>
        <w:t>o</w:t>
      </w:r>
      <w:r w:rsidR="000E5B08">
        <w:rPr>
          <w:rFonts w:ascii="Times New Roman" w:hAnsi="Times New Roman" w:cs="Times New Roman"/>
          <w:sz w:val="24"/>
          <w:szCs w:val="24"/>
        </w:rPr>
        <w:t xml:space="preserve">s) </w:t>
      </w:r>
      <w:r w:rsidRPr="00B84F8A" w:rsidR="000E5B08">
        <w:rPr>
          <w:rFonts w:ascii="Times New Roman" w:hAnsi="Times New Roman" w:cs="Times New Roman"/>
          <w:sz w:val="24"/>
          <w:szCs w:val="24"/>
        </w:rPr>
        <w:t>no IPS/UPS  sistēmas</w:t>
      </w:r>
      <w:r w:rsidRPr="00B84F8A">
        <w:rPr>
          <w:rFonts w:ascii="Times New Roman" w:hAnsi="Times New Roman" w:cs="Times New Roman"/>
          <w:sz w:val="24"/>
          <w:szCs w:val="24"/>
        </w:rPr>
        <w:t xml:space="preserve">. Piedāvātā ceļa karte paredzēja sinhronizāciju caur diviem Lietuvas-Polijas </w:t>
      </w:r>
      <w:r w:rsidRPr="00B84F8A">
        <w:rPr>
          <w:rFonts w:ascii="Times New Roman" w:hAnsi="Times New Roman" w:cs="Times New Roman"/>
          <w:sz w:val="24"/>
          <w:szCs w:val="24"/>
        </w:rPr>
        <w:t>starpsavienojumiem</w:t>
      </w:r>
      <w:r w:rsidRPr="00B84F8A">
        <w:rPr>
          <w:rFonts w:ascii="Times New Roman" w:hAnsi="Times New Roman" w:cs="Times New Roman"/>
          <w:sz w:val="24"/>
          <w:szCs w:val="24"/>
        </w:rPr>
        <w:t xml:space="preserve"> (</w:t>
      </w:r>
      <w:r w:rsidRPr="00B84F8A">
        <w:rPr>
          <w:rFonts w:ascii="Times New Roman" w:hAnsi="Times New Roman" w:cs="Times New Roman"/>
          <w:sz w:val="24"/>
          <w:szCs w:val="24"/>
        </w:rPr>
        <w:t>LitPol</w:t>
      </w:r>
      <w:r w:rsidR="00136EE9">
        <w:rPr>
          <w:rFonts w:ascii="Times New Roman" w:hAnsi="Times New Roman" w:cs="Times New Roman"/>
          <w:sz w:val="24"/>
          <w:szCs w:val="24"/>
        </w:rPr>
        <w:t xml:space="preserve"> </w:t>
      </w:r>
      <w:r w:rsidRPr="00B84F8A">
        <w:rPr>
          <w:rFonts w:ascii="Times New Roman" w:hAnsi="Times New Roman" w:cs="Times New Roman"/>
          <w:sz w:val="24"/>
          <w:szCs w:val="24"/>
        </w:rPr>
        <w:t xml:space="preserve">Link1 un </w:t>
      </w:r>
      <w:r w:rsidRPr="00B84F8A">
        <w:rPr>
          <w:rFonts w:ascii="Times New Roman" w:hAnsi="Times New Roman" w:cs="Times New Roman"/>
          <w:sz w:val="24"/>
          <w:szCs w:val="24"/>
        </w:rPr>
        <w:t>LitPol</w:t>
      </w:r>
      <w:r w:rsidR="00136EE9">
        <w:rPr>
          <w:rFonts w:ascii="Times New Roman" w:hAnsi="Times New Roman" w:cs="Times New Roman"/>
          <w:sz w:val="24"/>
          <w:szCs w:val="24"/>
        </w:rPr>
        <w:t xml:space="preserve"> </w:t>
      </w:r>
      <w:r w:rsidRPr="00B84F8A">
        <w:rPr>
          <w:rFonts w:ascii="Times New Roman" w:hAnsi="Times New Roman" w:cs="Times New Roman"/>
          <w:sz w:val="24"/>
          <w:szCs w:val="24"/>
        </w:rPr>
        <w:t xml:space="preserve">Link2). Pēc EK lūguma Eiropas elektroenerģijas pārvades sistēmu operatoru savienība (turpmāk – ENTSO-E) izvērtēja PSO sagatavoto ceļa karti Baltijas valstu </w:t>
      </w:r>
      <w:r w:rsidRPr="00B84F8A">
        <w:rPr>
          <w:rFonts w:ascii="Times New Roman" w:hAnsi="Times New Roman" w:cs="Times New Roman"/>
          <w:sz w:val="24"/>
          <w:szCs w:val="24"/>
        </w:rPr>
        <w:t>desinhronizācijai</w:t>
      </w:r>
      <w:r w:rsidRPr="00B84F8A">
        <w:rPr>
          <w:rFonts w:ascii="Times New Roman" w:hAnsi="Times New Roman" w:cs="Times New Roman"/>
          <w:sz w:val="24"/>
          <w:szCs w:val="24"/>
        </w:rPr>
        <w:t xml:space="preserve">. Tika secināts, ka nepieciešams apzināt papildus </w:t>
      </w:r>
      <w:r w:rsidRPr="00B84F8A">
        <w:rPr>
          <w:rFonts w:ascii="Times New Roman" w:hAnsi="Times New Roman" w:cs="Times New Roman"/>
          <w:sz w:val="24"/>
          <w:szCs w:val="24"/>
        </w:rPr>
        <w:t>desinhronizācijas</w:t>
      </w:r>
      <w:r w:rsidRPr="00B84F8A">
        <w:rPr>
          <w:rFonts w:ascii="Times New Roman" w:hAnsi="Times New Roman" w:cs="Times New Roman"/>
          <w:sz w:val="24"/>
          <w:szCs w:val="24"/>
        </w:rPr>
        <w:t xml:space="preserve"> scenārijus, veikt pētījumu par </w:t>
      </w:r>
      <w:r w:rsidRPr="00B84F8A">
        <w:rPr>
          <w:rFonts w:ascii="Times New Roman" w:hAnsi="Times New Roman" w:cs="Times New Roman"/>
          <w:sz w:val="24"/>
          <w:szCs w:val="24"/>
        </w:rPr>
        <w:t>starpsavienojumu</w:t>
      </w:r>
      <w:r w:rsidRPr="00B84F8A">
        <w:rPr>
          <w:rFonts w:ascii="Times New Roman" w:hAnsi="Times New Roman" w:cs="Times New Roman"/>
          <w:sz w:val="24"/>
          <w:szCs w:val="24"/>
        </w:rPr>
        <w:t xml:space="preserve"> nosacījumiem, izvērtēt pievienošanos Eiropas elektrotīklam caur Ziemeļvalstu reģionu, un izpētīt tehniskās iespējas Baltijas valstīm darboties kā patstāvīgam elektroenerģijas reģionam izolētā režīmā.</w:t>
      </w:r>
    </w:p>
    <w:p w:rsidR="000C5B87" w:rsidP="00C338E3" w14:paraId="4D8C72DD" w14:textId="2D8623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2016./2017.gadā </w:t>
      </w:r>
      <w:r w:rsidR="00DF7FC4">
        <w:rPr>
          <w:rFonts w:ascii="Times New Roman" w:hAnsi="Times New Roman" w:cs="Times New Roman"/>
          <w:sz w:val="24"/>
          <w:szCs w:val="24"/>
        </w:rPr>
        <w:t>EK</w:t>
      </w:r>
      <w:r w:rsidR="004D3488">
        <w:rPr>
          <w:rFonts w:ascii="Times New Roman" w:hAnsi="Times New Roman" w:cs="Times New Roman"/>
          <w:sz w:val="24"/>
          <w:szCs w:val="24"/>
        </w:rPr>
        <w:t xml:space="preserve"> </w:t>
      </w:r>
      <w:r>
        <w:rPr>
          <w:rFonts w:ascii="Times New Roman" w:hAnsi="Times New Roman" w:cs="Times New Roman"/>
          <w:sz w:val="24"/>
          <w:szCs w:val="24"/>
        </w:rPr>
        <w:t>Kopīgais pētniecības centrs</w:t>
      </w:r>
      <w:r w:rsidR="004D3488">
        <w:rPr>
          <w:rFonts w:ascii="Times New Roman" w:hAnsi="Times New Roman" w:cs="Times New Roman"/>
          <w:sz w:val="24"/>
          <w:szCs w:val="24"/>
        </w:rPr>
        <w:t xml:space="preserve"> (JRC – </w:t>
      </w:r>
      <w:r w:rsidR="004D3488">
        <w:rPr>
          <w:rFonts w:ascii="Times New Roman" w:hAnsi="Times New Roman" w:cs="Times New Roman"/>
          <w:sz w:val="24"/>
          <w:szCs w:val="24"/>
        </w:rPr>
        <w:t>Joint</w:t>
      </w:r>
      <w:r w:rsidR="004D3488">
        <w:rPr>
          <w:rFonts w:ascii="Times New Roman" w:hAnsi="Times New Roman" w:cs="Times New Roman"/>
          <w:sz w:val="24"/>
          <w:szCs w:val="24"/>
        </w:rPr>
        <w:t xml:space="preserve"> </w:t>
      </w:r>
      <w:r w:rsidR="004D3488">
        <w:rPr>
          <w:rFonts w:ascii="Times New Roman" w:hAnsi="Times New Roman" w:cs="Times New Roman"/>
          <w:sz w:val="24"/>
          <w:szCs w:val="24"/>
        </w:rPr>
        <w:t>Research</w:t>
      </w:r>
      <w:r w:rsidR="004D3488">
        <w:rPr>
          <w:rFonts w:ascii="Times New Roman" w:hAnsi="Times New Roman" w:cs="Times New Roman"/>
          <w:sz w:val="24"/>
          <w:szCs w:val="24"/>
        </w:rPr>
        <w:t xml:space="preserve"> </w:t>
      </w:r>
      <w:r w:rsidR="004D3488">
        <w:rPr>
          <w:rFonts w:ascii="Times New Roman" w:hAnsi="Times New Roman" w:cs="Times New Roman"/>
          <w:sz w:val="24"/>
          <w:szCs w:val="24"/>
        </w:rPr>
        <w:t>Centre</w:t>
      </w:r>
      <w:r w:rsidR="004D3488">
        <w:rPr>
          <w:rFonts w:ascii="Times New Roman" w:hAnsi="Times New Roman" w:cs="Times New Roman"/>
          <w:sz w:val="24"/>
          <w:szCs w:val="24"/>
        </w:rPr>
        <w:t>)</w:t>
      </w:r>
      <w:r>
        <w:rPr>
          <w:rFonts w:ascii="Times New Roman" w:hAnsi="Times New Roman" w:cs="Times New Roman"/>
          <w:sz w:val="24"/>
          <w:szCs w:val="24"/>
        </w:rPr>
        <w:t xml:space="preserve"> veica pētījumu “</w:t>
      </w:r>
      <w:r w:rsidRPr="000C5B87">
        <w:rPr>
          <w:rFonts w:ascii="Times New Roman" w:hAnsi="Times New Roman" w:cs="Times New Roman"/>
          <w:sz w:val="24"/>
          <w:szCs w:val="24"/>
        </w:rPr>
        <w:t>Baltijas valstu integrācija Eiropas Savienības elektroenerģijas sistēmā: tehniska un ekonomiska analīze” (turpmāk – JRC pētījums)</w:t>
      </w:r>
      <w:r>
        <w:rPr>
          <w:rFonts w:ascii="Times New Roman" w:hAnsi="Times New Roman" w:cs="Times New Roman"/>
          <w:sz w:val="24"/>
          <w:szCs w:val="24"/>
        </w:rPr>
        <w:t>, kurā tehniski un ekonomiski tika izvērtēti trīs scenāriji:</w:t>
      </w:r>
    </w:p>
    <w:p w:rsidR="004A1A93" w:rsidP="00C338E3" w14:paraId="201F5D68" w14:textId="0E0F3CFB">
      <w:pPr>
        <w:pStyle w:val="ListParagraph"/>
        <w:numPr>
          <w:ilvl w:val="0"/>
          <w:numId w:val="2"/>
        </w:numPr>
        <w:spacing w:after="0" w:line="360" w:lineRule="auto"/>
        <w:jc w:val="both"/>
        <w:rPr>
          <w:rFonts w:ascii="Times New Roman" w:hAnsi="Times New Roman" w:cs="Times New Roman"/>
          <w:sz w:val="24"/>
          <w:szCs w:val="24"/>
        </w:rPr>
      </w:pPr>
      <w:r w:rsidRPr="004A1A93">
        <w:rPr>
          <w:rFonts w:ascii="Times New Roman" w:hAnsi="Times New Roman" w:cs="Times New Roman"/>
          <w:sz w:val="24"/>
          <w:szCs w:val="24"/>
        </w:rPr>
        <w:t xml:space="preserve">Baltijas valstu </w:t>
      </w:r>
      <w:r w:rsidR="004D3488">
        <w:rPr>
          <w:rFonts w:ascii="Times New Roman" w:hAnsi="Times New Roman" w:cs="Times New Roman"/>
          <w:sz w:val="24"/>
          <w:szCs w:val="24"/>
        </w:rPr>
        <w:t>elektroenerģijas</w:t>
      </w:r>
      <w:r w:rsidRPr="004A1A93" w:rsidR="004D3488">
        <w:rPr>
          <w:rFonts w:ascii="Times New Roman" w:hAnsi="Times New Roman" w:cs="Times New Roman"/>
          <w:sz w:val="24"/>
          <w:szCs w:val="24"/>
        </w:rPr>
        <w:t xml:space="preserve"> </w:t>
      </w:r>
      <w:r w:rsidRPr="004A1A93">
        <w:rPr>
          <w:rFonts w:ascii="Times New Roman" w:hAnsi="Times New Roman" w:cs="Times New Roman"/>
          <w:sz w:val="24"/>
          <w:szCs w:val="24"/>
        </w:rPr>
        <w:t>sistēma nav sinhronizēta</w:t>
      </w:r>
      <w:r w:rsidRPr="004A1A93" w:rsidR="000C5B87">
        <w:rPr>
          <w:rFonts w:ascii="Times New Roman" w:hAnsi="Times New Roman" w:cs="Times New Roman"/>
          <w:sz w:val="24"/>
          <w:szCs w:val="24"/>
        </w:rPr>
        <w:t xml:space="preserve"> ne ar vienu no kaimiņvalstu sistēmām</w:t>
      </w:r>
      <w:r>
        <w:rPr>
          <w:rFonts w:ascii="Times New Roman" w:hAnsi="Times New Roman" w:cs="Times New Roman"/>
          <w:sz w:val="24"/>
          <w:szCs w:val="24"/>
        </w:rPr>
        <w:t>,</w:t>
      </w:r>
      <w:r w:rsidRPr="004A1A93">
        <w:t xml:space="preserve"> </w:t>
      </w:r>
      <w:r w:rsidRPr="004A1A93">
        <w:rPr>
          <w:rFonts w:ascii="Times New Roman" w:hAnsi="Times New Roman" w:cs="Times New Roman"/>
          <w:sz w:val="24"/>
          <w:szCs w:val="24"/>
        </w:rPr>
        <w:t xml:space="preserve">bet paliek asinhroni savienota ar Ziemeļvalstīm un Poliju ar līdzstrāvas </w:t>
      </w:r>
      <w:r w:rsidRPr="004A1A93">
        <w:rPr>
          <w:rFonts w:ascii="Times New Roman" w:hAnsi="Times New Roman" w:cs="Times New Roman"/>
          <w:sz w:val="24"/>
          <w:szCs w:val="24"/>
        </w:rPr>
        <w:t>starpsavienojumiem</w:t>
      </w:r>
      <w:r w:rsidR="00F60160">
        <w:rPr>
          <w:rFonts w:ascii="Times New Roman" w:hAnsi="Times New Roman" w:cs="Times New Roman"/>
          <w:sz w:val="24"/>
          <w:szCs w:val="24"/>
        </w:rPr>
        <w:t>;</w:t>
      </w:r>
      <w:r w:rsidRPr="004A1A93">
        <w:rPr>
          <w:rFonts w:ascii="Times New Roman" w:hAnsi="Times New Roman" w:cs="Times New Roman"/>
          <w:sz w:val="24"/>
          <w:szCs w:val="24"/>
        </w:rPr>
        <w:t xml:space="preserve"> </w:t>
      </w:r>
    </w:p>
    <w:p w:rsidR="004A1A93" w:rsidP="00C338E3" w14:paraId="6E4F1F71" w14:textId="77777777">
      <w:pPr>
        <w:pStyle w:val="ListParagraph"/>
        <w:numPr>
          <w:ilvl w:val="0"/>
          <w:numId w:val="2"/>
        </w:numPr>
        <w:spacing w:after="0" w:line="360" w:lineRule="auto"/>
        <w:jc w:val="both"/>
        <w:rPr>
          <w:rFonts w:ascii="Times New Roman" w:hAnsi="Times New Roman" w:cs="Times New Roman"/>
          <w:sz w:val="24"/>
          <w:szCs w:val="24"/>
        </w:rPr>
      </w:pPr>
      <w:r w:rsidRPr="004A1A93">
        <w:rPr>
          <w:rFonts w:ascii="Times New Roman" w:hAnsi="Times New Roman" w:cs="Times New Roman"/>
          <w:sz w:val="24"/>
          <w:szCs w:val="24"/>
        </w:rPr>
        <w:t>Baltijas valstis ir sinhronizētas ar Ziemeļvalstīm</w:t>
      </w:r>
      <w:r>
        <w:rPr>
          <w:rFonts w:ascii="Times New Roman" w:hAnsi="Times New Roman" w:cs="Times New Roman"/>
          <w:sz w:val="24"/>
          <w:szCs w:val="24"/>
        </w:rPr>
        <w:t xml:space="preserve"> </w:t>
      </w:r>
      <w:r w:rsidRPr="004A1A93">
        <w:rPr>
          <w:rFonts w:ascii="Times New Roman" w:hAnsi="Times New Roman" w:cs="Times New Roman"/>
          <w:sz w:val="24"/>
          <w:szCs w:val="24"/>
        </w:rPr>
        <w:t>ar jauniem augstsprieguma maiņstrāvas jūras kabeļiem starp Somiju un Igauniju</w:t>
      </w:r>
      <w:r w:rsidRPr="004A1A93">
        <w:rPr>
          <w:rFonts w:ascii="Times New Roman" w:hAnsi="Times New Roman" w:cs="Times New Roman"/>
          <w:sz w:val="24"/>
          <w:szCs w:val="24"/>
        </w:rPr>
        <w:t>;</w:t>
      </w:r>
    </w:p>
    <w:p w:rsidR="004A1A93" w:rsidRPr="004A1A93" w:rsidP="00C338E3" w14:paraId="6C7628E2" w14:textId="79A331B6">
      <w:pPr>
        <w:pStyle w:val="ListParagraph"/>
        <w:numPr>
          <w:ilvl w:val="0"/>
          <w:numId w:val="2"/>
        </w:numPr>
        <w:spacing w:after="0" w:line="360" w:lineRule="auto"/>
        <w:jc w:val="both"/>
        <w:rPr>
          <w:rFonts w:ascii="Times New Roman" w:hAnsi="Times New Roman" w:cs="Times New Roman"/>
          <w:sz w:val="24"/>
          <w:szCs w:val="24"/>
        </w:rPr>
      </w:pPr>
      <w:r w:rsidRPr="004A1A93">
        <w:rPr>
          <w:rFonts w:ascii="Times New Roman" w:hAnsi="Times New Roman" w:cs="Times New Roman"/>
          <w:sz w:val="24"/>
          <w:szCs w:val="24"/>
        </w:rPr>
        <w:t xml:space="preserve">Baltijas valstis ir sinhronizētas ar </w:t>
      </w:r>
      <w:r w:rsidR="004D3488">
        <w:rPr>
          <w:rFonts w:ascii="Times New Roman" w:hAnsi="Times New Roman" w:cs="Times New Roman"/>
          <w:sz w:val="24"/>
          <w:szCs w:val="24"/>
        </w:rPr>
        <w:t>k</w:t>
      </w:r>
      <w:r w:rsidRPr="004A1A93" w:rsidR="004D3488">
        <w:rPr>
          <w:rFonts w:ascii="Times New Roman" w:hAnsi="Times New Roman" w:cs="Times New Roman"/>
          <w:sz w:val="24"/>
          <w:szCs w:val="24"/>
        </w:rPr>
        <w:t xml:space="preserve">ontinentālo </w:t>
      </w:r>
      <w:r w:rsidRPr="004A1A93">
        <w:rPr>
          <w:rFonts w:ascii="Times New Roman" w:hAnsi="Times New Roman" w:cs="Times New Roman"/>
          <w:sz w:val="24"/>
          <w:szCs w:val="24"/>
        </w:rPr>
        <w:t xml:space="preserve">Eiropu caur Poliju ar esošo </w:t>
      </w:r>
      <w:r w:rsidR="004D3488">
        <w:rPr>
          <w:rFonts w:ascii="Times New Roman" w:hAnsi="Times New Roman" w:cs="Times New Roman"/>
          <w:sz w:val="24"/>
          <w:szCs w:val="24"/>
        </w:rPr>
        <w:t>divķēžu</w:t>
      </w:r>
      <w:r w:rsidR="004D3488">
        <w:rPr>
          <w:rFonts w:ascii="Times New Roman" w:hAnsi="Times New Roman" w:cs="Times New Roman"/>
          <w:sz w:val="24"/>
          <w:szCs w:val="24"/>
        </w:rPr>
        <w:t xml:space="preserve"> </w:t>
      </w:r>
      <w:r w:rsidRPr="004A1A93">
        <w:rPr>
          <w:rFonts w:ascii="Times New Roman" w:hAnsi="Times New Roman" w:cs="Times New Roman"/>
          <w:sz w:val="24"/>
          <w:szCs w:val="24"/>
        </w:rPr>
        <w:t xml:space="preserve">maiņstrāvas LitPolLink1 </w:t>
      </w:r>
      <w:r w:rsidRPr="004A1A93">
        <w:rPr>
          <w:rFonts w:ascii="Times New Roman" w:hAnsi="Times New Roman" w:cs="Times New Roman"/>
          <w:sz w:val="24"/>
          <w:szCs w:val="24"/>
        </w:rPr>
        <w:t>starpsavienojumu</w:t>
      </w:r>
      <w:r w:rsidRPr="004A1A93">
        <w:rPr>
          <w:rFonts w:ascii="Times New Roman" w:hAnsi="Times New Roman" w:cs="Times New Roman"/>
          <w:sz w:val="24"/>
          <w:szCs w:val="24"/>
        </w:rPr>
        <w:t xml:space="preserve"> vai ar esošo maiņstrāvas </w:t>
      </w:r>
      <w:r w:rsidRPr="004A1A93">
        <w:rPr>
          <w:rFonts w:ascii="Times New Roman" w:hAnsi="Times New Roman" w:cs="Times New Roman"/>
          <w:sz w:val="24"/>
          <w:szCs w:val="24"/>
        </w:rPr>
        <w:t>LitPol</w:t>
      </w:r>
      <w:r w:rsidR="007638FC">
        <w:rPr>
          <w:rFonts w:ascii="Times New Roman" w:hAnsi="Times New Roman" w:cs="Times New Roman"/>
          <w:sz w:val="24"/>
          <w:szCs w:val="24"/>
        </w:rPr>
        <w:t xml:space="preserve"> </w:t>
      </w:r>
      <w:r w:rsidRPr="004A1A93">
        <w:rPr>
          <w:rFonts w:ascii="Times New Roman" w:hAnsi="Times New Roman" w:cs="Times New Roman"/>
          <w:sz w:val="24"/>
          <w:szCs w:val="24"/>
        </w:rPr>
        <w:t>Link</w:t>
      </w:r>
      <w:r w:rsidR="007638FC">
        <w:rPr>
          <w:rFonts w:ascii="Times New Roman" w:hAnsi="Times New Roman" w:cs="Times New Roman"/>
          <w:sz w:val="24"/>
          <w:szCs w:val="24"/>
        </w:rPr>
        <w:t xml:space="preserve"> </w:t>
      </w:r>
      <w:r w:rsidRPr="004A1A93">
        <w:rPr>
          <w:rFonts w:ascii="Times New Roman" w:hAnsi="Times New Roman" w:cs="Times New Roman"/>
          <w:sz w:val="24"/>
          <w:szCs w:val="24"/>
        </w:rPr>
        <w:t xml:space="preserve">1 un jaunu maiņstrāvas </w:t>
      </w:r>
      <w:r w:rsidRPr="004A1A93">
        <w:rPr>
          <w:rFonts w:ascii="Times New Roman" w:hAnsi="Times New Roman" w:cs="Times New Roman"/>
          <w:sz w:val="24"/>
          <w:szCs w:val="24"/>
        </w:rPr>
        <w:t>LitPol</w:t>
      </w:r>
      <w:r w:rsidR="007638FC">
        <w:rPr>
          <w:rFonts w:ascii="Times New Roman" w:hAnsi="Times New Roman" w:cs="Times New Roman"/>
          <w:sz w:val="24"/>
          <w:szCs w:val="24"/>
        </w:rPr>
        <w:t xml:space="preserve"> </w:t>
      </w:r>
      <w:r w:rsidRPr="004A1A93">
        <w:rPr>
          <w:rFonts w:ascii="Times New Roman" w:hAnsi="Times New Roman" w:cs="Times New Roman"/>
          <w:sz w:val="24"/>
          <w:szCs w:val="24"/>
        </w:rPr>
        <w:t>Link</w:t>
      </w:r>
      <w:r w:rsidR="007638FC">
        <w:rPr>
          <w:rFonts w:ascii="Times New Roman" w:hAnsi="Times New Roman" w:cs="Times New Roman"/>
          <w:sz w:val="24"/>
          <w:szCs w:val="24"/>
        </w:rPr>
        <w:t xml:space="preserve"> </w:t>
      </w:r>
      <w:r w:rsidRPr="004A1A93">
        <w:rPr>
          <w:rFonts w:ascii="Times New Roman" w:hAnsi="Times New Roman" w:cs="Times New Roman"/>
          <w:sz w:val="24"/>
          <w:szCs w:val="24"/>
        </w:rPr>
        <w:t xml:space="preserve">2 </w:t>
      </w:r>
      <w:r w:rsidRPr="004A1A93">
        <w:rPr>
          <w:rFonts w:ascii="Times New Roman" w:hAnsi="Times New Roman" w:cs="Times New Roman"/>
          <w:sz w:val="24"/>
          <w:szCs w:val="24"/>
        </w:rPr>
        <w:t>starpsavienojumu</w:t>
      </w:r>
      <w:r w:rsidRPr="004A1A93">
        <w:rPr>
          <w:rFonts w:ascii="Times New Roman" w:hAnsi="Times New Roman" w:cs="Times New Roman"/>
          <w:sz w:val="24"/>
          <w:szCs w:val="24"/>
        </w:rPr>
        <w:t>.</w:t>
      </w:r>
    </w:p>
    <w:p w:rsidR="004A1A93" w:rsidP="00C338E3" w14:paraId="0C0B699B" w14:textId="7D700D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56331">
        <w:rPr>
          <w:rFonts w:ascii="Times New Roman" w:hAnsi="Times New Roman" w:cs="Times New Roman"/>
          <w:sz w:val="24"/>
          <w:szCs w:val="24"/>
        </w:rPr>
        <w:t>JRC pētījuma rezultāti liecināja, ka</w:t>
      </w:r>
      <w:r w:rsidRPr="000651F1">
        <w:rPr>
          <w:rFonts w:ascii="Times New Roman" w:hAnsi="Times New Roman" w:cs="Times New Roman"/>
          <w:sz w:val="24"/>
          <w:szCs w:val="24"/>
        </w:rPr>
        <w:t xml:space="preserve"> Baltijas valstu sinhronizācija ar Poliju ar </w:t>
      </w:r>
      <w:r w:rsidRPr="000651F1">
        <w:rPr>
          <w:rFonts w:ascii="Times New Roman" w:hAnsi="Times New Roman" w:cs="Times New Roman"/>
          <w:sz w:val="24"/>
          <w:szCs w:val="24"/>
        </w:rPr>
        <w:t>LitPol</w:t>
      </w:r>
      <w:r w:rsidR="007638FC">
        <w:rPr>
          <w:rFonts w:ascii="Times New Roman" w:hAnsi="Times New Roman" w:cs="Times New Roman"/>
          <w:sz w:val="24"/>
          <w:szCs w:val="24"/>
        </w:rPr>
        <w:t xml:space="preserve"> </w:t>
      </w:r>
      <w:r w:rsidRPr="000651F1">
        <w:rPr>
          <w:rFonts w:ascii="Times New Roman" w:hAnsi="Times New Roman" w:cs="Times New Roman"/>
          <w:sz w:val="24"/>
          <w:szCs w:val="24"/>
        </w:rPr>
        <w:t>Link</w:t>
      </w:r>
      <w:r w:rsidR="007638FC">
        <w:rPr>
          <w:rFonts w:ascii="Times New Roman" w:hAnsi="Times New Roman" w:cs="Times New Roman"/>
          <w:sz w:val="24"/>
          <w:szCs w:val="24"/>
        </w:rPr>
        <w:t xml:space="preserve"> </w:t>
      </w:r>
      <w:r w:rsidRPr="000651F1">
        <w:rPr>
          <w:rFonts w:ascii="Times New Roman" w:hAnsi="Times New Roman" w:cs="Times New Roman"/>
          <w:sz w:val="24"/>
          <w:szCs w:val="24"/>
        </w:rPr>
        <w:t>1 un</w:t>
      </w:r>
      <w:r w:rsidR="00556331">
        <w:rPr>
          <w:rFonts w:ascii="Times New Roman" w:hAnsi="Times New Roman" w:cs="Times New Roman"/>
          <w:sz w:val="24"/>
          <w:szCs w:val="24"/>
        </w:rPr>
        <w:t xml:space="preserve"> </w:t>
      </w:r>
      <w:r w:rsidR="00556331">
        <w:rPr>
          <w:rFonts w:ascii="Times New Roman" w:hAnsi="Times New Roman" w:cs="Times New Roman"/>
          <w:sz w:val="24"/>
          <w:szCs w:val="24"/>
        </w:rPr>
        <w:t>LitPol</w:t>
      </w:r>
      <w:r w:rsidR="007638FC">
        <w:rPr>
          <w:rFonts w:ascii="Times New Roman" w:hAnsi="Times New Roman" w:cs="Times New Roman"/>
          <w:sz w:val="24"/>
          <w:szCs w:val="24"/>
        </w:rPr>
        <w:t xml:space="preserve"> </w:t>
      </w:r>
      <w:r w:rsidR="00556331">
        <w:rPr>
          <w:rFonts w:ascii="Times New Roman" w:hAnsi="Times New Roman" w:cs="Times New Roman"/>
          <w:sz w:val="24"/>
          <w:szCs w:val="24"/>
        </w:rPr>
        <w:t>Link</w:t>
      </w:r>
      <w:r w:rsidR="007638FC">
        <w:rPr>
          <w:rFonts w:ascii="Times New Roman" w:hAnsi="Times New Roman" w:cs="Times New Roman"/>
          <w:sz w:val="24"/>
          <w:szCs w:val="24"/>
        </w:rPr>
        <w:t xml:space="preserve"> </w:t>
      </w:r>
      <w:r w:rsidR="00556331">
        <w:rPr>
          <w:rFonts w:ascii="Times New Roman" w:hAnsi="Times New Roman" w:cs="Times New Roman"/>
          <w:sz w:val="24"/>
          <w:szCs w:val="24"/>
        </w:rPr>
        <w:t xml:space="preserve">2 </w:t>
      </w:r>
      <w:r w:rsidR="00556331">
        <w:rPr>
          <w:rFonts w:ascii="Times New Roman" w:hAnsi="Times New Roman" w:cs="Times New Roman"/>
          <w:sz w:val="24"/>
          <w:szCs w:val="24"/>
        </w:rPr>
        <w:t>starpsavienojumiem</w:t>
      </w:r>
      <w:r w:rsidR="00556331">
        <w:rPr>
          <w:rFonts w:ascii="Times New Roman" w:hAnsi="Times New Roman" w:cs="Times New Roman"/>
          <w:sz w:val="24"/>
          <w:szCs w:val="24"/>
        </w:rPr>
        <w:t xml:space="preserve"> tiek vērtēta</w:t>
      </w:r>
      <w:r w:rsidRPr="000651F1">
        <w:rPr>
          <w:rFonts w:ascii="Times New Roman" w:hAnsi="Times New Roman" w:cs="Times New Roman"/>
          <w:sz w:val="24"/>
          <w:szCs w:val="24"/>
        </w:rPr>
        <w:t xml:space="preserve"> kā izmaksu efektīvākais sinhronizācijas variants, kas nodrošina </w:t>
      </w:r>
      <w:r w:rsidR="004D3488">
        <w:rPr>
          <w:rFonts w:ascii="Times New Roman" w:hAnsi="Times New Roman" w:cs="Times New Roman"/>
          <w:sz w:val="24"/>
          <w:szCs w:val="24"/>
        </w:rPr>
        <w:t>pietiekam</w:t>
      </w:r>
      <w:r w:rsidR="00DF7FC4">
        <w:rPr>
          <w:rFonts w:ascii="Times New Roman" w:hAnsi="Times New Roman" w:cs="Times New Roman"/>
          <w:sz w:val="24"/>
          <w:szCs w:val="24"/>
        </w:rPr>
        <w:t>u</w:t>
      </w:r>
      <w:r w:rsidR="004D3488">
        <w:rPr>
          <w:rFonts w:ascii="Times New Roman" w:hAnsi="Times New Roman" w:cs="Times New Roman"/>
          <w:sz w:val="24"/>
          <w:szCs w:val="24"/>
        </w:rPr>
        <w:t xml:space="preserve"> </w:t>
      </w:r>
      <w:r w:rsidRPr="000651F1">
        <w:rPr>
          <w:rFonts w:ascii="Times New Roman" w:hAnsi="Times New Roman" w:cs="Times New Roman"/>
          <w:sz w:val="24"/>
          <w:szCs w:val="24"/>
        </w:rPr>
        <w:t>sistēmas stabilitāti</w:t>
      </w:r>
      <w:r w:rsidR="00A71A96">
        <w:rPr>
          <w:rFonts w:ascii="Times New Roman" w:hAnsi="Times New Roman" w:cs="Times New Roman"/>
          <w:sz w:val="24"/>
          <w:szCs w:val="24"/>
        </w:rPr>
        <w:t xml:space="preserve"> un dro</w:t>
      </w:r>
      <w:r w:rsidR="004D3488">
        <w:rPr>
          <w:rFonts w:ascii="Times New Roman" w:hAnsi="Times New Roman" w:cs="Times New Roman"/>
          <w:sz w:val="24"/>
          <w:szCs w:val="24"/>
        </w:rPr>
        <w:t>šumu</w:t>
      </w:r>
      <w:r w:rsidRPr="000651F1">
        <w:rPr>
          <w:rFonts w:ascii="Times New Roman" w:hAnsi="Times New Roman" w:cs="Times New Roman"/>
          <w:sz w:val="24"/>
          <w:szCs w:val="24"/>
        </w:rPr>
        <w:t xml:space="preserve">, jo šī scenārijā gadījumā nepieciešamas vismazākās frekvences regulēšanas un avārijas jaudu rezerves, kā arī tam ir </w:t>
      </w:r>
      <w:r w:rsidR="004D3488">
        <w:rPr>
          <w:rFonts w:ascii="Times New Roman" w:hAnsi="Times New Roman" w:cs="Times New Roman"/>
          <w:sz w:val="24"/>
          <w:szCs w:val="24"/>
        </w:rPr>
        <w:t>vis</w:t>
      </w:r>
      <w:r w:rsidRPr="000651F1">
        <w:rPr>
          <w:rFonts w:ascii="Times New Roman" w:hAnsi="Times New Roman" w:cs="Times New Roman"/>
          <w:sz w:val="24"/>
          <w:szCs w:val="24"/>
        </w:rPr>
        <w:t>mazākās ražošanas izmaksas.</w:t>
      </w:r>
    </w:p>
    <w:p w:rsidR="00C338E3" w:rsidP="00C338E3" w14:paraId="2CDF0A65" w14:textId="465E00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2017.gada septembrī </w:t>
      </w:r>
      <w:r w:rsidRPr="004A1A93">
        <w:rPr>
          <w:rFonts w:ascii="Times New Roman" w:hAnsi="Times New Roman" w:cs="Times New Roman"/>
          <w:sz w:val="24"/>
          <w:szCs w:val="24"/>
        </w:rPr>
        <w:t>Neformālās Enerģētikas ministru padomes ie</w:t>
      </w:r>
      <w:r>
        <w:rPr>
          <w:rFonts w:ascii="Times New Roman" w:hAnsi="Times New Roman" w:cs="Times New Roman"/>
          <w:sz w:val="24"/>
          <w:szCs w:val="24"/>
        </w:rPr>
        <w:t xml:space="preserve">tvaros tika panākta vienošanās starp Latviju, Lietuvu, Igauniju un Poliju </w:t>
      </w:r>
      <w:r w:rsidRPr="004A1A93">
        <w:rPr>
          <w:rFonts w:ascii="Times New Roman" w:hAnsi="Times New Roman" w:cs="Times New Roman"/>
          <w:sz w:val="24"/>
          <w:szCs w:val="24"/>
        </w:rPr>
        <w:t xml:space="preserve">uzsākt </w:t>
      </w:r>
      <w:r>
        <w:rPr>
          <w:rFonts w:ascii="Times New Roman" w:hAnsi="Times New Roman" w:cs="Times New Roman"/>
          <w:sz w:val="24"/>
          <w:szCs w:val="24"/>
        </w:rPr>
        <w:t xml:space="preserve">tā saukto </w:t>
      </w:r>
      <w:r w:rsidRPr="004A1A93">
        <w:rPr>
          <w:rFonts w:ascii="Times New Roman" w:hAnsi="Times New Roman" w:cs="Times New Roman"/>
          <w:sz w:val="24"/>
          <w:szCs w:val="24"/>
        </w:rPr>
        <w:t xml:space="preserve">dinamisko izpēti, iesaistot ENTSO-E, kas paredzētu </w:t>
      </w:r>
      <w:r w:rsidR="00BF3F08">
        <w:rPr>
          <w:rFonts w:ascii="Times New Roman" w:hAnsi="Times New Roman" w:cs="Times New Roman"/>
          <w:sz w:val="24"/>
          <w:szCs w:val="24"/>
        </w:rPr>
        <w:t>trīs</w:t>
      </w:r>
      <w:r w:rsidRPr="004A1A93" w:rsidR="00BF3F08">
        <w:rPr>
          <w:rFonts w:ascii="Times New Roman" w:hAnsi="Times New Roman" w:cs="Times New Roman"/>
          <w:sz w:val="24"/>
          <w:szCs w:val="24"/>
        </w:rPr>
        <w:t xml:space="preserve"> </w:t>
      </w:r>
      <w:r w:rsidRPr="004A1A93">
        <w:rPr>
          <w:rFonts w:ascii="Times New Roman" w:hAnsi="Times New Roman" w:cs="Times New Roman"/>
          <w:sz w:val="24"/>
          <w:szCs w:val="24"/>
        </w:rPr>
        <w:t xml:space="preserve">iespējamo </w:t>
      </w:r>
      <w:r w:rsidR="00BF3F08">
        <w:rPr>
          <w:rFonts w:ascii="Times New Roman" w:hAnsi="Times New Roman" w:cs="Times New Roman"/>
          <w:sz w:val="24"/>
          <w:szCs w:val="24"/>
        </w:rPr>
        <w:t xml:space="preserve">sinhronizācijas </w:t>
      </w:r>
      <w:r w:rsidRPr="004A1A93">
        <w:rPr>
          <w:rFonts w:ascii="Times New Roman" w:hAnsi="Times New Roman" w:cs="Times New Roman"/>
          <w:sz w:val="24"/>
          <w:szCs w:val="24"/>
        </w:rPr>
        <w:t>scenāriju caur Poliju analī</w:t>
      </w:r>
      <w:r>
        <w:rPr>
          <w:rFonts w:ascii="Times New Roman" w:hAnsi="Times New Roman" w:cs="Times New Roman"/>
          <w:sz w:val="24"/>
          <w:szCs w:val="24"/>
        </w:rPr>
        <w:t>zi. Dinamiskās izpētes mērķis bija</w:t>
      </w:r>
      <w:r w:rsidRPr="004A1A93">
        <w:rPr>
          <w:rFonts w:ascii="Times New Roman" w:hAnsi="Times New Roman" w:cs="Times New Roman"/>
          <w:sz w:val="24"/>
          <w:szCs w:val="24"/>
        </w:rPr>
        <w:t xml:space="preserve"> izpētīt kā </w:t>
      </w:r>
      <w:r w:rsidR="00BF3F08">
        <w:rPr>
          <w:rFonts w:ascii="Times New Roman" w:hAnsi="Times New Roman" w:cs="Times New Roman"/>
          <w:sz w:val="24"/>
          <w:szCs w:val="24"/>
        </w:rPr>
        <w:t xml:space="preserve">Eiropas </w:t>
      </w:r>
      <w:r w:rsidRPr="004A1A93">
        <w:rPr>
          <w:rFonts w:ascii="Times New Roman" w:hAnsi="Times New Roman" w:cs="Times New Roman"/>
          <w:sz w:val="24"/>
          <w:szCs w:val="24"/>
        </w:rPr>
        <w:t xml:space="preserve">elektroenerģijas sistēma tehniski reaģēs uz </w:t>
      </w:r>
      <w:r w:rsidR="00BF3F08">
        <w:rPr>
          <w:rFonts w:ascii="Times New Roman" w:hAnsi="Times New Roman" w:cs="Times New Roman"/>
          <w:sz w:val="24"/>
          <w:szCs w:val="24"/>
        </w:rPr>
        <w:t>Baltijas elektroenerģijas sistēmu pievienošanos pie kontinentālās Eiropas elektropārvades tīkla</w:t>
      </w:r>
      <w:r w:rsidRPr="004A1A93">
        <w:rPr>
          <w:rFonts w:ascii="Times New Roman" w:hAnsi="Times New Roman" w:cs="Times New Roman"/>
          <w:sz w:val="24"/>
          <w:szCs w:val="24"/>
        </w:rPr>
        <w:t xml:space="preserve">. Sakarā ar to, ka Polijas PSO ir interfeisa operators un ir atbildīgs par Baltijas PSO pievienošanu kontinentālās Eiropas tīklam, tas uzņēmās šīs izpētes vadību. </w:t>
      </w:r>
      <w:r w:rsidR="00CA667A">
        <w:rPr>
          <w:rFonts w:ascii="Times New Roman" w:hAnsi="Times New Roman" w:cs="Times New Roman"/>
          <w:sz w:val="24"/>
          <w:szCs w:val="24"/>
        </w:rPr>
        <w:t>2017.gada n</w:t>
      </w:r>
      <w:r w:rsidRPr="004A1A93" w:rsidR="00CA667A">
        <w:rPr>
          <w:rFonts w:ascii="Times New Roman" w:hAnsi="Times New Roman" w:cs="Times New Roman"/>
          <w:sz w:val="24"/>
          <w:szCs w:val="24"/>
        </w:rPr>
        <w:t>ovembr</w:t>
      </w:r>
      <w:r w:rsidR="00CA667A">
        <w:rPr>
          <w:rFonts w:ascii="Times New Roman" w:hAnsi="Times New Roman" w:cs="Times New Roman"/>
          <w:sz w:val="24"/>
          <w:szCs w:val="24"/>
        </w:rPr>
        <w:t>ī</w:t>
      </w:r>
      <w:r w:rsidRPr="004A1A93" w:rsidR="00CA667A">
        <w:rPr>
          <w:rFonts w:ascii="Times New Roman" w:hAnsi="Times New Roman" w:cs="Times New Roman"/>
          <w:sz w:val="24"/>
          <w:szCs w:val="24"/>
        </w:rPr>
        <w:t xml:space="preserve"> Baltijas valstu un Polijas </w:t>
      </w:r>
      <w:r w:rsidR="00CA667A">
        <w:rPr>
          <w:rFonts w:ascii="Times New Roman" w:hAnsi="Times New Roman" w:cs="Times New Roman"/>
          <w:sz w:val="24"/>
          <w:szCs w:val="24"/>
        </w:rPr>
        <w:t>PSO</w:t>
      </w:r>
      <w:r w:rsidRPr="004A1A93" w:rsidR="00CA667A">
        <w:rPr>
          <w:rFonts w:ascii="Times New Roman" w:hAnsi="Times New Roman" w:cs="Times New Roman"/>
          <w:sz w:val="24"/>
          <w:szCs w:val="24"/>
        </w:rPr>
        <w:t xml:space="preserve"> </w:t>
      </w:r>
      <w:r w:rsidR="00CA667A">
        <w:rPr>
          <w:rFonts w:ascii="Times New Roman" w:hAnsi="Times New Roman" w:cs="Times New Roman"/>
          <w:sz w:val="24"/>
          <w:szCs w:val="24"/>
        </w:rPr>
        <w:t>noslēdza savstarpējo</w:t>
      </w:r>
      <w:r w:rsidRPr="004A1A93" w:rsidR="00CA667A">
        <w:rPr>
          <w:rFonts w:ascii="Times New Roman" w:hAnsi="Times New Roman" w:cs="Times New Roman"/>
          <w:sz w:val="24"/>
          <w:szCs w:val="24"/>
        </w:rPr>
        <w:t xml:space="preserve"> vienošanos par pētījuma uzdevumiem</w:t>
      </w:r>
      <w:r w:rsidR="00CA667A">
        <w:rPr>
          <w:rFonts w:ascii="Times New Roman" w:hAnsi="Times New Roman" w:cs="Times New Roman"/>
          <w:sz w:val="24"/>
          <w:szCs w:val="24"/>
        </w:rPr>
        <w:t xml:space="preserve"> un atbildību un apstiprināja dinamiskās izpētes uzdevumu. 2017. gada beigās par </w:t>
      </w:r>
      <w:r w:rsidRPr="004A1A93">
        <w:rPr>
          <w:rFonts w:ascii="Times New Roman" w:hAnsi="Times New Roman" w:cs="Times New Roman"/>
          <w:sz w:val="24"/>
          <w:szCs w:val="24"/>
        </w:rPr>
        <w:t>dinam</w:t>
      </w:r>
      <w:r w:rsidR="00DF7FC4">
        <w:rPr>
          <w:rFonts w:ascii="Times New Roman" w:hAnsi="Times New Roman" w:cs="Times New Roman"/>
          <w:sz w:val="24"/>
          <w:szCs w:val="24"/>
        </w:rPr>
        <w:t>iskās</w:t>
      </w:r>
      <w:r w:rsidRPr="004A1A93">
        <w:rPr>
          <w:rFonts w:ascii="Times New Roman" w:hAnsi="Times New Roman" w:cs="Times New Roman"/>
          <w:sz w:val="24"/>
          <w:szCs w:val="24"/>
        </w:rPr>
        <w:t xml:space="preserve"> izpēt</w:t>
      </w:r>
      <w:r w:rsidR="00CA667A">
        <w:rPr>
          <w:rFonts w:ascii="Times New Roman" w:hAnsi="Times New Roman" w:cs="Times New Roman"/>
          <w:sz w:val="24"/>
          <w:szCs w:val="24"/>
        </w:rPr>
        <w:t>es</w:t>
      </w:r>
      <w:r w:rsidRPr="004A1A93">
        <w:rPr>
          <w:rFonts w:ascii="Times New Roman" w:hAnsi="Times New Roman" w:cs="Times New Roman"/>
          <w:sz w:val="24"/>
          <w:szCs w:val="24"/>
        </w:rPr>
        <w:t xml:space="preserve"> Baltijas tīklu sinhronizācijai</w:t>
      </w:r>
      <w:r w:rsidR="00DF7FC4">
        <w:rPr>
          <w:rFonts w:ascii="Times New Roman" w:hAnsi="Times New Roman" w:cs="Times New Roman"/>
          <w:sz w:val="24"/>
          <w:szCs w:val="24"/>
        </w:rPr>
        <w:t xml:space="preserve"> veicēju</w:t>
      </w:r>
      <w:r w:rsidRPr="004A1A93">
        <w:rPr>
          <w:rFonts w:ascii="Times New Roman" w:hAnsi="Times New Roman" w:cs="Times New Roman"/>
          <w:sz w:val="24"/>
          <w:szCs w:val="24"/>
        </w:rPr>
        <w:t xml:space="preserve"> </w:t>
      </w:r>
      <w:r w:rsidR="00CA667A">
        <w:rPr>
          <w:rFonts w:ascii="Times New Roman" w:hAnsi="Times New Roman" w:cs="Times New Roman"/>
          <w:sz w:val="24"/>
          <w:szCs w:val="24"/>
        </w:rPr>
        <w:t>tika izvelēts Polijas konsultants</w:t>
      </w:r>
      <w:r w:rsidRPr="004A1A93" w:rsidR="00CA667A">
        <w:rPr>
          <w:rFonts w:ascii="Times New Roman" w:hAnsi="Times New Roman" w:cs="Times New Roman"/>
          <w:sz w:val="24"/>
          <w:szCs w:val="24"/>
        </w:rPr>
        <w:t xml:space="preserve"> </w:t>
      </w:r>
      <w:r w:rsidR="00DF7FC4">
        <w:rPr>
          <w:rFonts w:ascii="Times New Roman" w:hAnsi="Times New Roman" w:cs="Times New Roman"/>
          <w:sz w:val="24"/>
          <w:szCs w:val="24"/>
        </w:rPr>
        <w:t xml:space="preserve"> - </w:t>
      </w:r>
      <w:r w:rsidRPr="004A1A93">
        <w:rPr>
          <w:rFonts w:ascii="Times New Roman" w:hAnsi="Times New Roman" w:cs="Times New Roman"/>
          <w:sz w:val="24"/>
          <w:szCs w:val="24"/>
        </w:rPr>
        <w:t xml:space="preserve">Gdaņskas </w:t>
      </w:r>
      <w:r w:rsidR="00CA667A">
        <w:rPr>
          <w:rFonts w:ascii="Times New Roman" w:hAnsi="Times New Roman" w:cs="Times New Roman"/>
          <w:sz w:val="24"/>
          <w:szCs w:val="24"/>
        </w:rPr>
        <w:t>enerģētikas</w:t>
      </w:r>
      <w:r w:rsidRPr="004A1A93" w:rsidR="00CA667A">
        <w:rPr>
          <w:rFonts w:ascii="Times New Roman" w:hAnsi="Times New Roman" w:cs="Times New Roman"/>
          <w:sz w:val="24"/>
          <w:szCs w:val="24"/>
        </w:rPr>
        <w:t xml:space="preserve"> </w:t>
      </w:r>
      <w:r w:rsidR="00CA667A">
        <w:rPr>
          <w:rFonts w:ascii="Times New Roman" w:hAnsi="Times New Roman" w:cs="Times New Roman"/>
          <w:sz w:val="24"/>
          <w:szCs w:val="24"/>
        </w:rPr>
        <w:t>i</w:t>
      </w:r>
      <w:r w:rsidRPr="004A1A93">
        <w:rPr>
          <w:rFonts w:ascii="Times New Roman" w:hAnsi="Times New Roman" w:cs="Times New Roman"/>
          <w:sz w:val="24"/>
          <w:szCs w:val="24"/>
        </w:rPr>
        <w:t>nstitūts.</w:t>
      </w:r>
      <w:r>
        <w:rPr>
          <w:rFonts w:ascii="Times New Roman" w:hAnsi="Times New Roman" w:cs="Times New Roman"/>
          <w:sz w:val="24"/>
          <w:szCs w:val="24"/>
        </w:rPr>
        <w:t xml:space="preserve">. </w:t>
      </w:r>
    </w:p>
    <w:p w:rsidR="004A1A93" w:rsidP="00C338E3" w14:paraId="039E892E" w14:textId="32844B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31145">
        <w:rPr>
          <w:rFonts w:ascii="Times New Roman" w:hAnsi="Times New Roman" w:cs="Times New Roman"/>
          <w:sz w:val="24"/>
          <w:szCs w:val="24"/>
        </w:rPr>
        <w:t xml:space="preserve">Pētījumā tika </w:t>
      </w:r>
      <w:r w:rsidR="00CA667A">
        <w:rPr>
          <w:rFonts w:ascii="Times New Roman" w:hAnsi="Times New Roman" w:cs="Times New Roman"/>
          <w:sz w:val="24"/>
          <w:szCs w:val="24"/>
        </w:rPr>
        <w:t xml:space="preserve">izpētīti </w:t>
      </w:r>
      <w:r w:rsidR="00231145">
        <w:rPr>
          <w:rFonts w:ascii="Times New Roman" w:hAnsi="Times New Roman" w:cs="Times New Roman"/>
          <w:sz w:val="24"/>
          <w:szCs w:val="24"/>
        </w:rPr>
        <w:t xml:space="preserve">trīs iespējami scenāriji – </w:t>
      </w:r>
      <w:r>
        <w:rPr>
          <w:rFonts w:ascii="Times New Roman" w:hAnsi="Times New Roman" w:cs="Times New Roman"/>
          <w:sz w:val="24"/>
          <w:szCs w:val="24"/>
        </w:rPr>
        <w:t xml:space="preserve">(1) </w:t>
      </w:r>
      <w:r w:rsidR="00231145">
        <w:rPr>
          <w:rFonts w:ascii="Times New Roman" w:hAnsi="Times New Roman" w:cs="Times New Roman"/>
          <w:sz w:val="24"/>
          <w:szCs w:val="24"/>
        </w:rPr>
        <w:t>sinhronizācija tikai ar</w:t>
      </w:r>
      <w:r w:rsidR="00025E3C">
        <w:rPr>
          <w:rFonts w:ascii="Times New Roman" w:hAnsi="Times New Roman" w:cs="Times New Roman"/>
          <w:sz w:val="24"/>
          <w:szCs w:val="24"/>
        </w:rPr>
        <w:t xml:space="preserve"> esošo maiņstrāvas </w:t>
      </w:r>
      <w:r>
        <w:rPr>
          <w:rFonts w:ascii="Times New Roman" w:hAnsi="Times New Roman" w:cs="Times New Roman"/>
          <w:sz w:val="24"/>
          <w:szCs w:val="24"/>
        </w:rPr>
        <w:t xml:space="preserve">(AC) </w:t>
      </w:r>
      <w:r w:rsidR="00CA667A">
        <w:rPr>
          <w:rFonts w:ascii="Times New Roman" w:hAnsi="Times New Roman" w:cs="Times New Roman"/>
          <w:sz w:val="24"/>
          <w:szCs w:val="24"/>
        </w:rPr>
        <w:t>divķēžu</w:t>
      </w:r>
      <w:r w:rsidR="00CA667A">
        <w:rPr>
          <w:rFonts w:ascii="Times New Roman" w:hAnsi="Times New Roman" w:cs="Times New Roman"/>
          <w:sz w:val="24"/>
          <w:szCs w:val="24"/>
        </w:rPr>
        <w:t xml:space="preserve"> </w:t>
      </w:r>
      <w:r w:rsidR="00DC208D">
        <w:rPr>
          <w:rFonts w:ascii="Times New Roman" w:hAnsi="Times New Roman" w:cs="Times New Roman"/>
          <w:sz w:val="24"/>
          <w:szCs w:val="24"/>
        </w:rPr>
        <w:t>starp</w:t>
      </w:r>
      <w:r w:rsidR="00025E3C">
        <w:rPr>
          <w:rFonts w:ascii="Times New Roman" w:hAnsi="Times New Roman" w:cs="Times New Roman"/>
          <w:sz w:val="24"/>
          <w:szCs w:val="24"/>
        </w:rPr>
        <w:t>savienojumu</w:t>
      </w:r>
      <w:r w:rsidR="00025E3C">
        <w:rPr>
          <w:rFonts w:ascii="Times New Roman" w:hAnsi="Times New Roman" w:cs="Times New Roman"/>
          <w:sz w:val="24"/>
          <w:szCs w:val="24"/>
        </w:rPr>
        <w:t xml:space="preserve"> starp Poliju un Lietuvu (</w:t>
      </w:r>
      <w:r w:rsidR="00231145">
        <w:rPr>
          <w:rFonts w:ascii="Times New Roman" w:hAnsi="Times New Roman" w:cs="Times New Roman"/>
          <w:sz w:val="24"/>
          <w:szCs w:val="24"/>
        </w:rPr>
        <w:t>LitPol</w:t>
      </w:r>
      <w:r w:rsidR="00231145">
        <w:rPr>
          <w:rFonts w:ascii="Times New Roman" w:hAnsi="Times New Roman" w:cs="Times New Roman"/>
          <w:sz w:val="24"/>
          <w:szCs w:val="24"/>
        </w:rPr>
        <w:t xml:space="preserve"> Link1</w:t>
      </w:r>
      <w:r w:rsidR="00025E3C">
        <w:rPr>
          <w:rFonts w:ascii="Times New Roman" w:hAnsi="Times New Roman" w:cs="Times New Roman"/>
          <w:sz w:val="24"/>
          <w:szCs w:val="24"/>
        </w:rPr>
        <w:t>)</w:t>
      </w:r>
      <w:r w:rsidR="00231145">
        <w:rPr>
          <w:rFonts w:ascii="Times New Roman" w:hAnsi="Times New Roman" w:cs="Times New Roman"/>
          <w:sz w:val="24"/>
          <w:szCs w:val="24"/>
        </w:rPr>
        <w:t xml:space="preserve">, </w:t>
      </w:r>
      <w:r>
        <w:rPr>
          <w:rFonts w:ascii="Times New Roman" w:hAnsi="Times New Roman" w:cs="Times New Roman"/>
          <w:sz w:val="24"/>
          <w:szCs w:val="24"/>
        </w:rPr>
        <w:t xml:space="preserve">(2) </w:t>
      </w:r>
      <w:r w:rsidR="00231145">
        <w:rPr>
          <w:rFonts w:ascii="Times New Roman" w:hAnsi="Times New Roman" w:cs="Times New Roman"/>
          <w:sz w:val="24"/>
          <w:szCs w:val="24"/>
        </w:rPr>
        <w:t xml:space="preserve">sinhronizācija ar </w:t>
      </w:r>
      <w:r w:rsidR="00DC208D">
        <w:rPr>
          <w:rFonts w:ascii="Times New Roman" w:hAnsi="Times New Roman" w:cs="Times New Roman"/>
          <w:sz w:val="24"/>
          <w:szCs w:val="24"/>
        </w:rPr>
        <w:t xml:space="preserve">diviem neatkarīgiem maiņstrāvas </w:t>
      </w:r>
      <w:r w:rsidR="00DC208D">
        <w:rPr>
          <w:rFonts w:ascii="Times New Roman" w:hAnsi="Times New Roman" w:cs="Times New Roman"/>
          <w:sz w:val="24"/>
          <w:szCs w:val="24"/>
        </w:rPr>
        <w:t>starpsavienojumiem</w:t>
      </w:r>
      <w:r w:rsidR="00DC208D">
        <w:rPr>
          <w:rFonts w:ascii="Times New Roman" w:hAnsi="Times New Roman" w:cs="Times New Roman"/>
          <w:sz w:val="24"/>
          <w:szCs w:val="24"/>
        </w:rPr>
        <w:t xml:space="preserve"> (</w:t>
      </w:r>
      <w:r w:rsidR="00DC208D">
        <w:rPr>
          <w:rFonts w:ascii="Times New Roman" w:hAnsi="Times New Roman" w:cs="Times New Roman"/>
          <w:sz w:val="24"/>
          <w:szCs w:val="24"/>
        </w:rPr>
        <w:t>LitPol</w:t>
      </w:r>
      <w:r w:rsidR="00DC208D">
        <w:rPr>
          <w:rFonts w:ascii="Times New Roman" w:hAnsi="Times New Roman" w:cs="Times New Roman"/>
          <w:sz w:val="24"/>
          <w:szCs w:val="24"/>
        </w:rPr>
        <w:t xml:space="preserve"> Link1 un jauns </w:t>
      </w:r>
      <w:r w:rsidR="00DC208D">
        <w:rPr>
          <w:rFonts w:ascii="Times New Roman" w:hAnsi="Times New Roman" w:cs="Times New Roman"/>
          <w:sz w:val="24"/>
          <w:szCs w:val="24"/>
        </w:rPr>
        <w:t>LitPol</w:t>
      </w:r>
      <w:r w:rsidR="00DC208D">
        <w:rPr>
          <w:rFonts w:ascii="Times New Roman" w:hAnsi="Times New Roman" w:cs="Times New Roman"/>
          <w:sz w:val="24"/>
          <w:szCs w:val="24"/>
        </w:rPr>
        <w:t xml:space="preserve"> Link2) un </w:t>
      </w:r>
      <w:r>
        <w:rPr>
          <w:rFonts w:ascii="Times New Roman" w:hAnsi="Times New Roman" w:cs="Times New Roman"/>
          <w:sz w:val="24"/>
          <w:szCs w:val="24"/>
        </w:rPr>
        <w:t xml:space="preserve">(3) </w:t>
      </w:r>
      <w:r w:rsidR="00DC208D">
        <w:rPr>
          <w:rFonts w:ascii="Times New Roman" w:hAnsi="Times New Roman" w:cs="Times New Roman"/>
          <w:sz w:val="24"/>
          <w:szCs w:val="24"/>
        </w:rPr>
        <w:t xml:space="preserve">sinhronizācija ar </w:t>
      </w:r>
      <w:r w:rsidR="00CA667A">
        <w:rPr>
          <w:rFonts w:ascii="Times New Roman" w:hAnsi="Times New Roman" w:cs="Times New Roman"/>
          <w:sz w:val="24"/>
          <w:szCs w:val="24"/>
        </w:rPr>
        <w:t xml:space="preserve">maiņstrāvas </w:t>
      </w:r>
      <w:r w:rsidR="00CA667A">
        <w:rPr>
          <w:rFonts w:ascii="Times New Roman" w:hAnsi="Times New Roman" w:cs="Times New Roman"/>
          <w:sz w:val="24"/>
          <w:szCs w:val="24"/>
        </w:rPr>
        <w:t>starpsavienojumu</w:t>
      </w:r>
      <w:r w:rsidR="00CA667A">
        <w:rPr>
          <w:rFonts w:ascii="Times New Roman" w:hAnsi="Times New Roman" w:cs="Times New Roman"/>
          <w:sz w:val="24"/>
          <w:szCs w:val="24"/>
        </w:rPr>
        <w:t xml:space="preserve"> </w:t>
      </w:r>
      <w:r w:rsidR="00DC208D">
        <w:rPr>
          <w:rFonts w:ascii="Times New Roman" w:hAnsi="Times New Roman" w:cs="Times New Roman"/>
          <w:sz w:val="24"/>
          <w:szCs w:val="24"/>
        </w:rPr>
        <w:t>LitPol</w:t>
      </w:r>
      <w:r w:rsidR="00DC208D">
        <w:rPr>
          <w:rFonts w:ascii="Times New Roman" w:hAnsi="Times New Roman" w:cs="Times New Roman"/>
          <w:sz w:val="24"/>
          <w:szCs w:val="24"/>
        </w:rPr>
        <w:t xml:space="preserve"> Link1 un jaunu līdzstrāvas</w:t>
      </w:r>
      <w:r>
        <w:rPr>
          <w:rFonts w:ascii="Times New Roman" w:hAnsi="Times New Roman" w:cs="Times New Roman"/>
          <w:sz w:val="24"/>
          <w:szCs w:val="24"/>
        </w:rPr>
        <w:t xml:space="preserve"> (HVDC)</w:t>
      </w:r>
      <w:r w:rsidR="00DC208D">
        <w:rPr>
          <w:rFonts w:ascii="Times New Roman" w:hAnsi="Times New Roman" w:cs="Times New Roman"/>
          <w:sz w:val="24"/>
          <w:szCs w:val="24"/>
        </w:rPr>
        <w:t xml:space="preserve"> </w:t>
      </w:r>
      <w:r w:rsidR="00DC208D">
        <w:rPr>
          <w:rFonts w:ascii="Times New Roman" w:hAnsi="Times New Roman" w:cs="Times New Roman"/>
          <w:sz w:val="24"/>
          <w:szCs w:val="24"/>
        </w:rPr>
        <w:t>starpsavienojumu</w:t>
      </w:r>
      <w:r w:rsidR="00DC208D">
        <w:rPr>
          <w:rFonts w:ascii="Times New Roman" w:hAnsi="Times New Roman" w:cs="Times New Roman"/>
          <w:sz w:val="24"/>
          <w:szCs w:val="24"/>
        </w:rPr>
        <w:t xml:space="preserve"> starp Poliju un Lietuvu. </w:t>
      </w:r>
      <w:r>
        <w:rPr>
          <w:rFonts w:ascii="Times New Roman" w:hAnsi="Times New Roman" w:cs="Times New Roman"/>
          <w:sz w:val="24"/>
          <w:szCs w:val="24"/>
        </w:rPr>
        <w:t>Pētījums liecina, ka</w:t>
      </w:r>
      <w:r w:rsidRPr="00E92A57">
        <w:rPr>
          <w:rFonts w:ascii="Times New Roman" w:hAnsi="Times New Roman" w:cs="Times New Roman"/>
          <w:sz w:val="24"/>
          <w:szCs w:val="24"/>
        </w:rPr>
        <w:t xml:space="preserve"> no dinamiskās stabilitātes viedokļa</w:t>
      </w:r>
      <w:r>
        <w:rPr>
          <w:rFonts w:ascii="Times New Roman" w:hAnsi="Times New Roman" w:cs="Times New Roman"/>
          <w:sz w:val="24"/>
          <w:szCs w:val="24"/>
        </w:rPr>
        <w:t xml:space="preserve"> rezultāti</w:t>
      </w:r>
      <w:r w:rsidRPr="00E92A57">
        <w:rPr>
          <w:rFonts w:ascii="Times New Roman" w:hAnsi="Times New Roman" w:cs="Times New Roman"/>
          <w:sz w:val="24"/>
          <w:szCs w:val="24"/>
        </w:rPr>
        <w:t xml:space="preserve"> otrajā scenārijā (</w:t>
      </w:r>
      <w:r>
        <w:rPr>
          <w:rFonts w:ascii="Times New Roman" w:hAnsi="Times New Roman" w:cs="Times New Roman"/>
          <w:sz w:val="24"/>
          <w:szCs w:val="24"/>
        </w:rPr>
        <w:t xml:space="preserve">t.i. </w:t>
      </w:r>
      <w:r w:rsidRPr="00E92A57">
        <w:rPr>
          <w:rFonts w:ascii="Times New Roman" w:hAnsi="Times New Roman" w:cs="Times New Roman"/>
          <w:sz w:val="24"/>
          <w:szCs w:val="24"/>
        </w:rPr>
        <w:t>divi neat</w:t>
      </w:r>
      <w:r>
        <w:rPr>
          <w:rFonts w:ascii="Times New Roman" w:hAnsi="Times New Roman" w:cs="Times New Roman"/>
          <w:sz w:val="24"/>
          <w:szCs w:val="24"/>
        </w:rPr>
        <w:t xml:space="preserve">karīgie maiņstrāvas </w:t>
      </w:r>
      <w:r>
        <w:rPr>
          <w:rFonts w:ascii="Times New Roman" w:hAnsi="Times New Roman" w:cs="Times New Roman"/>
          <w:sz w:val="24"/>
          <w:szCs w:val="24"/>
        </w:rPr>
        <w:t>starpsavienojumi</w:t>
      </w:r>
      <w:r w:rsidR="00CA667A">
        <w:rPr>
          <w:rFonts w:ascii="Times New Roman" w:hAnsi="Times New Roman" w:cs="Times New Roman"/>
          <w:sz w:val="24"/>
          <w:szCs w:val="24"/>
        </w:rPr>
        <w:t xml:space="preserve"> starp Lietuvu un Poliju</w:t>
      </w:r>
      <w:r>
        <w:rPr>
          <w:rFonts w:ascii="Times New Roman" w:hAnsi="Times New Roman" w:cs="Times New Roman"/>
          <w:sz w:val="24"/>
          <w:szCs w:val="24"/>
        </w:rPr>
        <w:t>) ir labāki</w:t>
      </w:r>
      <w:r w:rsidR="00CA667A">
        <w:rPr>
          <w:rFonts w:ascii="Times New Roman" w:hAnsi="Times New Roman" w:cs="Times New Roman"/>
          <w:sz w:val="24"/>
          <w:szCs w:val="24"/>
        </w:rPr>
        <w:t xml:space="preserve"> nekā pārējos </w:t>
      </w:r>
      <w:r w:rsidR="00A71A96">
        <w:rPr>
          <w:rFonts w:ascii="Times New Roman" w:hAnsi="Times New Roman" w:cs="Times New Roman"/>
          <w:sz w:val="24"/>
          <w:szCs w:val="24"/>
        </w:rPr>
        <w:t>scenārijos</w:t>
      </w:r>
      <w:r>
        <w:rPr>
          <w:rFonts w:ascii="Times New Roman" w:hAnsi="Times New Roman" w:cs="Times New Roman"/>
          <w:sz w:val="24"/>
          <w:szCs w:val="24"/>
        </w:rPr>
        <w:t xml:space="preserve">. </w:t>
      </w:r>
      <w:r w:rsidR="00231145">
        <w:rPr>
          <w:rFonts w:ascii="Times New Roman" w:hAnsi="Times New Roman" w:cs="Times New Roman"/>
          <w:sz w:val="24"/>
          <w:szCs w:val="24"/>
        </w:rPr>
        <w:t>Rezultāti pirmajā</w:t>
      </w:r>
      <w:r w:rsidRPr="00E92A57" w:rsidR="00E92A57">
        <w:rPr>
          <w:rFonts w:ascii="Times New Roman" w:hAnsi="Times New Roman" w:cs="Times New Roman"/>
          <w:sz w:val="24"/>
          <w:szCs w:val="24"/>
        </w:rPr>
        <w:t xml:space="preserve"> </w:t>
      </w:r>
      <w:r w:rsidRPr="00E92A57" w:rsidR="00E92A57">
        <w:rPr>
          <w:rFonts w:ascii="Times New Roman" w:hAnsi="Times New Roman" w:cs="Times New Roman"/>
          <w:sz w:val="24"/>
          <w:szCs w:val="24"/>
        </w:rPr>
        <w:t xml:space="preserve">scenārijā (tikai </w:t>
      </w:r>
      <w:r w:rsidRPr="00E92A57" w:rsidR="00E92A57">
        <w:rPr>
          <w:rFonts w:ascii="Times New Roman" w:hAnsi="Times New Roman" w:cs="Times New Roman"/>
          <w:sz w:val="24"/>
          <w:szCs w:val="24"/>
        </w:rPr>
        <w:t>LitPol</w:t>
      </w:r>
      <w:r w:rsidRPr="00E92A57" w:rsidR="00E92A57">
        <w:rPr>
          <w:rFonts w:ascii="Times New Roman" w:hAnsi="Times New Roman" w:cs="Times New Roman"/>
          <w:sz w:val="24"/>
          <w:szCs w:val="24"/>
        </w:rPr>
        <w:t xml:space="preserve"> </w:t>
      </w:r>
      <w:r>
        <w:rPr>
          <w:rFonts w:ascii="Times New Roman" w:hAnsi="Times New Roman" w:cs="Times New Roman"/>
          <w:sz w:val="24"/>
          <w:szCs w:val="24"/>
        </w:rPr>
        <w:t>Link1) un trešajā scenārijā (</w:t>
      </w:r>
      <w:r>
        <w:rPr>
          <w:rFonts w:ascii="Times New Roman" w:hAnsi="Times New Roman" w:cs="Times New Roman"/>
          <w:sz w:val="24"/>
          <w:szCs w:val="24"/>
        </w:rPr>
        <w:t>LitPol</w:t>
      </w:r>
      <w:r>
        <w:rPr>
          <w:rFonts w:ascii="Times New Roman" w:hAnsi="Times New Roman" w:cs="Times New Roman"/>
          <w:sz w:val="24"/>
          <w:szCs w:val="24"/>
        </w:rPr>
        <w:t xml:space="preserve"> Link</w:t>
      </w:r>
      <w:r w:rsidRPr="00E92A57" w:rsidR="00E92A57">
        <w:rPr>
          <w:rFonts w:ascii="Times New Roman" w:hAnsi="Times New Roman" w:cs="Times New Roman"/>
          <w:sz w:val="24"/>
          <w:szCs w:val="24"/>
        </w:rPr>
        <w:t>1 un līdzstrāvas savienojums) no dinamikas stabilitātes viedokļa ir vienādi, jo HVDC tiek izmantots tikai tirdzniecībai un sinhronizācijai abos</w:t>
      </w:r>
      <w:r>
        <w:rPr>
          <w:rFonts w:ascii="Times New Roman" w:hAnsi="Times New Roman" w:cs="Times New Roman"/>
          <w:sz w:val="24"/>
          <w:szCs w:val="24"/>
        </w:rPr>
        <w:t xml:space="preserve"> gadījumos paliek tikai </w:t>
      </w:r>
      <w:r>
        <w:rPr>
          <w:rFonts w:ascii="Times New Roman" w:hAnsi="Times New Roman" w:cs="Times New Roman"/>
          <w:sz w:val="24"/>
          <w:szCs w:val="24"/>
        </w:rPr>
        <w:t>LitPol</w:t>
      </w:r>
      <w:r>
        <w:rPr>
          <w:rFonts w:ascii="Times New Roman" w:hAnsi="Times New Roman" w:cs="Times New Roman"/>
          <w:sz w:val="24"/>
          <w:szCs w:val="24"/>
        </w:rPr>
        <w:t xml:space="preserve"> Link1. Bez papildus pasākumiem, </w:t>
      </w:r>
      <w:r w:rsidRPr="00E92A57" w:rsidR="00E92A57">
        <w:rPr>
          <w:rFonts w:ascii="Times New Roman" w:hAnsi="Times New Roman" w:cs="Times New Roman"/>
          <w:sz w:val="24"/>
          <w:szCs w:val="24"/>
        </w:rPr>
        <w:t>visos scenārijos ir nepi</w:t>
      </w:r>
      <w:r w:rsidR="00136EE9">
        <w:rPr>
          <w:rFonts w:ascii="Times New Roman" w:hAnsi="Times New Roman" w:cs="Times New Roman"/>
          <w:sz w:val="24"/>
          <w:szCs w:val="24"/>
        </w:rPr>
        <w:t>eciešams ierobežot jaudas plūsma</w:t>
      </w:r>
      <w:r w:rsidRPr="00E92A57" w:rsidR="00E92A57">
        <w:rPr>
          <w:rFonts w:ascii="Times New Roman" w:hAnsi="Times New Roman" w:cs="Times New Roman"/>
          <w:sz w:val="24"/>
          <w:szCs w:val="24"/>
        </w:rPr>
        <w:t>s no Baltijas uz kontinentālo Eiropu līdz 400MW (tas saistīts ar stabilitātes un rezervju nodrošināšanu, a</w:t>
      </w:r>
      <w:r>
        <w:rPr>
          <w:rFonts w:ascii="Times New Roman" w:hAnsi="Times New Roman" w:cs="Times New Roman"/>
          <w:sz w:val="24"/>
          <w:szCs w:val="24"/>
        </w:rPr>
        <w:t xml:space="preserve">tstājot 600MW koridoru rezervēm). Pretējā elektroenerģijas plūsmas virzienā pirmajā un trešajā scenārijā ir 800MW, bet otrajā </w:t>
      </w:r>
      <w:r w:rsidRPr="00E92A57" w:rsidR="00E92A57">
        <w:rPr>
          <w:rFonts w:ascii="Times New Roman" w:hAnsi="Times New Roman" w:cs="Times New Roman"/>
          <w:sz w:val="24"/>
          <w:szCs w:val="24"/>
        </w:rPr>
        <w:t xml:space="preserve">scenārijā ar diviem </w:t>
      </w:r>
      <w:r w:rsidRPr="00E92A57" w:rsidR="00E92A57">
        <w:rPr>
          <w:rFonts w:ascii="Times New Roman" w:hAnsi="Times New Roman" w:cs="Times New Roman"/>
          <w:sz w:val="24"/>
          <w:szCs w:val="24"/>
        </w:rPr>
        <w:t>LitPol</w:t>
      </w:r>
      <w:r w:rsidRPr="00E92A57" w:rsidR="00E92A57">
        <w:rPr>
          <w:rFonts w:ascii="Times New Roman" w:hAnsi="Times New Roman" w:cs="Times New Roman"/>
          <w:sz w:val="24"/>
          <w:szCs w:val="24"/>
        </w:rPr>
        <w:t xml:space="preserve"> </w:t>
      </w:r>
      <w:r>
        <w:rPr>
          <w:rFonts w:ascii="Times New Roman" w:hAnsi="Times New Roman" w:cs="Times New Roman"/>
          <w:sz w:val="24"/>
          <w:szCs w:val="24"/>
        </w:rPr>
        <w:t>Link</w:t>
      </w:r>
      <w:r>
        <w:rPr>
          <w:rFonts w:ascii="Times New Roman" w:hAnsi="Times New Roman" w:cs="Times New Roman"/>
          <w:sz w:val="24"/>
          <w:szCs w:val="24"/>
        </w:rPr>
        <w:t xml:space="preserve"> </w:t>
      </w:r>
      <w:r>
        <w:rPr>
          <w:rFonts w:ascii="Times New Roman" w:hAnsi="Times New Roman" w:cs="Times New Roman"/>
          <w:sz w:val="24"/>
          <w:szCs w:val="24"/>
        </w:rPr>
        <w:t>starpsavienojumiem</w:t>
      </w:r>
      <w:r w:rsidRPr="00E92A57" w:rsidR="00E92A57">
        <w:rPr>
          <w:rFonts w:ascii="Times New Roman" w:hAnsi="Times New Roman" w:cs="Times New Roman"/>
          <w:sz w:val="24"/>
          <w:szCs w:val="24"/>
        </w:rPr>
        <w:t xml:space="preserve"> ir 1000MW, kas nozīme, ka droša saite š</w:t>
      </w:r>
      <w:r>
        <w:rPr>
          <w:rFonts w:ascii="Times New Roman" w:hAnsi="Times New Roman" w:cs="Times New Roman"/>
          <w:sz w:val="24"/>
          <w:szCs w:val="24"/>
        </w:rPr>
        <w:t>ajā gadījumā saglabāsies.</w:t>
      </w:r>
      <w:r w:rsidR="00890016">
        <w:rPr>
          <w:rFonts w:ascii="Times New Roman" w:hAnsi="Times New Roman" w:cs="Times New Roman"/>
          <w:sz w:val="24"/>
          <w:szCs w:val="24"/>
        </w:rPr>
        <w:tab/>
      </w:r>
      <w:r>
        <w:rPr>
          <w:rFonts w:ascii="Times New Roman" w:hAnsi="Times New Roman" w:cs="Times New Roman"/>
          <w:sz w:val="24"/>
          <w:szCs w:val="24"/>
        </w:rPr>
        <w:t xml:space="preserve"> </w:t>
      </w:r>
    </w:p>
    <w:p w:rsidR="00842AAC" w:rsidP="00C338E3" w14:paraId="74015DEF" w14:textId="27E814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36EE9">
        <w:rPr>
          <w:rFonts w:ascii="Times New Roman" w:hAnsi="Times New Roman" w:cs="Times New Roman"/>
          <w:sz w:val="24"/>
          <w:szCs w:val="24"/>
        </w:rPr>
        <w:t>Paralēli trīs</w:t>
      </w:r>
      <w:r w:rsidRPr="004A1A93" w:rsidR="004A1A93">
        <w:rPr>
          <w:rFonts w:ascii="Times New Roman" w:hAnsi="Times New Roman" w:cs="Times New Roman"/>
          <w:sz w:val="24"/>
          <w:szCs w:val="24"/>
        </w:rPr>
        <w:t xml:space="preserve"> Baltijas valstu </w:t>
      </w:r>
      <w:r w:rsidR="00CA667A">
        <w:rPr>
          <w:rFonts w:ascii="Times New Roman" w:hAnsi="Times New Roman" w:cs="Times New Roman"/>
          <w:sz w:val="24"/>
          <w:szCs w:val="24"/>
        </w:rPr>
        <w:t>PSO</w:t>
      </w:r>
      <w:r w:rsidR="004A1A93">
        <w:rPr>
          <w:rFonts w:ascii="Times New Roman" w:hAnsi="Times New Roman" w:cs="Times New Roman"/>
          <w:sz w:val="24"/>
          <w:szCs w:val="24"/>
        </w:rPr>
        <w:t xml:space="preserve"> pārraudzībā tika veikts arī frekvences </w:t>
      </w:r>
      <w:r>
        <w:rPr>
          <w:rFonts w:ascii="Times New Roman" w:hAnsi="Times New Roman" w:cs="Times New Roman"/>
          <w:sz w:val="24"/>
          <w:szCs w:val="24"/>
        </w:rPr>
        <w:t xml:space="preserve">stabilitātes </w:t>
      </w:r>
      <w:r w:rsidR="004A1A93">
        <w:rPr>
          <w:rFonts w:ascii="Times New Roman" w:hAnsi="Times New Roman" w:cs="Times New Roman"/>
          <w:sz w:val="24"/>
          <w:szCs w:val="24"/>
        </w:rPr>
        <w:t>pētījums</w:t>
      </w:r>
      <w:r>
        <w:rPr>
          <w:rFonts w:ascii="Times New Roman" w:hAnsi="Times New Roman" w:cs="Times New Roman"/>
          <w:sz w:val="24"/>
          <w:szCs w:val="24"/>
        </w:rPr>
        <w:t>,</w:t>
      </w:r>
      <w:r w:rsidRPr="00842AAC">
        <w:t xml:space="preserve"> </w:t>
      </w:r>
      <w:r w:rsidRPr="00842AAC">
        <w:rPr>
          <w:rFonts w:ascii="Times New Roman" w:hAnsi="Times New Roman" w:cs="Times New Roman"/>
          <w:sz w:val="24"/>
          <w:szCs w:val="24"/>
        </w:rPr>
        <w:t>kura galvenais mērķ</w:t>
      </w:r>
      <w:r w:rsidR="00F9018D">
        <w:rPr>
          <w:rFonts w:ascii="Times New Roman" w:hAnsi="Times New Roman" w:cs="Times New Roman"/>
          <w:sz w:val="24"/>
          <w:szCs w:val="24"/>
        </w:rPr>
        <w:t>is bija noteikt nepieciešamos</w:t>
      </w:r>
      <w:r w:rsidRPr="00842AAC">
        <w:rPr>
          <w:rFonts w:ascii="Times New Roman" w:hAnsi="Times New Roman" w:cs="Times New Roman"/>
          <w:sz w:val="24"/>
          <w:szCs w:val="24"/>
        </w:rPr>
        <w:t xml:space="preserve"> pasākumus </w:t>
      </w:r>
      <w:r w:rsidR="00F9018D">
        <w:rPr>
          <w:rFonts w:ascii="Times New Roman" w:hAnsi="Times New Roman" w:cs="Times New Roman"/>
          <w:sz w:val="24"/>
          <w:szCs w:val="24"/>
        </w:rPr>
        <w:t xml:space="preserve">un </w:t>
      </w:r>
      <w:r w:rsidRPr="00842AAC">
        <w:rPr>
          <w:rFonts w:ascii="Times New Roman" w:hAnsi="Times New Roman" w:cs="Times New Roman"/>
          <w:sz w:val="24"/>
          <w:szCs w:val="24"/>
        </w:rPr>
        <w:t>ar tiem saistītās izmaksas, lai nodrošinātu frekvences stabilitāti Baltijas valstu elektro</w:t>
      </w:r>
      <w:r w:rsidR="00CA667A">
        <w:rPr>
          <w:rFonts w:ascii="Times New Roman" w:hAnsi="Times New Roman" w:cs="Times New Roman"/>
          <w:sz w:val="24"/>
          <w:szCs w:val="24"/>
        </w:rPr>
        <w:t xml:space="preserve">enerģijas </w:t>
      </w:r>
      <w:r w:rsidRPr="00842AAC">
        <w:rPr>
          <w:rFonts w:ascii="Times New Roman" w:hAnsi="Times New Roman" w:cs="Times New Roman"/>
          <w:sz w:val="24"/>
          <w:szCs w:val="24"/>
        </w:rPr>
        <w:t xml:space="preserve">sistēmā gadījumā, ja </w:t>
      </w:r>
      <w:r w:rsidR="00CA667A">
        <w:rPr>
          <w:rFonts w:ascii="Times New Roman" w:hAnsi="Times New Roman" w:cs="Times New Roman"/>
          <w:sz w:val="24"/>
          <w:szCs w:val="24"/>
        </w:rPr>
        <w:t>Baltijas valstīs tik</w:t>
      </w:r>
      <w:r w:rsidR="00DF7FC4">
        <w:rPr>
          <w:rFonts w:ascii="Times New Roman" w:hAnsi="Times New Roman" w:cs="Times New Roman"/>
          <w:sz w:val="24"/>
          <w:szCs w:val="24"/>
        </w:rPr>
        <w:t>tu</w:t>
      </w:r>
      <w:r w:rsidR="00CA667A">
        <w:rPr>
          <w:rFonts w:ascii="Times New Roman" w:hAnsi="Times New Roman" w:cs="Times New Roman"/>
          <w:sz w:val="24"/>
          <w:szCs w:val="24"/>
        </w:rPr>
        <w:t xml:space="preserve"> iztraucēta</w:t>
      </w:r>
      <w:r w:rsidRPr="00842AAC" w:rsidR="00CA667A">
        <w:rPr>
          <w:rFonts w:ascii="Times New Roman" w:hAnsi="Times New Roman" w:cs="Times New Roman"/>
          <w:sz w:val="24"/>
          <w:szCs w:val="24"/>
        </w:rPr>
        <w:t xml:space="preserve"> </w:t>
      </w:r>
      <w:r w:rsidRPr="00842AAC">
        <w:rPr>
          <w:rFonts w:ascii="Times New Roman" w:hAnsi="Times New Roman" w:cs="Times New Roman"/>
          <w:sz w:val="24"/>
          <w:szCs w:val="24"/>
        </w:rPr>
        <w:t>sinhronā darbība</w:t>
      </w:r>
      <w:r w:rsidR="00CA667A">
        <w:rPr>
          <w:rFonts w:ascii="Times New Roman" w:hAnsi="Times New Roman" w:cs="Times New Roman"/>
          <w:sz w:val="24"/>
          <w:szCs w:val="24"/>
        </w:rPr>
        <w:t xml:space="preserve"> ar kontinentālo Eiropu, kā arī iespējam</w:t>
      </w:r>
      <w:r w:rsidR="00DF7FC4">
        <w:rPr>
          <w:rFonts w:ascii="Times New Roman" w:hAnsi="Times New Roman" w:cs="Times New Roman"/>
          <w:sz w:val="24"/>
          <w:szCs w:val="24"/>
        </w:rPr>
        <w:t>ais</w:t>
      </w:r>
      <w:r w:rsidRPr="00842AAC">
        <w:rPr>
          <w:rFonts w:ascii="Times New Roman" w:hAnsi="Times New Roman" w:cs="Times New Roman"/>
          <w:sz w:val="24"/>
          <w:szCs w:val="24"/>
        </w:rPr>
        <w:t xml:space="preserve"> Baltijas valstu “salas” darbības režīm</w:t>
      </w:r>
      <w:r w:rsidR="00DF7FC4">
        <w:rPr>
          <w:rFonts w:ascii="Times New Roman" w:hAnsi="Times New Roman" w:cs="Times New Roman"/>
          <w:sz w:val="24"/>
          <w:szCs w:val="24"/>
        </w:rPr>
        <w:t>s</w:t>
      </w:r>
      <w:r w:rsidRPr="00842AAC">
        <w:rPr>
          <w:rFonts w:ascii="Times New Roman" w:hAnsi="Times New Roman" w:cs="Times New Roman"/>
          <w:sz w:val="24"/>
          <w:szCs w:val="24"/>
        </w:rPr>
        <w:t>.</w:t>
      </w:r>
      <w:r>
        <w:rPr>
          <w:rFonts w:ascii="Times New Roman" w:hAnsi="Times New Roman" w:cs="Times New Roman"/>
          <w:sz w:val="24"/>
          <w:szCs w:val="24"/>
        </w:rPr>
        <w:t xml:space="preserve"> </w:t>
      </w:r>
      <w:r w:rsidR="00C77711">
        <w:rPr>
          <w:rFonts w:ascii="Times New Roman" w:hAnsi="Times New Roman" w:cs="Times New Roman"/>
          <w:sz w:val="24"/>
          <w:szCs w:val="24"/>
        </w:rPr>
        <w:t>Frekvences stabilitātes pētījuma ietvaros tika izvērtētas potenciālās investīcijas un ekspluatācijas izmaksas, kā arī sociālekonomiskas sekas, kas rastos</w:t>
      </w:r>
      <w:r w:rsidR="00F9018D">
        <w:rPr>
          <w:rFonts w:ascii="Times New Roman" w:hAnsi="Times New Roman" w:cs="Times New Roman"/>
          <w:sz w:val="24"/>
          <w:szCs w:val="24"/>
        </w:rPr>
        <w:t xml:space="preserve"> šādu</w:t>
      </w:r>
      <w:r w:rsidR="00C77711">
        <w:rPr>
          <w:rFonts w:ascii="Times New Roman" w:hAnsi="Times New Roman" w:cs="Times New Roman"/>
          <w:sz w:val="24"/>
          <w:szCs w:val="24"/>
        </w:rPr>
        <w:t xml:space="preserve"> trīs </w:t>
      </w:r>
      <w:r w:rsidR="00935269">
        <w:rPr>
          <w:rFonts w:ascii="Times New Roman" w:hAnsi="Times New Roman" w:cs="Times New Roman"/>
          <w:sz w:val="24"/>
          <w:szCs w:val="24"/>
        </w:rPr>
        <w:t>starpsavienojumu</w:t>
      </w:r>
      <w:r w:rsidR="00935269">
        <w:rPr>
          <w:rFonts w:ascii="Times New Roman" w:hAnsi="Times New Roman" w:cs="Times New Roman"/>
          <w:sz w:val="24"/>
          <w:szCs w:val="24"/>
        </w:rPr>
        <w:t xml:space="preserve"> </w:t>
      </w:r>
      <w:r w:rsidR="00C77711">
        <w:rPr>
          <w:rFonts w:ascii="Times New Roman" w:hAnsi="Times New Roman" w:cs="Times New Roman"/>
          <w:sz w:val="24"/>
          <w:szCs w:val="24"/>
        </w:rPr>
        <w:t>scenāriju gadījumā:</w:t>
      </w:r>
    </w:p>
    <w:p w:rsidR="00E66E9C" w:rsidP="00C338E3" w14:paraId="737D8AD0" w14:textId="77777777">
      <w:pPr>
        <w:spacing w:after="0" w:line="360" w:lineRule="auto"/>
        <w:jc w:val="both"/>
        <w:rPr>
          <w:rFonts w:ascii="Times New Roman" w:hAnsi="Times New Roman" w:cs="Times New Roman"/>
          <w:sz w:val="24"/>
          <w:szCs w:val="24"/>
        </w:rPr>
      </w:pPr>
    </w:p>
    <w:p w:rsidR="00C77711" w:rsidP="00C338E3" w14:paraId="32434A78" w14:textId="77777777">
      <w:pPr>
        <w:pStyle w:val="ListParagraph"/>
        <w:spacing w:after="0" w:line="360" w:lineRule="auto"/>
        <w:ind w:left="0"/>
        <w:jc w:val="center"/>
      </w:pPr>
      <w:r>
        <w:rPr>
          <w:noProof/>
          <w:lang w:eastAsia="lv-LV"/>
        </w:rPr>
        <w:drawing>
          <wp:inline distT="0" distB="0" distL="0" distR="0">
            <wp:extent cx="5086350" cy="3457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440940" name=""/>
                    <pic:cNvPicPr/>
                  </pic:nvPicPr>
                  <pic:blipFill>
                    <a:blip xmlns:r="http://schemas.openxmlformats.org/officeDocument/2006/relationships" r:embed="rId5"/>
                    <a:stretch>
                      <a:fillRect/>
                    </a:stretch>
                  </pic:blipFill>
                  <pic:spPr>
                    <a:xfrm>
                      <a:off x="0" y="0"/>
                      <a:ext cx="5086350" cy="3457575"/>
                    </a:xfrm>
                    <a:prstGeom prst="rect">
                      <a:avLst/>
                    </a:prstGeom>
                  </pic:spPr>
                </pic:pic>
              </a:graphicData>
            </a:graphic>
          </wp:inline>
        </w:drawing>
      </w:r>
    </w:p>
    <w:p w:rsidR="00E21BD1" w:rsidP="00F9018D" w14:paraId="5A8CAFA4" w14:textId="0D63CF7F">
      <w:pPr>
        <w:spacing w:after="0" w:line="360" w:lineRule="auto"/>
        <w:jc w:val="both"/>
        <w:rPr>
          <w:rFonts w:ascii="Times New Roman" w:hAnsi="Times New Roman" w:cs="Times New Roman"/>
          <w:sz w:val="24"/>
          <w:szCs w:val="24"/>
        </w:rPr>
      </w:pPr>
      <w:r w:rsidRPr="0075242A">
        <w:rPr>
          <w:rFonts w:ascii="Times New Roman" w:hAnsi="Times New Roman" w:cs="Times New Roman"/>
          <w:sz w:val="24"/>
          <w:szCs w:val="24"/>
        </w:rPr>
        <w:tab/>
        <w:t xml:space="preserve">Frekvences stabilitātes pētījumā secināts, ka sinhronā savienojuma ar Poliju atslēgšanās gadījumā, Baltijas valstu elektroenerģijas ģenerācija būtu nepietiekama, lai nodrošinātu pietiekamu sistēmas inerci </w:t>
      </w:r>
      <w:r w:rsidR="008F30D4">
        <w:rPr>
          <w:rFonts w:ascii="Times New Roman" w:hAnsi="Times New Roman" w:cs="Times New Roman"/>
          <w:sz w:val="24"/>
          <w:szCs w:val="24"/>
        </w:rPr>
        <w:t xml:space="preserve">"salas režīmā" </w:t>
      </w:r>
      <w:r w:rsidRPr="0075242A">
        <w:rPr>
          <w:rFonts w:ascii="Times New Roman" w:hAnsi="Times New Roman" w:cs="Times New Roman"/>
          <w:sz w:val="24"/>
          <w:szCs w:val="24"/>
        </w:rPr>
        <w:t>un frekvences uzturēšanas rezer</w:t>
      </w:r>
      <w:r w:rsidR="00F9018D">
        <w:rPr>
          <w:rFonts w:ascii="Times New Roman" w:hAnsi="Times New Roman" w:cs="Times New Roman"/>
          <w:sz w:val="24"/>
          <w:szCs w:val="24"/>
        </w:rPr>
        <w:t>ves bez</w:t>
      </w:r>
      <w:r w:rsidRPr="0075242A">
        <w:rPr>
          <w:rFonts w:ascii="Times New Roman" w:hAnsi="Times New Roman" w:cs="Times New Roman"/>
          <w:sz w:val="24"/>
          <w:szCs w:val="24"/>
        </w:rPr>
        <w:t xml:space="preserve"> HVDC </w:t>
      </w:r>
      <w:r w:rsidRPr="0075242A">
        <w:rPr>
          <w:rFonts w:ascii="Times New Roman" w:hAnsi="Times New Roman" w:cs="Times New Roman"/>
          <w:sz w:val="24"/>
          <w:szCs w:val="24"/>
        </w:rPr>
        <w:t>starpsavie</w:t>
      </w:r>
      <w:r w:rsidR="00F60160">
        <w:rPr>
          <w:rFonts w:ascii="Times New Roman" w:hAnsi="Times New Roman" w:cs="Times New Roman"/>
          <w:sz w:val="24"/>
          <w:szCs w:val="24"/>
        </w:rPr>
        <w:t>nojumiem</w:t>
      </w:r>
      <w:r w:rsidRPr="0075242A">
        <w:rPr>
          <w:rFonts w:ascii="Times New Roman" w:hAnsi="Times New Roman" w:cs="Times New Roman"/>
          <w:sz w:val="24"/>
          <w:szCs w:val="24"/>
        </w:rPr>
        <w:t xml:space="preserve">. Līdz ar to būtu nepieciešamas papildus ģenerējošās vienības, lai nodrošinātu sistēmas </w:t>
      </w:r>
      <w:r w:rsidR="008F30D4">
        <w:rPr>
          <w:rFonts w:ascii="Times New Roman" w:hAnsi="Times New Roman" w:cs="Times New Roman"/>
          <w:sz w:val="24"/>
          <w:szCs w:val="24"/>
        </w:rPr>
        <w:t xml:space="preserve">inerci un </w:t>
      </w:r>
      <w:r w:rsidRPr="0075242A">
        <w:rPr>
          <w:rFonts w:ascii="Times New Roman" w:hAnsi="Times New Roman" w:cs="Times New Roman"/>
          <w:sz w:val="24"/>
          <w:szCs w:val="24"/>
        </w:rPr>
        <w:t xml:space="preserve">stabilitāti. </w:t>
      </w:r>
      <w:r w:rsidR="002A0CB2">
        <w:rPr>
          <w:rFonts w:ascii="Times New Roman" w:hAnsi="Times New Roman" w:cs="Times New Roman"/>
          <w:sz w:val="24"/>
          <w:szCs w:val="24"/>
        </w:rPr>
        <w:t xml:space="preserve">Šīs papildus ģenerējošās vienības nozīmētu 850 </w:t>
      </w:r>
      <w:r w:rsidR="002A0CB2">
        <w:rPr>
          <w:rFonts w:ascii="Times New Roman" w:hAnsi="Times New Roman" w:cs="Times New Roman"/>
          <w:sz w:val="24"/>
          <w:szCs w:val="24"/>
        </w:rPr>
        <w:t>miljonus</w:t>
      </w:r>
      <w:r w:rsidR="00161B24">
        <w:rPr>
          <w:rFonts w:ascii="Times New Roman" w:hAnsi="Times New Roman" w:cs="Times New Roman"/>
          <w:sz w:val="24"/>
          <w:szCs w:val="24"/>
        </w:rPr>
        <w:t xml:space="preserve"> EUR izmaksas </w:t>
      </w:r>
      <w:r w:rsidR="002A0CB2">
        <w:rPr>
          <w:rFonts w:ascii="Times New Roman" w:hAnsi="Times New Roman" w:cs="Times New Roman"/>
          <w:sz w:val="24"/>
          <w:szCs w:val="24"/>
        </w:rPr>
        <w:t>gadā</w:t>
      </w:r>
      <w:r w:rsidR="00161B24">
        <w:rPr>
          <w:rFonts w:ascii="Times New Roman" w:hAnsi="Times New Roman" w:cs="Times New Roman"/>
          <w:sz w:val="24"/>
          <w:szCs w:val="24"/>
        </w:rPr>
        <w:t>.</w:t>
      </w:r>
      <w:r w:rsidR="002A0CB2">
        <w:rPr>
          <w:rFonts w:ascii="Times New Roman" w:hAnsi="Times New Roman" w:cs="Times New Roman"/>
          <w:sz w:val="24"/>
          <w:szCs w:val="24"/>
        </w:rPr>
        <w:t xml:space="preserve"> </w:t>
      </w:r>
      <w:r w:rsidRPr="0075242A">
        <w:rPr>
          <w:rFonts w:ascii="Times New Roman" w:hAnsi="Times New Roman" w:cs="Times New Roman"/>
          <w:sz w:val="24"/>
          <w:szCs w:val="24"/>
        </w:rPr>
        <w:t xml:space="preserve">Izmaksas, kas saistītas ar papildus ģenerējošajām vienībām, var tikt samazinātas par vairāk kā 95%, ja tiek izmantoti HVDC </w:t>
      </w:r>
      <w:r w:rsidRPr="0075242A">
        <w:rPr>
          <w:rFonts w:ascii="Times New Roman" w:hAnsi="Times New Roman" w:cs="Times New Roman"/>
          <w:sz w:val="24"/>
          <w:szCs w:val="24"/>
        </w:rPr>
        <w:t>starpsavienojumi</w:t>
      </w:r>
      <w:r w:rsidRPr="0075242A">
        <w:rPr>
          <w:rFonts w:ascii="Times New Roman" w:hAnsi="Times New Roman" w:cs="Times New Roman"/>
          <w:sz w:val="24"/>
          <w:szCs w:val="24"/>
        </w:rPr>
        <w:t xml:space="preserve">. </w:t>
      </w:r>
      <w:r w:rsidR="000C259E">
        <w:rPr>
          <w:rFonts w:ascii="Times New Roman" w:hAnsi="Times New Roman" w:cs="Times New Roman"/>
          <w:sz w:val="24"/>
          <w:szCs w:val="24"/>
        </w:rPr>
        <w:t xml:space="preserve">Pētījumā noskaidrots, ka no tehniskās un ekonomiskās perspektīvas, otrais </w:t>
      </w:r>
      <w:r w:rsidR="000C259E">
        <w:rPr>
          <w:rFonts w:ascii="Times New Roman" w:hAnsi="Times New Roman" w:cs="Times New Roman"/>
          <w:sz w:val="24"/>
          <w:szCs w:val="24"/>
        </w:rPr>
        <w:t>starpsavienojumu</w:t>
      </w:r>
      <w:r w:rsidR="000C259E">
        <w:rPr>
          <w:rFonts w:ascii="Times New Roman" w:hAnsi="Times New Roman" w:cs="Times New Roman"/>
          <w:sz w:val="24"/>
          <w:szCs w:val="24"/>
        </w:rPr>
        <w:t xml:space="preserve"> scenārijs ar diviem maiņstrāvas </w:t>
      </w:r>
      <w:r w:rsidR="000C259E">
        <w:rPr>
          <w:rFonts w:ascii="Times New Roman" w:hAnsi="Times New Roman" w:cs="Times New Roman"/>
          <w:sz w:val="24"/>
          <w:szCs w:val="24"/>
        </w:rPr>
        <w:t>starpsavienojumiem</w:t>
      </w:r>
      <w:r w:rsidR="000C259E">
        <w:rPr>
          <w:rFonts w:ascii="Times New Roman" w:hAnsi="Times New Roman" w:cs="Times New Roman"/>
          <w:sz w:val="24"/>
          <w:szCs w:val="24"/>
        </w:rPr>
        <w:t xml:space="preserve"> (</w:t>
      </w:r>
      <w:r w:rsidR="000C259E">
        <w:rPr>
          <w:rFonts w:ascii="Times New Roman" w:hAnsi="Times New Roman" w:cs="Times New Roman"/>
          <w:sz w:val="24"/>
          <w:szCs w:val="24"/>
        </w:rPr>
        <w:t>LitPol</w:t>
      </w:r>
      <w:r w:rsidR="00136EE9">
        <w:rPr>
          <w:rFonts w:ascii="Times New Roman" w:hAnsi="Times New Roman" w:cs="Times New Roman"/>
          <w:sz w:val="24"/>
          <w:szCs w:val="24"/>
        </w:rPr>
        <w:t xml:space="preserve"> </w:t>
      </w:r>
      <w:r w:rsidR="000C259E">
        <w:rPr>
          <w:rFonts w:ascii="Times New Roman" w:hAnsi="Times New Roman" w:cs="Times New Roman"/>
          <w:sz w:val="24"/>
          <w:szCs w:val="24"/>
        </w:rPr>
        <w:t xml:space="preserve">Link1 un </w:t>
      </w:r>
      <w:r w:rsidR="000C259E">
        <w:rPr>
          <w:rFonts w:ascii="Times New Roman" w:hAnsi="Times New Roman" w:cs="Times New Roman"/>
          <w:sz w:val="24"/>
          <w:szCs w:val="24"/>
        </w:rPr>
        <w:t>LitPol</w:t>
      </w:r>
      <w:r w:rsidR="00136EE9">
        <w:rPr>
          <w:rFonts w:ascii="Times New Roman" w:hAnsi="Times New Roman" w:cs="Times New Roman"/>
          <w:sz w:val="24"/>
          <w:szCs w:val="24"/>
        </w:rPr>
        <w:t xml:space="preserve"> </w:t>
      </w:r>
      <w:r w:rsidR="000C259E">
        <w:rPr>
          <w:rFonts w:ascii="Times New Roman" w:hAnsi="Times New Roman" w:cs="Times New Roman"/>
          <w:sz w:val="24"/>
          <w:szCs w:val="24"/>
        </w:rPr>
        <w:t xml:space="preserve">Link2) </w:t>
      </w:r>
      <w:r w:rsidR="008F30D4">
        <w:rPr>
          <w:rFonts w:ascii="Times New Roman" w:hAnsi="Times New Roman" w:cs="Times New Roman"/>
          <w:sz w:val="24"/>
          <w:szCs w:val="24"/>
        </w:rPr>
        <w:t>ir</w:t>
      </w:r>
      <w:r w:rsidR="000C259E">
        <w:rPr>
          <w:rFonts w:ascii="Times New Roman" w:hAnsi="Times New Roman" w:cs="Times New Roman"/>
          <w:sz w:val="24"/>
          <w:szCs w:val="24"/>
        </w:rPr>
        <w:t xml:space="preserve"> vispiemērot</w:t>
      </w:r>
      <w:r w:rsidR="00F60160">
        <w:rPr>
          <w:rFonts w:ascii="Times New Roman" w:hAnsi="Times New Roman" w:cs="Times New Roman"/>
          <w:sz w:val="24"/>
          <w:szCs w:val="24"/>
        </w:rPr>
        <w:t>ākais risinājums, lai nodrošinātu</w:t>
      </w:r>
      <w:r w:rsidR="000C259E">
        <w:rPr>
          <w:rFonts w:ascii="Times New Roman" w:hAnsi="Times New Roman" w:cs="Times New Roman"/>
          <w:sz w:val="24"/>
          <w:szCs w:val="24"/>
        </w:rPr>
        <w:t xml:space="preserve"> frekvences stabilitāti Baltijas valstu elektro</w:t>
      </w:r>
      <w:r w:rsidR="008F30D4">
        <w:rPr>
          <w:rFonts w:ascii="Times New Roman" w:hAnsi="Times New Roman" w:cs="Times New Roman"/>
          <w:sz w:val="24"/>
          <w:szCs w:val="24"/>
        </w:rPr>
        <w:t xml:space="preserve">enerģijas </w:t>
      </w:r>
      <w:r w:rsidR="000C259E">
        <w:rPr>
          <w:rFonts w:ascii="Times New Roman" w:hAnsi="Times New Roman" w:cs="Times New Roman"/>
          <w:sz w:val="24"/>
          <w:szCs w:val="24"/>
        </w:rPr>
        <w:t>sistēmās</w:t>
      </w:r>
      <w:r w:rsidR="008F30D4">
        <w:rPr>
          <w:rFonts w:ascii="Times New Roman" w:hAnsi="Times New Roman" w:cs="Times New Roman"/>
          <w:sz w:val="24"/>
          <w:szCs w:val="24"/>
        </w:rPr>
        <w:t xml:space="preserve"> ar krietni mazākām investīcijām un ikgadējām izmaksām nekā pārējos scenārijos</w:t>
      </w:r>
      <w:r w:rsidR="000C259E">
        <w:rPr>
          <w:rFonts w:ascii="Times New Roman" w:hAnsi="Times New Roman" w:cs="Times New Roman"/>
          <w:sz w:val="24"/>
          <w:szCs w:val="24"/>
        </w:rPr>
        <w:t xml:space="preserve">. </w:t>
      </w:r>
    </w:p>
    <w:p w:rsidR="009A6719" w:rsidP="00136EE9" w14:paraId="623AFC72" w14:textId="514EE91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Jāņem vērā, ka sinhronizācijai nepieciešamo </w:t>
      </w:r>
      <w:r w:rsidR="008F30D4">
        <w:rPr>
          <w:rFonts w:ascii="Times New Roman" w:hAnsi="Times New Roman" w:cs="Times New Roman"/>
          <w:sz w:val="24"/>
          <w:szCs w:val="24"/>
        </w:rPr>
        <w:t xml:space="preserve">Baltijas infrastruktūras un iespējamo </w:t>
      </w:r>
      <w:r>
        <w:rPr>
          <w:rFonts w:ascii="Times New Roman" w:hAnsi="Times New Roman" w:cs="Times New Roman"/>
          <w:sz w:val="24"/>
          <w:szCs w:val="24"/>
        </w:rPr>
        <w:t xml:space="preserve">jauno </w:t>
      </w:r>
      <w:r>
        <w:rPr>
          <w:rFonts w:ascii="Times New Roman" w:hAnsi="Times New Roman" w:cs="Times New Roman"/>
          <w:sz w:val="24"/>
          <w:szCs w:val="24"/>
        </w:rPr>
        <w:t>starpsavienojumu</w:t>
      </w:r>
      <w:r>
        <w:rPr>
          <w:rFonts w:ascii="Times New Roman" w:hAnsi="Times New Roman" w:cs="Times New Roman"/>
          <w:sz w:val="24"/>
          <w:szCs w:val="24"/>
        </w:rPr>
        <w:t xml:space="preserve"> kapitāl</w:t>
      </w:r>
      <w:r w:rsidR="008F30D4">
        <w:rPr>
          <w:rFonts w:ascii="Times New Roman" w:hAnsi="Times New Roman" w:cs="Times New Roman"/>
          <w:sz w:val="24"/>
          <w:szCs w:val="24"/>
        </w:rPr>
        <w:t>ieguldījum</w:t>
      </w:r>
      <w:r w:rsidR="00DF7FC4">
        <w:rPr>
          <w:rFonts w:ascii="Times New Roman" w:hAnsi="Times New Roman" w:cs="Times New Roman"/>
          <w:sz w:val="24"/>
          <w:szCs w:val="24"/>
        </w:rPr>
        <w:t>us</w:t>
      </w:r>
      <w:r>
        <w:rPr>
          <w:rFonts w:ascii="Times New Roman" w:hAnsi="Times New Roman" w:cs="Times New Roman"/>
          <w:sz w:val="24"/>
          <w:szCs w:val="24"/>
        </w:rPr>
        <w:t xml:space="preserve"> būs iespējams līdzfinansēt līdz</w:t>
      </w:r>
      <w:r w:rsidR="008F30D4">
        <w:rPr>
          <w:rFonts w:ascii="Times New Roman" w:hAnsi="Times New Roman" w:cs="Times New Roman"/>
          <w:sz w:val="24"/>
          <w:szCs w:val="24"/>
        </w:rPr>
        <w:t xml:space="preserve"> pat</w:t>
      </w:r>
      <w:r>
        <w:rPr>
          <w:rFonts w:ascii="Times New Roman" w:hAnsi="Times New Roman" w:cs="Times New Roman"/>
          <w:sz w:val="24"/>
          <w:szCs w:val="24"/>
        </w:rPr>
        <w:t xml:space="preserve"> 75% apmērā no Eiropas Savienības infrastruktūras savienošanas instrumenta (turpmāk – CEF)</w:t>
      </w:r>
      <w:r w:rsidR="008F30D4">
        <w:rPr>
          <w:rFonts w:ascii="Times New Roman" w:hAnsi="Times New Roman" w:cs="Times New Roman"/>
          <w:sz w:val="24"/>
          <w:szCs w:val="24"/>
        </w:rPr>
        <w:t xml:space="preserve"> fondiem</w:t>
      </w:r>
      <w:r>
        <w:rPr>
          <w:rFonts w:ascii="Times New Roman" w:hAnsi="Times New Roman" w:cs="Times New Roman"/>
          <w:sz w:val="24"/>
          <w:szCs w:val="24"/>
        </w:rPr>
        <w:t xml:space="preserve">, bet atlikušās izmaksas tiktu </w:t>
      </w:r>
      <w:r w:rsidR="008F30D4">
        <w:rPr>
          <w:rFonts w:ascii="Times New Roman" w:hAnsi="Times New Roman" w:cs="Times New Roman"/>
          <w:sz w:val="24"/>
          <w:szCs w:val="24"/>
        </w:rPr>
        <w:t xml:space="preserve">daļēji </w:t>
      </w:r>
      <w:r>
        <w:rPr>
          <w:rFonts w:ascii="Times New Roman" w:hAnsi="Times New Roman" w:cs="Times New Roman"/>
          <w:sz w:val="24"/>
          <w:szCs w:val="24"/>
        </w:rPr>
        <w:t xml:space="preserve">segtas arī no </w:t>
      </w:r>
      <w:r w:rsidR="00DF7FC4">
        <w:rPr>
          <w:rFonts w:ascii="Times New Roman" w:hAnsi="Times New Roman" w:cs="Times New Roman"/>
          <w:sz w:val="24"/>
          <w:szCs w:val="24"/>
        </w:rPr>
        <w:t>PSO</w:t>
      </w:r>
      <w:r>
        <w:rPr>
          <w:rFonts w:ascii="Times New Roman" w:hAnsi="Times New Roman" w:cs="Times New Roman"/>
          <w:sz w:val="24"/>
          <w:szCs w:val="24"/>
        </w:rPr>
        <w:t xml:space="preserve"> sastrēgumu </w:t>
      </w:r>
      <w:r w:rsidR="008F30D4">
        <w:rPr>
          <w:rFonts w:ascii="Times New Roman" w:hAnsi="Times New Roman" w:cs="Times New Roman"/>
          <w:sz w:val="24"/>
          <w:szCs w:val="24"/>
        </w:rPr>
        <w:t xml:space="preserve">vadības </w:t>
      </w:r>
      <w:r>
        <w:rPr>
          <w:rFonts w:ascii="Times New Roman" w:hAnsi="Times New Roman" w:cs="Times New Roman"/>
          <w:sz w:val="24"/>
          <w:szCs w:val="24"/>
        </w:rPr>
        <w:t xml:space="preserve">ieņēmumiem. </w:t>
      </w:r>
      <w:r>
        <w:rPr>
          <w:rFonts w:ascii="Times New Roman" w:hAnsi="Times New Roman" w:cs="Times New Roman"/>
          <w:sz w:val="24"/>
          <w:szCs w:val="24"/>
        </w:rPr>
        <w:t>Savukārt</w:t>
      </w:r>
      <w:r w:rsidR="00DF7FC4">
        <w:rPr>
          <w:rFonts w:ascii="Times New Roman" w:hAnsi="Times New Roman" w:cs="Times New Roman"/>
          <w:sz w:val="24"/>
          <w:szCs w:val="24"/>
        </w:rPr>
        <w:t>,</w:t>
      </w:r>
      <w:r>
        <w:rPr>
          <w:rFonts w:ascii="Times New Roman" w:hAnsi="Times New Roman" w:cs="Times New Roman"/>
          <w:sz w:val="24"/>
          <w:szCs w:val="24"/>
        </w:rPr>
        <w:t xml:space="preserve"> ekspluatācijas izmaksas vienādās daļās </w:t>
      </w:r>
      <w:r>
        <w:rPr>
          <w:rFonts w:ascii="Times New Roman" w:hAnsi="Times New Roman" w:cs="Times New Roman"/>
          <w:sz w:val="24"/>
          <w:szCs w:val="24"/>
        </w:rPr>
        <w:t xml:space="preserve">segtu visas Baltijas valstis un šīs izmaksas tiek atspoguļotas patērētāju </w:t>
      </w:r>
      <w:r w:rsidR="008F30D4">
        <w:rPr>
          <w:rFonts w:ascii="Times New Roman" w:hAnsi="Times New Roman" w:cs="Times New Roman"/>
          <w:sz w:val="24"/>
          <w:szCs w:val="24"/>
        </w:rPr>
        <w:t xml:space="preserve">elektroenerģijas </w:t>
      </w:r>
      <w:r>
        <w:rPr>
          <w:rFonts w:ascii="Times New Roman" w:hAnsi="Times New Roman" w:cs="Times New Roman"/>
          <w:sz w:val="24"/>
          <w:szCs w:val="24"/>
        </w:rPr>
        <w:t>pārvades tarif</w:t>
      </w:r>
      <w:r w:rsidR="008F30D4">
        <w:rPr>
          <w:rFonts w:ascii="Times New Roman" w:hAnsi="Times New Roman" w:cs="Times New Roman"/>
          <w:sz w:val="24"/>
          <w:szCs w:val="24"/>
        </w:rPr>
        <w:t>ā</w:t>
      </w:r>
      <w:r>
        <w:rPr>
          <w:rFonts w:ascii="Times New Roman" w:hAnsi="Times New Roman" w:cs="Times New Roman"/>
          <w:sz w:val="24"/>
          <w:szCs w:val="24"/>
        </w:rPr>
        <w:t xml:space="preserve">. Tādējādi sinhronizācijas risinājums, kas saistītos ar lielām ekspluatācijas izmaksām (tostarp rezervju uzturēšanu) nav atbalstāms </w:t>
      </w:r>
      <w:r w:rsidR="00DF7FC4">
        <w:rPr>
          <w:rFonts w:ascii="Times New Roman" w:hAnsi="Times New Roman" w:cs="Times New Roman"/>
          <w:sz w:val="24"/>
          <w:szCs w:val="24"/>
        </w:rPr>
        <w:t xml:space="preserve"> </w:t>
      </w:r>
      <w:r>
        <w:rPr>
          <w:rFonts w:ascii="Times New Roman" w:hAnsi="Times New Roman" w:cs="Times New Roman"/>
          <w:sz w:val="24"/>
          <w:szCs w:val="24"/>
        </w:rPr>
        <w:t>ietekmes uz tarif</w:t>
      </w:r>
      <w:r w:rsidR="00DF7FC4">
        <w:rPr>
          <w:rFonts w:ascii="Times New Roman" w:hAnsi="Times New Roman" w:cs="Times New Roman"/>
          <w:sz w:val="24"/>
          <w:szCs w:val="24"/>
        </w:rPr>
        <w:t>u</w:t>
      </w:r>
      <w:r>
        <w:rPr>
          <w:rFonts w:ascii="Times New Roman" w:hAnsi="Times New Roman" w:cs="Times New Roman"/>
          <w:sz w:val="24"/>
          <w:szCs w:val="24"/>
        </w:rPr>
        <w:t xml:space="preserve"> dēļ, jo Latvijas </w:t>
      </w:r>
      <w:r w:rsidR="008F30D4">
        <w:rPr>
          <w:rFonts w:ascii="Times New Roman" w:hAnsi="Times New Roman" w:cs="Times New Roman"/>
          <w:sz w:val="24"/>
          <w:szCs w:val="24"/>
        </w:rPr>
        <w:t>PSO</w:t>
      </w:r>
      <w:r>
        <w:rPr>
          <w:rFonts w:ascii="Times New Roman" w:hAnsi="Times New Roman" w:cs="Times New Roman"/>
          <w:sz w:val="24"/>
          <w:szCs w:val="24"/>
        </w:rPr>
        <w:t xml:space="preserve"> aplēses liecina, ka katras 10 miljonu EUR izmaksas rada </w:t>
      </w:r>
      <w:r w:rsidR="005115C5">
        <w:rPr>
          <w:rFonts w:ascii="Times New Roman" w:hAnsi="Times New Roman" w:cs="Times New Roman"/>
          <w:sz w:val="24"/>
          <w:szCs w:val="24"/>
        </w:rPr>
        <w:t xml:space="preserve">aptuveni </w:t>
      </w:r>
      <w:r>
        <w:rPr>
          <w:rFonts w:ascii="Times New Roman" w:hAnsi="Times New Roman" w:cs="Times New Roman"/>
          <w:sz w:val="24"/>
          <w:szCs w:val="24"/>
        </w:rPr>
        <w:t xml:space="preserve">20% </w:t>
      </w:r>
      <w:r w:rsidR="008F30D4">
        <w:rPr>
          <w:rFonts w:ascii="Times New Roman" w:hAnsi="Times New Roman" w:cs="Times New Roman"/>
          <w:sz w:val="24"/>
          <w:szCs w:val="24"/>
        </w:rPr>
        <w:t xml:space="preserve">elektroenerģijas pārvades </w:t>
      </w:r>
      <w:r>
        <w:rPr>
          <w:rFonts w:ascii="Times New Roman" w:hAnsi="Times New Roman" w:cs="Times New Roman"/>
          <w:sz w:val="24"/>
          <w:szCs w:val="24"/>
        </w:rPr>
        <w:t>tarifa pieaugumu. Uzskatāmi kapitāla izmaksu (CAPEX) un ekspluatācijas izmaksu (OPEX) ietekme uz tarifu redzama šajā tabulā:</w:t>
      </w:r>
    </w:p>
    <w:tbl>
      <w:tblPr>
        <w:tblW w:w="0" w:type="auto"/>
        <w:tblInd w:w="-5" w:type="dxa"/>
        <w:tblLook w:val="04A0"/>
      </w:tblPr>
      <w:tblGrid>
        <w:gridCol w:w="3013"/>
        <w:gridCol w:w="747"/>
        <w:gridCol w:w="824"/>
        <w:gridCol w:w="1456"/>
        <w:gridCol w:w="746"/>
        <w:gridCol w:w="824"/>
        <w:gridCol w:w="1456"/>
      </w:tblGrid>
      <w:tr w14:paraId="17B7F3AF" w14:textId="77777777" w:rsidTr="009A6719">
        <w:tblPrEx>
          <w:tblW w:w="0" w:type="auto"/>
          <w:tblInd w:w="-5" w:type="dxa"/>
          <w:tblLook w:val="04A0"/>
        </w:tblPrEx>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719" w:rsidRPr="009A6719" w:rsidP="009A6719" w14:paraId="0BF38167" w14:textId="77777777">
            <w:pPr>
              <w:spacing w:after="0" w:line="240" w:lineRule="auto"/>
              <w:jc w:val="center"/>
              <w:rPr>
                <w:rFonts w:ascii="Times New Roman" w:eastAsia="Times New Roman" w:hAnsi="Times New Roman" w:cs="Times New Roman"/>
                <w:b/>
                <w:bCs/>
                <w:color w:val="000000"/>
                <w:lang w:eastAsia="lv-LV"/>
              </w:rPr>
            </w:pPr>
            <w:r w:rsidRPr="009A6719">
              <w:rPr>
                <w:rFonts w:ascii="Times New Roman" w:eastAsia="Times New Roman" w:hAnsi="Times New Roman" w:cs="Times New Roman"/>
                <w:b/>
                <w:bCs/>
                <w:color w:val="000000"/>
                <w:lang w:eastAsia="lv-LV"/>
              </w:rPr>
              <w:t>Ietekme uz Latvijas pārvades tarifu</w:t>
            </w:r>
          </w:p>
        </w:tc>
      </w:tr>
      <w:tr w14:paraId="34383A96" w14:textId="77777777" w:rsidTr="009A6719">
        <w:tblPrEx>
          <w:tblW w:w="0" w:type="auto"/>
          <w:tblInd w:w="-5" w:type="dxa"/>
          <w:tblLook w:val="04A0"/>
        </w:tblPrEx>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A6719" w:rsidRPr="009A6719" w:rsidP="009A6719" w14:paraId="070C3AF2" w14:textId="77777777">
            <w:pPr>
              <w:spacing w:after="0" w:line="240" w:lineRule="auto"/>
              <w:rPr>
                <w:rFonts w:ascii="Times New Roman" w:eastAsia="Times New Roman" w:hAnsi="Times New Roman" w:cs="Times New Roman"/>
                <w:color w:val="000000"/>
                <w:lang w:eastAsia="lv-LV"/>
              </w:rPr>
            </w:pPr>
            <w:r w:rsidRPr="009A6719">
              <w:rPr>
                <w:rFonts w:ascii="Times New Roman" w:eastAsia="Times New Roman" w:hAnsi="Times New Roman" w:cs="Times New Roman"/>
                <w:color w:val="000000"/>
                <w:lang w:eastAsia="lv-LV"/>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9A6719" w:rsidRPr="009A6719" w:rsidP="009A6719" w14:paraId="7B3E1C7E" w14:textId="77777777">
            <w:pPr>
              <w:spacing w:after="0" w:line="240" w:lineRule="auto"/>
              <w:rPr>
                <w:rFonts w:ascii="Times New Roman" w:eastAsia="Times New Roman" w:hAnsi="Times New Roman" w:cs="Times New Roman"/>
                <w:b/>
                <w:bCs/>
                <w:color w:val="000000"/>
                <w:lang w:eastAsia="lv-LV"/>
              </w:rPr>
            </w:pPr>
            <w:r w:rsidRPr="009A6719">
              <w:rPr>
                <w:rFonts w:ascii="Times New Roman" w:eastAsia="Times New Roman" w:hAnsi="Times New Roman" w:cs="Times New Roman"/>
                <w:b/>
                <w:bCs/>
                <w:color w:val="000000"/>
                <w:lang w:eastAsia="lv-LV"/>
              </w:rPr>
              <w:t>LP1</w:t>
            </w:r>
            <w:r>
              <w:rPr>
                <w:rFonts w:ascii="Times New Roman" w:eastAsia="Times New Roman" w:hAnsi="Times New Roman" w:cs="Times New Roman"/>
                <w:b/>
                <w:bCs/>
                <w:color w:val="000000"/>
                <w:lang w:eastAsia="lv-LV"/>
              </w:rPr>
              <w:t xml:space="preserve"> (esošais)</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9A6719" w:rsidRPr="009A6719" w:rsidP="009A6719" w14:paraId="18D81206" w14:textId="77777777">
            <w:pPr>
              <w:spacing w:after="0" w:line="240" w:lineRule="auto"/>
              <w:rPr>
                <w:rFonts w:ascii="Times New Roman" w:eastAsia="Times New Roman" w:hAnsi="Times New Roman" w:cs="Times New Roman"/>
                <w:b/>
                <w:bCs/>
                <w:color w:val="000000"/>
                <w:lang w:eastAsia="lv-LV"/>
              </w:rPr>
            </w:pPr>
            <w:r w:rsidRPr="009A6719">
              <w:rPr>
                <w:rFonts w:ascii="Times New Roman" w:eastAsia="Times New Roman" w:hAnsi="Times New Roman" w:cs="Times New Roman"/>
                <w:b/>
                <w:bCs/>
                <w:color w:val="000000"/>
                <w:lang w:eastAsia="lv-LV"/>
              </w:rPr>
              <w:t>LP1</w:t>
            </w:r>
            <w:r>
              <w:rPr>
                <w:rFonts w:ascii="Times New Roman" w:eastAsia="Times New Roman" w:hAnsi="Times New Roman" w:cs="Times New Roman"/>
                <w:b/>
                <w:bCs/>
                <w:color w:val="000000"/>
                <w:lang w:eastAsia="lv-LV"/>
              </w:rPr>
              <w:t xml:space="preserve"> (esošais) </w:t>
            </w:r>
            <w:r w:rsidRPr="009A6719">
              <w:rPr>
                <w:rFonts w:ascii="Times New Roman" w:eastAsia="Times New Roman" w:hAnsi="Times New Roman" w:cs="Times New Roman"/>
                <w:b/>
                <w:bCs/>
                <w:color w:val="000000"/>
                <w:lang w:eastAsia="lv-LV"/>
              </w:rPr>
              <w:t>+LP2</w:t>
            </w:r>
            <w:r>
              <w:rPr>
                <w:rFonts w:ascii="Times New Roman" w:eastAsia="Times New Roman" w:hAnsi="Times New Roman" w:cs="Times New Roman"/>
                <w:b/>
                <w:bCs/>
                <w:color w:val="000000"/>
                <w:lang w:eastAsia="lv-LV"/>
              </w:rPr>
              <w:t xml:space="preserve"> (jauns)</w:t>
            </w:r>
          </w:p>
        </w:tc>
      </w:tr>
      <w:tr w14:paraId="4DC651B6" w14:textId="77777777" w:rsidTr="009A6719">
        <w:tblPrEx>
          <w:tblW w:w="0" w:type="auto"/>
          <w:tblInd w:w="-5" w:type="dxa"/>
          <w:tblLook w:val="04A0"/>
        </w:tblPrEx>
        <w:trPr>
          <w:trHeight w:val="18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A6719" w:rsidRPr="009A6719" w:rsidP="009A6719" w14:paraId="6C2C4E21" w14:textId="77777777">
            <w:pPr>
              <w:spacing w:after="0" w:line="240" w:lineRule="auto"/>
              <w:rPr>
                <w:rFonts w:ascii="Times New Roman" w:eastAsia="Times New Roman" w:hAnsi="Times New Roman" w:cs="Times New Roman"/>
                <w:color w:val="000000"/>
                <w:lang w:eastAsia="lv-LV"/>
              </w:rPr>
            </w:pPr>
            <w:r w:rsidRPr="009A6719">
              <w:rPr>
                <w:rFonts w:ascii="Times New Roman" w:eastAsia="Times New Roman" w:hAnsi="Times New Roman" w:cs="Times New Roman"/>
                <w:color w:val="000000"/>
                <w:lang w:eastAsia="lv-LV"/>
              </w:rPr>
              <w:t>Baltijas CAPEX MEUR/gadā</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9A6719" w:rsidRPr="009A6719" w:rsidP="009A6719" w14:paraId="7ABE2652" w14:textId="77777777">
            <w:pPr>
              <w:spacing w:after="0" w:line="240" w:lineRule="auto"/>
              <w:jc w:val="right"/>
              <w:rPr>
                <w:rFonts w:ascii="Times New Roman" w:eastAsia="Times New Roman" w:hAnsi="Times New Roman" w:cs="Times New Roman"/>
                <w:color w:val="000000"/>
                <w:lang w:eastAsia="lv-LV"/>
              </w:rPr>
            </w:pPr>
            <w:r w:rsidRPr="009A6719">
              <w:rPr>
                <w:rFonts w:ascii="Times New Roman" w:eastAsia="Times New Roman" w:hAnsi="Times New Roman" w:cs="Times New Roman"/>
                <w:color w:val="000000"/>
                <w:lang w:eastAsia="lv-LV"/>
              </w:rPr>
              <w:t>18</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9A6719" w:rsidRPr="009A6719" w:rsidP="009A6719" w14:paraId="6BD10C00" w14:textId="77777777">
            <w:pPr>
              <w:spacing w:after="0" w:line="240" w:lineRule="auto"/>
              <w:jc w:val="right"/>
              <w:rPr>
                <w:rFonts w:ascii="Times New Roman" w:eastAsia="Times New Roman" w:hAnsi="Times New Roman" w:cs="Times New Roman"/>
                <w:color w:val="000000"/>
                <w:lang w:eastAsia="lv-LV"/>
              </w:rPr>
            </w:pPr>
            <w:r w:rsidRPr="009A6719">
              <w:rPr>
                <w:rFonts w:ascii="Times New Roman" w:eastAsia="Times New Roman" w:hAnsi="Times New Roman" w:cs="Times New Roman"/>
                <w:color w:val="000000"/>
                <w:lang w:eastAsia="lv-LV"/>
              </w:rPr>
              <w:t>215</w:t>
            </w:r>
          </w:p>
        </w:tc>
      </w:tr>
      <w:tr w14:paraId="523509B2" w14:textId="77777777" w:rsidTr="009A6719">
        <w:tblPrEx>
          <w:tblW w:w="0" w:type="auto"/>
          <w:tblInd w:w="-5" w:type="dxa"/>
          <w:tblLook w:val="04A0"/>
        </w:tblPrEx>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A6719" w:rsidRPr="009A6719" w:rsidP="009A6719" w14:paraId="4C399ABE" w14:textId="77777777">
            <w:pPr>
              <w:spacing w:after="0" w:line="240" w:lineRule="auto"/>
              <w:rPr>
                <w:rFonts w:ascii="Times New Roman" w:eastAsia="Times New Roman" w:hAnsi="Times New Roman" w:cs="Times New Roman"/>
                <w:color w:val="000000"/>
                <w:lang w:eastAsia="lv-LV"/>
              </w:rPr>
            </w:pPr>
            <w:r w:rsidRPr="009A6719">
              <w:rPr>
                <w:rFonts w:ascii="Times New Roman" w:eastAsia="Times New Roman" w:hAnsi="Times New Roman" w:cs="Times New Roman"/>
                <w:color w:val="000000"/>
                <w:lang w:eastAsia="lv-LV"/>
              </w:rPr>
              <w:t>LV CAPEX daļa MEUR/gadā (trešdaļa no kopējā)</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9A6719" w:rsidRPr="009A6719" w:rsidP="009A6719" w14:paraId="58F24CE1" w14:textId="77777777">
            <w:pPr>
              <w:spacing w:after="0" w:line="240" w:lineRule="auto"/>
              <w:jc w:val="right"/>
              <w:rPr>
                <w:rFonts w:ascii="Times New Roman" w:eastAsia="Times New Roman" w:hAnsi="Times New Roman" w:cs="Times New Roman"/>
                <w:color w:val="000000"/>
                <w:lang w:eastAsia="lv-LV"/>
              </w:rPr>
            </w:pPr>
            <w:r w:rsidRPr="009A6719">
              <w:rPr>
                <w:rFonts w:ascii="Times New Roman" w:eastAsia="Times New Roman" w:hAnsi="Times New Roman" w:cs="Times New Roman"/>
                <w:color w:val="000000"/>
                <w:lang w:eastAsia="lv-LV"/>
              </w:rPr>
              <w:t>6</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9A6719" w:rsidRPr="009A6719" w:rsidP="009A6719" w14:paraId="627C361E" w14:textId="77777777">
            <w:pPr>
              <w:spacing w:after="0" w:line="240" w:lineRule="auto"/>
              <w:jc w:val="right"/>
              <w:rPr>
                <w:rFonts w:ascii="Times New Roman" w:eastAsia="Times New Roman" w:hAnsi="Times New Roman" w:cs="Times New Roman"/>
                <w:color w:val="000000"/>
                <w:lang w:eastAsia="lv-LV"/>
              </w:rPr>
            </w:pPr>
            <w:r w:rsidRPr="009A6719">
              <w:rPr>
                <w:rFonts w:ascii="Times New Roman" w:eastAsia="Times New Roman" w:hAnsi="Times New Roman" w:cs="Times New Roman"/>
                <w:color w:val="000000"/>
                <w:lang w:eastAsia="lv-LV"/>
              </w:rPr>
              <w:t>71,67</w:t>
            </w:r>
          </w:p>
        </w:tc>
      </w:tr>
      <w:tr w14:paraId="07ECA25C" w14:textId="77777777" w:rsidTr="009A6719">
        <w:tblPrEx>
          <w:tblW w:w="0" w:type="auto"/>
          <w:tblInd w:w="-5" w:type="dxa"/>
          <w:tblLook w:val="04A0"/>
        </w:tblPrEx>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A6719" w:rsidRPr="009A6719" w:rsidP="009A6719" w14:paraId="57C1C19D" w14:textId="77777777">
            <w:pPr>
              <w:spacing w:after="0" w:line="240" w:lineRule="auto"/>
              <w:rPr>
                <w:rFonts w:ascii="Times New Roman" w:eastAsia="Times New Roman" w:hAnsi="Times New Roman" w:cs="Times New Roman"/>
                <w:color w:val="000000"/>
                <w:lang w:eastAsia="lv-LV"/>
              </w:rPr>
            </w:pPr>
            <w:r w:rsidRPr="009A6719">
              <w:rPr>
                <w:rFonts w:ascii="Times New Roman" w:eastAsia="Times New Roman" w:hAnsi="Times New Roman" w:cs="Times New Roman"/>
                <w:color w:val="000000"/>
                <w:lang w:eastAsia="lv-LV"/>
              </w:rPr>
              <w:t>ES finansējums</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9A6719" w:rsidRPr="009A6719" w:rsidP="009A6719" w14:paraId="3F2D769B" w14:textId="77777777">
            <w:pPr>
              <w:spacing w:after="0" w:line="240" w:lineRule="auto"/>
              <w:jc w:val="right"/>
              <w:rPr>
                <w:rFonts w:ascii="Times New Roman" w:eastAsia="Times New Roman" w:hAnsi="Times New Roman" w:cs="Times New Roman"/>
                <w:b/>
                <w:bCs/>
                <w:color w:val="000000"/>
                <w:lang w:eastAsia="lv-LV"/>
              </w:rPr>
            </w:pPr>
            <w:r w:rsidRPr="009A6719">
              <w:rPr>
                <w:rFonts w:ascii="Times New Roman" w:eastAsia="Times New Roman" w:hAnsi="Times New Roman" w:cs="Times New Roman"/>
                <w:b/>
                <w:bCs/>
                <w:color w:val="000000"/>
                <w:lang w:eastAsia="lv-LV"/>
              </w:rPr>
              <w:t>0%</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9A6719" w:rsidRPr="009A6719" w:rsidP="009A6719" w14:paraId="4E2BF897" w14:textId="77777777">
            <w:pPr>
              <w:spacing w:after="0" w:line="240" w:lineRule="auto"/>
              <w:jc w:val="right"/>
              <w:rPr>
                <w:rFonts w:ascii="Times New Roman" w:eastAsia="Times New Roman" w:hAnsi="Times New Roman" w:cs="Times New Roman"/>
                <w:b/>
                <w:bCs/>
                <w:color w:val="000000"/>
                <w:lang w:eastAsia="lv-LV"/>
              </w:rPr>
            </w:pPr>
            <w:r w:rsidRPr="009A6719">
              <w:rPr>
                <w:rFonts w:ascii="Times New Roman" w:eastAsia="Times New Roman" w:hAnsi="Times New Roman" w:cs="Times New Roman"/>
                <w:b/>
                <w:bCs/>
                <w:color w:val="000000"/>
                <w:lang w:eastAsia="lv-LV"/>
              </w:rPr>
              <w:t>75%</w:t>
            </w:r>
          </w:p>
        </w:tc>
      </w:tr>
      <w:tr w14:paraId="100D8424" w14:textId="77777777" w:rsidTr="009A6719">
        <w:tblPrEx>
          <w:tblW w:w="0" w:type="auto"/>
          <w:tblInd w:w="-5" w:type="dxa"/>
          <w:tblLook w:val="04A0"/>
        </w:tblPrEx>
        <w:trPr>
          <w:trHeight w:val="1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A6719" w:rsidRPr="009A6719" w:rsidP="009A6719" w14:paraId="1C1D4D4F" w14:textId="77777777">
            <w:pPr>
              <w:spacing w:after="0" w:line="240" w:lineRule="auto"/>
              <w:rPr>
                <w:rFonts w:ascii="Times New Roman" w:eastAsia="Times New Roman" w:hAnsi="Times New Roman" w:cs="Times New Roman"/>
                <w:color w:val="000000"/>
                <w:lang w:eastAsia="lv-LV"/>
              </w:rPr>
            </w:pPr>
            <w:r w:rsidRPr="009A6719">
              <w:rPr>
                <w:rFonts w:ascii="Times New Roman" w:eastAsia="Times New Roman" w:hAnsi="Times New Roman" w:cs="Times New Roman"/>
                <w:color w:val="000000"/>
                <w:lang w:eastAsia="lv-LV"/>
              </w:rPr>
              <w:t>Finansējums no sastrēguma ieņēmumiem</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9A6719" w:rsidRPr="009A6719" w:rsidP="009A6719" w14:paraId="2B2B97C8" w14:textId="77777777">
            <w:pPr>
              <w:spacing w:after="0" w:line="240" w:lineRule="auto"/>
              <w:jc w:val="right"/>
              <w:rPr>
                <w:rFonts w:ascii="Times New Roman" w:eastAsia="Times New Roman" w:hAnsi="Times New Roman" w:cs="Times New Roman"/>
                <w:b/>
                <w:bCs/>
                <w:color w:val="000000"/>
                <w:lang w:eastAsia="lv-LV"/>
              </w:rPr>
            </w:pPr>
            <w:r w:rsidRPr="009A6719">
              <w:rPr>
                <w:rFonts w:ascii="Times New Roman" w:eastAsia="Times New Roman" w:hAnsi="Times New Roman" w:cs="Times New Roman"/>
                <w:b/>
                <w:bCs/>
                <w:color w:val="000000"/>
                <w:lang w:eastAsia="lv-LV"/>
              </w:rPr>
              <w:t>100%</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9A6719" w:rsidRPr="009A6719" w:rsidP="009A6719" w14:paraId="426AA374" w14:textId="77777777">
            <w:pPr>
              <w:spacing w:after="0" w:line="240" w:lineRule="auto"/>
              <w:jc w:val="right"/>
              <w:rPr>
                <w:rFonts w:ascii="Times New Roman" w:eastAsia="Times New Roman" w:hAnsi="Times New Roman" w:cs="Times New Roman"/>
                <w:b/>
                <w:bCs/>
                <w:color w:val="000000"/>
                <w:lang w:eastAsia="lv-LV"/>
              </w:rPr>
            </w:pPr>
            <w:r w:rsidRPr="009A6719">
              <w:rPr>
                <w:rFonts w:ascii="Times New Roman" w:eastAsia="Times New Roman" w:hAnsi="Times New Roman" w:cs="Times New Roman"/>
                <w:b/>
                <w:bCs/>
                <w:color w:val="000000"/>
                <w:lang w:eastAsia="lv-LV"/>
              </w:rPr>
              <w:t>25%</w:t>
            </w:r>
          </w:p>
        </w:tc>
      </w:tr>
      <w:tr w14:paraId="775891DB" w14:textId="77777777" w:rsidTr="009A6719">
        <w:tblPrEx>
          <w:tblW w:w="0" w:type="auto"/>
          <w:tblInd w:w="-5" w:type="dxa"/>
          <w:tblLook w:val="04A0"/>
        </w:tblPrEx>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A6719" w:rsidRPr="009A6719" w:rsidP="009A6719" w14:paraId="71931B3D" w14:textId="77777777">
            <w:pPr>
              <w:spacing w:after="0" w:line="240" w:lineRule="auto"/>
              <w:rPr>
                <w:rFonts w:ascii="Times New Roman" w:eastAsia="Times New Roman" w:hAnsi="Times New Roman" w:cs="Times New Roman"/>
                <w:color w:val="000000"/>
                <w:lang w:eastAsia="lv-LV"/>
              </w:rPr>
            </w:pPr>
            <w:r w:rsidRPr="009A6719">
              <w:rPr>
                <w:rFonts w:ascii="Times New Roman" w:eastAsia="Times New Roman" w:hAnsi="Times New Roman" w:cs="Times New Roman"/>
                <w:color w:val="000000"/>
                <w:lang w:eastAsia="lv-LV"/>
              </w:rPr>
              <w:t>LV CAPEX ar  ES un sastrēguma ieņēmumu līdzfinansējumu</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9A6719" w:rsidRPr="009A6719" w:rsidP="009A6719" w14:paraId="3388DBE9" w14:textId="77777777">
            <w:pPr>
              <w:spacing w:after="0" w:line="240" w:lineRule="auto"/>
              <w:jc w:val="right"/>
              <w:rPr>
                <w:rFonts w:ascii="Times New Roman" w:eastAsia="Times New Roman" w:hAnsi="Times New Roman" w:cs="Times New Roman"/>
                <w:color w:val="000000"/>
                <w:lang w:eastAsia="lv-LV"/>
              </w:rPr>
            </w:pPr>
            <w:r w:rsidRPr="009A6719">
              <w:rPr>
                <w:rFonts w:ascii="Times New Roman" w:eastAsia="Times New Roman" w:hAnsi="Times New Roman" w:cs="Times New Roman"/>
                <w:color w:val="000000"/>
                <w:lang w:eastAsia="lv-LV"/>
              </w:rPr>
              <w:t>0</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9A6719" w:rsidRPr="009A6719" w:rsidP="009A6719" w14:paraId="24695116" w14:textId="77777777">
            <w:pPr>
              <w:spacing w:after="0" w:line="240" w:lineRule="auto"/>
              <w:jc w:val="right"/>
              <w:rPr>
                <w:rFonts w:ascii="Times New Roman" w:eastAsia="Times New Roman" w:hAnsi="Times New Roman" w:cs="Times New Roman"/>
                <w:color w:val="000000"/>
                <w:lang w:eastAsia="lv-LV"/>
              </w:rPr>
            </w:pPr>
            <w:r w:rsidRPr="009A6719">
              <w:rPr>
                <w:rFonts w:ascii="Times New Roman" w:eastAsia="Times New Roman" w:hAnsi="Times New Roman" w:cs="Times New Roman"/>
                <w:color w:val="000000"/>
                <w:lang w:eastAsia="lv-LV"/>
              </w:rPr>
              <w:t>0</w:t>
            </w:r>
          </w:p>
        </w:tc>
      </w:tr>
      <w:tr w14:paraId="07F35BB1" w14:textId="77777777" w:rsidTr="009A6719">
        <w:tblPrEx>
          <w:tblW w:w="0" w:type="auto"/>
          <w:tblInd w:w="-5" w:type="dxa"/>
          <w:tblLook w:val="04A0"/>
        </w:tblPrEx>
        <w:trPr>
          <w:trHeight w:val="1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A6719" w:rsidRPr="009A6719" w:rsidP="009A6719" w14:paraId="1BE068BC" w14:textId="77777777">
            <w:pPr>
              <w:spacing w:after="0" w:line="240" w:lineRule="auto"/>
              <w:rPr>
                <w:rFonts w:ascii="Times New Roman" w:eastAsia="Times New Roman" w:hAnsi="Times New Roman" w:cs="Times New Roman"/>
                <w:color w:val="000000"/>
                <w:lang w:eastAsia="lv-LV"/>
              </w:rPr>
            </w:pPr>
            <w:r w:rsidRPr="009A6719">
              <w:rPr>
                <w:rFonts w:ascii="Times New Roman" w:eastAsia="Times New Roman" w:hAnsi="Times New Roman" w:cs="Times New Roman"/>
                <w:color w:val="000000"/>
                <w:lang w:eastAsia="lv-LV"/>
              </w:rPr>
              <w:t>LV OPEX MEUR/gadā (primārās + ārkārtas rezerves)</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9A6719" w:rsidRPr="009A6719" w:rsidP="009A6719" w14:paraId="0B1EB69D" w14:textId="77777777">
            <w:pPr>
              <w:spacing w:after="0" w:line="240" w:lineRule="auto"/>
              <w:jc w:val="right"/>
              <w:rPr>
                <w:rFonts w:ascii="Times New Roman" w:eastAsia="Times New Roman" w:hAnsi="Times New Roman" w:cs="Times New Roman"/>
                <w:color w:val="000000"/>
                <w:lang w:eastAsia="lv-LV"/>
              </w:rPr>
            </w:pPr>
            <w:r w:rsidRPr="009A6719">
              <w:rPr>
                <w:rFonts w:ascii="Times New Roman" w:eastAsia="Times New Roman" w:hAnsi="Times New Roman" w:cs="Times New Roman"/>
                <w:color w:val="000000"/>
                <w:lang w:eastAsia="lv-LV"/>
              </w:rPr>
              <w:t>6,6</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9A6719" w:rsidRPr="009A6719" w:rsidP="009A6719" w14:paraId="34504EFF" w14:textId="77777777">
            <w:pPr>
              <w:spacing w:after="0" w:line="240" w:lineRule="auto"/>
              <w:jc w:val="right"/>
              <w:rPr>
                <w:rFonts w:ascii="Times New Roman" w:eastAsia="Times New Roman" w:hAnsi="Times New Roman" w:cs="Times New Roman"/>
                <w:color w:val="000000"/>
                <w:lang w:eastAsia="lv-LV"/>
              </w:rPr>
            </w:pPr>
            <w:r w:rsidRPr="009A6719">
              <w:rPr>
                <w:rFonts w:ascii="Times New Roman" w:eastAsia="Times New Roman" w:hAnsi="Times New Roman" w:cs="Times New Roman"/>
                <w:color w:val="000000"/>
                <w:lang w:eastAsia="lv-LV"/>
              </w:rPr>
              <w:t>3,5</w:t>
            </w:r>
          </w:p>
        </w:tc>
      </w:tr>
      <w:tr w14:paraId="4E0CE92A" w14:textId="77777777" w:rsidTr="009A6719">
        <w:tblPrEx>
          <w:tblW w:w="0" w:type="auto"/>
          <w:tblInd w:w="-5" w:type="dxa"/>
          <w:tblLook w:val="04A0"/>
        </w:tblPrEx>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A6719" w:rsidRPr="009A6719" w:rsidP="009A6719" w14:paraId="1E113A9E" w14:textId="77777777">
            <w:pPr>
              <w:spacing w:after="0" w:line="240" w:lineRule="auto"/>
              <w:rPr>
                <w:rFonts w:ascii="Times New Roman" w:eastAsia="Times New Roman" w:hAnsi="Times New Roman" w:cs="Times New Roman"/>
                <w:b/>
                <w:bCs/>
                <w:color w:val="000000"/>
                <w:lang w:eastAsia="lv-LV"/>
              </w:rPr>
            </w:pPr>
            <w:r w:rsidRPr="009A6719">
              <w:rPr>
                <w:rFonts w:ascii="Times New Roman" w:eastAsia="Times New Roman" w:hAnsi="Times New Roman" w:cs="Times New Roman"/>
                <w:b/>
                <w:bCs/>
                <w:color w:val="000000"/>
                <w:lang w:eastAsia="lv-LV"/>
              </w:rPr>
              <w:t>Kopejās</w:t>
            </w:r>
            <w:r w:rsidRPr="009A6719">
              <w:rPr>
                <w:rFonts w:ascii="Times New Roman" w:eastAsia="Times New Roman" w:hAnsi="Times New Roman" w:cs="Times New Roman"/>
                <w:b/>
                <w:bCs/>
                <w:color w:val="000000"/>
                <w:lang w:eastAsia="lv-LV"/>
              </w:rPr>
              <w:t xml:space="preserve"> LV izmaksas MEUR/gadā</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9A6719" w:rsidRPr="009A6719" w:rsidP="009A6719" w14:paraId="16028469" w14:textId="77777777">
            <w:pPr>
              <w:spacing w:after="0" w:line="240" w:lineRule="auto"/>
              <w:jc w:val="right"/>
              <w:rPr>
                <w:rFonts w:ascii="Times New Roman" w:eastAsia="Times New Roman" w:hAnsi="Times New Roman" w:cs="Times New Roman"/>
                <w:b/>
                <w:bCs/>
                <w:color w:val="000000"/>
                <w:lang w:eastAsia="lv-LV"/>
              </w:rPr>
            </w:pPr>
            <w:r w:rsidRPr="009A6719">
              <w:rPr>
                <w:rFonts w:ascii="Times New Roman" w:eastAsia="Times New Roman" w:hAnsi="Times New Roman" w:cs="Times New Roman"/>
                <w:b/>
                <w:bCs/>
                <w:color w:val="000000"/>
                <w:lang w:eastAsia="lv-LV"/>
              </w:rPr>
              <w:t>6,6</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9A6719" w:rsidRPr="009A6719" w:rsidP="009A6719" w14:paraId="799E6EC8" w14:textId="77777777">
            <w:pPr>
              <w:spacing w:after="0" w:line="240" w:lineRule="auto"/>
              <w:jc w:val="right"/>
              <w:rPr>
                <w:rFonts w:ascii="Times New Roman" w:eastAsia="Times New Roman" w:hAnsi="Times New Roman" w:cs="Times New Roman"/>
                <w:b/>
                <w:bCs/>
                <w:color w:val="000000"/>
                <w:lang w:eastAsia="lv-LV"/>
              </w:rPr>
            </w:pPr>
            <w:r w:rsidRPr="009A6719">
              <w:rPr>
                <w:rFonts w:ascii="Times New Roman" w:eastAsia="Times New Roman" w:hAnsi="Times New Roman" w:cs="Times New Roman"/>
                <w:b/>
                <w:bCs/>
                <w:color w:val="000000"/>
                <w:lang w:eastAsia="lv-LV"/>
              </w:rPr>
              <w:t>3,5</w:t>
            </w:r>
          </w:p>
        </w:tc>
      </w:tr>
      <w:tr w14:paraId="35C160BD" w14:textId="77777777" w:rsidTr="009A6719">
        <w:tblPrEx>
          <w:tblW w:w="0" w:type="auto"/>
          <w:tblInd w:w="-5" w:type="dxa"/>
          <w:tblLook w:val="04A0"/>
        </w:tblPrEx>
        <w:trPr>
          <w:trHeight w:val="78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A6719" w:rsidRPr="009A6719" w:rsidP="009A6719" w14:paraId="6059C97F" w14:textId="77777777">
            <w:pPr>
              <w:spacing w:after="0" w:line="240" w:lineRule="auto"/>
              <w:rPr>
                <w:rFonts w:ascii="Times New Roman" w:eastAsia="Times New Roman" w:hAnsi="Times New Roman" w:cs="Times New Roman"/>
                <w:color w:val="000000"/>
                <w:lang w:eastAsia="lv-LV"/>
              </w:rPr>
            </w:pPr>
            <w:r w:rsidRPr="009A6719">
              <w:rPr>
                <w:rFonts w:ascii="Times New Roman" w:eastAsia="Times New Roman" w:hAnsi="Times New Roman" w:cs="Times New Roman"/>
                <w:color w:val="000000"/>
                <w:lang w:eastAsia="lv-LV"/>
              </w:rPr>
              <w:t>Patēriņa grupa</w:t>
            </w:r>
          </w:p>
        </w:tc>
        <w:tc>
          <w:tcPr>
            <w:tcW w:w="0" w:type="auto"/>
            <w:tcBorders>
              <w:top w:val="nil"/>
              <w:left w:val="nil"/>
              <w:bottom w:val="single" w:sz="4" w:space="0" w:color="auto"/>
              <w:right w:val="single" w:sz="4" w:space="0" w:color="auto"/>
            </w:tcBorders>
            <w:shd w:val="clear" w:color="auto" w:fill="auto"/>
            <w:vAlign w:val="center"/>
            <w:hideMark/>
          </w:tcPr>
          <w:p w:rsidR="009A6719" w:rsidRPr="009A6719" w:rsidP="009A6719" w14:paraId="6F93F3C9" w14:textId="77777777">
            <w:pPr>
              <w:spacing w:after="0" w:line="240" w:lineRule="auto"/>
              <w:jc w:val="center"/>
              <w:rPr>
                <w:rFonts w:ascii="Times New Roman" w:eastAsia="Times New Roman" w:hAnsi="Times New Roman" w:cs="Times New Roman"/>
                <w:color w:val="000000"/>
                <w:sz w:val="20"/>
                <w:szCs w:val="20"/>
                <w:lang w:eastAsia="lv-LV"/>
              </w:rPr>
            </w:pPr>
            <w:r w:rsidRPr="009A6719">
              <w:rPr>
                <w:rFonts w:ascii="Times New Roman" w:eastAsia="Times New Roman" w:hAnsi="Times New Roman" w:cs="Times New Roman"/>
                <w:color w:val="000000"/>
                <w:sz w:val="20"/>
                <w:szCs w:val="20"/>
                <w:lang w:eastAsia="lv-LV"/>
              </w:rPr>
              <w:t xml:space="preserve">110 </w:t>
            </w:r>
            <w:r w:rsidRPr="009A6719">
              <w:rPr>
                <w:rFonts w:ascii="Times New Roman" w:eastAsia="Times New Roman" w:hAnsi="Times New Roman" w:cs="Times New Roman"/>
                <w:color w:val="000000"/>
                <w:sz w:val="20"/>
                <w:szCs w:val="20"/>
                <w:lang w:eastAsia="lv-LV"/>
              </w:rPr>
              <w:t>kV</w:t>
            </w:r>
            <w:r w:rsidRPr="009A6719">
              <w:rPr>
                <w:rFonts w:ascii="Times New Roman" w:eastAsia="Times New Roman" w:hAnsi="Times New Roman" w:cs="Times New Roman"/>
                <w:color w:val="000000"/>
                <w:sz w:val="20"/>
                <w:szCs w:val="20"/>
                <w:lang w:eastAsia="lv-LV"/>
              </w:rPr>
              <w:t xml:space="preserve"> līnijas</w:t>
            </w:r>
          </w:p>
        </w:tc>
        <w:tc>
          <w:tcPr>
            <w:tcW w:w="0" w:type="auto"/>
            <w:tcBorders>
              <w:top w:val="nil"/>
              <w:left w:val="nil"/>
              <w:bottom w:val="single" w:sz="4" w:space="0" w:color="auto"/>
              <w:right w:val="single" w:sz="4" w:space="0" w:color="auto"/>
            </w:tcBorders>
            <w:shd w:val="clear" w:color="auto" w:fill="auto"/>
            <w:vAlign w:val="center"/>
            <w:hideMark/>
          </w:tcPr>
          <w:p w:rsidR="009A6719" w:rsidRPr="009A6719" w:rsidP="009A6719" w14:paraId="19FC6061" w14:textId="77777777">
            <w:pPr>
              <w:spacing w:after="0" w:line="240" w:lineRule="auto"/>
              <w:jc w:val="center"/>
              <w:rPr>
                <w:rFonts w:ascii="Times New Roman" w:eastAsia="Times New Roman" w:hAnsi="Times New Roman" w:cs="Times New Roman"/>
                <w:color w:val="000000"/>
                <w:sz w:val="20"/>
                <w:szCs w:val="20"/>
                <w:lang w:eastAsia="lv-LV"/>
              </w:rPr>
            </w:pPr>
            <w:r w:rsidRPr="009A6719">
              <w:rPr>
                <w:rFonts w:ascii="Times New Roman" w:eastAsia="Times New Roman" w:hAnsi="Times New Roman" w:cs="Times New Roman"/>
                <w:color w:val="000000"/>
                <w:sz w:val="20"/>
                <w:szCs w:val="20"/>
                <w:lang w:eastAsia="lv-LV"/>
              </w:rPr>
              <w:t xml:space="preserve">110 </w:t>
            </w:r>
            <w:r w:rsidRPr="009A6719">
              <w:rPr>
                <w:rFonts w:ascii="Times New Roman" w:eastAsia="Times New Roman" w:hAnsi="Times New Roman" w:cs="Times New Roman"/>
                <w:color w:val="000000"/>
                <w:sz w:val="20"/>
                <w:szCs w:val="20"/>
                <w:lang w:eastAsia="lv-LV"/>
              </w:rPr>
              <w:t>kV</w:t>
            </w:r>
            <w:r w:rsidRPr="009A6719">
              <w:rPr>
                <w:rFonts w:ascii="Times New Roman" w:eastAsia="Times New Roman" w:hAnsi="Times New Roman" w:cs="Times New Roman"/>
                <w:color w:val="000000"/>
                <w:sz w:val="20"/>
                <w:szCs w:val="20"/>
                <w:lang w:eastAsia="lv-LV"/>
              </w:rPr>
              <w:t xml:space="preserve"> kopnes</w:t>
            </w:r>
          </w:p>
        </w:tc>
        <w:tc>
          <w:tcPr>
            <w:tcW w:w="0" w:type="auto"/>
            <w:tcBorders>
              <w:top w:val="nil"/>
              <w:left w:val="nil"/>
              <w:bottom w:val="single" w:sz="4" w:space="0" w:color="auto"/>
              <w:right w:val="single" w:sz="4" w:space="0" w:color="auto"/>
            </w:tcBorders>
            <w:shd w:val="clear" w:color="auto" w:fill="auto"/>
            <w:vAlign w:val="center"/>
            <w:hideMark/>
          </w:tcPr>
          <w:p w:rsidR="009A6719" w:rsidRPr="009A6719" w:rsidP="009A6719" w14:paraId="020A348C" w14:textId="77777777">
            <w:pPr>
              <w:spacing w:after="0" w:line="240" w:lineRule="auto"/>
              <w:jc w:val="center"/>
              <w:rPr>
                <w:rFonts w:ascii="Times New Roman" w:eastAsia="Times New Roman" w:hAnsi="Times New Roman" w:cs="Times New Roman"/>
                <w:color w:val="000000"/>
                <w:sz w:val="20"/>
                <w:szCs w:val="20"/>
                <w:lang w:eastAsia="lv-LV"/>
              </w:rPr>
            </w:pPr>
            <w:r w:rsidRPr="009A6719">
              <w:rPr>
                <w:rFonts w:ascii="Times New Roman" w:eastAsia="Times New Roman" w:hAnsi="Times New Roman" w:cs="Times New Roman"/>
                <w:color w:val="000000"/>
                <w:sz w:val="20"/>
                <w:szCs w:val="20"/>
                <w:lang w:eastAsia="lv-LV"/>
              </w:rPr>
              <w:t xml:space="preserve">110/6-20 </w:t>
            </w:r>
            <w:r w:rsidRPr="009A6719">
              <w:rPr>
                <w:rFonts w:ascii="Times New Roman" w:eastAsia="Times New Roman" w:hAnsi="Times New Roman" w:cs="Times New Roman"/>
                <w:color w:val="000000"/>
                <w:sz w:val="20"/>
                <w:szCs w:val="20"/>
                <w:lang w:eastAsia="lv-LV"/>
              </w:rPr>
              <w:t>kV</w:t>
            </w:r>
            <w:r w:rsidRPr="009A6719">
              <w:rPr>
                <w:rFonts w:ascii="Times New Roman" w:eastAsia="Times New Roman" w:hAnsi="Times New Roman" w:cs="Times New Roman"/>
                <w:color w:val="000000"/>
                <w:sz w:val="20"/>
                <w:szCs w:val="20"/>
                <w:lang w:eastAsia="lv-LV"/>
              </w:rPr>
              <w:t xml:space="preserve"> </w:t>
            </w:r>
            <w:r w:rsidRPr="009A6719">
              <w:rPr>
                <w:rFonts w:ascii="Times New Roman" w:eastAsia="Times New Roman" w:hAnsi="Times New Roman" w:cs="Times New Roman"/>
                <w:color w:val="000000"/>
                <w:sz w:val="20"/>
                <w:szCs w:val="20"/>
                <w:lang w:eastAsia="lv-LV"/>
              </w:rPr>
              <w:t>tranformatora</w:t>
            </w:r>
            <w:r w:rsidRPr="009A6719">
              <w:rPr>
                <w:rFonts w:ascii="Times New Roman" w:eastAsia="Times New Roman" w:hAnsi="Times New Roman" w:cs="Times New Roman"/>
                <w:color w:val="000000"/>
                <w:sz w:val="20"/>
                <w:szCs w:val="20"/>
                <w:lang w:eastAsia="lv-LV"/>
              </w:rPr>
              <w:t xml:space="preserve"> 6-20 </w:t>
            </w:r>
            <w:r w:rsidRPr="009A6719">
              <w:rPr>
                <w:rFonts w:ascii="Times New Roman" w:eastAsia="Times New Roman" w:hAnsi="Times New Roman" w:cs="Times New Roman"/>
                <w:color w:val="000000"/>
                <w:sz w:val="20"/>
                <w:szCs w:val="20"/>
                <w:lang w:eastAsia="lv-LV"/>
              </w:rPr>
              <w:t>kV</w:t>
            </w:r>
            <w:r w:rsidRPr="009A6719">
              <w:rPr>
                <w:rFonts w:ascii="Times New Roman" w:eastAsia="Times New Roman" w:hAnsi="Times New Roman" w:cs="Times New Roman"/>
                <w:color w:val="000000"/>
                <w:sz w:val="20"/>
                <w:szCs w:val="20"/>
                <w:lang w:eastAsia="lv-LV"/>
              </w:rPr>
              <w:t xml:space="preserve"> puse</w:t>
            </w:r>
          </w:p>
        </w:tc>
        <w:tc>
          <w:tcPr>
            <w:tcW w:w="0" w:type="auto"/>
            <w:tcBorders>
              <w:top w:val="nil"/>
              <w:left w:val="nil"/>
              <w:bottom w:val="single" w:sz="4" w:space="0" w:color="auto"/>
              <w:right w:val="single" w:sz="4" w:space="0" w:color="auto"/>
            </w:tcBorders>
            <w:shd w:val="clear" w:color="auto" w:fill="auto"/>
            <w:vAlign w:val="center"/>
            <w:hideMark/>
          </w:tcPr>
          <w:p w:rsidR="009A6719" w:rsidRPr="009A6719" w:rsidP="009A6719" w14:paraId="5C8E8106" w14:textId="77777777">
            <w:pPr>
              <w:spacing w:after="0" w:line="240" w:lineRule="auto"/>
              <w:jc w:val="center"/>
              <w:rPr>
                <w:rFonts w:ascii="Times New Roman" w:eastAsia="Times New Roman" w:hAnsi="Times New Roman" w:cs="Times New Roman"/>
                <w:color w:val="000000"/>
                <w:sz w:val="20"/>
                <w:szCs w:val="20"/>
                <w:lang w:eastAsia="lv-LV"/>
              </w:rPr>
            </w:pPr>
            <w:r w:rsidRPr="009A6719">
              <w:rPr>
                <w:rFonts w:ascii="Times New Roman" w:eastAsia="Times New Roman" w:hAnsi="Times New Roman" w:cs="Times New Roman"/>
                <w:color w:val="000000"/>
                <w:sz w:val="20"/>
                <w:szCs w:val="20"/>
                <w:lang w:eastAsia="lv-LV"/>
              </w:rPr>
              <w:t xml:space="preserve">110 </w:t>
            </w:r>
            <w:r w:rsidRPr="009A6719">
              <w:rPr>
                <w:rFonts w:ascii="Times New Roman" w:eastAsia="Times New Roman" w:hAnsi="Times New Roman" w:cs="Times New Roman"/>
                <w:color w:val="000000"/>
                <w:sz w:val="20"/>
                <w:szCs w:val="20"/>
                <w:lang w:eastAsia="lv-LV"/>
              </w:rPr>
              <w:t>kV</w:t>
            </w:r>
            <w:r w:rsidRPr="009A6719">
              <w:rPr>
                <w:rFonts w:ascii="Times New Roman" w:eastAsia="Times New Roman" w:hAnsi="Times New Roman" w:cs="Times New Roman"/>
                <w:color w:val="000000"/>
                <w:sz w:val="20"/>
                <w:szCs w:val="20"/>
                <w:lang w:eastAsia="lv-LV"/>
              </w:rPr>
              <w:t xml:space="preserve"> līnijas</w:t>
            </w:r>
          </w:p>
        </w:tc>
        <w:tc>
          <w:tcPr>
            <w:tcW w:w="0" w:type="auto"/>
            <w:tcBorders>
              <w:top w:val="nil"/>
              <w:left w:val="nil"/>
              <w:bottom w:val="single" w:sz="4" w:space="0" w:color="auto"/>
              <w:right w:val="single" w:sz="4" w:space="0" w:color="auto"/>
            </w:tcBorders>
            <w:shd w:val="clear" w:color="auto" w:fill="auto"/>
            <w:vAlign w:val="center"/>
            <w:hideMark/>
          </w:tcPr>
          <w:p w:rsidR="009A6719" w:rsidRPr="009A6719" w:rsidP="009A6719" w14:paraId="61F8BCCA" w14:textId="77777777">
            <w:pPr>
              <w:spacing w:after="0" w:line="240" w:lineRule="auto"/>
              <w:jc w:val="center"/>
              <w:rPr>
                <w:rFonts w:ascii="Times New Roman" w:eastAsia="Times New Roman" w:hAnsi="Times New Roman" w:cs="Times New Roman"/>
                <w:color w:val="000000"/>
                <w:sz w:val="20"/>
                <w:szCs w:val="20"/>
                <w:lang w:eastAsia="lv-LV"/>
              </w:rPr>
            </w:pPr>
            <w:r w:rsidRPr="009A6719">
              <w:rPr>
                <w:rFonts w:ascii="Times New Roman" w:eastAsia="Times New Roman" w:hAnsi="Times New Roman" w:cs="Times New Roman"/>
                <w:color w:val="000000"/>
                <w:sz w:val="20"/>
                <w:szCs w:val="20"/>
                <w:lang w:eastAsia="lv-LV"/>
              </w:rPr>
              <w:t xml:space="preserve">110 </w:t>
            </w:r>
            <w:r w:rsidRPr="009A6719">
              <w:rPr>
                <w:rFonts w:ascii="Times New Roman" w:eastAsia="Times New Roman" w:hAnsi="Times New Roman" w:cs="Times New Roman"/>
                <w:color w:val="000000"/>
                <w:sz w:val="20"/>
                <w:szCs w:val="20"/>
                <w:lang w:eastAsia="lv-LV"/>
              </w:rPr>
              <w:t>kV</w:t>
            </w:r>
            <w:r w:rsidRPr="009A6719">
              <w:rPr>
                <w:rFonts w:ascii="Times New Roman" w:eastAsia="Times New Roman" w:hAnsi="Times New Roman" w:cs="Times New Roman"/>
                <w:color w:val="000000"/>
                <w:sz w:val="20"/>
                <w:szCs w:val="20"/>
                <w:lang w:eastAsia="lv-LV"/>
              </w:rPr>
              <w:t xml:space="preserve"> kopnes</w:t>
            </w:r>
          </w:p>
        </w:tc>
        <w:tc>
          <w:tcPr>
            <w:tcW w:w="0" w:type="auto"/>
            <w:tcBorders>
              <w:top w:val="nil"/>
              <w:left w:val="nil"/>
              <w:bottom w:val="single" w:sz="4" w:space="0" w:color="auto"/>
              <w:right w:val="single" w:sz="4" w:space="0" w:color="auto"/>
            </w:tcBorders>
            <w:shd w:val="clear" w:color="auto" w:fill="auto"/>
            <w:vAlign w:val="center"/>
            <w:hideMark/>
          </w:tcPr>
          <w:p w:rsidR="009A6719" w:rsidRPr="009A6719" w:rsidP="009A6719" w14:paraId="1E6F7AA9" w14:textId="77777777">
            <w:pPr>
              <w:spacing w:after="0" w:line="240" w:lineRule="auto"/>
              <w:jc w:val="center"/>
              <w:rPr>
                <w:rFonts w:ascii="Times New Roman" w:eastAsia="Times New Roman" w:hAnsi="Times New Roman" w:cs="Times New Roman"/>
                <w:color w:val="000000"/>
                <w:sz w:val="20"/>
                <w:szCs w:val="20"/>
                <w:lang w:eastAsia="lv-LV"/>
              </w:rPr>
            </w:pPr>
            <w:r w:rsidRPr="009A6719">
              <w:rPr>
                <w:rFonts w:ascii="Times New Roman" w:eastAsia="Times New Roman" w:hAnsi="Times New Roman" w:cs="Times New Roman"/>
                <w:color w:val="000000"/>
                <w:sz w:val="20"/>
                <w:szCs w:val="20"/>
                <w:lang w:eastAsia="lv-LV"/>
              </w:rPr>
              <w:t xml:space="preserve">110/6-20 </w:t>
            </w:r>
            <w:r w:rsidRPr="009A6719">
              <w:rPr>
                <w:rFonts w:ascii="Times New Roman" w:eastAsia="Times New Roman" w:hAnsi="Times New Roman" w:cs="Times New Roman"/>
                <w:color w:val="000000"/>
                <w:sz w:val="20"/>
                <w:szCs w:val="20"/>
                <w:lang w:eastAsia="lv-LV"/>
              </w:rPr>
              <w:t>kV</w:t>
            </w:r>
            <w:r w:rsidRPr="009A6719">
              <w:rPr>
                <w:rFonts w:ascii="Times New Roman" w:eastAsia="Times New Roman" w:hAnsi="Times New Roman" w:cs="Times New Roman"/>
                <w:color w:val="000000"/>
                <w:sz w:val="20"/>
                <w:szCs w:val="20"/>
                <w:lang w:eastAsia="lv-LV"/>
              </w:rPr>
              <w:t xml:space="preserve"> </w:t>
            </w:r>
            <w:r w:rsidRPr="009A6719">
              <w:rPr>
                <w:rFonts w:ascii="Times New Roman" w:eastAsia="Times New Roman" w:hAnsi="Times New Roman" w:cs="Times New Roman"/>
                <w:color w:val="000000"/>
                <w:sz w:val="20"/>
                <w:szCs w:val="20"/>
                <w:lang w:eastAsia="lv-LV"/>
              </w:rPr>
              <w:t>tranformatora</w:t>
            </w:r>
            <w:r w:rsidRPr="009A6719">
              <w:rPr>
                <w:rFonts w:ascii="Times New Roman" w:eastAsia="Times New Roman" w:hAnsi="Times New Roman" w:cs="Times New Roman"/>
                <w:color w:val="000000"/>
                <w:sz w:val="20"/>
                <w:szCs w:val="20"/>
                <w:lang w:eastAsia="lv-LV"/>
              </w:rPr>
              <w:t xml:space="preserve"> 6-20 </w:t>
            </w:r>
            <w:r w:rsidRPr="009A6719">
              <w:rPr>
                <w:rFonts w:ascii="Times New Roman" w:eastAsia="Times New Roman" w:hAnsi="Times New Roman" w:cs="Times New Roman"/>
                <w:color w:val="000000"/>
                <w:sz w:val="20"/>
                <w:szCs w:val="20"/>
                <w:lang w:eastAsia="lv-LV"/>
              </w:rPr>
              <w:t>kV</w:t>
            </w:r>
            <w:r w:rsidRPr="009A6719">
              <w:rPr>
                <w:rFonts w:ascii="Times New Roman" w:eastAsia="Times New Roman" w:hAnsi="Times New Roman" w:cs="Times New Roman"/>
                <w:color w:val="000000"/>
                <w:sz w:val="20"/>
                <w:szCs w:val="20"/>
                <w:lang w:eastAsia="lv-LV"/>
              </w:rPr>
              <w:t xml:space="preserve"> puse</w:t>
            </w:r>
          </w:p>
        </w:tc>
      </w:tr>
      <w:tr w14:paraId="32877B56" w14:textId="77777777" w:rsidTr="009A6719">
        <w:tblPrEx>
          <w:tblW w:w="0" w:type="auto"/>
          <w:tblInd w:w="-5" w:type="dxa"/>
          <w:tblLook w:val="04A0"/>
        </w:tblPrEx>
        <w:trPr>
          <w:trHeight w:val="4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A6719" w:rsidRPr="009A6719" w:rsidP="009A6719" w14:paraId="56A9071A" w14:textId="77777777">
            <w:pPr>
              <w:spacing w:after="0" w:line="240" w:lineRule="auto"/>
              <w:rPr>
                <w:rFonts w:ascii="Times New Roman" w:eastAsia="Times New Roman" w:hAnsi="Times New Roman" w:cs="Times New Roman"/>
                <w:color w:val="000000"/>
                <w:lang w:eastAsia="lv-LV"/>
              </w:rPr>
            </w:pPr>
            <w:r w:rsidRPr="009A6719">
              <w:rPr>
                <w:rFonts w:ascii="Times New Roman" w:eastAsia="Times New Roman" w:hAnsi="Times New Roman" w:cs="Times New Roman"/>
                <w:color w:val="000000"/>
                <w:lang w:eastAsia="lv-LV"/>
              </w:rPr>
              <w:t xml:space="preserve">Pārvadītais apjoms LV, </w:t>
            </w:r>
            <w:r w:rsidRPr="009A6719">
              <w:rPr>
                <w:rFonts w:ascii="Times New Roman" w:eastAsia="Times New Roman" w:hAnsi="Times New Roman" w:cs="Times New Roman"/>
                <w:color w:val="000000"/>
                <w:lang w:eastAsia="lv-LV"/>
              </w:rPr>
              <w:t>GWh</w:t>
            </w:r>
            <w:r w:rsidRPr="009A6719">
              <w:rPr>
                <w:rFonts w:ascii="Times New Roman" w:eastAsia="Times New Roman" w:hAnsi="Times New Roman" w:cs="Times New Roman"/>
                <w:color w:val="000000"/>
                <w:lang w:eastAsia="lv-LV"/>
              </w:rPr>
              <w:t>/gadā</w:t>
            </w:r>
          </w:p>
        </w:tc>
        <w:tc>
          <w:tcPr>
            <w:tcW w:w="0" w:type="auto"/>
            <w:tcBorders>
              <w:top w:val="nil"/>
              <w:left w:val="nil"/>
              <w:bottom w:val="single" w:sz="4" w:space="0" w:color="auto"/>
              <w:right w:val="single" w:sz="4" w:space="0" w:color="auto"/>
            </w:tcBorders>
            <w:shd w:val="clear" w:color="auto" w:fill="auto"/>
            <w:noWrap/>
            <w:vAlign w:val="center"/>
            <w:hideMark/>
          </w:tcPr>
          <w:p w:rsidR="009A6719" w:rsidRPr="009A6719" w:rsidP="009A6719" w14:paraId="2D82657C" w14:textId="77777777">
            <w:pPr>
              <w:spacing w:after="0" w:line="240" w:lineRule="auto"/>
              <w:jc w:val="center"/>
              <w:rPr>
                <w:rFonts w:ascii="Times New Roman" w:eastAsia="Times New Roman" w:hAnsi="Times New Roman" w:cs="Times New Roman"/>
                <w:color w:val="000000"/>
                <w:lang w:eastAsia="lv-LV"/>
              </w:rPr>
            </w:pPr>
            <w:r w:rsidRPr="009A6719">
              <w:rPr>
                <w:rFonts w:ascii="Times New Roman" w:eastAsia="Times New Roman" w:hAnsi="Times New Roman" w:cs="Times New Roman"/>
                <w:color w:val="000000"/>
                <w:lang w:eastAsia="lv-LV"/>
              </w:rPr>
              <w:t>54,9</w:t>
            </w:r>
          </w:p>
        </w:tc>
        <w:tc>
          <w:tcPr>
            <w:tcW w:w="0" w:type="auto"/>
            <w:tcBorders>
              <w:top w:val="nil"/>
              <w:left w:val="nil"/>
              <w:bottom w:val="single" w:sz="4" w:space="0" w:color="auto"/>
              <w:right w:val="single" w:sz="4" w:space="0" w:color="auto"/>
            </w:tcBorders>
            <w:shd w:val="clear" w:color="auto" w:fill="auto"/>
            <w:vAlign w:val="center"/>
            <w:hideMark/>
          </w:tcPr>
          <w:p w:rsidR="009A6719" w:rsidRPr="009A6719" w:rsidP="009A6719" w14:paraId="7E7C153E" w14:textId="77777777">
            <w:pPr>
              <w:spacing w:after="0" w:line="240" w:lineRule="auto"/>
              <w:jc w:val="center"/>
              <w:rPr>
                <w:rFonts w:ascii="Times New Roman" w:eastAsia="Times New Roman" w:hAnsi="Times New Roman" w:cs="Times New Roman"/>
                <w:color w:val="000000"/>
                <w:lang w:eastAsia="lv-LV"/>
              </w:rPr>
            </w:pPr>
            <w:r w:rsidRPr="009A6719">
              <w:rPr>
                <w:rFonts w:ascii="Times New Roman" w:eastAsia="Times New Roman" w:hAnsi="Times New Roman" w:cs="Times New Roman"/>
                <w:color w:val="000000"/>
                <w:lang w:eastAsia="lv-LV"/>
              </w:rPr>
              <w:t>226,8</w:t>
            </w:r>
          </w:p>
        </w:tc>
        <w:tc>
          <w:tcPr>
            <w:tcW w:w="0" w:type="auto"/>
            <w:tcBorders>
              <w:top w:val="nil"/>
              <w:left w:val="nil"/>
              <w:bottom w:val="single" w:sz="4" w:space="0" w:color="auto"/>
              <w:right w:val="single" w:sz="4" w:space="0" w:color="auto"/>
            </w:tcBorders>
            <w:shd w:val="clear" w:color="auto" w:fill="auto"/>
            <w:vAlign w:val="center"/>
            <w:hideMark/>
          </w:tcPr>
          <w:p w:rsidR="009A6719" w:rsidRPr="009A6719" w:rsidP="009A6719" w14:paraId="7947EB7F" w14:textId="77777777">
            <w:pPr>
              <w:spacing w:after="0" w:line="240" w:lineRule="auto"/>
              <w:jc w:val="center"/>
              <w:rPr>
                <w:rFonts w:ascii="Times New Roman" w:eastAsia="Times New Roman" w:hAnsi="Times New Roman" w:cs="Times New Roman"/>
                <w:color w:val="000000"/>
                <w:lang w:eastAsia="lv-LV"/>
              </w:rPr>
            </w:pPr>
            <w:r w:rsidRPr="009A6719">
              <w:rPr>
                <w:rFonts w:ascii="Times New Roman" w:eastAsia="Times New Roman" w:hAnsi="Times New Roman" w:cs="Times New Roman"/>
                <w:color w:val="000000"/>
                <w:lang w:eastAsia="lv-LV"/>
              </w:rPr>
              <w:t>5524,9</w:t>
            </w:r>
          </w:p>
        </w:tc>
        <w:tc>
          <w:tcPr>
            <w:tcW w:w="0" w:type="auto"/>
            <w:tcBorders>
              <w:top w:val="nil"/>
              <w:left w:val="nil"/>
              <w:bottom w:val="single" w:sz="4" w:space="0" w:color="auto"/>
              <w:right w:val="single" w:sz="4" w:space="0" w:color="auto"/>
            </w:tcBorders>
            <w:shd w:val="clear" w:color="auto" w:fill="auto"/>
            <w:noWrap/>
            <w:vAlign w:val="center"/>
            <w:hideMark/>
          </w:tcPr>
          <w:p w:rsidR="009A6719" w:rsidRPr="009A6719" w:rsidP="009A6719" w14:paraId="572270A1" w14:textId="77777777">
            <w:pPr>
              <w:spacing w:after="0" w:line="240" w:lineRule="auto"/>
              <w:jc w:val="center"/>
              <w:rPr>
                <w:rFonts w:ascii="Times New Roman" w:eastAsia="Times New Roman" w:hAnsi="Times New Roman" w:cs="Times New Roman"/>
                <w:color w:val="000000"/>
                <w:lang w:eastAsia="lv-LV"/>
              </w:rPr>
            </w:pPr>
            <w:r w:rsidRPr="009A6719">
              <w:rPr>
                <w:rFonts w:ascii="Times New Roman" w:eastAsia="Times New Roman" w:hAnsi="Times New Roman" w:cs="Times New Roman"/>
                <w:color w:val="000000"/>
                <w:lang w:eastAsia="lv-LV"/>
              </w:rPr>
              <w:t>54,9</w:t>
            </w:r>
          </w:p>
        </w:tc>
        <w:tc>
          <w:tcPr>
            <w:tcW w:w="0" w:type="auto"/>
            <w:tcBorders>
              <w:top w:val="nil"/>
              <w:left w:val="nil"/>
              <w:bottom w:val="single" w:sz="4" w:space="0" w:color="auto"/>
              <w:right w:val="single" w:sz="4" w:space="0" w:color="auto"/>
            </w:tcBorders>
            <w:shd w:val="clear" w:color="auto" w:fill="auto"/>
            <w:vAlign w:val="center"/>
            <w:hideMark/>
          </w:tcPr>
          <w:p w:rsidR="009A6719" w:rsidRPr="009A6719" w:rsidP="009A6719" w14:paraId="5F47B650" w14:textId="77777777">
            <w:pPr>
              <w:spacing w:after="0" w:line="240" w:lineRule="auto"/>
              <w:jc w:val="center"/>
              <w:rPr>
                <w:rFonts w:ascii="Times New Roman" w:eastAsia="Times New Roman" w:hAnsi="Times New Roman" w:cs="Times New Roman"/>
                <w:color w:val="000000"/>
                <w:lang w:eastAsia="lv-LV"/>
              </w:rPr>
            </w:pPr>
            <w:r w:rsidRPr="009A6719">
              <w:rPr>
                <w:rFonts w:ascii="Times New Roman" w:eastAsia="Times New Roman" w:hAnsi="Times New Roman" w:cs="Times New Roman"/>
                <w:color w:val="000000"/>
                <w:lang w:eastAsia="lv-LV"/>
              </w:rPr>
              <w:t>226,8</w:t>
            </w:r>
          </w:p>
        </w:tc>
        <w:tc>
          <w:tcPr>
            <w:tcW w:w="0" w:type="auto"/>
            <w:tcBorders>
              <w:top w:val="nil"/>
              <w:left w:val="nil"/>
              <w:bottom w:val="single" w:sz="4" w:space="0" w:color="auto"/>
              <w:right w:val="single" w:sz="4" w:space="0" w:color="auto"/>
            </w:tcBorders>
            <w:shd w:val="clear" w:color="auto" w:fill="auto"/>
            <w:vAlign w:val="center"/>
            <w:hideMark/>
          </w:tcPr>
          <w:p w:rsidR="009A6719" w:rsidRPr="009A6719" w:rsidP="009A6719" w14:paraId="5D2A157E" w14:textId="77777777">
            <w:pPr>
              <w:spacing w:after="0" w:line="240" w:lineRule="auto"/>
              <w:jc w:val="center"/>
              <w:rPr>
                <w:rFonts w:ascii="Times New Roman" w:eastAsia="Times New Roman" w:hAnsi="Times New Roman" w:cs="Times New Roman"/>
                <w:color w:val="000000"/>
                <w:lang w:eastAsia="lv-LV"/>
              </w:rPr>
            </w:pPr>
            <w:r w:rsidRPr="009A6719">
              <w:rPr>
                <w:rFonts w:ascii="Times New Roman" w:eastAsia="Times New Roman" w:hAnsi="Times New Roman" w:cs="Times New Roman"/>
                <w:color w:val="000000"/>
                <w:lang w:eastAsia="lv-LV"/>
              </w:rPr>
              <w:t>5524,9</w:t>
            </w:r>
          </w:p>
        </w:tc>
      </w:tr>
      <w:tr w14:paraId="25AD846D" w14:textId="77777777" w:rsidTr="009A6719">
        <w:tblPrEx>
          <w:tblW w:w="0" w:type="auto"/>
          <w:tblInd w:w="-5" w:type="dxa"/>
          <w:tblLook w:val="04A0"/>
        </w:tblPrEx>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A6719" w:rsidRPr="009A6719" w:rsidP="009A6719" w14:paraId="12934FB0" w14:textId="77777777">
            <w:pPr>
              <w:spacing w:after="0" w:line="240" w:lineRule="auto"/>
              <w:rPr>
                <w:rFonts w:ascii="Times New Roman" w:eastAsia="Times New Roman" w:hAnsi="Times New Roman" w:cs="Times New Roman"/>
                <w:color w:val="000000"/>
                <w:lang w:eastAsia="lv-LV"/>
              </w:rPr>
            </w:pPr>
            <w:r w:rsidRPr="009A6719">
              <w:rPr>
                <w:rFonts w:ascii="Times New Roman" w:eastAsia="Times New Roman" w:hAnsi="Times New Roman" w:cs="Times New Roman"/>
                <w:color w:val="000000"/>
                <w:lang w:eastAsia="lv-LV"/>
              </w:rPr>
              <w:t>Pārvadītais apjoms % no kopējās patēriņā</w:t>
            </w:r>
          </w:p>
        </w:tc>
        <w:tc>
          <w:tcPr>
            <w:tcW w:w="0" w:type="auto"/>
            <w:tcBorders>
              <w:top w:val="nil"/>
              <w:left w:val="nil"/>
              <w:bottom w:val="single" w:sz="4" w:space="0" w:color="auto"/>
              <w:right w:val="single" w:sz="4" w:space="0" w:color="auto"/>
            </w:tcBorders>
            <w:shd w:val="clear" w:color="auto" w:fill="auto"/>
            <w:noWrap/>
            <w:vAlign w:val="center"/>
            <w:hideMark/>
          </w:tcPr>
          <w:p w:rsidR="009A6719" w:rsidRPr="009A6719" w:rsidP="009A6719" w14:paraId="3864C451" w14:textId="77777777">
            <w:pPr>
              <w:spacing w:after="0" w:line="240" w:lineRule="auto"/>
              <w:jc w:val="center"/>
              <w:rPr>
                <w:rFonts w:ascii="Times New Roman" w:eastAsia="Times New Roman" w:hAnsi="Times New Roman" w:cs="Times New Roman"/>
                <w:color w:val="000000"/>
                <w:lang w:eastAsia="lv-LV"/>
              </w:rPr>
            </w:pPr>
            <w:r w:rsidRPr="009A6719">
              <w:rPr>
                <w:rFonts w:ascii="Times New Roman" w:eastAsia="Times New Roman" w:hAnsi="Times New Roman" w:cs="Times New Roman"/>
                <w:color w:val="000000"/>
                <w:lang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rsidR="009A6719" w:rsidRPr="009A6719" w:rsidP="009A6719" w14:paraId="0CCC25CE" w14:textId="77777777">
            <w:pPr>
              <w:spacing w:after="0" w:line="240" w:lineRule="auto"/>
              <w:jc w:val="center"/>
              <w:rPr>
                <w:rFonts w:ascii="Times New Roman" w:eastAsia="Times New Roman" w:hAnsi="Times New Roman" w:cs="Times New Roman"/>
                <w:color w:val="000000"/>
                <w:lang w:eastAsia="lv-LV"/>
              </w:rPr>
            </w:pPr>
            <w:r w:rsidRPr="009A6719">
              <w:rPr>
                <w:rFonts w:ascii="Times New Roman" w:eastAsia="Times New Roman" w:hAnsi="Times New Roman" w:cs="Times New Roman"/>
                <w:color w:val="000000"/>
                <w:lang w:eastAsia="lv-LV"/>
              </w:rPr>
              <w:t>4%</w:t>
            </w:r>
          </w:p>
        </w:tc>
        <w:tc>
          <w:tcPr>
            <w:tcW w:w="0" w:type="auto"/>
            <w:tcBorders>
              <w:top w:val="nil"/>
              <w:left w:val="nil"/>
              <w:bottom w:val="single" w:sz="4" w:space="0" w:color="auto"/>
              <w:right w:val="single" w:sz="4" w:space="0" w:color="auto"/>
            </w:tcBorders>
            <w:shd w:val="clear" w:color="auto" w:fill="auto"/>
            <w:noWrap/>
            <w:vAlign w:val="center"/>
            <w:hideMark/>
          </w:tcPr>
          <w:p w:rsidR="009A6719" w:rsidRPr="009A6719" w:rsidP="009A6719" w14:paraId="0ED3032A" w14:textId="77777777">
            <w:pPr>
              <w:spacing w:after="0" w:line="240" w:lineRule="auto"/>
              <w:jc w:val="center"/>
              <w:rPr>
                <w:rFonts w:ascii="Times New Roman" w:eastAsia="Times New Roman" w:hAnsi="Times New Roman" w:cs="Times New Roman"/>
                <w:color w:val="000000"/>
                <w:lang w:eastAsia="lv-LV"/>
              </w:rPr>
            </w:pPr>
            <w:r w:rsidRPr="009A6719">
              <w:rPr>
                <w:rFonts w:ascii="Times New Roman" w:eastAsia="Times New Roman" w:hAnsi="Times New Roman" w:cs="Times New Roman"/>
                <w:color w:val="000000"/>
                <w:lang w:eastAsia="lv-LV"/>
              </w:rPr>
              <w:t>95%</w:t>
            </w:r>
          </w:p>
        </w:tc>
        <w:tc>
          <w:tcPr>
            <w:tcW w:w="0" w:type="auto"/>
            <w:tcBorders>
              <w:top w:val="nil"/>
              <w:left w:val="nil"/>
              <w:bottom w:val="single" w:sz="4" w:space="0" w:color="auto"/>
              <w:right w:val="single" w:sz="4" w:space="0" w:color="auto"/>
            </w:tcBorders>
            <w:shd w:val="clear" w:color="auto" w:fill="auto"/>
            <w:noWrap/>
            <w:vAlign w:val="center"/>
            <w:hideMark/>
          </w:tcPr>
          <w:p w:rsidR="009A6719" w:rsidRPr="009A6719" w:rsidP="009A6719" w14:paraId="502D25FE" w14:textId="77777777">
            <w:pPr>
              <w:spacing w:after="0" w:line="240" w:lineRule="auto"/>
              <w:jc w:val="center"/>
              <w:rPr>
                <w:rFonts w:ascii="Times New Roman" w:eastAsia="Times New Roman" w:hAnsi="Times New Roman" w:cs="Times New Roman"/>
                <w:color w:val="000000"/>
                <w:lang w:eastAsia="lv-LV"/>
              </w:rPr>
            </w:pPr>
            <w:r w:rsidRPr="009A6719">
              <w:rPr>
                <w:rFonts w:ascii="Times New Roman" w:eastAsia="Times New Roman" w:hAnsi="Times New Roman" w:cs="Times New Roman"/>
                <w:color w:val="000000"/>
                <w:lang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rsidR="009A6719" w:rsidRPr="009A6719" w:rsidP="009A6719" w14:paraId="6F1762E7" w14:textId="77777777">
            <w:pPr>
              <w:spacing w:after="0" w:line="240" w:lineRule="auto"/>
              <w:jc w:val="center"/>
              <w:rPr>
                <w:rFonts w:ascii="Times New Roman" w:eastAsia="Times New Roman" w:hAnsi="Times New Roman" w:cs="Times New Roman"/>
                <w:color w:val="000000"/>
                <w:lang w:eastAsia="lv-LV"/>
              </w:rPr>
            </w:pPr>
            <w:r w:rsidRPr="009A6719">
              <w:rPr>
                <w:rFonts w:ascii="Times New Roman" w:eastAsia="Times New Roman" w:hAnsi="Times New Roman" w:cs="Times New Roman"/>
                <w:color w:val="000000"/>
                <w:lang w:eastAsia="lv-LV"/>
              </w:rPr>
              <w:t>4%</w:t>
            </w:r>
          </w:p>
        </w:tc>
        <w:tc>
          <w:tcPr>
            <w:tcW w:w="0" w:type="auto"/>
            <w:tcBorders>
              <w:top w:val="nil"/>
              <w:left w:val="nil"/>
              <w:bottom w:val="single" w:sz="4" w:space="0" w:color="auto"/>
              <w:right w:val="single" w:sz="4" w:space="0" w:color="auto"/>
            </w:tcBorders>
            <w:shd w:val="clear" w:color="auto" w:fill="auto"/>
            <w:noWrap/>
            <w:vAlign w:val="center"/>
            <w:hideMark/>
          </w:tcPr>
          <w:p w:rsidR="009A6719" w:rsidRPr="009A6719" w:rsidP="009A6719" w14:paraId="6F3A2BC1" w14:textId="77777777">
            <w:pPr>
              <w:spacing w:after="0" w:line="240" w:lineRule="auto"/>
              <w:jc w:val="center"/>
              <w:rPr>
                <w:rFonts w:ascii="Times New Roman" w:eastAsia="Times New Roman" w:hAnsi="Times New Roman" w:cs="Times New Roman"/>
                <w:color w:val="000000"/>
                <w:lang w:eastAsia="lv-LV"/>
              </w:rPr>
            </w:pPr>
            <w:r w:rsidRPr="009A6719">
              <w:rPr>
                <w:rFonts w:ascii="Times New Roman" w:eastAsia="Times New Roman" w:hAnsi="Times New Roman" w:cs="Times New Roman"/>
                <w:color w:val="000000"/>
                <w:lang w:eastAsia="lv-LV"/>
              </w:rPr>
              <w:t>95%</w:t>
            </w:r>
          </w:p>
        </w:tc>
      </w:tr>
      <w:tr w14:paraId="5FA5218E" w14:textId="77777777" w:rsidTr="009A6719">
        <w:tblPrEx>
          <w:tblW w:w="0" w:type="auto"/>
          <w:tblInd w:w="-5" w:type="dxa"/>
          <w:tblLook w:val="04A0"/>
        </w:tblPrEx>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A6719" w:rsidRPr="009A6719" w:rsidP="009A6719" w14:paraId="0CBE0013" w14:textId="77777777">
            <w:pPr>
              <w:spacing w:after="0" w:line="240" w:lineRule="auto"/>
              <w:rPr>
                <w:rFonts w:ascii="Times New Roman" w:eastAsia="Times New Roman" w:hAnsi="Times New Roman" w:cs="Times New Roman"/>
                <w:color w:val="000000"/>
                <w:lang w:eastAsia="lv-LV"/>
              </w:rPr>
            </w:pPr>
            <w:r w:rsidRPr="009A6719">
              <w:rPr>
                <w:rFonts w:ascii="Times New Roman" w:eastAsia="Times New Roman" w:hAnsi="Times New Roman" w:cs="Times New Roman"/>
                <w:color w:val="000000"/>
                <w:lang w:eastAsia="lv-LV"/>
              </w:rPr>
              <w:t>Attiecināmās izmaksas MEUR/gadā</w:t>
            </w:r>
          </w:p>
        </w:tc>
        <w:tc>
          <w:tcPr>
            <w:tcW w:w="0" w:type="auto"/>
            <w:tcBorders>
              <w:top w:val="nil"/>
              <w:left w:val="nil"/>
              <w:bottom w:val="single" w:sz="4" w:space="0" w:color="auto"/>
              <w:right w:val="single" w:sz="4" w:space="0" w:color="auto"/>
            </w:tcBorders>
            <w:shd w:val="clear" w:color="auto" w:fill="auto"/>
            <w:noWrap/>
            <w:vAlign w:val="center"/>
            <w:hideMark/>
          </w:tcPr>
          <w:p w:rsidR="009A6719" w:rsidRPr="009A6719" w:rsidP="009A6719" w14:paraId="70158E66" w14:textId="77777777">
            <w:pPr>
              <w:spacing w:after="0" w:line="240" w:lineRule="auto"/>
              <w:jc w:val="center"/>
              <w:rPr>
                <w:rFonts w:ascii="Times New Roman" w:eastAsia="Times New Roman" w:hAnsi="Times New Roman" w:cs="Times New Roman"/>
                <w:color w:val="000000"/>
                <w:lang w:eastAsia="lv-LV"/>
              </w:rPr>
            </w:pPr>
            <w:r w:rsidRPr="009A6719">
              <w:rPr>
                <w:rFonts w:ascii="Times New Roman" w:eastAsia="Times New Roman" w:hAnsi="Times New Roman" w:cs="Times New Roman"/>
                <w:color w:val="000000"/>
                <w:lang w:eastAsia="lv-LV"/>
              </w:rPr>
              <w:t>0,06</w:t>
            </w:r>
          </w:p>
        </w:tc>
        <w:tc>
          <w:tcPr>
            <w:tcW w:w="0" w:type="auto"/>
            <w:tcBorders>
              <w:top w:val="nil"/>
              <w:left w:val="nil"/>
              <w:bottom w:val="single" w:sz="4" w:space="0" w:color="auto"/>
              <w:right w:val="single" w:sz="4" w:space="0" w:color="auto"/>
            </w:tcBorders>
            <w:shd w:val="clear" w:color="auto" w:fill="auto"/>
            <w:noWrap/>
            <w:vAlign w:val="center"/>
            <w:hideMark/>
          </w:tcPr>
          <w:p w:rsidR="009A6719" w:rsidRPr="009A6719" w:rsidP="009A6719" w14:paraId="0604D36C" w14:textId="77777777">
            <w:pPr>
              <w:spacing w:after="0" w:line="240" w:lineRule="auto"/>
              <w:jc w:val="center"/>
              <w:rPr>
                <w:rFonts w:ascii="Times New Roman" w:eastAsia="Times New Roman" w:hAnsi="Times New Roman" w:cs="Times New Roman"/>
                <w:color w:val="000000"/>
                <w:lang w:eastAsia="lv-LV"/>
              </w:rPr>
            </w:pPr>
            <w:r w:rsidRPr="009A6719">
              <w:rPr>
                <w:rFonts w:ascii="Times New Roman" w:eastAsia="Times New Roman" w:hAnsi="Times New Roman" w:cs="Times New Roman"/>
                <w:color w:val="000000"/>
                <w:lang w:eastAsia="lv-LV"/>
              </w:rPr>
              <w:t>0,26</w:t>
            </w:r>
          </w:p>
        </w:tc>
        <w:tc>
          <w:tcPr>
            <w:tcW w:w="0" w:type="auto"/>
            <w:tcBorders>
              <w:top w:val="nil"/>
              <w:left w:val="nil"/>
              <w:bottom w:val="single" w:sz="4" w:space="0" w:color="auto"/>
              <w:right w:val="single" w:sz="4" w:space="0" w:color="auto"/>
            </w:tcBorders>
            <w:shd w:val="clear" w:color="auto" w:fill="auto"/>
            <w:noWrap/>
            <w:vAlign w:val="center"/>
            <w:hideMark/>
          </w:tcPr>
          <w:p w:rsidR="009A6719" w:rsidRPr="009A6719" w:rsidP="009A6719" w14:paraId="022F8D29" w14:textId="77777777">
            <w:pPr>
              <w:spacing w:after="0" w:line="240" w:lineRule="auto"/>
              <w:jc w:val="center"/>
              <w:rPr>
                <w:rFonts w:ascii="Times New Roman" w:eastAsia="Times New Roman" w:hAnsi="Times New Roman" w:cs="Times New Roman"/>
                <w:color w:val="000000"/>
                <w:lang w:eastAsia="lv-LV"/>
              </w:rPr>
            </w:pPr>
            <w:r w:rsidRPr="009A6719">
              <w:rPr>
                <w:rFonts w:ascii="Times New Roman" w:eastAsia="Times New Roman" w:hAnsi="Times New Roman" w:cs="Times New Roman"/>
                <w:color w:val="000000"/>
                <w:lang w:eastAsia="lv-LV"/>
              </w:rPr>
              <w:t>6,31</w:t>
            </w:r>
          </w:p>
        </w:tc>
        <w:tc>
          <w:tcPr>
            <w:tcW w:w="0" w:type="auto"/>
            <w:tcBorders>
              <w:top w:val="nil"/>
              <w:left w:val="nil"/>
              <w:bottom w:val="single" w:sz="4" w:space="0" w:color="auto"/>
              <w:right w:val="single" w:sz="4" w:space="0" w:color="auto"/>
            </w:tcBorders>
            <w:shd w:val="clear" w:color="auto" w:fill="auto"/>
            <w:noWrap/>
            <w:vAlign w:val="center"/>
            <w:hideMark/>
          </w:tcPr>
          <w:p w:rsidR="009A6719" w:rsidRPr="009A6719" w:rsidP="009A6719" w14:paraId="754716D6" w14:textId="77777777">
            <w:pPr>
              <w:spacing w:after="0" w:line="240" w:lineRule="auto"/>
              <w:jc w:val="center"/>
              <w:rPr>
                <w:rFonts w:ascii="Times New Roman" w:eastAsia="Times New Roman" w:hAnsi="Times New Roman" w:cs="Times New Roman"/>
                <w:color w:val="000000"/>
                <w:lang w:eastAsia="lv-LV"/>
              </w:rPr>
            </w:pPr>
            <w:r w:rsidRPr="009A6719">
              <w:rPr>
                <w:rFonts w:ascii="Times New Roman" w:eastAsia="Times New Roman" w:hAnsi="Times New Roman" w:cs="Times New Roman"/>
                <w:color w:val="000000"/>
                <w:lang w:eastAsia="lv-LV"/>
              </w:rPr>
              <w:t>0,03</w:t>
            </w:r>
          </w:p>
        </w:tc>
        <w:tc>
          <w:tcPr>
            <w:tcW w:w="0" w:type="auto"/>
            <w:tcBorders>
              <w:top w:val="nil"/>
              <w:left w:val="nil"/>
              <w:bottom w:val="single" w:sz="4" w:space="0" w:color="auto"/>
              <w:right w:val="single" w:sz="4" w:space="0" w:color="auto"/>
            </w:tcBorders>
            <w:shd w:val="clear" w:color="auto" w:fill="auto"/>
            <w:vAlign w:val="center"/>
            <w:hideMark/>
          </w:tcPr>
          <w:p w:rsidR="009A6719" w:rsidRPr="009A6719" w:rsidP="009A6719" w14:paraId="434411BF" w14:textId="77777777">
            <w:pPr>
              <w:spacing w:after="0" w:line="240" w:lineRule="auto"/>
              <w:jc w:val="center"/>
              <w:rPr>
                <w:rFonts w:ascii="Times New Roman" w:eastAsia="Times New Roman" w:hAnsi="Times New Roman" w:cs="Times New Roman"/>
                <w:color w:val="000000"/>
                <w:lang w:eastAsia="lv-LV"/>
              </w:rPr>
            </w:pPr>
            <w:r w:rsidRPr="009A6719">
              <w:rPr>
                <w:rFonts w:ascii="Times New Roman" w:eastAsia="Times New Roman" w:hAnsi="Times New Roman" w:cs="Times New Roman"/>
                <w:color w:val="000000"/>
                <w:lang w:eastAsia="lv-LV"/>
              </w:rPr>
              <w:t>0,14</w:t>
            </w:r>
          </w:p>
        </w:tc>
        <w:tc>
          <w:tcPr>
            <w:tcW w:w="0" w:type="auto"/>
            <w:tcBorders>
              <w:top w:val="nil"/>
              <w:left w:val="nil"/>
              <w:bottom w:val="single" w:sz="4" w:space="0" w:color="auto"/>
              <w:right w:val="single" w:sz="4" w:space="0" w:color="auto"/>
            </w:tcBorders>
            <w:shd w:val="clear" w:color="auto" w:fill="auto"/>
            <w:vAlign w:val="center"/>
            <w:hideMark/>
          </w:tcPr>
          <w:p w:rsidR="009A6719" w:rsidRPr="009A6719" w:rsidP="009A6719" w14:paraId="25699C7D" w14:textId="77777777">
            <w:pPr>
              <w:spacing w:after="0" w:line="240" w:lineRule="auto"/>
              <w:jc w:val="center"/>
              <w:rPr>
                <w:rFonts w:ascii="Times New Roman" w:eastAsia="Times New Roman" w:hAnsi="Times New Roman" w:cs="Times New Roman"/>
                <w:color w:val="000000"/>
                <w:lang w:eastAsia="lv-LV"/>
              </w:rPr>
            </w:pPr>
            <w:r w:rsidRPr="009A6719">
              <w:rPr>
                <w:rFonts w:ascii="Times New Roman" w:eastAsia="Times New Roman" w:hAnsi="Times New Roman" w:cs="Times New Roman"/>
                <w:color w:val="000000"/>
                <w:lang w:eastAsia="lv-LV"/>
              </w:rPr>
              <w:t>3,29</w:t>
            </w:r>
          </w:p>
        </w:tc>
      </w:tr>
      <w:tr w14:paraId="31C71932" w14:textId="77777777" w:rsidTr="009A6719">
        <w:tblPrEx>
          <w:tblW w:w="0" w:type="auto"/>
          <w:tblInd w:w="-5" w:type="dxa"/>
          <w:tblLook w:val="04A0"/>
        </w:tblPrEx>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A6719" w:rsidRPr="009A6719" w:rsidP="009A6719" w14:paraId="5D051CA0" w14:textId="77777777">
            <w:pPr>
              <w:spacing w:after="0" w:line="240" w:lineRule="auto"/>
              <w:rPr>
                <w:rFonts w:ascii="Times New Roman" w:eastAsia="Times New Roman" w:hAnsi="Times New Roman" w:cs="Times New Roman"/>
                <w:b/>
                <w:bCs/>
                <w:lang w:eastAsia="lv-LV"/>
              </w:rPr>
            </w:pPr>
            <w:r w:rsidRPr="009A6719">
              <w:rPr>
                <w:rFonts w:ascii="Times New Roman" w:eastAsia="Times New Roman" w:hAnsi="Times New Roman" w:cs="Times New Roman"/>
                <w:b/>
                <w:bCs/>
                <w:lang w:eastAsia="lv-LV"/>
              </w:rPr>
              <w:t>Izmaksu palielinājums patērētājam EUR/</w:t>
            </w:r>
            <w:r w:rsidRPr="009A6719">
              <w:rPr>
                <w:rFonts w:ascii="Times New Roman" w:eastAsia="Times New Roman" w:hAnsi="Times New Roman" w:cs="Times New Roman"/>
                <w:b/>
                <w:bCs/>
                <w:lang w:eastAsia="lv-LV"/>
              </w:rPr>
              <w:t>MWh</w:t>
            </w:r>
          </w:p>
        </w:tc>
        <w:tc>
          <w:tcPr>
            <w:tcW w:w="0" w:type="auto"/>
            <w:tcBorders>
              <w:top w:val="nil"/>
              <w:left w:val="nil"/>
              <w:bottom w:val="single" w:sz="4" w:space="0" w:color="auto"/>
              <w:right w:val="single" w:sz="4" w:space="0" w:color="auto"/>
            </w:tcBorders>
            <w:shd w:val="clear" w:color="auto" w:fill="auto"/>
            <w:noWrap/>
            <w:vAlign w:val="center"/>
            <w:hideMark/>
          </w:tcPr>
          <w:p w:rsidR="009A6719" w:rsidRPr="009A6719" w:rsidP="009A6719" w14:paraId="28281060" w14:textId="77777777">
            <w:pPr>
              <w:spacing w:after="0" w:line="240" w:lineRule="auto"/>
              <w:jc w:val="center"/>
              <w:rPr>
                <w:rFonts w:ascii="Times New Roman" w:eastAsia="Times New Roman" w:hAnsi="Times New Roman" w:cs="Times New Roman"/>
                <w:b/>
                <w:bCs/>
                <w:lang w:eastAsia="lv-LV"/>
              </w:rPr>
            </w:pPr>
            <w:r w:rsidRPr="009A6719">
              <w:rPr>
                <w:rFonts w:ascii="Times New Roman" w:eastAsia="Times New Roman" w:hAnsi="Times New Roman" w:cs="Times New Roman"/>
                <w:b/>
                <w:bCs/>
                <w:lang w:eastAsia="lv-LV"/>
              </w:rPr>
              <w:t>1,14</w:t>
            </w:r>
          </w:p>
        </w:tc>
        <w:tc>
          <w:tcPr>
            <w:tcW w:w="0" w:type="auto"/>
            <w:tcBorders>
              <w:top w:val="nil"/>
              <w:left w:val="nil"/>
              <w:bottom w:val="single" w:sz="4" w:space="0" w:color="auto"/>
              <w:right w:val="single" w:sz="4" w:space="0" w:color="auto"/>
            </w:tcBorders>
            <w:shd w:val="clear" w:color="auto" w:fill="auto"/>
            <w:noWrap/>
            <w:vAlign w:val="center"/>
            <w:hideMark/>
          </w:tcPr>
          <w:p w:rsidR="009A6719" w:rsidRPr="009A6719" w:rsidP="009A6719" w14:paraId="2408FC15" w14:textId="77777777">
            <w:pPr>
              <w:spacing w:after="0" w:line="240" w:lineRule="auto"/>
              <w:jc w:val="center"/>
              <w:rPr>
                <w:rFonts w:ascii="Times New Roman" w:eastAsia="Times New Roman" w:hAnsi="Times New Roman" w:cs="Times New Roman"/>
                <w:b/>
                <w:bCs/>
                <w:lang w:eastAsia="lv-LV"/>
              </w:rPr>
            </w:pPr>
            <w:r w:rsidRPr="009A6719">
              <w:rPr>
                <w:rFonts w:ascii="Times New Roman" w:eastAsia="Times New Roman" w:hAnsi="Times New Roman" w:cs="Times New Roman"/>
                <w:b/>
                <w:bCs/>
                <w:lang w:eastAsia="lv-LV"/>
              </w:rPr>
              <w:t>1,14</w:t>
            </w:r>
          </w:p>
        </w:tc>
        <w:tc>
          <w:tcPr>
            <w:tcW w:w="0" w:type="auto"/>
            <w:tcBorders>
              <w:top w:val="nil"/>
              <w:left w:val="nil"/>
              <w:bottom w:val="single" w:sz="4" w:space="0" w:color="auto"/>
              <w:right w:val="single" w:sz="4" w:space="0" w:color="auto"/>
            </w:tcBorders>
            <w:shd w:val="clear" w:color="auto" w:fill="auto"/>
            <w:noWrap/>
            <w:vAlign w:val="center"/>
            <w:hideMark/>
          </w:tcPr>
          <w:p w:rsidR="009A6719" w:rsidRPr="009A6719" w:rsidP="009A6719" w14:paraId="07BB76DE" w14:textId="77777777">
            <w:pPr>
              <w:spacing w:after="0" w:line="240" w:lineRule="auto"/>
              <w:jc w:val="center"/>
              <w:rPr>
                <w:rFonts w:ascii="Times New Roman" w:eastAsia="Times New Roman" w:hAnsi="Times New Roman" w:cs="Times New Roman"/>
                <w:b/>
                <w:bCs/>
                <w:lang w:eastAsia="lv-LV"/>
              </w:rPr>
            </w:pPr>
            <w:r w:rsidRPr="009A6719">
              <w:rPr>
                <w:rFonts w:ascii="Times New Roman" w:eastAsia="Times New Roman" w:hAnsi="Times New Roman" w:cs="Times New Roman"/>
                <w:b/>
                <w:bCs/>
                <w:lang w:eastAsia="lv-LV"/>
              </w:rPr>
              <w:t>1,14</w:t>
            </w:r>
          </w:p>
        </w:tc>
        <w:tc>
          <w:tcPr>
            <w:tcW w:w="0" w:type="auto"/>
            <w:tcBorders>
              <w:top w:val="nil"/>
              <w:left w:val="nil"/>
              <w:bottom w:val="single" w:sz="4" w:space="0" w:color="auto"/>
              <w:right w:val="single" w:sz="4" w:space="0" w:color="auto"/>
            </w:tcBorders>
            <w:shd w:val="clear" w:color="auto" w:fill="auto"/>
            <w:noWrap/>
            <w:vAlign w:val="center"/>
            <w:hideMark/>
          </w:tcPr>
          <w:p w:rsidR="009A6719" w:rsidRPr="009A6719" w:rsidP="009A6719" w14:paraId="3DCBCFD5" w14:textId="77777777">
            <w:pPr>
              <w:spacing w:after="0" w:line="240" w:lineRule="auto"/>
              <w:jc w:val="center"/>
              <w:rPr>
                <w:rFonts w:ascii="Times New Roman" w:eastAsia="Times New Roman" w:hAnsi="Times New Roman" w:cs="Times New Roman"/>
                <w:b/>
                <w:bCs/>
                <w:lang w:eastAsia="lv-LV"/>
              </w:rPr>
            </w:pPr>
            <w:r w:rsidRPr="009A6719">
              <w:rPr>
                <w:rFonts w:ascii="Times New Roman" w:eastAsia="Times New Roman" w:hAnsi="Times New Roman" w:cs="Times New Roman"/>
                <w:b/>
                <w:bCs/>
                <w:lang w:eastAsia="lv-LV"/>
              </w:rPr>
              <w:t>0,60</w:t>
            </w:r>
          </w:p>
        </w:tc>
        <w:tc>
          <w:tcPr>
            <w:tcW w:w="0" w:type="auto"/>
            <w:tcBorders>
              <w:top w:val="nil"/>
              <w:left w:val="nil"/>
              <w:bottom w:val="single" w:sz="4" w:space="0" w:color="auto"/>
              <w:right w:val="single" w:sz="4" w:space="0" w:color="auto"/>
            </w:tcBorders>
            <w:shd w:val="clear" w:color="auto" w:fill="auto"/>
            <w:vAlign w:val="center"/>
            <w:hideMark/>
          </w:tcPr>
          <w:p w:rsidR="009A6719" w:rsidRPr="009A6719" w:rsidP="009A6719" w14:paraId="4EF0E629" w14:textId="77777777">
            <w:pPr>
              <w:spacing w:after="0" w:line="240" w:lineRule="auto"/>
              <w:jc w:val="center"/>
              <w:rPr>
                <w:rFonts w:ascii="Times New Roman" w:eastAsia="Times New Roman" w:hAnsi="Times New Roman" w:cs="Times New Roman"/>
                <w:b/>
                <w:bCs/>
                <w:lang w:eastAsia="lv-LV"/>
              </w:rPr>
            </w:pPr>
            <w:r w:rsidRPr="009A6719">
              <w:rPr>
                <w:rFonts w:ascii="Times New Roman" w:eastAsia="Times New Roman" w:hAnsi="Times New Roman" w:cs="Times New Roman"/>
                <w:b/>
                <w:bCs/>
                <w:lang w:eastAsia="lv-LV"/>
              </w:rPr>
              <w:t>0,60</w:t>
            </w:r>
          </w:p>
        </w:tc>
        <w:tc>
          <w:tcPr>
            <w:tcW w:w="0" w:type="auto"/>
            <w:tcBorders>
              <w:top w:val="nil"/>
              <w:left w:val="nil"/>
              <w:bottom w:val="single" w:sz="4" w:space="0" w:color="auto"/>
              <w:right w:val="single" w:sz="4" w:space="0" w:color="auto"/>
            </w:tcBorders>
            <w:shd w:val="clear" w:color="auto" w:fill="auto"/>
            <w:vAlign w:val="center"/>
            <w:hideMark/>
          </w:tcPr>
          <w:p w:rsidR="009A6719" w:rsidRPr="009A6719" w:rsidP="009A6719" w14:paraId="0ABA8D30" w14:textId="77777777">
            <w:pPr>
              <w:spacing w:after="0" w:line="240" w:lineRule="auto"/>
              <w:jc w:val="center"/>
              <w:rPr>
                <w:rFonts w:ascii="Times New Roman" w:eastAsia="Times New Roman" w:hAnsi="Times New Roman" w:cs="Times New Roman"/>
                <w:b/>
                <w:bCs/>
                <w:lang w:eastAsia="lv-LV"/>
              </w:rPr>
            </w:pPr>
            <w:r w:rsidRPr="009A6719">
              <w:rPr>
                <w:rFonts w:ascii="Times New Roman" w:eastAsia="Times New Roman" w:hAnsi="Times New Roman" w:cs="Times New Roman"/>
                <w:b/>
                <w:bCs/>
                <w:lang w:eastAsia="lv-LV"/>
              </w:rPr>
              <w:t>0,60</w:t>
            </w:r>
          </w:p>
        </w:tc>
      </w:tr>
      <w:tr w14:paraId="7AFF7752" w14:textId="77777777" w:rsidTr="009A6719">
        <w:tblPrEx>
          <w:tblW w:w="0" w:type="auto"/>
          <w:tblInd w:w="-5" w:type="dxa"/>
          <w:tblLook w:val="04A0"/>
        </w:tblPrEx>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A6719" w:rsidRPr="009A6719" w:rsidP="009A6719" w14:paraId="3E1E53D4" w14:textId="77777777">
            <w:pPr>
              <w:spacing w:after="0" w:line="240" w:lineRule="auto"/>
              <w:rPr>
                <w:rFonts w:ascii="Times New Roman" w:eastAsia="Times New Roman" w:hAnsi="Times New Roman" w:cs="Times New Roman"/>
                <w:color w:val="000000"/>
                <w:lang w:eastAsia="lv-LV"/>
              </w:rPr>
            </w:pPr>
            <w:r w:rsidRPr="009A6719">
              <w:rPr>
                <w:rFonts w:ascii="Times New Roman" w:eastAsia="Times New Roman" w:hAnsi="Times New Roman" w:cs="Times New Roman"/>
                <w:color w:val="000000"/>
                <w:lang w:eastAsia="lv-LV"/>
              </w:rPr>
              <w:t>Pārvades tarifs šobrīd EUR/</w:t>
            </w:r>
            <w:r w:rsidRPr="009A6719">
              <w:rPr>
                <w:rFonts w:ascii="Times New Roman" w:eastAsia="Times New Roman" w:hAnsi="Times New Roman" w:cs="Times New Roman"/>
                <w:color w:val="000000"/>
                <w:lang w:eastAsia="lv-LV"/>
              </w:rPr>
              <w:t>MWh</w:t>
            </w:r>
            <w:r w:rsidRPr="009A6719">
              <w:rPr>
                <w:rFonts w:ascii="Times New Roman" w:eastAsia="Times New Roman" w:hAnsi="Times New Roman" w:cs="Times New Roman"/>
                <w:color w:val="000000"/>
                <w:lang w:eastAsia="lv-LV"/>
              </w:rPr>
              <w:t>*</w:t>
            </w:r>
          </w:p>
        </w:tc>
        <w:tc>
          <w:tcPr>
            <w:tcW w:w="0" w:type="auto"/>
            <w:tcBorders>
              <w:top w:val="nil"/>
              <w:left w:val="nil"/>
              <w:bottom w:val="single" w:sz="4" w:space="0" w:color="auto"/>
              <w:right w:val="single" w:sz="4" w:space="0" w:color="auto"/>
            </w:tcBorders>
            <w:shd w:val="clear" w:color="auto" w:fill="auto"/>
            <w:noWrap/>
            <w:vAlign w:val="center"/>
            <w:hideMark/>
          </w:tcPr>
          <w:p w:rsidR="009A6719" w:rsidRPr="009A6719" w:rsidP="009A6719" w14:paraId="2C82BC7D" w14:textId="77777777">
            <w:pPr>
              <w:spacing w:after="0" w:line="240" w:lineRule="auto"/>
              <w:jc w:val="center"/>
              <w:rPr>
                <w:rFonts w:ascii="Times New Roman" w:eastAsia="Times New Roman" w:hAnsi="Times New Roman" w:cs="Times New Roman"/>
                <w:color w:val="000000"/>
                <w:lang w:eastAsia="lv-LV"/>
              </w:rPr>
            </w:pPr>
            <w:r w:rsidRPr="009A6719">
              <w:rPr>
                <w:rFonts w:ascii="Times New Roman" w:eastAsia="Times New Roman" w:hAnsi="Times New Roman" w:cs="Times New Roman"/>
                <w:color w:val="000000"/>
                <w:lang w:eastAsia="lv-LV"/>
              </w:rPr>
              <w:t>3,01</w:t>
            </w:r>
          </w:p>
        </w:tc>
        <w:tc>
          <w:tcPr>
            <w:tcW w:w="0" w:type="auto"/>
            <w:tcBorders>
              <w:top w:val="nil"/>
              <w:left w:val="nil"/>
              <w:bottom w:val="single" w:sz="4" w:space="0" w:color="auto"/>
              <w:right w:val="single" w:sz="4" w:space="0" w:color="auto"/>
            </w:tcBorders>
            <w:shd w:val="clear" w:color="auto" w:fill="auto"/>
            <w:noWrap/>
            <w:vAlign w:val="center"/>
            <w:hideMark/>
          </w:tcPr>
          <w:p w:rsidR="009A6719" w:rsidRPr="009A6719" w:rsidP="009A6719" w14:paraId="2E85E466" w14:textId="77777777">
            <w:pPr>
              <w:spacing w:after="0" w:line="240" w:lineRule="auto"/>
              <w:jc w:val="center"/>
              <w:rPr>
                <w:rFonts w:ascii="Times New Roman" w:eastAsia="Times New Roman" w:hAnsi="Times New Roman" w:cs="Times New Roman"/>
                <w:color w:val="000000"/>
                <w:lang w:eastAsia="lv-LV"/>
              </w:rPr>
            </w:pPr>
            <w:r w:rsidRPr="009A6719">
              <w:rPr>
                <w:rFonts w:ascii="Times New Roman" w:eastAsia="Times New Roman" w:hAnsi="Times New Roman" w:cs="Times New Roman"/>
                <w:color w:val="000000"/>
                <w:lang w:eastAsia="lv-LV"/>
              </w:rPr>
              <w:t>3,53</w:t>
            </w:r>
          </w:p>
        </w:tc>
        <w:tc>
          <w:tcPr>
            <w:tcW w:w="0" w:type="auto"/>
            <w:tcBorders>
              <w:top w:val="nil"/>
              <w:left w:val="nil"/>
              <w:bottom w:val="single" w:sz="4" w:space="0" w:color="auto"/>
              <w:right w:val="single" w:sz="4" w:space="0" w:color="auto"/>
            </w:tcBorders>
            <w:shd w:val="clear" w:color="auto" w:fill="auto"/>
            <w:noWrap/>
            <w:vAlign w:val="center"/>
            <w:hideMark/>
          </w:tcPr>
          <w:p w:rsidR="009A6719" w:rsidRPr="009A6719" w:rsidP="009A6719" w14:paraId="6197E07D" w14:textId="77777777">
            <w:pPr>
              <w:spacing w:after="0" w:line="240" w:lineRule="auto"/>
              <w:jc w:val="center"/>
              <w:rPr>
                <w:rFonts w:ascii="Times New Roman" w:eastAsia="Times New Roman" w:hAnsi="Times New Roman" w:cs="Times New Roman"/>
                <w:color w:val="000000"/>
                <w:lang w:eastAsia="lv-LV"/>
              </w:rPr>
            </w:pPr>
            <w:r w:rsidRPr="009A6719">
              <w:rPr>
                <w:rFonts w:ascii="Times New Roman" w:eastAsia="Times New Roman" w:hAnsi="Times New Roman" w:cs="Times New Roman"/>
                <w:color w:val="000000"/>
                <w:lang w:eastAsia="lv-LV"/>
              </w:rPr>
              <w:t>4,03</w:t>
            </w:r>
          </w:p>
        </w:tc>
        <w:tc>
          <w:tcPr>
            <w:tcW w:w="0" w:type="auto"/>
            <w:tcBorders>
              <w:top w:val="nil"/>
              <w:left w:val="nil"/>
              <w:bottom w:val="single" w:sz="4" w:space="0" w:color="auto"/>
              <w:right w:val="single" w:sz="4" w:space="0" w:color="auto"/>
            </w:tcBorders>
            <w:shd w:val="clear" w:color="auto" w:fill="auto"/>
            <w:noWrap/>
            <w:vAlign w:val="center"/>
            <w:hideMark/>
          </w:tcPr>
          <w:p w:rsidR="009A6719" w:rsidRPr="009A6719" w:rsidP="009A6719" w14:paraId="1A8C0789" w14:textId="77777777">
            <w:pPr>
              <w:spacing w:after="0" w:line="240" w:lineRule="auto"/>
              <w:jc w:val="center"/>
              <w:rPr>
                <w:rFonts w:ascii="Times New Roman" w:eastAsia="Times New Roman" w:hAnsi="Times New Roman" w:cs="Times New Roman"/>
                <w:color w:val="000000"/>
                <w:lang w:eastAsia="lv-LV"/>
              </w:rPr>
            </w:pPr>
            <w:r w:rsidRPr="009A6719">
              <w:rPr>
                <w:rFonts w:ascii="Times New Roman" w:eastAsia="Times New Roman" w:hAnsi="Times New Roman" w:cs="Times New Roman"/>
                <w:color w:val="000000"/>
                <w:lang w:eastAsia="lv-LV"/>
              </w:rPr>
              <w:t>3,01</w:t>
            </w:r>
          </w:p>
        </w:tc>
        <w:tc>
          <w:tcPr>
            <w:tcW w:w="0" w:type="auto"/>
            <w:tcBorders>
              <w:top w:val="nil"/>
              <w:left w:val="nil"/>
              <w:bottom w:val="single" w:sz="4" w:space="0" w:color="auto"/>
              <w:right w:val="single" w:sz="4" w:space="0" w:color="auto"/>
            </w:tcBorders>
            <w:shd w:val="clear" w:color="auto" w:fill="auto"/>
            <w:noWrap/>
            <w:vAlign w:val="center"/>
            <w:hideMark/>
          </w:tcPr>
          <w:p w:rsidR="009A6719" w:rsidRPr="009A6719" w:rsidP="009A6719" w14:paraId="0909CA5F" w14:textId="77777777">
            <w:pPr>
              <w:spacing w:after="0" w:line="240" w:lineRule="auto"/>
              <w:jc w:val="center"/>
              <w:rPr>
                <w:rFonts w:ascii="Times New Roman" w:eastAsia="Times New Roman" w:hAnsi="Times New Roman" w:cs="Times New Roman"/>
                <w:color w:val="000000"/>
                <w:lang w:eastAsia="lv-LV"/>
              </w:rPr>
            </w:pPr>
            <w:r w:rsidRPr="009A6719">
              <w:rPr>
                <w:rFonts w:ascii="Times New Roman" w:eastAsia="Times New Roman" w:hAnsi="Times New Roman" w:cs="Times New Roman"/>
                <w:color w:val="000000"/>
                <w:lang w:eastAsia="lv-LV"/>
              </w:rPr>
              <w:t>3,53</w:t>
            </w:r>
          </w:p>
        </w:tc>
        <w:tc>
          <w:tcPr>
            <w:tcW w:w="0" w:type="auto"/>
            <w:tcBorders>
              <w:top w:val="nil"/>
              <w:left w:val="nil"/>
              <w:bottom w:val="single" w:sz="4" w:space="0" w:color="auto"/>
              <w:right w:val="single" w:sz="4" w:space="0" w:color="auto"/>
            </w:tcBorders>
            <w:shd w:val="clear" w:color="auto" w:fill="auto"/>
            <w:noWrap/>
            <w:vAlign w:val="center"/>
            <w:hideMark/>
          </w:tcPr>
          <w:p w:rsidR="009A6719" w:rsidRPr="009A6719" w:rsidP="009A6719" w14:paraId="57A54972" w14:textId="77777777">
            <w:pPr>
              <w:spacing w:after="0" w:line="240" w:lineRule="auto"/>
              <w:jc w:val="center"/>
              <w:rPr>
                <w:rFonts w:ascii="Times New Roman" w:eastAsia="Times New Roman" w:hAnsi="Times New Roman" w:cs="Times New Roman"/>
                <w:color w:val="000000"/>
                <w:lang w:eastAsia="lv-LV"/>
              </w:rPr>
            </w:pPr>
            <w:r w:rsidRPr="009A6719">
              <w:rPr>
                <w:rFonts w:ascii="Times New Roman" w:eastAsia="Times New Roman" w:hAnsi="Times New Roman" w:cs="Times New Roman"/>
                <w:color w:val="000000"/>
                <w:lang w:eastAsia="lv-LV"/>
              </w:rPr>
              <w:t>4,03</w:t>
            </w:r>
          </w:p>
        </w:tc>
      </w:tr>
      <w:tr w14:paraId="7E5B2709" w14:textId="77777777" w:rsidTr="009A6719">
        <w:tblPrEx>
          <w:tblW w:w="0" w:type="auto"/>
          <w:tblInd w:w="-5" w:type="dxa"/>
          <w:tblLook w:val="04A0"/>
        </w:tblPrEx>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A6719" w:rsidRPr="009A6719" w:rsidP="009A6719" w14:paraId="35918DFC" w14:textId="77777777">
            <w:pPr>
              <w:spacing w:after="0" w:line="240" w:lineRule="auto"/>
              <w:rPr>
                <w:rFonts w:ascii="Times New Roman" w:eastAsia="Times New Roman" w:hAnsi="Times New Roman" w:cs="Times New Roman"/>
                <w:b/>
                <w:bCs/>
                <w:lang w:eastAsia="lv-LV"/>
              </w:rPr>
            </w:pPr>
            <w:r w:rsidRPr="009A6719">
              <w:rPr>
                <w:rFonts w:ascii="Times New Roman" w:eastAsia="Times New Roman" w:hAnsi="Times New Roman" w:cs="Times New Roman"/>
                <w:b/>
                <w:bCs/>
                <w:lang w:eastAsia="lv-LV"/>
              </w:rPr>
              <w:t>Izmaksu palielinājums procentuāli</w:t>
            </w:r>
          </w:p>
        </w:tc>
        <w:tc>
          <w:tcPr>
            <w:tcW w:w="0" w:type="auto"/>
            <w:tcBorders>
              <w:top w:val="nil"/>
              <w:left w:val="nil"/>
              <w:bottom w:val="single" w:sz="4" w:space="0" w:color="auto"/>
              <w:right w:val="single" w:sz="4" w:space="0" w:color="auto"/>
            </w:tcBorders>
            <w:shd w:val="clear" w:color="auto" w:fill="auto"/>
            <w:noWrap/>
            <w:vAlign w:val="center"/>
            <w:hideMark/>
          </w:tcPr>
          <w:p w:rsidR="009A6719" w:rsidRPr="009A6719" w:rsidP="009A6719" w14:paraId="2C00C681" w14:textId="77777777">
            <w:pPr>
              <w:spacing w:after="0" w:line="240" w:lineRule="auto"/>
              <w:jc w:val="center"/>
              <w:rPr>
                <w:rFonts w:ascii="Times New Roman" w:eastAsia="Times New Roman" w:hAnsi="Times New Roman" w:cs="Times New Roman"/>
                <w:b/>
                <w:bCs/>
                <w:lang w:eastAsia="lv-LV"/>
              </w:rPr>
            </w:pPr>
            <w:r w:rsidRPr="009A6719">
              <w:rPr>
                <w:rFonts w:ascii="Times New Roman" w:eastAsia="Times New Roman" w:hAnsi="Times New Roman" w:cs="Times New Roman"/>
                <w:b/>
                <w:bCs/>
                <w:lang w:eastAsia="lv-LV"/>
              </w:rPr>
              <w:t>38%</w:t>
            </w:r>
          </w:p>
        </w:tc>
        <w:tc>
          <w:tcPr>
            <w:tcW w:w="0" w:type="auto"/>
            <w:tcBorders>
              <w:top w:val="nil"/>
              <w:left w:val="nil"/>
              <w:bottom w:val="single" w:sz="4" w:space="0" w:color="auto"/>
              <w:right w:val="single" w:sz="4" w:space="0" w:color="auto"/>
            </w:tcBorders>
            <w:shd w:val="clear" w:color="auto" w:fill="auto"/>
            <w:noWrap/>
            <w:vAlign w:val="center"/>
            <w:hideMark/>
          </w:tcPr>
          <w:p w:rsidR="009A6719" w:rsidRPr="009A6719" w:rsidP="009A6719" w14:paraId="34CC010E" w14:textId="77777777">
            <w:pPr>
              <w:spacing w:after="0" w:line="240" w:lineRule="auto"/>
              <w:jc w:val="center"/>
              <w:rPr>
                <w:rFonts w:ascii="Times New Roman" w:eastAsia="Times New Roman" w:hAnsi="Times New Roman" w:cs="Times New Roman"/>
                <w:b/>
                <w:bCs/>
                <w:lang w:eastAsia="lv-LV"/>
              </w:rPr>
            </w:pPr>
            <w:r w:rsidRPr="009A6719">
              <w:rPr>
                <w:rFonts w:ascii="Times New Roman" w:eastAsia="Times New Roman" w:hAnsi="Times New Roman" w:cs="Times New Roman"/>
                <w:b/>
                <w:bCs/>
                <w:lang w:eastAsia="lv-LV"/>
              </w:rPr>
              <w:t>32%</w:t>
            </w:r>
          </w:p>
        </w:tc>
        <w:tc>
          <w:tcPr>
            <w:tcW w:w="0" w:type="auto"/>
            <w:tcBorders>
              <w:top w:val="nil"/>
              <w:left w:val="nil"/>
              <w:bottom w:val="single" w:sz="4" w:space="0" w:color="auto"/>
              <w:right w:val="single" w:sz="4" w:space="0" w:color="auto"/>
            </w:tcBorders>
            <w:shd w:val="clear" w:color="auto" w:fill="auto"/>
            <w:noWrap/>
            <w:vAlign w:val="center"/>
            <w:hideMark/>
          </w:tcPr>
          <w:p w:rsidR="009A6719" w:rsidRPr="009A6719" w:rsidP="009A6719" w14:paraId="115146C9" w14:textId="77777777">
            <w:pPr>
              <w:spacing w:after="0" w:line="240" w:lineRule="auto"/>
              <w:jc w:val="center"/>
              <w:rPr>
                <w:rFonts w:ascii="Times New Roman" w:eastAsia="Times New Roman" w:hAnsi="Times New Roman" w:cs="Times New Roman"/>
                <w:b/>
                <w:bCs/>
                <w:lang w:eastAsia="lv-LV"/>
              </w:rPr>
            </w:pPr>
            <w:r w:rsidRPr="009A6719">
              <w:rPr>
                <w:rFonts w:ascii="Times New Roman" w:eastAsia="Times New Roman" w:hAnsi="Times New Roman" w:cs="Times New Roman"/>
                <w:b/>
                <w:bCs/>
                <w:lang w:eastAsia="lv-LV"/>
              </w:rPr>
              <w:t>28%</w:t>
            </w:r>
          </w:p>
        </w:tc>
        <w:tc>
          <w:tcPr>
            <w:tcW w:w="0" w:type="auto"/>
            <w:tcBorders>
              <w:top w:val="nil"/>
              <w:left w:val="nil"/>
              <w:bottom w:val="single" w:sz="4" w:space="0" w:color="auto"/>
              <w:right w:val="single" w:sz="4" w:space="0" w:color="auto"/>
            </w:tcBorders>
            <w:shd w:val="clear" w:color="auto" w:fill="auto"/>
            <w:noWrap/>
            <w:vAlign w:val="center"/>
            <w:hideMark/>
          </w:tcPr>
          <w:p w:rsidR="009A6719" w:rsidRPr="009A6719" w:rsidP="009A6719" w14:paraId="7615588B" w14:textId="77777777">
            <w:pPr>
              <w:spacing w:after="0" w:line="240" w:lineRule="auto"/>
              <w:jc w:val="center"/>
              <w:rPr>
                <w:rFonts w:ascii="Times New Roman" w:eastAsia="Times New Roman" w:hAnsi="Times New Roman" w:cs="Times New Roman"/>
                <w:b/>
                <w:bCs/>
                <w:lang w:eastAsia="lv-LV"/>
              </w:rPr>
            </w:pPr>
            <w:r w:rsidRPr="009A6719">
              <w:rPr>
                <w:rFonts w:ascii="Times New Roman" w:eastAsia="Times New Roman" w:hAnsi="Times New Roman" w:cs="Times New Roman"/>
                <w:b/>
                <w:bCs/>
                <w:lang w:eastAsia="lv-LV"/>
              </w:rPr>
              <w:t>20%</w:t>
            </w:r>
          </w:p>
        </w:tc>
        <w:tc>
          <w:tcPr>
            <w:tcW w:w="0" w:type="auto"/>
            <w:tcBorders>
              <w:top w:val="nil"/>
              <w:left w:val="nil"/>
              <w:bottom w:val="single" w:sz="4" w:space="0" w:color="auto"/>
              <w:right w:val="single" w:sz="4" w:space="0" w:color="auto"/>
            </w:tcBorders>
            <w:shd w:val="clear" w:color="auto" w:fill="auto"/>
            <w:noWrap/>
            <w:vAlign w:val="center"/>
            <w:hideMark/>
          </w:tcPr>
          <w:p w:rsidR="009A6719" w:rsidRPr="009A6719" w:rsidP="009A6719" w14:paraId="2BF2D04C" w14:textId="77777777">
            <w:pPr>
              <w:spacing w:after="0" w:line="240" w:lineRule="auto"/>
              <w:jc w:val="center"/>
              <w:rPr>
                <w:rFonts w:ascii="Times New Roman" w:eastAsia="Times New Roman" w:hAnsi="Times New Roman" w:cs="Times New Roman"/>
                <w:b/>
                <w:bCs/>
                <w:lang w:eastAsia="lv-LV"/>
              </w:rPr>
            </w:pPr>
            <w:r w:rsidRPr="009A6719">
              <w:rPr>
                <w:rFonts w:ascii="Times New Roman" w:eastAsia="Times New Roman" w:hAnsi="Times New Roman" w:cs="Times New Roman"/>
                <w:b/>
                <w:bCs/>
                <w:lang w:eastAsia="lv-LV"/>
              </w:rPr>
              <w:t>17%</w:t>
            </w:r>
          </w:p>
        </w:tc>
        <w:tc>
          <w:tcPr>
            <w:tcW w:w="0" w:type="auto"/>
            <w:tcBorders>
              <w:top w:val="nil"/>
              <w:left w:val="nil"/>
              <w:bottom w:val="single" w:sz="4" w:space="0" w:color="auto"/>
              <w:right w:val="single" w:sz="4" w:space="0" w:color="auto"/>
            </w:tcBorders>
            <w:shd w:val="clear" w:color="auto" w:fill="auto"/>
            <w:noWrap/>
            <w:vAlign w:val="center"/>
            <w:hideMark/>
          </w:tcPr>
          <w:p w:rsidR="009A6719" w:rsidRPr="009A6719" w:rsidP="009A6719" w14:paraId="1D2DBA92" w14:textId="77777777">
            <w:pPr>
              <w:spacing w:after="0" w:line="240" w:lineRule="auto"/>
              <w:jc w:val="center"/>
              <w:rPr>
                <w:rFonts w:ascii="Times New Roman" w:eastAsia="Times New Roman" w:hAnsi="Times New Roman" w:cs="Times New Roman"/>
                <w:b/>
                <w:bCs/>
                <w:lang w:eastAsia="lv-LV"/>
              </w:rPr>
            </w:pPr>
            <w:r w:rsidRPr="009A6719">
              <w:rPr>
                <w:rFonts w:ascii="Times New Roman" w:eastAsia="Times New Roman" w:hAnsi="Times New Roman" w:cs="Times New Roman"/>
                <w:b/>
                <w:bCs/>
                <w:lang w:eastAsia="lv-LV"/>
              </w:rPr>
              <w:t>15%</w:t>
            </w:r>
          </w:p>
        </w:tc>
      </w:tr>
    </w:tbl>
    <w:p w:rsidR="009A6719" w:rsidP="00136EE9" w14:paraId="2B3E23D3" w14:textId="6543697F">
      <w:pPr>
        <w:spacing w:line="360" w:lineRule="auto"/>
        <w:jc w:val="both"/>
        <w:rPr>
          <w:rFonts w:ascii="Times New Roman" w:hAnsi="Times New Roman" w:cs="Times New Roman"/>
          <w:sz w:val="24"/>
          <w:szCs w:val="24"/>
        </w:rPr>
      </w:pPr>
    </w:p>
    <w:p w:rsidR="00136EE9" w:rsidRPr="00136EE9" w:rsidP="00136EE9" w14:paraId="09F12D79" w14:textId="3406886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Norādāms, ka </w:t>
      </w:r>
      <w:r w:rsidRPr="00136EE9">
        <w:rPr>
          <w:rFonts w:ascii="Times New Roman" w:hAnsi="Times New Roman" w:cs="Times New Roman"/>
          <w:sz w:val="24"/>
          <w:szCs w:val="24"/>
        </w:rPr>
        <w:t xml:space="preserve">2018.gada otrajā pusē kā Latvija tā arī pārējās Baltijas valstis plāno iesniegt pieteikumu CEF līdzfinansējuma saņemšanai </w:t>
      </w:r>
      <w:r w:rsidR="00C974BB">
        <w:rPr>
          <w:rFonts w:ascii="Times New Roman" w:hAnsi="Times New Roman" w:cs="Times New Roman"/>
          <w:sz w:val="24"/>
          <w:szCs w:val="24"/>
        </w:rPr>
        <w:t xml:space="preserve">iekšējas infrastruktūras pastiprināšanas </w:t>
      </w:r>
      <w:r w:rsidRPr="00136EE9">
        <w:rPr>
          <w:rFonts w:ascii="Times New Roman" w:hAnsi="Times New Roman" w:cs="Times New Roman"/>
          <w:sz w:val="24"/>
          <w:szCs w:val="24"/>
        </w:rPr>
        <w:t>projektiem</w:t>
      </w:r>
      <w:r w:rsidR="00C974BB">
        <w:rPr>
          <w:rFonts w:ascii="Times New Roman" w:hAnsi="Times New Roman" w:cs="Times New Roman"/>
          <w:sz w:val="24"/>
          <w:szCs w:val="24"/>
        </w:rPr>
        <w:t xml:space="preserve"> sinhronizācijas </w:t>
      </w:r>
      <w:r w:rsidR="00ED7083">
        <w:rPr>
          <w:rFonts w:ascii="Times New Roman" w:hAnsi="Times New Roman" w:cs="Times New Roman"/>
          <w:sz w:val="24"/>
          <w:szCs w:val="24"/>
        </w:rPr>
        <w:t>režīmam</w:t>
      </w:r>
      <w:r w:rsidRPr="00136EE9">
        <w:rPr>
          <w:rFonts w:ascii="Times New Roman" w:hAnsi="Times New Roman" w:cs="Times New Roman"/>
          <w:sz w:val="24"/>
          <w:szCs w:val="24"/>
        </w:rPr>
        <w:t>, kuru realizācija ir nepieciešama neatkarīgi no izvēlētā sinhronizācijas scenārija. Latvijas gadījumā, CEF līdzfinansējuma pieteikums tik</w:t>
      </w:r>
      <w:r w:rsidR="00ED7083">
        <w:rPr>
          <w:rFonts w:ascii="Times New Roman" w:hAnsi="Times New Roman" w:cs="Times New Roman"/>
          <w:sz w:val="24"/>
          <w:szCs w:val="24"/>
        </w:rPr>
        <w:t>s</w:t>
      </w:r>
      <w:r w:rsidRPr="00136EE9">
        <w:rPr>
          <w:rFonts w:ascii="Times New Roman" w:hAnsi="Times New Roman" w:cs="Times New Roman"/>
          <w:sz w:val="24"/>
          <w:szCs w:val="24"/>
        </w:rPr>
        <w:t xml:space="preserve"> veidots par šādiem projektiem, kuru kopējās investīcijas tiek lēstas apmēram </w:t>
      </w:r>
      <w:r w:rsidR="00ED7083">
        <w:rPr>
          <w:rFonts w:ascii="Times New Roman" w:hAnsi="Times New Roman" w:cs="Times New Roman"/>
          <w:sz w:val="24"/>
          <w:szCs w:val="24"/>
        </w:rPr>
        <w:t>78</w:t>
      </w:r>
      <w:r w:rsidRPr="00136EE9" w:rsidR="00ED7083">
        <w:rPr>
          <w:rFonts w:ascii="Times New Roman" w:hAnsi="Times New Roman" w:cs="Times New Roman"/>
          <w:sz w:val="24"/>
          <w:szCs w:val="24"/>
        </w:rPr>
        <w:t xml:space="preserve"> </w:t>
      </w:r>
      <w:r w:rsidRPr="00136EE9">
        <w:rPr>
          <w:rFonts w:ascii="Times New Roman" w:hAnsi="Times New Roman" w:cs="Times New Roman"/>
          <w:sz w:val="24"/>
          <w:szCs w:val="24"/>
        </w:rPr>
        <w:t>milj. EUR apmērā:</w:t>
      </w:r>
    </w:p>
    <w:p w:rsidR="00136EE9" w:rsidRPr="00136EE9" w:rsidP="00136EE9" w14:paraId="046A29F1" w14:textId="77777777">
      <w:pPr>
        <w:numPr>
          <w:ilvl w:val="0"/>
          <w:numId w:val="4"/>
        </w:numPr>
        <w:spacing w:after="0" w:line="360" w:lineRule="auto"/>
        <w:ind w:left="714" w:hanging="357"/>
        <w:jc w:val="both"/>
        <w:rPr>
          <w:rFonts w:ascii="Times New Roman" w:hAnsi="Times New Roman" w:cs="Times New Roman"/>
          <w:sz w:val="24"/>
          <w:szCs w:val="24"/>
        </w:rPr>
      </w:pPr>
      <w:r w:rsidRPr="00136EE9">
        <w:rPr>
          <w:rFonts w:ascii="Times New Roman" w:hAnsi="Times New Roman" w:cs="Times New Roman"/>
          <w:sz w:val="24"/>
          <w:szCs w:val="24"/>
        </w:rPr>
        <w:t xml:space="preserve">330 </w:t>
      </w:r>
      <w:r w:rsidRPr="00136EE9">
        <w:rPr>
          <w:rFonts w:ascii="Times New Roman" w:hAnsi="Times New Roman" w:cs="Times New Roman"/>
          <w:sz w:val="24"/>
          <w:szCs w:val="24"/>
        </w:rPr>
        <w:t>kV</w:t>
      </w:r>
      <w:r w:rsidRPr="00136EE9">
        <w:rPr>
          <w:rFonts w:ascii="Times New Roman" w:hAnsi="Times New Roman" w:cs="Times New Roman"/>
          <w:sz w:val="24"/>
          <w:szCs w:val="24"/>
        </w:rPr>
        <w:t xml:space="preserve"> EPL Valmiera (LV) - Tartu (EE) rekonstrukcija Latvijas teritorijā</w:t>
      </w:r>
      <w:r>
        <w:rPr>
          <w:rFonts w:ascii="Times New Roman" w:hAnsi="Times New Roman" w:cs="Times New Roman"/>
          <w:sz w:val="24"/>
          <w:szCs w:val="24"/>
        </w:rPr>
        <w:t>;</w:t>
      </w:r>
    </w:p>
    <w:p w:rsidR="00136EE9" w:rsidRPr="00136EE9" w:rsidP="00136EE9" w14:paraId="77D7B1C1" w14:textId="77777777">
      <w:pPr>
        <w:numPr>
          <w:ilvl w:val="0"/>
          <w:numId w:val="4"/>
        </w:numPr>
        <w:spacing w:after="0" w:line="360" w:lineRule="auto"/>
        <w:ind w:left="714" w:hanging="357"/>
        <w:jc w:val="both"/>
        <w:rPr>
          <w:rFonts w:ascii="Times New Roman" w:hAnsi="Times New Roman" w:cs="Times New Roman"/>
          <w:sz w:val="24"/>
          <w:szCs w:val="24"/>
        </w:rPr>
      </w:pPr>
      <w:r w:rsidRPr="00136EE9">
        <w:rPr>
          <w:rFonts w:ascii="Times New Roman" w:hAnsi="Times New Roman" w:cs="Times New Roman"/>
          <w:sz w:val="24"/>
          <w:szCs w:val="24"/>
        </w:rPr>
        <w:t xml:space="preserve">330 </w:t>
      </w:r>
      <w:r w:rsidRPr="00136EE9">
        <w:rPr>
          <w:rFonts w:ascii="Times New Roman" w:hAnsi="Times New Roman" w:cs="Times New Roman"/>
          <w:sz w:val="24"/>
          <w:szCs w:val="24"/>
        </w:rPr>
        <w:t>kV</w:t>
      </w:r>
      <w:r w:rsidRPr="00136EE9">
        <w:rPr>
          <w:rFonts w:ascii="Times New Roman" w:hAnsi="Times New Roman" w:cs="Times New Roman"/>
          <w:sz w:val="24"/>
          <w:szCs w:val="24"/>
        </w:rPr>
        <w:t xml:space="preserve"> EPL Valmiera (LV) - </w:t>
      </w:r>
      <w:r w:rsidRPr="00136EE9">
        <w:rPr>
          <w:rFonts w:ascii="Times New Roman" w:hAnsi="Times New Roman" w:cs="Times New Roman"/>
          <w:sz w:val="24"/>
          <w:szCs w:val="24"/>
        </w:rPr>
        <w:t>Tsirguliina</w:t>
      </w:r>
      <w:r w:rsidRPr="00136EE9">
        <w:rPr>
          <w:rFonts w:ascii="Times New Roman" w:hAnsi="Times New Roman" w:cs="Times New Roman"/>
          <w:sz w:val="24"/>
          <w:szCs w:val="24"/>
        </w:rPr>
        <w:t xml:space="preserve"> (EE) rekonstrukcija Latvijas teritorijā</w:t>
      </w:r>
      <w:r>
        <w:rPr>
          <w:rFonts w:ascii="Times New Roman" w:hAnsi="Times New Roman" w:cs="Times New Roman"/>
          <w:sz w:val="24"/>
          <w:szCs w:val="24"/>
        </w:rPr>
        <w:t>;</w:t>
      </w:r>
    </w:p>
    <w:p w:rsidR="00136EE9" w:rsidRPr="00136EE9" w:rsidP="00136EE9" w14:paraId="28CB2397" w14:textId="77777777">
      <w:pPr>
        <w:numPr>
          <w:ilvl w:val="0"/>
          <w:numId w:val="4"/>
        </w:numPr>
        <w:spacing w:after="0" w:line="360" w:lineRule="auto"/>
        <w:ind w:left="714" w:hanging="357"/>
        <w:jc w:val="both"/>
        <w:rPr>
          <w:rFonts w:ascii="Times New Roman" w:hAnsi="Times New Roman" w:cs="Times New Roman"/>
          <w:sz w:val="24"/>
          <w:szCs w:val="24"/>
        </w:rPr>
      </w:pPr>
      <w:r w:rsidRPr="00136EE9">
        <w:rPr>
          <w:rFonts w:ascii="Times New Roman" w:hAnsi="Times New Roman" w:cs="Times New Roman"/>
          <w:sz w:val="24"/>
          <w:szCs w:val="24"/>
        </w:rPr>
        <w:t>Spriegums kontroles iekārta (SVC),</w:t>
      </w:r>
      <w:r w:rsidR="009A6719">
        <w:rPr>
          <w:rFonts w:ascii="Times New Roman" w:hAnsi="Times New Roman" w:cs="Times New Roman"/>
          <w:sz w:val="24"/>
          <w:szCs w:val="24"/>
        </w:rPr>
        <w:t xml:space="preserve"> attā</w:t>
      </w:r>
      <w:r w:rsidRPr="00136EE9">
        <w:rPr>
          <w:rFonts w:ascii="Times New Roman" w:hAnsi="Times New Roman" w:cs="Times New Roman"/>
          <w:sz w:val="24"/>
          <w:szCs w:val="24"/>
        </w:rPr>
        <w:t>lināta kontroles sistēma (WAMS), jaudas uzskaites sistēma (PMU), s</w:t>
      </w:r>
      <w:r w:rsidR="009A6719">
        <w:rPr>
          <w:rFonts w:ascii="Times New Roman" w:hAnsi="Times New Roman" w:cs="Times New Roman"/>
          <w:sz w:val="24"/>
          <w:szCs w:val="24"/>
        </w:rPr>
        <w:t>istēmas stabilizatori elektrosta</w:t>
      </w:r>
      <w:r w:rsidRPr="00136EE9">
        <w:rPr>
          <w:rFonts w:ascii="Times New Roman" w:hAnsi="Times New Roman" w:cs="Times New Roman"/>
          <w:sz w:val="24"/>
          <w:szCs w:val="24"/>
        </w:rPr>
        <w:t>cijās (PSS), u.c.</w:t>
      </w:r>
      <w:r>
        <w:rPr>
          <w:rFonts w:ascii="Times New Roman" w:hAnsi="Times New Roman" w:cs="Times New Roman"/>
          <w:sz w:val="24"/>
          <w:szCs w:val="24"/>
        </w:rPr>
        <w:t>;</w:t>
      </w:r>
    </w:p>
    <w:p w:rsidR="00136EE9" w:rsidP="00136EE9" w14:paraId="14210FAE" w14:textId="77777777">
      <w:pPr>
        <w:numPr>
          <w:ilvl w:val="0"/>
          <w:numId w:val="4"/>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Tīkla</w:t>
      </w:r>
      <w:r w:rsidRPr="00136EE9">
        <w:rPr>
          <w:rFonts w:ascii="Times New Roman" w:hAnsi="Times New Roman" w:cs="Times New Roman"/>
          <w:sz w:val="24"/>
          <w:szCs w:val="24"/>
        </w:rPr>
        <w:t xml:space="preserve"> attīstības izpētes (ENTSO-E sinhronizācijas pieteikuma izpildes ietvaros)</w:t>
      </w:r>
      <w:r>
        <w:rPr>
          <w:rFonts w:ascii="Times New Roman" w:hAnsi="Times New Roman" w:cs="Times New Roman"/>
          <w:sz w:val="24"/>
          <w:szCs w:val="24"/>
        </w:rPr>
        <w:t>;</w:t>
      </w:r>
    </w:p>
    <w:p w:rsidR="009A6719" w:rsidRPr="00BA238D" w:rsidP="00C338E3" w14:paraId="22833146" w14:textId="63338533">
      <w:pPr>
        <w:numPr>
          <w:ilvl w:val="0"/>
          <w:numId w:val="4"/>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Automā</w:t>
      </w:r>
      <w:r w:rsidRPr="00136EE9" w:rsidR="00136EE9">
        <w:rPr>
          <w:rFonts w:ascii="Times New Roman" w:hAnsi="Times New Roman" w:cs="Times New Roman"/>
          <w:sz w:val="24"/>
          <w:szCs w:val="24"/>
        </w:rPr>
        <w:t>tiskā ģenerācijas kontroles sistēma (AGC) un frekvences kontroles sistēma</w:t>
      </w:r>
      <w:r w:rsidR="00136EE9">
        <w:rPr>
          <w:rFonts w:ascii="Times New Roman" w:hAnsi="Times New Roman" w:cs="Times New Roman"/>
          <w:sz w:val="24"/>
          <w:szCs w:val="24"/>
        </w:rPr>
        <w:t>.</w:t>
      </w:r>
    </w:p>
    <w:p w:rsidR="00775252" w:rsidP="00C338E3" w14:paraId="1E060806" w14:textId="57A2CE0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9018D">
        <w:rPr>
          <w:rFonts w:ascii="Times New Roman" w:hAnsi="Times New Roman" w:cs="Times New Roman"/>
          <w:sz w:val="24"/>
          <w:szCs w:val="24"/>
        </w:rPr>
        <w:t>Ņemot vērā sākotnējo JRC pētījumu</w:t>
      </w:r>
      <w:r>
        <w:rPr>
          <w:rFonts w:ascii="Times New Roman" w:hAnsi="Times New Roman" w:cs="Times New Roman"/>
          <w:sz w:val="24"/>
          <w:szCs w:val="24"/>
        </w:rPr>
        <w:t>,</w:t>
      </w:r>
      <w:r w:rsidR="00F9018D">
        <w:rPr>
          <w:rFonts w:ascii="Times New Roman" w:hAnsi="Times New Roman" w:cs="Times New Roman"/>
          <w:sz w:val="24"/>
          <w:szCs w:val="24"/>
        </w:rPr>
        <w:t xml:space="preserve"> jau </w:t>
      </w:r>
      <w:r w:rsidR="00ED7083">
        <w:rPr>
          <w:rFonts w:ascii="Times New Roman" w:hAnsi="Times New Roman" w:cs="Times New Roman"/>
          <w:sz w:val="24"/>
          <w:szCs w:val="24"/>
        </w:rPr>
        <w:t>2017</w:t>
      </w:r>
      <w:r w:rsidR="00FE189A">
        <w:rPr>
          <w:rFonts w:ascii="Times New Roman" w:hAnsi="Times New Roman" w:cs="Times New Roman"/>
          <w:sz w:val="24"/>
          <w:szCs w:val="24"/>
        </w:rPr>
        <w:t xml:space="preserve">. gada </w:t>
      </w:r>
      <w:r w:rsidR="00890016">
        <w:rPr>
          <w:rFonts w:ascii="Times New Roman" w:hAnsi="Times New Roman" w:cs="Times New Roman"/>
          <w:sz w:val="24"/>
          <w:szCs w:val="24"/>
        </w:rPr>
        <w:t>decembrī Baltijas valstu</w:t>
      </w:r>
      <w:r w:rsidR="00FE189A">
        <w:rPr>
          <w:rFonts w:ascii="Times New Roman" w:hAnsi="Times New Roman" w:cs="Times New Roman"/>
          <w:sz w:val="24"/>
          <w:szCs w:val="24"/>
        </w:rPr>
        <w:t xml:space="preserve"> premjerministru</w:t>
      </w:r>
      <w:r w:rsidRPr="004A1A93" w:rsidR="00890016">
        <w:rPr>
          <w:rFonts w:ascii="Times New Roman" w:hAnsi="Times New Roman" w:cs="Times New Roman"/>
          <w:sz w:val="24"/>
          <w:szCs w:val="24"/>
        </w:rPr>
        <w:t xml:space="preserve"> līmenī </w:t>
      </w:r>
      <w:r w:rsidR="00FE189A">
        <w:rPr>
          <w:rFonts w:ascii="Times New Roman" w:hAnsi="Times New Roman" w:cs="Times New Roman"/>
          <w:sz w:val="24"/>
          <w:szCs w:val="24"/>
        </w:rPr>
        <w:t xml:space="preserve">ar Saprašanās memorandu </w:t>
      </w:r>
      <w:r w:rsidR="00890016">
        <w:rPr>
          <w:rFonts w:ascii="Times New Roman" w:hAnsi="Times New Roman" w:cs="Times New Roman"/>
          <w:sz w:val="24"/>
          <w:szCs w:val="24"/>
        </w:rPr>
        <w:t xml:space="preserve">tika </w:t>
      </w:r>
      <w:r w:rsidRPr="004A1A93" w:rsidR="00890016">
        <w:rPr>
          <w:rFonts w:ascii="Times New Roman" w:hAnsi="Times New Roman" w:cs="Times New Roman"/>
          <w:sz w:val="24"/>
          <w:szCs w:val="24"/>
        </w:rPr>
        <w:t>apstiprināta vienošanos par sinhronizācijas virzienu ar Poliju</w:t>
      </w:r>
      <w:r w:rsidR="00890016">
        <w:rPr>
          <w:rFonts w:ascii="Times New Roman" w:hAnsi="Times New Roman" w:cs="Times New Roman"/>
          <w:sz w:val="24"/>
          <w:szCs w:val="24"/>
        </w:rPr>
        <w:t>.</w:t>
      </w:r>
      <w:r w:rsidR="00F9018D">
        <w:rPr>
          <w:rFonts w:ascii="Times New Roman" w:hAnsi="Times New Roman" w:cs="Times New Roman"/>
          <w:sz w:val="24"/>
          <w:szCs w:val="24"/>
        </w:rPr>
        <w:t xml:space="preserve"> Balstoties uz papildus veikto dinamisko un frekvences stabilitātes</w:t>
      </w:r>
      <w:r w:rsidR="002A1AE4">
        <w:rPr>
          <w:rFonts w:ascii="Times New Roman" w:hAnsi="Times New Roman" w:cs="Times New Roman"/>
          <w:sz w:val="24"/>
          <w:szCs w:val="24"/>
        </w:rPr>
        <w:t xml:space="preserve"> pētījumu rezultātiem, </w:t>
      </w:r>
      <w:r>
        <w:rPr>
          <w:rFonts w:ascii="Times New Roman" w:hAnsi="Times New Roman" w:cs="Times New Roman"/>
          <w:sz w:val="24"/>
          <w:szCs w:val="24"/>
        </w:rPr>
        <w:t>šī gada</w:t>
      </w:r>
      <w:r w:rsidR="002A1AE4">
        <w:rPr>
          <w:rFonts w:ascii="Times New Roman" w:hAnsi="Times New Roman" w:cs="Times New Roman"/>
          <w:sz w:val="24"/>
          <w:szCs w:val="24"/>
        </w:rPr>
        <w:t xml:space="preserve"> 2018.gada 28.jūnijā </w:t>
      </w:r>
      <w:r>
        <w:rPr>
          <w:rFonts w:ascii="Times New Roman" w:hAnsi="Times New Roman" w:cs="Times New Roman"/>
          <w:sz w:val="24"/>
          <w:szCs w:val="24"/>
        </w:rPr>
        <w:t xml:space="preserve">Eiropadomes ietvaros tiek plānots </w:t>
      </w:r>
      <w:r w:rsidR="002A1AE4">
        <w:rPr>
          <w:rFonts w:ascii="Times New Roman" w:hAnsi="Times New Roman" w:cs="Times New Roman"/>
          <w:sz w:val="24"/>
          <w:szCs w:val="24"/>
        </w:rPr>
        <w:t xml:space="preserve">parakstīt politisko ceļa karti par Baltijas valstu elektrotīklu sinhronizāciju </w:t>
      </w:r>
      <w:r w:rsidR="00FE189A">
        <w:rPr>
          <w:rFonts w:ascii="Times New Roman" w:hAnsi="Times New Roman" w:cs="Times New Roman"/>
          <w:sz w:val="24"/>
          <w:szCs w:val="24"/>
        </w:rPr>
        <w:t xml:space="preserve">ar kontinentālo Eiropu caur Poliju. </w:t>
      </w:r>
      <w:r w:rsidR="00655704">
        <w:rPr>
          <w:rFonts w:ascii="Times New Roman" w:hAnsi="Times New Roman" w:cs="Times New Roman"/>
          <w:sz w:val="24"/>
          <w:szCs w:val="24"/>
        </w:rPr>
        <w:t>Šajā dokumentā</w:t>
      </w:r>
      <w:r w:rsidR="00FE189A">
        <w:rPr>
          <w:rFonts w:ascii="Times New Roman" w:hAnsi="Times New Roman" w:cs="Times New Roman"/>
          <w:sz w:val="24"/>
          <w:szCs w:val="24"/>
        </w:rPr>
        <w:t xml:space="preserve"> </w:t>
      </w:r>
      <w:r w:rsidR="00655704">
        <w:rPr>
          <w:rFonts w:ascii="Times New Roman" w:hAnsi="Times New Roman" w:cs="Times New Roman"/>
          <w:sz w:val="24"/>
          <w:szCs w:val="24"/>
        </w:rPr>
        <w:t>plānots uzsvērt</w:t>
      </w:r>
      <w:r w:rsidR="00FE189A">
        <w:rPr>
          <w:rFonts w:ascii="Times New Roman" w:hAnsi="Times New Roman" w:cs="Times New Roman"/>
          <w:sz w:val="24"/>
          <w:szCs w:val="24"/>
        </w:rPr>
        <w:t xml:space="preserve">, ka Baltijas valstu sinhronizācijai ar kontinentālās Eiropas tīklu ir jānodrošina augsta drošuma pakāpe Baltijas valstu elektrotīkliem, kā arī tā jārealizē izmaksu efektīvā veidā, ņemot vērā gan </w:t>
      </w:r>
      <w:r w:rsidR="00B104BA">
        <w:rPr>
          <w:rFonts w:ascii="Times New Roman" w:hAnsi="Times New Roman" w:cs="Times New Roman"/>
          <w:sz w:val="24"/>
          <w:szCs w:val="24"/>
        </w:rPr>
        <w:t>kapitālieguldījumus</w:t>
      </w:r>
      <w:r w:rsidR="00FE189A">
        <w:rPr>
          <w:rFonts w:ascii="Times New Roman" w:hAnsi="Times New Roman" w:cs="Times New Roman"/>
          <w:sz w:val="24"/>
          <w:szCs w:val="24"/>
        </w:rPr>
        <w:t xml:space="preserve">, gan </w:t>
      </w:r>
      <w:r w:rsidR="00B104BA">
        <w:rPr>
          <w:rFonts w:ascii="Times New Roman" w:hAnsi="Times New Roman" w:cs="Times New Roman"/>
          <w:sz w:val="24"/>
          <w:szCs w:val="24"/>
        </w:rPr>
        <w:t xml:space="preserve">ikgadējas </w:t>
      </w:r>
      <w:r w:rsidR="00FE189A">
        <w:rPr>
          <w:rFonts w:ascii="Times New Roman" w:hAnsi="Times New Roman" w:cs="Times New Roman"/>
          <w:sz w:val="24"/>
          <w:szCs w:val="24"/>
        </w:rPr>
        <w:t xml:space="preserve">ekspluatācijas izmaksas. </w:t>
      </w:r>
    </w:p>
    <w:p w:rsidR="002A1AE4" w:rsidP="00775252" w14:paraId="686E8D7E" w14:textId="7777777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Ceļa kartē ir norādīts</w:t>
      </w:r>
      <w:r w:rsidR="00FE189A">
        <w:rPr>
          <w:rFonts w:ascii="Times New Roman" w:hAnsi="Times New Roman" w:cs="Times New Roman"/>
          <w:sz w:val="24"/>
          <w:szCs w:val="24"/>
        </w:rPr>
        <w:t>, ka labākais risinājums, lai sasniegtu augstāk minētos mērķus ir Baltijas valstu elektrotīklu sinhronizācija ar kontinentālo Eiropu caur Poliju ar divām atsev</w:t>
      </w:r>
      <w:r w:rsidR="00655704">
        <w:rPr>
          <w:rFonts w:ascii="Times New Roman" w:hAnsi="Times New Roman" w:cs="Times New Roman"/>
          <w:sz w:val="24"/>
          <w:szCs w:val="24"/>
        </w:rPr>
        <w:t>išķām maiņstrāvas elektrolīnijām, jo tās garantē vislielāko energoapgādes drošumu un tām nav papildus pārmērīgas ekspluatācijas izmaksas Baltijas valstīm.</w:t>
      </w:r>
    </w:p>
    <w:p w:rsidR="00655704" w:rsidP="00C338E3" w14:paraId="74370744" w14:textId="7777777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Vienlaikus, otras maiņstrāvas elektrolīnijas izbūvei </w:t>
      </w:r>
      <w:r w:rsidR="00F9018D">
        <w:rPr>
          <w:rFonts w:ascii="Times New Roman" w:hAnsi="Times New Roman" w:cs="Times New Roman"/>
          <w:sz w:val="24"/>
          <w:szCs w:val="24"/>
        </w:rPr>
        <w:t xml:space="preserve">starp Poliju un Lietuvu </w:t>
      </w:r>
      <w:r>
        <w:rPr>
          <w:rFonts w:ascii="Times New Roman" w:hAnsi="Times New Roman" w:cs="Times New Roman"/>
          <w:sz w:val="24"/>
          <w:szCs w:val="24"/>
        </w:rPr>
        <w:t xml:space="preserve">tiek lēstas ļoti augstas kapitāla izmaksas, kas nebūtu aptveramas saprātīgā laika periodā. Tādējādi, </w:t>
      </w:r>
      <w:r w:rsidR="00471753">
        <w:rPr>
          <w:rFonts w:ascii="Times New Roman" w:hAnsi="Times New Roman" w:cs="Times New Roman"/>
          <w:sz w:val="24"/>
          <w:szCs w:val="24"/>
        </w:rPr>
        <w:t xml:space="preserve">ceļa karte </w:t>
      </w:r>
      <w:r w:rsidR="00775252">
        <w:rPr>
          <w:rFonts w:ascii="Times New Roman" w:hAnsi="Times New Roman" w:cs="Times New Roman"/>
          <w:sz w:val="24"/>
          <w:szCs w:val="24"/>
        </w:rPr>
        <w:t>tiek</w:t>
      </w:r>
      <w:r w:rsidR="00471753">
        <w:rPr>
          <w:rFonts w:ascii="Times New Roman" w:hAnsi="Times New Roman" w:cs="Times New Roman"/>
          <w:sz w:val="24"/>
          <w:szCs w:val="24"/>
        </w:rPr>
        <w:t xml:space="preserve"> paust</w:t>
      </w:r>
      <w:r w:rsidR="00775252">
        <w:rPr>
          <w:rFonts w:ascii="Times New Roman" w:hAnsi="Times New Roman" w:cs="Times New Roman"/>
          <w:sz w:val="24"/>
          <w:szCs w:val="24"/>
        </w:rPr>
        <w:t>a</w:t>
      </w:r>
      <w:r>
        <w:rPr>
          <w:rFonts w:ascii="Times New Roman" w:hAnsi="Times New Roman" w:cs="Times New Roman"/>
          <w:sz w:val="24"/>
          <w:szCs w:val="24"/>
        </w:rPr>
        <w:t xml:space="preserve"> apņemšan</w:t>
      </w:r>
      <w:r w:rsidR="00775252">
        <w:rPr>
          <w:rFonts w:ascii="Times New Roman" w:hAnsi="Times New Roman" w:cs="Times New Roman"/>
          <w:sz w:val="24"/>
          <w:szCs w:val="24"/>
        </w:rPr>
        <w:t>ā</w:t>
      </w:r>
      <w:r>
        <w:rPr>
          <w:rFonts w:ascii="Times New Roman" w:hAnsi="Times New Roman" w:cs="Times New Roman"/>
          <w:sz w:val="24"/>
          <w:szCs w:val="24"/>
        </w:rPr>
        <w:t>s meklēt altern</w:t>
      </w:r>
      <w:r w:rsidR="00775252">
        <w:rPr>
          <w:rFonts w:ascii="Times New Roman" w:hAnsi="Times New Roman" w:cs="Times New Roman"/>
          <w:sz w:val="24"/>
          <w:szCs w:val="24"/>
        </w:rPr>
        <w:t>atīvu sinhronizācijas risinājumu</w:t>
      </w:r>
      <w:r>
        <w:rPr>
          <w:rFonts w:ascii="Times New Roman" w:hAnsi="Times New Roman" w:cs="Times New Roman"/>
          <w:sz w:val="24"/>
          <w:szCs w:val="24"/>
        </w:rPr>
        <w:t>, kurš būtu vienlīdz atbilstošs augstāk minētajiem kritērijiem. Svarīgi uzsvērt, ka Baltijas valstu sinhronizācija ar kontinentālo Eiropu tikai ar esošo maiņstrāvas līniju starp Poliju un Lietuvu (</w:t>
      </w:r>
      <w:r>
        <w:rPr>
          <w:rFonts w:ascii="Times New Roman" w:hAnsi="Times New Roman" w:cs="Times New Roman"/>
          <w:sz w:val="24"/>
          <w:szCs w:val="24"/>
        </w:rPr>
        <w:t>LitPol</w:t>
      </w:r>
      <w:r>
        <w:rPr>
          <w:rFonts w:ascii="Times New Roman" w:hAnsi="Times New Roman" w:cs="Times New Roman"/>
          <w:sz w:val="24"/>
          <w:szCs w:val="24"/>
        </w:rPr>
        <w:t xml:space="preserve"> Link1)</w:t>
      </w:r>
      <w:r w:rsidR="00F9018D">
        <w:rPr>
          <w:rFonts w:ascii="Times New Roman" w:hAnsi="Times New Roman" w:cs="Times New Roman"/>
          <w:sz w:val="24"/>
          <w:szCs w:val="24"/>
        </w:rPr>
        <w:t xml:space="preserve"> bez </w:t>
      </w:r>
      <w:r w:rsidR="00F9018D">
        <w:rPr>
          <w:rFonts w:ascii="Times New Roman" w:hAnsi="Times New Roman" w:cs="Times New Roman"/>
          <w:sz w:val="24"/>
          <w:szCs w:val="24"/>
        </w:rPr>
        <w:t xml:space="preserve">papildus infrastruktūras ir ne vien izmaksu neefektīvs, bet arī nepietiekami drošs risinājums no sistēmas stabilitātes </w:t>
      </w:r>
      <w:r w:rsidR="00B104BA">
        <w:rPr>
          <w:rFonts w:ascii="Times New Roman" w:hAnsi="Times New Roman" w:cs="Times New Roman"/>
          <w:sz w:val="24"/>
          <w:szCs w:val="24"/>
        </w:rPr>
        <w:t xml:space="preserve">un elektroapgādes drošuma </w:t>
      </w:r>
      <w:r w:rsidR="00F9018D">
        <w:rPr>
          <w:rFonts w:ascii="Times New Roman" w:hAnsi="Times New Roman" w:cs="Times New Roman"/>
          <w:sz w:val="24"/>
          <w:szCs w:val="24"/>
        </w:rPr>
        <w:t>viedokļa.</w:t>
      </w:r>
    </w:p>
    <w:p w:rsidR="00205A09" w:rsidP="00C338E3" w14:paraId="7E1EBC80" w14:textId="313EA0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71753">
        <w:rPr>
          <w:rFonts w:ascii="Times New Roman" w:hAnsi="Times New Roman" w:cs="Times New Roman"/>
          <w:sz w:val="24"/>
          <w:szCs w:val="24"/>
        </w:rPr>
        <w:t xml:space="preserve">Ievērojot </w:t>
      </w:r>
      <w:r>
        <w:rPr>
          <w:rFonts w:ascii="Times New Roman" w:hAnsi="Times New Roman" w:cs="Times New Roman"/>
          <w:sz w:val="24"/>
          <w:szCs w:val="24"/>
        </w:rPr>
        <w:t xml:space="preserve">augstāk minēto, </w:t>
      </w:r>
      <w:r w:rsidR="00471753">
        <w:rPr>
          <w:rFonts w:ascii="Times New Roman" w:hAnsi="Times New Roman" w:cs="Times New Roman"/>
          <w:sz w:val="24"/>
          <w:szCs w:val="24"/>
        </w:rPr>
        <w:t>Baltijas valstis un Polija ar Eiropas Komisijas atbalstu</w:t>
      </w:r>
      <w:r>
        <w:rPr>
          <w:rFonts w:ascii="Times New Roman" w:hAnsi="Times New Roman" w:cs="Times New Roman"/>
          <w:sz w:val="24"/>
          <w:szCs w:val="24"/>
        </w:rPr>
        <w:t xml:space="preserve"> turpinās izvērtēt citu</w:t>
      </w:r>
      <w:r w:rsidR="00DB5C7B">
        <w:rPr>
          <w:rFonts w:ascii="Times New Roman" w:hAnsi="Times New Roman" w:cs="Times New Roman"/>
          <w:sz w:val="24"/>
          <w:szCs w:val="24"/>
        </w:rPr>
        <w:t>s</w:t>
      </w:r>
      <w:r>
        <w:rPr>
          <w:rFonts w:ascii="Times New Roman" w:hAnsi="Times New Roman" w:cs="Times New Roman"/>
          <w:sz w:val="24"/>
          <w:szCs w:val="24"/>
        </w:rPr>
        <w:t xml:space="preserve"> iespējamo</w:t>
      </w:r>
      <w:r w:rsidR="00DB5C7B">
        <w:rPr>
          <w:rFonts w:ascii="Times New Roman" w:hAnsi="Times New Roman" w:cs="Times New Roman"/>
          <w:sz w:val="24"/>
          <w:szCs w:val="24"/>
        </w:rPr>
        <w:t>s</w:t>
      </w:r>
      <w:r>
        <w:rPr>
          <w:rFonts w:ascii="Times New Roman" w:hAnsi="Times New Roman" w:cs="Times New Roman"/>
          <w:sz w:val="24"/>
          <w:szCs w:val="24"/>
        </w:rPr>
        <w:t xml:space="preserve"> sinhronizācijas scen</w:t>
      </w:r>
      <w:r w:rsidR="003A1E08">
        <w:rPr>
          <w:rFonts w:ascii="Times New Roman" w:hAnsi="Times New Roman" w:cs="Times New Roman"/>
          <w:sz w:val="24"/>
          <w:szCs w:val="24"/>
        </w:rPr>
        <w:t>āriju</w:t>
      </w:r>
      <w:r w:rsidR="00DB5C7B">
        <w:rPr>
          <w:rFonts w:ascii="Times New Roman" w:hAnsi="Times New Roman" w:cs="Times New Roman"/>
          <w:sz w:val="24"/>
          <w:szCs w:val="24"/>
        </w:rPr>
        <w:t>s</w:t>
      </w:r>
      <w:r w:rsidR="003A1E08">
        <w:rPr>
          <w:rFonts w:ascii="Times New Roman" w:hAnsi="Times New Roman" w:cs="Times New Roman"/>
          <w:sz w:val="24"/>
          <w:szCs w:val="24"/>
        </w:rPr>
        <w:t xml:space="preserve">, ņemot vērā </w:t>
      </w:r>
      <w:r w:rsidR="00471753">
        <w:rPr>
          <w:rFonts w:ascii="Times New Roman" w:hAnsi="Times New Roman" w:cs="Times New Roman"/>
          <w:sz w:val="24"/>
          <w:szCs w:val="24"/>
        </w:rPr>
        <w:t xml:space="preserve">to </w:t>
      </w:r>
      <w:r w:rsidR="003A1E08">
        <w:rPr>
          <w:rFonts w:ascii="Times New Roman" w:hAnsi="Times New Roman" w:cs="Times New Roman"/>
          <w:sz w:val="24"/>
          <w:szCs w:val="24"/>
        </w:rPr>
        <w:t>sniegto drošuma pakāpi un ekonomisko pamatojumu. Š</w:t>
      </w:r>
      <w:r w:rsidR="00DB5C7B">
        <w:rPr>
          <w:rFonts w:ascii="Times New Roman" w:hAnsi="Times New Roman" w:cs="Times New Roman"/>
          <w:sz w:val="24"/>
          <w:szCs w:val="24"/>
        </w:rPr>
        <w:t>ie</w:t>
      </w:r>
      <w:r w:rsidR="003A1E08">
        <w:rPr>
          <w:rFonts w:ascii="Times New Roman" w:hAnsi="Times New Roman" w:cs="Times New Roman"/>
          <w:sz w:val="24"/>
          <w:szCs w:val="24"/>
        </w:rPr>
        <w:t xml:space="preserve"> scen</w:t>
      </w:r>
      <w:r w:rsidR="00DB5C7B">
        <w:rPr>
          <w:rFonts w:ascii="Times New Roman" w:hAnsi="Times New Roman" w:cs="Times New Roman"/>
          <w:sz w:val="24"/>
          <w:szCs w:val="24"/>
        </w:rPr>
        <w:t>āriji</w:t>
      </w:r>
      <w:r w:rsidR="003A1E08">
        <w:rPr>
          <w:rFonts w:ascii="Times New Roman" w:hAnsi="Times New Roman" w:cs="Times New Roman"/>
          <w:sz w:val="24"/>
          <w:szCs w:val="24"/>
        </w:rPr>
        <w:t xml:space="preserve"> ietvertu esošo maiņstrāvas līniju starp Lietuvu un Poliju, kā arī papildus līdzstrāvas savienojumu, </w:t>
      </w:r>
      <w:r w:rsidR="00DB5C7B">
        <w:rPr>
          <w:rFonts w:ascii="Times New Roman" w:hAnsi="Times New Roman" w:cs="Times New Roman"/>
          <w:sz w:val="24"/>
          <w:szCs w:val="24"/>
        </w:rPr>
        <w:t xml:space="preserve">sinhronos kondensatorus un citus tehniski un ekonomiski iespējamus risinājumus, kas balstīti uz praksē pierādītām tehnoloģijām. Līdz 2018.gada augustam nepieciešams izvērtēt un apstiprināt šo papildus pasākumu tehnisko un ekonomisko pamatojumu un veicināt to ieviešanu. Nedēļas laikā pēc minēto pētījumu pabeigšanas, Polijas </w:t>
      </w:r>
      <w:r w:rsidR="00DF7FC4">
        <w:rPr>
          <w:rFonts w:ascii="Times New Roman" w:hAnsi="Times New Roman" w:cs="Times New Roman"/>
          <w:sz w:val="24"/>
          <w:szCs w:val="24"/>
        </w:rPr>
        <w:t>PSO</w:t>
      </w:r>
      <w:r w:rsidR="00DB5C7B">
        <w:rPr>
          <w:rFonts w:ascii="Times New Roman" w:hAnsi="Times New Roman" w:cs="Times New Roman"/>
          <w:sz w:val="24"/>
          <w:szCs w:val="24"/>
        </w:rPr>
        <w:t xml:space="preserve"> būs jāiesniedz ENTSO-E reģionālajai kontinentālās Eiropas grupai pieteikums, kas uzsāks oficiālu kontinentālās Eiropas </w:t>
      </w:r>
      <w:r w:rsidR="00956110">
        <w:rPr>
          <w:rFonts w:ascii="Times New Roman" w:hAnsi="Times New Roman" w:cs="Times New Roman"/>
          <w:sz w:val="24"/>
          <w:szCs w:val="24"/>
        </w:rPr>
        <w:t xml:space="preserve">elektroenerģijas sistēmas </w:t>
      </w:r>
      <w:r w:rsidR="00DB5C7B">
        <w:rPr>
          <w:rFonts w:ascii="Times New Roman" w:hAnsi="Times New Roman" w:cs="Times New Roman"/>
          <w:sz w:val="24"/>
          <w:szCs w:val="24"/>
        </w:rPr>
        <w:t xml:space="preserve">paplašinājumu </w:t>
      </w:r>
      <w:r w:rsidR="00956110">
        <w:rPr>
          <w:rFonts w:ascii="Times New Roman" w:hAnsi="Times New Roman" w:cs="Times New Roman"/>
          <w:sz w:val="24"/>
          <w:szCs w:val="24"/>
        </w:rPr>
        <w:t xml:space="preserve">ar </w:t>
      </w:r>
      <w:r w:rsidR="00DB5C7B">
        <w:rPr>
          <w:rFonts w:ascii="Times New Roman" w:hAnsi="Times New Roman" w:cs="Times New Roman"/>
          <w:sz w:val="24"/>
          <w:szCs w:val="24"/>
        </w:rPr>
        <w:t>Baltijas valst</w:t>
      </w:r>
      <w:r w:rsidR="00956110">
        <w:rPr>
          <w:rFonts w:ascii="Times New Roman" w:hAnsi="Times New Roman" w:cs="Times New Roman"/>
          <w:sz w:val="24"/>
          <w:szCs w:val="24"/>
        </w:rPr>
        <w:t>u elektroenerģijas sistēmu pievienošanu</w:t>
      </w:r>
      <w:r w:rsidR="00136EE9">
        <w:rPr>
          <w:rFonts w:ascii="Times New Roman" w:hAnsi="Times New Roman" w:cs="Times New Roman"/>
          <w:sz w:val="24"/>
          <w:szCs w:val="24"/>
        </w:rPr>
        <w:t>.</w:t>
      </w:r>
      <w:r>
        <w:rPr>
          <w:rFonts w:ascii="Times New Roman" w:hAnsi="Times New Roman" w:cs="Times New Roman"/>
          <w:sz w:val="24"/>
          <w:szCs w:val="24"/>
        </w:rPr>
        <w:t xml:space="preserve"> </w:t>
      </w:r>
    </w:p>
    <w:p w:rsidR="00205A09" w:rsidP="00C338E3" w14:paraId="7C3283FD" w14:textId="77777777">
      <w:pPr>
        <w:spacing w:line="360" w:lineRule="auto"/>
        <w:jc w:val="both"/>
        <w:rPr>
          <w:rFonts w:ascii="Times New Roman" w:hAnsi="Times New Roman" w:cs="Times New Roman"/>
          <w:sz w:val="24"/>
          <w:szCs w:val="24"/>
        </w:rPr>
      </w:pPr>
      <w:r>
        <w:rPr>
          <w:rFonts w:ascii="Times New Roman" w:hAnsi="Times New Roman" w:cs="Times New Roman"/>
          <w:sz w:val="24"/>
          <w:szCs w:val="24"/>
        </w:rPr>
        <w:tab/>
      </w:r>
      <w:bookmarkStart w:id="0" w:name="_GoBack"/>
      <w:r>
        <w:rPr>
          <w:rFonts w:ascii="Times New Roman" w:hAnsi="Times New Roman" w:cs="Times New Roman"/>
          <w:sz w:val="24"/>
          <w:szCs w:val="24"/>
        </w:rPr>
        <w:t xml:space="preserve">Jāuzsver, ka ieplānotā ceļa karte ir politiskas apņemšanās dokuments, kurš neuzliek juridiskus pienākumus un neaizstāj vai nelabo esošajos tiesību aktos paustos nosacījumus attiecībā uz iesaistīto pušu vai trešo pušu pienākumiem. </w:t>
      </w:r>
      <w:bookmarkEnd w:id="0"/>
    </w:p>
    <w:p w:rsidR="00874B59" w:rsidP="00C338E3" w14:paraId="38FE8D1A" w14:textId="2FAA408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Ņemot vērā to, ka ceļa karte neparedz vienošanos par konkrētu Baltijas valstu un </w:t>
      </w:r>
      <w:r w:rsidR="00956110">
        <w:rPr>
          <w:rFonts w:ascii="Times New Roman" w:hAnsi="Times New Roman" w:cs="Times New Roman"/>
          <w:sz w:val="24"/>
          <w:szCs w:val="24"/>
        </w:rPr>
        <w:t>k</w:t>
      </w:r>
      <w:r w:rsidRPr="004A1A93" w:rsidR="00956110">
        <w:rPr>
          <w:rFonts w:ascii="Times New Roman" w:hAnsi="Times New Roman" w:cs="Times New Roman"/>
          <w:sz w:val="24"/>
          <w:szCs w:val="24"/>
        </w:rPr>
        <w:t>ontinentāl</w:t>
      </w:r>
      <w:r w:rsidR="00956110">
        <w:rPr>
          <w:rFonts w:ascii="Times New Roman" w:hAnsi="Times New Roman" w:cs="Times New Roman"/>
          <w:sz w:val="24"/>
          <w:szCs w:val="24"/>
        </w:rPr>
        <w:t>ās</w:t>
      </w:r>
      <w:r w:rsidRPr="004A1A93" w:rsidR="00956110">
        <w:rPr>
          <w:rFonts w:ascii="Times New Roman" w:hAnsi="Times New Roman" w:cs="Times New Roman"/>
          <w:sz w:val="24"/>
          <w:szCs w:val="24"/>
        </w:rPr>
        <w:t xml:space="preserve"> </w:t>
      </w:r>
      <w:r w:rsidRPr="004A1A93">
        <w:rPr>
          <w:rFonts w:ascii="Times New Roman" w:hAnsi="Times New Roman" w:cs="Times New Roman"/>
          <w:sz w:val="24"/>
          <w:szCs w:val="24"/>
        </w:rPr>
        <w:t>Eirop</w:t>
      </w:r>
      <w:r w:rsidR="00956110">
        <w:rPr>
          <w:rFonts w:ascii="Times New Roman" w:hAnsi="Times New Roman" w:cs="Times New Roman"/>
          <w:sz w:val="24"/>
          <w:szCs w:val="24"/>
        </w:rPr>
        <w:t>as</w:t>
      </w:r>
      <w:r>
        <w:rPr>
          <w:rFonts w:ascii="Times New Roman" w:hAnsi="Times New Roman" w:cs="Times New Roman"/>
          <w:sz w:val="24"/>
          <w:szCs w:val="24"/>
        </w:rPr>
        <w:t xml:space="preserve"> elektrotīklu sinhronizācijas scenāriju, bet gan nosaka</w:t>
      </w:r>
      <w:r w:rsidRPr="00066586" w:rsidR="00066586">
        <w:rPr>
          <w:rFonts w:ascii="Times New Roman" w:hAnsi="Times New Roman" w:cs="Times New Roman"/>
          <w:sz w:val="24"/>
          <w:szCs w:val="24"/>
        </w:rPr>
        <w:t xml:space="preserve"> </w:t>
      </w:r>
      <w:r w:rsidR="00066586">
        <w:rPr>
          <w:rFonts w:ascii="Times New Roman" w:hAnsi="Times New Roman" w:cs="Times New Roman"/>
          <w:sz w:val="24"/>
          <w:szCs w:val="24"/>
        </w:rPr>
        <w:t>galvenos principus, kas jāievēro sinhronizācijas kontekstā, kā arī ietver</w:t>
      </w:r>
      <w:r>
        <w:rPr>
          <w:rFonts w:ascii="Times New Roman" w:hAnsi="Times New Roman" w:cs="Times New Roman"/>
          <w:sz w:val="24"/>
          <w:szCs w:val="24"/>
        </w:rPr>
        <w:t xml:space="preserve"> visu pušu apņemšanos turpināt darbu, lai</w:t>
      </w:r>
      <w:r w:rsidR="00066586">
        <w:rPr>
          <w:rFonts w:ascii="Times New Roman" w:hAnsi="Times New Roman" w:cs="Times New Roman"/>
          <w:sz w:val="24"/>
          <w:szCs w:val="24"/>
        </w:rPr>
        <w:t xml:space="preserve"> atrastu pieņemamāko risinājumu, ierosinām atbalstīt politiskās ceļa kartes (skat. pielikumā) parakstīšanu Eiropadomes, kas norisināsies š.g.</w:t>
      </w:r>
      <w:r w:rsidR="00A4452F">
        <w:rPr>
          <w:rFonts w:ascii="Times New Roman" w:hAnsi="Times New Roman" w:cs="Times New Roman"/>
          <w:sz w:val="24"/>
          <w:szCs w:val="24"/>
        </w:rPr>
        <w:t xml:space="preserve"> </w:t>
      </w:r>
      <w:r w:rsidR="00066586">
        <w:rPr>
          <w:rFonts w:ascii="Times New Roman" w:hAnsi="Times New Roman" w:cs="Times New Roman"/>
          <w:sz w:val="24"/>
          <w:szCs w:val="24"/>
        </w:rPr>
        <w:t xml:space="preserve">28.jūnijā, ietvaros. </w:t>
      </w:r>
    </w:p>
    <w:p w:rsidR="00874B59" w:rsidP="00C338E3" w14:paraId="1877F298" w14:textId="77777777">
      <w:pPr>
        <w:spacing w:line="360" w:lineRule="auto"/>
        <w:jc w:val="both"/>
        <w:rPr>
          <w:rFonts w:ascii="Times New Roman" w:hAnsi="Times New Roman" w:cs="Times New Roman"/>
          <w:sz w:val="24"/>
          <w:szCs w:val="24"/>
        </w:rPr>
      </w:pPr>
    </w:p>
    <w:p w:rsidR="000C74BF" w:rsidP="00C338E3" w14:paraId="4CA26405" w14:textId="777777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C74BF" w:rsidP="000C74BF" w14:paraId="0CE3F381" w14:textId="777777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Ministru prezidenta biedrs,</w:t>
      </w:r>
    </w:p>
    <w:p w:rsidR="000C74BF" w:rsidP="000C74BF" w14:paraId="20014D9E" w14:textId="777777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ekonomikas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A.Ašeradens</w:t>
      </w:r>
    </w:p>
    <w:p w:rsidR="000C74BF" w:rsidP="00C338E3" w14:paraId="6D0B7140" w14:textId="77777777">
      <w:pPr>
        <w:spacing w:line="360" w:lineRule="auto"/>
        <w:jc w:val="both"/>
        <w:rPr>
          <w:rFonts w:ascii="Times New Roman" w:hAnsi="Times New Roman" w:cs="Times New Roman"/>
          <w:sz w:val="24"/>
          <w:szCs w:val="24"/>
        </w:rPr>
      </w:pPr>
    </w:p>
    <w:p w:rsidR="000C74BF" w:rsidP="00C338E3" w14:paraId="6B048FB2" w14:textId="77777777">
      <w:pPr>
        <w:spacing w:line="360" w:lineRule="auto"/>
        <w:jc w:val="both"/>
        <w:rPr>
          <w:rFonts w:ascii="Times New Roman" w:hAnsi="Times New Roman" w:cs="Times New Roman"/>
          <w:sz w:val="24"/>
          <w:szCs w:val="24"/>
        </w:rPr>
      </w:pPr>
    </w:p>
    <w:p w:rsidR="000C74BF" w:rsidP="00C338E3" w14:paraId="29098BCA" w14:textId="77777777">
      <w:pPr>
        <w:spacing w:line="360" w:lineRule="auto"/>
        <w:jc w:val="both"/>
        <w:rPr>
          <w:rFonts w:ascii="Times New Roman" w:hAnsi="Times New Roman" w:cs="Times New Roman"/>
          <w:sz w:val="24"/>
          <w:szCs w:val="24"/>
        </w:rPr>
      </w:pPr>
      <w:r>
        <w:rPr>
          <w:rFonts w:ascii="Times New Roman" w:hAnsi="Times New Roman" w:cs="Times New Roman"/>
          <w:sz w:val="24"/>
          <w:szCs w:val="24"/>
        </w:rPr>
        <w:t>Valsts sekretārs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Ē.Eglītis</w:t>
      </w:r>
    </w:p>
    <w:p w:rsidR="000C74BF" w:rsidRPr="000C74BF" w:rsidP="00C338E3" w14:paraId="4E9F3EA2" w14:textId="4CB4D6F0">
      <w:pPr>
        <w:spacing w:line="360" w:lineRule="auto"/>
        <w:jc w:val="both"/>
        <w:rPr>
          <w:rFonts w:ascii="Times New Roman" w:hAnsi="Times New Roman" w:cs="Times New Roman"/>
          <w:sz w:val="16"/>
          <w:szCs w:val="16"/>
        </w:rPr>
      </w:pPr>
    </w:p>
    <w:p w:rsidR="000C74BF" w:rsidRPr="000C74BF" w:rsidP="000C74BF" w14:paraId="4E32BDFE" w14:textId="77777777">
      <w:pPr>
        <w:spacing w:after="0" w:line="240" w:lineRule="auto"/>
        <w:jc w:val="both"/>
        <w:rPr>
          <w:rFonts w:ascii="Times New Roman" w:hAnsi="Times New Roman" w:cs="Times New Roman"/>
          <w:sz w:val="16"/>
          <w:szCs w:val="16"/>
        </w:rPr>
      </w:pPr>
      <w:r w:rsidRPr="000C74BF">
        <w:rPr>
          <w:rFonts w:ascii="Times New Roman" w:hAnsi="Times New Roman" w:cs="Times New Roman"/>
          <w:sz w:val="16"/>
          <w:szCs w:val="16"/>
        </w:rPr>
        <w:t>Rozentāle L., 67013046</w:t>
      </w:r>
    </w:p>
    <w:p w:rsidR="00136EE9" w:rsidRPr="00066586" w:rsidP="00066586" w14:paraId="0BAF9DC1" w14:textId="77777777">
      <w:pPr>
        <w:spacing w:after="0" w:line="240" w:lineRule="auto"/>
        <w:jc w:val="both"/>
        <w:rPr>
          <w:rFonts w:ascii="Times New Roman" w:hAnsi="Times New Roman" w:cs="Times New Roman"/>
          <w:sz w:val="16"/>
          <w:szCs w:val="16"/>
        </w:rPr>
      </w:pPr>
      <w:r>
        <w:fldChar w:fldCharType="begin"/>
      </w:r>
      <w:r>
        <w:instrText xml:space="preserve"> HYPERLINK "mailto:Liga.Rozentāle@em.gov.lv" </w:instrText>
      </w:r>
      <w:r>
        <w:fldChar w:fldCharType="separate"/>
      </w:r>
      <w:r w:rsidRPr="000C74BF" w:rsidR="000C74BF">
        <w:rPr>
          <w:rStyle w:val="Hyperlink"/>
          <w:rFonts w:ascii="Times New Roman" w:hAnsi="Times New Roman" w:cs="Times New Roman"/>
          <w:sz w:val="16"/>
          <w:szCs w:val="16"/>
        </w:rPr>
        <w:t>Liga.Rozentāle@em.gov.lv</w:t>
      </w:r>
      <w:r>
        <w:fldChar w:fldCharType="end"/>
      </w:r>
    </w:p>
    <w:sectPr w:rsidSect="00166447">
      <w:footerReference w:type="default" r:id="rId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86172884"/>
      <w:docPartObj>
        <w:docPartGallery w:val="Page Numbers (Bottom of Page)"/>
        <w:docPartUnique/>
      </w:docPartObj>
    </w:sdtPr>
    <w:sdtEndPr>
      <w:rPr>
        <w:noProof/>
      </w:rPr>
    </w:sdtEndPr>
    <w:sdtContent>
      <w:p w:rsidR="00C338E3" w14:paraId="011F5D1B" w14:textId="21B2E8E1">
        <w:pPr>
          <w:pStyle w:val="Footer"/>
          <w:jc w:val="right"/>
        </w:pPr>
        <w:r>
          <w:fldChar w:fldCharType="begin"/>
        </w:r>
        <w:r>
          <w:instrText xml:space="preserve"> PAGE   \* MERGEFORMAT </w:instrText>
        </w:r>
        <w:r>
          <w:fldChar w:fldCharType="separate"/>
        </w:r>
        <w:r w:rsidR="005423B1">
          <w:rPr>
            <w:noProof/>
          </w:rPr>
          <w:t>6</w:t>
        </w:r>
        <w:r>
          <w:rPr>
            <w:noProof/>
          </w:rPr>
          <w:fldChar w:fldCharType="end"/>
        </w:r>
      </w:p>
    </w:sdtContent>
  </w:sdt>
  <w:p w:rsidR="00C338E3" w:rsidRPr="00C338E3" w14:paraId="2B439314" w14:textId="4FCE0F65">
    <w:pPr>
      <w:pStyle w:val="Footer"/>
      <w:rPr>
        <w:rFonts w:ascii="Times New Roman" w:hAnsi="Times New Roman" w:cs="Times New Roman"/>
        <w:sz w:val="20"/>
        <w:szCs w:val="20"/>
      </w:rPr>
    </w:pPr>
    <w:r w:rsidRPr="00C338E3">
      <w:rPr>
        <w:rFonts w:ascii="Times New Roman" w:hAnsi="Times New Roman" w:cs="Times New Roman"/>
        <w:sz w:val="20"/>
        <w:szCs w:val="20"/>
      </w:rPr>
      <w:t>EMzino__</w:t>
    </w:r>
    <w:r w:rsidR="00A4452F">
      <w:rPr>
        <w:rFonts w:ascii="Times New Roman" w:hAnsi="Times New Roman" w:cs="Times New Roman"/>
        <w:sz w:val="20"/>
        <w:szCs w:val="20"/>
      </w:rPr>
      <w:t>22</w:t>
    </w:r>
    <w:r w:rsidRPr="00C338E3">
      <w:rPr>
        <w:rFonts w:ascii="Times New Roman" w:hAnsi="Times New Roman" w:cs="Times New Roman"/>
        <w:sz w:val="20"/>
        <w:szCs w:val="20"/>
      </w:rPr>
      <w:t>0618</w:t>
    </w:r>
    <w:r>
      <w:rPr>
        <w:rFonts w:ascii="Times New Roman" w:hAnsi="Times New Roman" w:cs="Times New Roman"/>
        <w:sz w:val="20"/>
        <w:szCs w:val="20"/>
      </w:rPr>
      <w:t xml:space="preserve">; </w:t>
    </w:r>
    <w:r w:rsidRPr="00C338E3">
      <w:rPr>
        <w:rFonts w:ascii="Times New Roman" w:hAnsi="Times New Roman" w:cs="Times New Roman"/>
        <w:sz w:val="20"/>
        <w:szCs w:val="20"/>
      </w:rPr>
      <w:t>Informatīvais ziņojums “Par Baltijas valstu elektrotīklu sinhronizāciju ar Eiropas elektrotīkliem”</w:t>
    </w:r>
    <w:r>
      <w:rPr>
        <w:rFonts w:ascii="Times New Roman" w:hAnsi="Times New Roman" w:cs="Times New Roman"/>
        <w:sz w:val="20"/>
        <w:szCs w:val="20"/>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5FB7500"/>
    <w:multiLevelType w:val="hybridMultilevel"/>
    <w:tmpl w:val="C0F4083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49EF2642"/>
    <w:multiLevelType w:val="hybridMultilevel"/>
    <w:tmpl w:val="FB663BC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4D5D2667"/>
    <w:multiLevelType w:val="hybridMultilevel"/>
    <w:tmpl w:val="148EFE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6A0213B4"/>
    <w:multiLevelType w:val="hybridMultilevel"/>
    <w:tmpl w:val="2E26C52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E3C"/>
    <w:rsid w:val="00010EE6"/>
    <w:rsid w:val="00025E3C"/>
    <w:rsid w:val="000651F1"/>
    <w:rsid w:val="00066586"/>
    <w:rsid w:val="000B6FEE"/>
    <w:rsid w:val="000C259E"/>
    <w:rsid w:val="000C5B87"/>
    <w:rsid w:val="000C74BF"/>
    <w:rsid w:val="000E5B08"/>
    <w:rsid w:val="00113938"/>
    <w:rsid w:val="00136EE9"/>
    <w:rsid w:val="00161B24"/>
    <w:rsid w:val="00166447"/>
    <w:rsid w:val="001B7C69"/>
    <w:rsid w:val="001E1F36"/>
    <w:rsid w:val="00205A09"/>
    <w:rsid w:val="00231145"/>
    <w:rsid w:val="002A0CB2"/>
    <w:rsid w:val="002A1AE4"/>
    <w:rsid w:val="00313BB2"/>
    <w:rsid w:val="003A1E08"/>
    <w:rsid w:val="00471753"/>
    <w:rsid w:val="004A1A93"/>
    <w:rsid w:val="004D3488"/>
    <w:rsid w:val="005115C5"/>
    <w:rsid w:val="005423B1"/>
    <w:rsid w:val="00556331"/>
    <w:rsid w:val="00571356"/>
    <w:rsid w:val="005B3A9C"/>
    <w:rsid w:val="005B724C"/>
    <w:rsid w:val="005D2E28"/>
    <w:rsid w:val="006069FA"/>
    <w:rsid w:val="00655704"/>
    <w:rsid w:val="006B46CA"/>
    <w:rsid w:val="00724E3C"/>
    <w:rsid w:val="0075242A"/>
    <w:rsid w:val="007638FC"/>
    <w:rsid w:val="00775252"/>
    <w:rsid w:val="00842AAC"/>
    <w:rsid w:val="00874B59"/>
    <w:rsid w:val="00890016"/>
    <w:rsid w:val="008F30D4"/>
    <w:rsid w:val="00916CBE"/>
    <w:rsid w:val="00935269"/>
    <w:rsid w:val="009546BE"/>
    <w:rsid w:val="00956110"/>
    <w:rsid w:val="009A3530"/>
    <w:rsid w:val="009A6719"/>
    <w:rsid w:val="009B7542"/>
    <w:rsid w:val="009E7B96"/>
    <w:rsid w:val="00A158E2"/>
    <w:rsid w:val="00A176C7"/>
    <w:rsid w:val="00A4452F"/>
    <w:rsid w:val="00A659E6"/>
    <w:rsid w:val="00A71A96"/>
    <w:rsid w:val="00A9022D"/>
    <w:rsid w:val="00B104BA"/>
    <w:rsid w:val="00B84F8A"/>
    <w:rsid w:val="00BA238D"/>
    <w:rsid w:val="00BF3F08"/>
    <w:rsid w:val="00C138B9"/>
    <w:rsid w:val="00C338E3"/>
    <w:rsid w:val="00C77711"/>
    <w:rsid w:val="00C974BB"/>
    <w:rsid w:val="00CA667A"/>
    <w:rsid w:val="00D1402F"/>
    <w:rsid w:val="00D70D73"/>
    <w:rsid w:val="00DA0DB1"/>
    <w:rsid w:val="00DB5C7B"/>
    <w:rsid w:val="00DC208D"/>
    <w:rsid w:val="00DC3DD1"/>
    <w:rsid w:val="00DF7FC4"/>
    <w:rsid w:val="00E21BD1"/>
    <w:rsid w:val="00E66E9C"/>
    <w:rsid w:val="00E92A57"/>
    <w:rsid w:val="00EA0C4D"/>
    <w:rsid w:val="00EA7211"/>
    <w:rsid w:val="00ED7083"/>
    <w:rsid w:val="00F33F6C"/>
    <w:rsid w:val="00F60160"/>
    <w:rsid w:val="00F9018D"/>
    <w:rsid w:val="00FE189A"/>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AD3A900E-F59B-4231-A6E1-13F51719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B87"/>
    <w:pPr>
      <w:ind w:left="720"/>
      <w:contextualSpacing/>
    </w:pPr>
  </w:style>
  <w:style w:type="paragraph" w:styleId="Header">
    <w:name w:val="header"/>
    <w:basedOn w:val="Normal"/>
    <w:link w:val="HeaderChar"/>
    <w:uiPriority w:val="99"/>
    <w:unhideWhenUsed/>
    <w:rsid w:val="00C338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338E3"/>
  </w:style>
  <w:style w:type="paragraph" w:styleId="Footer">
    <w:name w:val="footer"/>
    <w:basedOn w:val="Normal"/>
    <w:link w:val="FooterChar"/>
    <w:uiPriority w:val="99"/>
    <w:unhideWhenUsed/>
    <w:rsid w:val="00C338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38E3"/>
  </w:style>
  <w:style w:type="character" w:styleId="Hyperlink">
    <w:name w:val="Hyperlink"/>
    <w:basedOn w:val="DefaultParagraphFont"/>
    <w:uiPriority w:val="99"/>
    <w:unhideWhenUsed/>
    <w:rsid w:val="000C74BF"/>
    <w:rPr>
      <w:color w:val="0563C1" w:themeColor="hyperlink"/>
      <w:u w:val="single"/>
    </w:rPr>
  </w:style>
  <w:style w:type="character" w:customStyle="1" w:styleId="UnresolvedMention1">
    <w:name w:val="Unresolved Mention1"/>
    <w:basedOn w:val="DefaultParagraphFont"/>
    <w:uiPriority w:val="99"/>
    <w:semiHidden/>
    <w:unhideWhenUsed/>
    <w:rsid w:val="000C74BF"/>
    <w:rPr>
      <w:color w:val="808080"/>
      <w:shd w:val="clear" w:color="auto" w:fill="E6E6E6"/>
    </w:rPr>
  </w:style>
  <w:style w:type="character" w:styleId="CommentReference">
    <w:name w:val="annotation reference"/>
    <w:basedOn w:val="DefaultParagraphFont"/>
    <w:uiPriority w:val="99"/>
    <w:semiHidden/>
    <w:unhideWhenUsed/>
    <w:rsid w:val="000E5B08"/>
    <w:rPr>
      <w:sz w:val="16"/>
      <w:szCs w:val="16"/>
    </w:rPr>
  </w:style>
  <w:style w:type="paragraph" w:styleId="CommentText">
    <w:name w:val="annotation text"/>
    <w:basedOn w:val="Normal"/>
    <w:link w:val="CommentTextChar"/>
    <w:uiPriority w:val="99"/>
    <w:semiHidden/>
    <w:unhideWhenUsed/>
    <w:rsid w:val="000E5B08"/>
    <w:pPr>
      <w:spacing w:line="240" w:lineRule="auto"/>
    </w:pPr>
    <w:rPr>
      <w:sz w:val="20"/>
      <w:szCs w:val="20"/>
    </w:rPr>
  </w:style>
  <w:style w:type="character" w:customStyle="1" w:styleId="CommentTextChar">
    <w:name w:val="Comment Text Char"/>
    <w:basedOn w:val="DefaultParagraphFont"/>
    <w:link w:val="CommentText"/>
    <w:uiPriority w:val="99"/>
    <w:semiHidden/>
    <w:rsid w:val="000E5B08"/>
    <w:rPr>
      <w:sz w:val="20"/>
      <w:szCs w:val="20"/>
    </w:rPr>
  </w:style>
  <w:style w:type="paragraph" w:styleId="CommentSubject">
    <w:name w:val="annotation subject"/>
    <w:basedOn w:val="CommentText"/>
    <w:next w:val="CommentText"/>
    <w:link w:val="CommentSubjectChar"/>
    <w:uiPriority w:val="99"/>
    <w:semiHidden/>
    <w:unhideWhenUsed/>
    <w:rsid w:val="000E5B08"/>
    <w:rPr>
      <w:b/>
      <w:bCs/>
    </w:rPr>
  </w:style>
  <w:style w:type="character" w:customStyle="1" w:styleId="CommentSubjectChar">
    <w:name w:val="Comment Subject Char"/>
    <w:basedOn w:val="CommentTextChar"/>
    <w:link w:val="CommentSubject"/>
    <w:uiPriority w:val="99"/>
    <w:semiHidden/>
    <w:rsid w:val="000E5B08"/>
    <w:rPr>
      <w:b/>
      <w:bCs/>
      <w:sz w:val="20"/>
      <w:szCs w:val="20"/>
    </w:rPr>
  </w:style>
  <w:style w:type="paragraph" w:styleId="BalloonText">
    <w:name w:val="Balloon Text"/>
    <w:basedOn w:val="Normal"/>
    <w:link w:val="BalloonTextChar"/>
    <w:uiPriority w:val="99"/>
    <w:semiHidden/>
    <w:unhideWhenUsed/>
    <w:rsid w:val="000E5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B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2369E-A485-4F6A-A382-3886809B5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2127</Words>
  <Characters>12126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Rozentāle</dc:creator>
  <cp:lastModifiedBy>Daira Armane</cp:lastModifiedBy>
  <cp:revision>5</cp:revision>
  <dcterms:created xsi:type="dcterms:W3CDTF">2018-06-22T07:45:00Z</dcterms:created>
  <dcterms:modified xsi:type="dcterms:W3CDTF">2018-06-22T09:10:00Z</dcterms:modified>
</cp:coreProperties>
</file>