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35" w:rsidRDefault="00A9631C" w:rsidP="00A9631C">
      <w:pPr>
        <w:spacing w:after="0" w:line="240" w:lineRule="auto"/>
        <w:ind w:left="720"/>
        <w:jc w:val="center"/>
        <w:rPr>
          <w:rFonts w:ascii="Times New Roman" w:hAnsi="Times New Roman" w:cs="Times New Roman"/>
          <w:b/>
          <w:sz w:val="24"/>
          <w:szCs w:val="24"/>
        </w:rPr>
      </w:pPr>
      <w:r w:rsidRPr="00C76935">
        <w:rPr>
          <w:rFonts w:ascii="Times New Roman" w:hAnsi="Times New Roman" w:cs="Times New Roman"/>
          <w:b/>
          <w:sz w:val="24"/>
          <w:szCs w:val="24"/>
        </w:rPr>
        <w:t xml:space="preserve">Ministru kabineta rīkojuma projekta </w:t>
      </w:r>
    </w:p>
    <w:p w:rsidR="00C76935" w:rsidRDefault="00A9631C" w:rsidP="00A9631C">
      <w:pPr>
        <w:spacing w:after="0" w:line="240" w:lineRule="auto"/>
        <w:ind w:left="720"/>
        <w:jc w:val="center"/>
        <w:rPr>
          <w:rFonts w:ascii="Times New Roman" w:hAnsi="Times New Roman" w:cs="Times New Roman"/>
          <w:b/>
          <w:sz w:val="24"/>
          <w:szCs w:val="24"/>
        </w:rPr>
      </w:pPr>
      <w:r w:rsidRPr="00C76935">
        <w:rPr>
          <w:rFonts w:ascii="Times New Roman" w:hAnsi="Times New Roman" w:cs="Times New Roman"/>
          <w:b/>
          <w:sz w:val="24"/>
          <w:szCs w:val="24"/>
        </w:rPr>
        <w:t>„</w:t>
      </w:r>
      <w:r w:rsidRPr="00C76935">
        <w:rPr>
          <w:rFonts w:ascii="Times New Roman" w:eastAsia="Times New Roman" w:hAnsi="Times New Roman" w:cs="Times New Roman"/>
          <w:b/>
          <w:bCs/>
          <w:sz w:val="24"/>
          <w:szCs w:val="24"/>
          <w:lang w:eastAsia="lv-LV"/>
        </w:rPr>
        <w:t xml:space="preserve">Par </w:t>
      </w:r>
      <w:r w:rsidRPr="00C76935">
        <w:rPr>
          <w:rFonts w:ascii="Times New Roman" w:eastAsia="Times New Roman" w:hAnsi="Times New Roman" w:cs="Times New Roman"/>
          <w:b/>
          <w:sz w:val="24"/>
          <w:szCs w:val="24"/>
          <w:lang w:eastAsia="lv-LV"/>
        </w:rPr>
        <w:t>akciju sabiedrības “Augstsprieguma tīkls”  vispārējo stratēģisko mērķi</w:t>
      </w:r>
      <w:r w:rsidRPr="00C76935">
        <w:rPr>
          <w:rFonts w:ascii="Times New Roman" w:hAnsi="Times New Roman" w:cs="Times New Roman"/>
          <w:b/>
          <w:sz w:val="24"/>
          <w:szCs w:val="24"/>
        </w:rPr>
        <w:t xml:space="preserve">” </w:t>
      </w:r>
    </w:p>
    <w:p w:rsidR="00A9631C" w:rsidRPr="00C76935" w:rsidRDefault="00A9631C" w:rsidP="00A9631C">
      <w:pPr>
        <w:spacing w:after="0" w:line="240" w:lineRule="auto"/>
        <w:ind w:left="720"/>
        <w:jc w:val="center"/>
        <w:rPr>
          <w:rFonts w:ascii="Times New Roman" w:hAnsi="Times New Roman" w:cs="Times New Roman"/>
          <w:b/>
          <w:bCs/>
          <w:sz w:val="24"/>
          <w:szCs w:val="24"/>
        </w:rPr>
      </w:pPr>
      <w:r w:rsidRPr="00C76935">
        <w:rPr>
          <w:rFonts w:ascii="Times New Roman" w:hAnsi="Times New Roman" w:cs="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C76935">
          <w:rPr>
            <w:rFonts w:ascii="Times New Roman" w:hAnsi="Times New Roman" w:cs="Times New Roman"/>
            <w:b/>
            <w:sz w:val="24"/>
            <w:szCs w:val="24"/>
          </w:rPr>
          <w:t>ziņojums</w:t>
        </w:r>
      </w:smartTag>
      <w:r w:rsidRPr="00C76935">
        <w:rPr>
          <w:rFonts w:ascii="Times New Roman" w:hAnsi="Times New Roman" w:cs="Times New Roman"/>
          <w:b/>
          <w:sz w:val="24"/>
          <w:szCs w:val="24"/>
        </w:rPr>
        <w:t xml:space="preserve"> (anotācija)</w:t>
      </w:r>
    </w:p>
    <w:p w:rsidR="00B91227" w:rsidRPr="00C76935" w:rsidRDefault="00B91227" w:rsidP="00B91227">
      <w:pPr>
        <w:pStyle w:val="Title"/>
        <w:spacing w:line="240" w:lineRule="auto"/>
        <w:ind w:left="0"/>
        <w:outlineLvl w:val="0"/>
        <w:rPr>
          <w:bCs w:val="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91227" w:rsidRPr="00C7693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
                <w:bCs/>
                <w:iCs/>
                <w:color w:val="000000" w:themeColor="text1"/>
                <w:sz w:val="24"/>
                <w:szCs w:val="24"/>
                <w:lang w:eastAsia="lv-LV"/>
              </w:rPr>
              <w:t>Tiesību akta projekta anotācijas kopsavilkums</w:t>
            </w:r>
          </w:p>
        </w:tc>
      </w:tr>
      <w:tr w:rsidR="00B91227" w:rsidRPr="00C76935" w:rsidTr="00A9631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E5323B" w:rsidRPr="00C76935" w:rsidRDefault="00C76935" w:rsidP="00C76935">
            <w:pPr>
              <w:spacing w:after="0" w:line="240" w:lineRule="auto"/>
              <w:ind w:right="54"/>
              <w:jc w:val="both"/>
              <w:rPr>
                <w:rFonts w:ascii="Times New Roman" w:eastAsia="Times New Roman" w:hAnsi="Times New Roman" w:cs="Times New Roman"/>
                <w:iCs/>
                <w:color w:val="000000" w:themeColor="text1"/>
                <w:sz w:val="24"/>
                <w:szCs w:val="24"/>
                <w:lang w:eastAsia="lv-LV"/>
              </w:rPr>
            </w:pPr>
            <w:r w:rsidRPr="00A97B46">
              <w:rPr>
                <w:rFonts w:ascii="Times New Roman" w:hAnsi="Times New Roman" w:cs="Times New Roman"/>
                <w:sz w:val="24"/>
                <w:szCs w:val="24"/>
                <w:shd w:val="clear" w:color="auto" w:fill="FFFFFF"/>
              </w:rPr>
              <w:t>Projekts šo jomu neskar.</w:t>
            </w:r>
          </w:p>
        </w:tc>
      </w:tr>
    </w:tbl>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291"/>
        <w:gridCol w:w="5077"/>
      </w:tblGrid>
      <w:tr w:rsidR="00B91227" w:rsidRPr="00C76935" w:rsidTr="0083113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91227" w:rsidRPr="00C76935" w:rsidTr="00D665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1.</w:t>
            </w:r>
          </w:p>
        </w:tc>
        <w:tc>
          <w:tcPr>
            <w:tcW w:w="1839"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Pamatojums</w:t>
            </w:r>
          </w:p>
        </w:tc>
        <w:tc>
          <w:tcPr>
            <w:tcW w:w="2806" w:type="pct"/>
            <w:tcBorders>
              <w:top w:val="outset" w:sz="6" w:space="0" w:color="auto"/>
              <w:left w:val="outset" w:sz="6" w:space="0" w:color="auto"/>
              <w:bottom w:val="outset" w:sz="6" w:space="0" w:color="auto"/>
              <w:right w:val="outset" w:sz="6" w:space="0" w:color="auto"/>
            </w:tcBorders>
            <w:hideMark/>
          </w:tcPr>
          <w:p w:rsidR="005866DD" w:rsidRPr="00C76935" w:rsidRDefault="005866DD" w:rsidP="005866DD">
            <w:pPr>
              <w:pStyle w:val="NoSpacing"/>
              <w:jc w:val="both"/>
              <w:rPr>
                <w:rFonts w:ascii="Times New Roman" w:hAnsi="Times New Roman" w:cs="Times New Roman"/>
                <w:sz w:val="24"/>
                <w:szCs w:val="24"/>
              </w:rPr>
            </w:pPr>
            <w:r w:rsidRPr="00C76935">
              <w:rPr>
                <w:rFonts w:ascii="Times New Roman" w:hAnsi="Times New Roman" w:cs="Times New Roman"/>
                <w:sz w:val="24"/>
                <w:szCs w:val="24"/>
              </w:rPr>
              <w:t xml:space="preserve">     Atbilstoši Ministru prezidenta 2018</w:t>
            </w:r>
            <w:r w:rsidR="007B4D70">
              <w:rPr>
                <w:rFonts w:ascii="Times New Roman" w:hAnsi="Times New Roman" w:cs="Times New Roman"/>
                <w:sz w:val="24"/>
                <w:szCs w:val="24"/>
              </w:rPr>
              <w:t>.gada 19.aprīļa rezolūcijai Nr.</w:t>
            </w:r>
            <w:r w:rsidRPr="00C76935">
              <w:rPr>
                <w:rFonts w:ascii="Times New Roman" w:hAnsi="Times New Roman" w:cs="Times New Roman"/>
                <w:sz w:val="24"/>
                <w:szCs w:val="24"/>
              </w:rPr>
              <w:t xml:space="preserve">90/TA-711-IP Finanšu ministrijai uzdots sagatavot un divu mēnešu laikā iesniegt Ministru kabinetā tiesību akta projektu par akciju sabiedrības "Augstsprieguma tīkls" (turpmāk - AST) vispārējo stratēģisko mērķi. </w:t>
            </w:r>
          </w:p>
          <w:p w:rsidR="005866DD" w:rsidRPr="00C76935" w:rsidRDefault="005866DD" w:rsidP="005866DD">
            <w:pPr>
              <w:pStyle w:val="NoSpacing"/>
              <w:jc w:val="both"/>
              <w:rPr>
                <w:rFonts w:ascii="Times New Roman" w:hAnsi="Times New Roman" w:cs="Times New Roman"/>
                <w:sz w:val="24"/>
                <w:szCs w:val="24"/>
              </w:rPr>
            </w:pPr>
            <w:r w:rsidRPr="00C76935">
              <w:rPr>
                <w:rFonts w:ascii="Times New Roman" w:hAnsi="Times New Roman" w:cs="Times New Roman"/>
                <w:bCs/>
                <w:sz w:val="24"/>
                <w:szCs w:val="24"/>
              </w:rPr>
              <w:t xml:space="preserve">      Saskaņā ar </w:t>
            </w:r>
            <w:r w:rsidRPr="00C76935">
              <w:rPr>
                <w:rFonts w:ascii="Times New Roman" w:hAnsi="Times New Roman" w:cs="Times New Roman"/>
                <w:sz w:val="24"/>
                <w:szCs w:val="24"/>
              </w:rPr>
              <w:t>Publiskas</w:t>
            </w:r>
            <w:r w:rsidRPr="00C76935">
              <w:rPr>
                <w:rFonts w:ascii="Times New Roman" w:hAnsi="Times New Roman" w:cs="Times New Roman"/>
                <w:bCs/>
                <w:sz w:val="24"/>
                <w:szCs w:val="24"/>
              </w:rPr>
              <w:t xml:space="preserve"> personas kapitāla daļu un kapitālsabiedrību pārvaldības likuma (turpmāk – Likums) 1.panta pirmās daļas 18.punktu </w:t>
            </w:r>
            <w:r w:rsidRPr="00C76935">
              <w:rPr>
                <w:rFonts w:ascii="Times New Roman" w:hAnsi="Times New Roman" w:cs="Times New Roman"/>
                <w:sz w:val="24"/>
                <w:szCs w:val="24"/>
              </w:rPr>
              <w:t xml:space="preserve"> </w:t>
            </w:r>
            <w:r w:rsidRPr="00C76935">
              <w:rPr>
                <w:rFonts w:ascii="Times New Roman" w:hAnsi="Times New Roman" w:cs="Times New Roman"/>
                <w:bCs/>
                <w:sz w:val="24"/>
                <w:szCs w:val="24"/>
              </w:rPr>
              <w:t>vispārējie stratēģiskie mērķi ir publiskas personas augstākās lēmējinstitūcijas noteikti kapitālsabiedrības mērķi, kurus publiska persona vēlas sasniegt ar līdzdalību kapitālsabiedrībā un kuri izriet no tiesību aktiem un politikas p</w:t>
            </w:r>
            <w:r w:rsidR="007B4D70">
              <w:rPr>
                <w:rFonts w:ascii="Times New Roman" w:hAnsi="Times New Roman" w:cs="Times New Roman"/>
                <w:bCs/>
                <w:sz w:val="24"/>
                <w:szCs w:val="24"/>
              </w:rPr>
              <w:t>lānošanas dokumentiem. Savukārt</w:t>
            </w:r>
            <w:r w:rsidRPr="00C76935">
              <w:rPr>
                <w:rFonts w:ascii="Times New Roman" w:hAnsi="Times New Roman" w:cs="Times New Roman"/>
                <w:bCs/>
                <w:sz w:val="24"/>
                <w:szCs w:val="24"/>
              </w:rPr>
              <w:t xml:space="preserve"> atbilstoši L</w:t>
            </w:r>
            <w:r w:rsidRPr="00C76935">
              <w:rPr>
                <w:rFonts w:ascii="Times New Roman" w:hAnsi="Times New Roman" w:cs="Times New Roman"/>
                <w:sz w:val="24"/>
                <w:szCs w:val="24"/>
              </w:rPr>
              <w:t xml:space="preserve">ikuma </w:t>
            </w:r>
            <w:r w:rsidRPr="00C76935">
              <w:rPr>
                <w:rFonts w:ascii="Times New Roman" w:hAnsi="Times New Roman" w:cs="Times New Roman"/>
                <w:bCs/>
                <w:sz w:val="24"/>
                <w:szCs w:val="24"/>
              </w:rPr>
              <w:t>1.panta pirmās daļas 14.punkta “a” apakšpunktam publiskas personas augstākā lēmējinstitūcija</w:t>
            </w:r>
            <w:r w:rsidRPr="00C76935">
              <w:rPr>
                <w:rFonts w:ascii="Times New Roman" w:hAnsi="Times New Roman" w:cs="Times New Roman"/>
                <w:sz w:val="24"/>
                <w:szCs w:val="24"/>
              </w:rPr>
              <w:t xml:space="preserve"> attiecībā uz valsts kapitāla daļu un kapitālsabiedrību pārvaldību ir Ministru kabinets. </w:t>
            </w:r>
          </w:p>
          <w:p w:rsidR="00E5323B" w:rsidRPr="00C76935" w:rsidRDefault="005866DD" w:rsidP="005866DD">
            <w:pPr>
              <w:pStyle w:val="NoSpacing"/>
              <w:jc w:val="both"/>
              <w:rPr>
                <w:rFonts w:ascii="Times New Roman" w:eastAsia="Times New Roman" w:hAnsi="Times New Roman" w:cs="Times New Roman"/>
                <w:iCs/>
                <w:color w:val="000000" w:themeColor="text1"/>
                <w:sz w:val="24"/>
                <w:szCs w:val="24"/>
                <w:lang w:eastAsia="lv-LV"/>
              </w:rPr>
            </w:pPr>
            <w:r w:rsidRPr="00C76935">
              <w:rPr>
                <w:rFonts w:ascii="Times New Roman" w:hAnsi="Times New Roman" w:cs="Times New Roman"/>
                <w:sz w:val="24"/>
                <w:szCs w:val="24"/>
              </w:rPr>
              <w:t xml:space="preserve">       Ņemot vērā minēto, ir sagatavots attiecīgs Ministru kabineta rīkojuma projekts.</w:t>
            </w:r>
          </w:p>
        </w:tc>
      </w:tr>
      <w:tr w:rsidR="00B91227" w:rsidRPr="00C76935" w:rsidTr="00D665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2.</w:t>
            </w:r>
          </w:p>
        </w:tc>
        <w:tc>
          <w:tcPr>
            <w:tcW w:w="1839" w:type="pct"/>
            <w:tcBorders>
              <w:top w:val="outset" w:sz="6" w:space="0" w:color="auto"/>
              <w:left w:val="outset" w:sz="6" w:space="0" w:color="auto"/>
              <w:bottom w:val="outset" w:sz="6" w:space="0" w:color="auto"/>
              <w:right w:val="outset" w:sz="6" w:space="0" w:color="auto"/>
            </w:tcBorders>
            <w:hideMark/>
          </w:tcPr>
          <w:p w:rsidR="004A1EA6"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4A1EA6" w:rsidRPr="00C76935" w:rsidRDefault="004A1EA6" w:rsidP="004A1EA6">
            <w:pPr>
              <w:rPr>
                <w:rFonts w:ascii="Times New Roman" w:eastAsia="Times New Roman" w:hAnsi="Times New Roman" w:cs="Times New Roman"/>
                <w:sz w:val="24"/>
                <w:szCs w:val="24"/>
                <w:lang w:eastAsia="lv-LV"/>
              </w:rPr>
            </w:pPr>
          </w:p>
          <w:p w:rsidR="00E5323B" w:rsidRPr="00C76935" w:rsidRDefault="004A1EA6" w:rsidP="004A1EA6">
            <w:pPr>
              <w:tabs>
                <w:tab w:val="left" w:pos="945"/>
              </w:tabs>
              <w:rPr>
                <w:rFonts w:ascii="Times New Roman" w:eastAsia="Times New Roman" w:hAnsi="Times New Roman" w:cs="Times New Roman"/>
                <w:sz w:val="24"/>
                <w:szCs w:val="24"/>
                <w:lang w:eastAsia="lv-LV"/>
              </w:rPr>
            </w:pPr>
            <w:r w:rsidRPr="00C76935">
              <w:rPr>
                <w:rFonts w:ascii="Times New Roman" w:eastAsia="Times New Roman" w:hAnsi="Times New Roman" w:cs="Times New Roman"/>
                <w:sz w:val="24"/>
                <w:szCs w:val="24"/>
                <w:lang w:eastAsia="lv-LV"/>
              </w:rPr>
              <w:tab/>
            </w:r>
          </w:p>
        </w:tc>
        <w:tc>
          <w:tcPr>
            <w:tcW w:w="2806" w:type="pct"/>
            <w:tcBorders>
              <w:top w:val="outset" w:sz="6" w:space="0" w:color="auto"/>
              <w:left w:val="outset" w:sz="6" w:space="0" w:color="auto"/>
              <w:bottom w:val="outset" w:sz="6" w:space="0" w:color="auto"/>
              <w:right w:val="outset" w:sz="6" w:space="0" w:color="auto"/>
            </w:tcBorders>
            <w:hideMark/>
          </w:tcPr>
          <w:p w:rsidR="008C7DF2" w:rsidRPr="00C76935" w:rsidRDefault="008C7DF2" w:rsidP="008C7DF2">
            <w:pPr>
              <w:spacing w:after="0" w:line="240" w:lineRule="auto"/>
              <w:ind w:firstLine="357"/>
              <w:jc w:val="both"/>
              <w:rPr>
                <w:rFonts w:ascii="Times New Roman" w:hAnsi="Times New Roman" w:cs="Times New Roman"/>
                <w:sz w:val="24"/>
                <w:szCs w:val="24"/>
              </w:rPr>
            </w:pPr>
            <w:r w:rsidRPr="00C76935">
              <w:rPr>
                <w:rFonts w:ascii="Times New Roman" w:hAnsi="Times New Roman" w:cs="Times New Roman"/>
                <w:sz w:val="24"/>
                <w:szCs w:val="24"/>
              </w:rPr>
              <w:lastRenderedPageBreak/>
              <w:t xml:space="preserve">AST ir </w:t>
            </w:r>
            <w:r w:rsidRPr="00C76935">
              <w:rPr>
                <w:rFonts w:ascii="Times New Roman" w:hAnsi="Times New Roman" w:cs="Times New Roman"/>
                <w:bCs/>
                <w:sz w:val="24"/>
                <w:szCs w:val="24"/>
              </w:rPr>
              <w:t>akciju sabiedrība</w:t>
            </w:r>
            <w:r w:rsidRPr="00C76935">
              <w:rPr>
                <w:rFonts w:ascii="Times New Roman" w:hAnsi="Times New Roman" w:cs="Times New Roman"/>
                <w:sz w:val="24"/>
                <w:szCs w:val="24"/>
              </w:rPr>
              <w:t>, kuras 100% kapitāla daļas pieder valstij Finanšu ministrijas personā, tās akcijas un tai piederošie elektroenerģijas pārvades sistēmas infrastruktūras objekti kā valstiski svarīga tautsaimniecības objekti saskaņā ar Enerģētikas likuma 20.</w:t>
            </w:r>
            <w:r w:rsidRPr="00C76935">
              <w:rPr>
                <w:rFonts w:ascii="Times New Roman" w:hAnsi="Times New Roman" w:cs="Times New Roman"/>
                <w:sz w:val="24"/>
                <w:szCs w:val="24"/>
                <w:vertAlign w:val="superscript"/>
              </w:rPr>
              <w:t>1 </w:t>
            </w:r>
            <w:r w:rsidRPr="00C76935">
              <w:rPr>
                <w:rFonts w:ascii="Times New Roman" w:hAnsi="Times New Roman" w:cs="Times New Roman"/>
                <w:sz w:val="24"/>
                <w:szCs w:val="24"/>
              </w:rPr>
              <w:t xml:space="preserve">panta ceturto daļu nav atsavināmi. AST ir reģistrēta komercreģistrā ar reģistrācijas numuru  40003575567, juridiskā adrese – </w:t>
            </w:r>
            <w:r w:rsidRPr="00C76935">
              <w:rPr>
                <w:rStyle w:val="param1"/>
                <w:rFonts w:ascii="Times New Roman" w:hAnsi="Times New Roman" w:cs="Times New Roman"/>
                <w:sz w:val="24"/>
                <w:szCs w:val="24"/>
                <w:specVanish w:val="0"/>
              </w:rPr>
              <w:t>Dārzciema iela 86, Rīga</w:t>
            </w:r>
            <w:r w:rsidRPr="00C76935">
              <w:rPr>
                <w:rFonts w:ascii="Times New Roman" w:hAnsi="Times New Roman" w:cs="Times New Roman"/>
                <w:sz w:val="24"/>
                <w:szCs w:val="24"/>
              </w:rPr>
              <w:t xml:space="preserve">, LV-1073.  </w:t>
            </w:r>
          </w:p>
          <w:p w:rsidR="008C7DF2" w:rsidRPr="00C76935" w:rsidRDefault="008C7DF2" w:rsidP="008C7DF2">
            <w:pPr>
              <w:spacing w:after="0" w:line="240" w:lineRule="auto"/>
              <w:ind w:firstLine="436"/>
              <w:jc w:val="both"/>
              <w:rPr>
                <w:rFonts w:ascii="Times New Roman" w:hAnsi="Times New Roman" w:cs="Times New Roman"/>
                <w:sz w:val="24"/>
                <w:szCs w:val="24"/>
              </w:rPr>
            </w:pPr>
            <w:r w:rsidRPr="00C76935">
              <w:rPr>
                <w:rFonts w:ascii="Times New Roman" w:hAnsi="Times New Roman" w:cs="Times New Roman"/>
                <w:sz w:val="24"/>
                <w:szCs w:val="24"/>
              </w:rPr>
              <w:t xml:space="preserve">AST ir neatkarīgs Latvijas elektroenerģijas pārvades sistēmas operators, kas nodrošina elektroenerģijas pārvades tīkla darbības un Latvijas elektroenerģijas sistēmas elektroapgādes drošumu, sniedz pārvades sistēmas pakalpojumus, balstoties uz publicētiem pārvades pakalpojuma tarifiem, veic pārvades sistēmas operatīvo vadību un nodrošina drošu, stabilu, elektroenerģijas pārvadi pārvades sistēmā. </w:t>
            </w:r>
          </w:p>
          <w:p w:rsidR="008C7DF2" w:rsidRPr="00C76935" w:rsidRDefault="008C7DF2" w:rsidP="008C7DF2">
            <w:pPr>
              <w:spacing w:after="0" w:line="240" w:lineRule="auto"/>
              <w:ind w:firstLine="567"/>
              <w:jc w:val="both"/>
              <w:rPr>
                <w:rFonts w:ascii="Times New Roman" w:hAnsi="Times New Roman" w:cs="Times New Roman"/>
                <w:sz w:val="24"/>
                <w:szCs w:val="24"/>
              </w:rPr>
            </w:pPr>
            <w:r w:rsidRPr="00C76935">
              <w:rPr>
                <w:rFonts w:ascii="Times New Roman" w:hAnsi="Times New Roman" w:cs="Times New Roman"/>
                <w:sz w:val="24"/>
                <w:szCs w:val="24"/>
              </w:rPr>
              <w:lastRenderedPageBreak/>
              <w:t xml:space="preserve">Elektroenerģijas pārvades sistēma ietver savstarpēji savienotus tīklus un iekārtas, tajā skaitā starpvalstu savienojumus, kuru spriegums ir 110 un vairāk kilovoltu un kuri tiek izmantoti elektroenerģijas pārvadei no elektroenerģijas ražotājiem līdz attiecīgajai sadales sistēmai vai lietotājiem vai citas valsts pārvades sistēmai.  </w:t>
            </w:r>
          </w:p>
          <w:p w:rsidR="008C7DF2" w:rsidRPr="00C76935" w:rsidRDefault="008C7DF2" w:rsidP="008C7DF2">
            <w:pPr>
              <w:spacing w:after="0" w:line="240" w:lineRule="auto"/>
              <w:ind w:firstLine="567"/>
              <w:jc w:val="both"/>
              <w:rPr>
                <w:rFonts w:ascii="Times New Roman" w:hAnsi="Times New Roman" w:cs="Times New Roman"/>
                <w:sz w:val="24"/>
                <w:szCs w:val="24"/>
              </w:rPr>
            </w:pPr>
            <w:r w:rsidRPr="00C76935">
              <w:rPr>
                <w:rFonts w:ascii="Times New Roman" w:hAnsi="Times New Roman" w:cs="Times New Roman"/>
                <w:sz w:val="24"/>
                <w:szCs w:val="24"/>
              </w:rPr>
              <w:t>Saskaņā ar izsniegto licenci Nr.E12001 un Elektroenerģijas tirgus likuma (turpmāk – ETL) 11. panta pirmo daļu AST ir vienīgais pārvades sistēmas operators Latvijā</w:t>
            </w:r>
            <w:r w:rsidR="007B4D70">
              <w:rPr>
                <w:rFonts w:ascii="Times New Roman" w:hAnsi="Times New Roman" w:cs="Times New Roman"/>
                <w:sz w:val="24"/>
                <w:szCs w:val="24"/>
              </w:rPr>
              <w:t>,</w:t>
            </w:r>
            <w:r w:rsidRPr="00C76935">
              <w:rPr>
                <w:rFonts w:ascii="Times New Roman" w:hAnsi="Times New Roman" w:cs="Times New Roman"/>
                <w:sz w:val="24"/>
                <w:szCs w:val="24"/>
              </w:rPr>
              <w:t xml:space="preserve"> un tā licences darbības zona ir visa Latvijas teritorija. Atbilstoši Enerģētikas likuma 5.pantam elektroenerģijas pārvade ir regulēta nozare. Attiecīgi AST, sniedzot pārvades sistēmas pakalpojumu, jāievēro likuma "Par sabiedrisko pakalpojumu regulatoriem" mērķis nodrošināt iespēju saņemt nepārtrauktus, drošus un kvalitatīvus sabiedriskos pakalpojumus (..).</w:t>
            </w:r>
          </w:p>
          <w:p w:rsidR="008C7DF2" w:rsidRPr="00C76935" w:rsidRDefault="008C7DF2" w:rsidP="008C7DF2">
            <w:pPr>
              <w:spacing w:after="0" w:line="240" w:lineRule="auto"/>
              <w:ind w:firstLine="567"/>
              <w:jc w:val="both"/>
              <w:rPr>
                <w:rFonts w:ascii="Times New Roman" w:hAnsi="Times New Roman" w:cs="Times New Roman"/>
                <w:sz w:val="24"/>
                <w:szCs w:val="24"/>
              </w:rPr>
            </w:pPr>
            <w:r w:rsidRPr="00C76935">
              <w:rPr>
                <w:rFonts w:ascii="Times New Roman" w:hAnsi="Times New Roman" w:cs="Times New Roman"/>
                <w:sz w:val="24"/>
                <w:szCs w:val="24"/>
              </w:rPr>
              <w:t>Uzņēmuma pamatdarbība ir noteikta ETL. Attiecīgi, vērtējot  ETL noteiktās AST kā pārvades sistēmas operatora funkcijas un atbildību, secināms, ka AST ir atbildīga par:</w:t>
            </w:r>
          </w:p>
          <w:p w:rsidR="008C7DF2" w:rsidRPr="00C76935" w:rsidRDefault="008C7DF2" w:rsidP="008C7DF2">
            <w:pPr>
              <w:pStyle w:val="ListParagraph"/>
              <w:numPr>
                <w:ilvl w:val="0"/>
                <w:numId w:val="3"/>
              </w:numPr>
              <w:jc w:val="both"/>
            </w:pPr>
            <w:r w:rsidRPr="00C76935">
              <w:t>elektroenerģijas pārvades sistēmas pakalpojumu sniegšanu un pārvades sistēmas balansēšanas un stabilitātes nodrošināšanu (ETL 13.panta pirmā daļa);</w:t>
            </w:r>
          </w:p>
          <w:p w:rsidR="008C7DF2" w:rsidRPr="00C76935" w:rsidRDefault="008C7DF2" w:rsidP="008C7DF2">
            <w:pPr>
              <w:pStyle w:val="ListParagraph"/>
              <w:numPr>
                <w:ilvl w:val="0"/>
                <w:numId w:val="3"/>
              </w:numPr>
              <w:jc w:val="both"/>
            </w:pPr>
            <w:r w:rsidRPr="00C76935">
              <w:t>elektroenerģijas plūsmu vadību (ETL 6.panta otrā daļa);</w:t>
            </w:r>
          </w:p>
          <w:p w:rsidR="008C7DF2" w:rsidRPr="00C76935" w:rsidRDefault="008C7DF2" w:rsidP="008C7DF2">
            <w:pPr>
              <w:pStyle w:val="ListParagraph"/>
              <w:numPr>
                <w:ilvl w:val="0"/>
                <w:numId w:val="3"/>
              </w:numPr>
              <w:jc w:val="both"/>
            </w:pPr>
            <w:r w:rsidRPr="00C76935">
              <w:t>elektroapgādes drošumu un pienācīgu pārvades tīkla jaudu un stabilu sistēmas darbību (ETL 13.panta trešā daļa);</w:t>
            </w:r>
          </w:p>
          <w:p w:rsidR="008C7DF2" w:rsidRPr="00C76935" w:rsidRDefault="008C7DF2" w:rsidP="008C7DF2">
            <w:pPr>
              <w:pStyle w:val="ListParagraph"/>
              <w:numPr>
                <w:ilvl w:val="0"/>
                <w:numId w:val="3"/>
              </w:numPr>
              <w:jc w:val="both"/>
            </w:pPr>
            <w:r w:rsidRPr="00C76935">
              <w:t>jaunu  elektroenerģijas pārvades infrastruktūras objektu plānošanu, būvniecību, nodošanu ekspluatācijā (ETL 13.panta sestā daļa);</w:t>
            </w:r>
          </w:p>
          <w:p w:rsidR="008C7DF2" w:rsidRPr="00C76935" w:rsidRDefault="008C7DF2" w:rsidP="008C7DF2">
            <w:pPr>
              <w:pStyle w:val="ListParagraph"/>
              <w:numPr>
                <w:ilvl w:val="0"/>
                <w:numId w:val="3"/>
              </w:numPr>
              <w:jc w:val="both"/>
            </w:pPr>
            <w:r w:rsidRPr="00C76935">
              <w:t>pārrobežu sadarbību iekšējā elektroenerģijas tirgus darbības, pārrobežu tirdzniecības veicināšanai un Eiropas Ekonomikas zonas pārvades sistēmas optimālai pārvaldībai, koordinētai darbībai un tehniskai attīstībai (ETL 13</w:t>
            </w:r>
            <w:r w:rsidRPr="00C76935">
              <w:rPr>
                <w:vertAlign w:val="superscript"/>
              </w:rPr>
              <w:t>1</w:t>
            </w:r>
            <w:r w:rsidRPr="00C76935">
              <w:t>.panta pirmā daļa);</w:t>
            </w:r>
          </w:p>
          <w:p w:rsidR="008C7DF2" w:rsidRPr="00C76935" w:rsidRDefault="008C7DF2" w:rsidP="008C7DF2">
            <w:pPr>
              <w:spacing w:before="120" w:after="0" w:line="240" w:lineRule="auto"/>
              <w:ind w:firstLine="357"/>
              <w:jc w:val="both"/>
              <w:rPr>
                <w:rFonts w:ascii="Times New Roman" w:hAnsi="Times New Roman" w:cs="Times New Roman"/>
                <w:sz w:val="24"/>
                <w:szCs w:val="24"/>
              </w:rPr>
            </w:pPr>
            <w:r w:rsidRPr="00C76935">
              <w:rPr>
                <w:rFonts w:ascii="Times New Roman" w:hAnsi="Times New Roman" w:cs="Times New Roman"/>
                <w:sz w:val="24"/>
                <w:szCs w:val="24"/>
              </w:rPr>
              <w:t>AST ir ieguvusi līdzdalību 34,36% apmērā dabasgāzes pārvades sistēmas operatorā AS "Conexus Baltic Grid". Līdz ar to AST kā dabasgāzes pārvades sistēmas operatora akcionāram savā darbībā jāņem vērā uz dabasgāzes pārvades sistēmas operatora darbību attiecināmās normatīvo aktu prasības un politikas plānošanas dokumentos noteiktos mērķus.</w:t>
            </w:r>
          </w:p>
          <w:p w:rsidR="008C7DF2" w:rsidRPr="00C76935" w:rsidRDefault="008C7DF2" w:rsidP="008C7DF2">
            <w:pPr>
              <w:spacing w:after="0" w:line="240" w:lineRule="auto"/>
              <w:ind w:firstLine="357"/>
              <w:jc w:val="both"/>
              <w:rPr>
                <w:rFonts w:ascii="Times New Roman" w:hAnsi="Times New Roman" w:cs="Times New Roman"/>
                <w:sz w:val="24"/>
                <w:szCs w:val="24"/>
              </w:rPr>
            </w:pPr>
            <w:r w:rsidRPr="00C76935">
              <w:rPr>
                <w:rFonts w:ascii="Times New Roman" w:hAnsi="Times New Roman" w:cs="Times New Roman"/>
                <w:sz w:val="24"/>
                <w:szCs w:val="24"/>
              </w:rPr>
              <w:lastRenderedPageBreak/>
              <w:t>No Enerģētikas likuma izriet šādi galvenie dabasgāzes pārvades sistēmas operatora pienākumi un atbildība:</w:t>
            </w:r>
          </w:p>
          <w:p w:rsidR="008C7DF2" w:rsidRPr="00C76935" w:rsidRDefault="008C7DF2" w:rsidP="008C7DF2">
            <w:pPr>
              <w:pStyle w:val="ListParagraph"/>
              <w:numPr>
                <w:ilvl w:val="0"/>
                <w:numId w:val="3"/>
              </w:numPr>
              <w:jc w:val="both"/>
            </w:pPr>
            <w:r w:rsidRPr="00C76935">
              <w:t>atbildība par dabasgāzes pārvades sistēmas un dabasgāzes krātuves darbību, apkalpošanu, drošumu, sistēmas vadību un attīstību, sistēmas savietojamību ar citām sistēmām, kā arī par sistēmas ilglaicīgu spēju nodrošināt enerģijas pārvadi vai dabasgāzes uzglabāšanu atbilstoši pieprasījumam (Enerģētikas likuma 15.panta sestā daļa);</w:t>
            </w:r>
          </w:p>
          <w:p w:rsidR="008C7DF2" w:rsidRPr="00C76935" w:rsidRDefault="008C7DF2" w:rsidP="008C7DF2">
            <w:pPr>
              <w:pStyle w:val="ListParagraph"/>
              <w:numPr>
                <w:ilvl w:val="0"/>
                <w:numId w:val="3"/>
              </w:numPr>
              <w:jc w:val="both"/>
            </w:pPr>
            <w:r w:rsidRPr="00C76935">
              <w:t>atbildība par dabasgāzes pārvades sistēmas efektīvu un saimnieciski izdevīgu darbību (Enerģētikas likuma 112.panta pirmās daļas 1.punkts);</w:t>
            </w:r>
          </w:p>
          <w:p w:rsidR="008C7DF2" w:rsidRPr="00C76935" w:rsidRDefault="008C7DF2" w:rsidP="008C7DF2">
            <w:pPr>
              <w:pStyle w:val="ListParagraph"/>
              <w:numPr>
                <w:ilvl w:val="0"/>
                <w:numId w:val="3"/>
              </w:numPr>
              <w:jc w:val="both"/>
            </w:pPr>
            <w:r w:rsidRPr="00C76935">
              <w:t>dabasgāzes plūsmu vadības dabasgāzes pārvades sistēmā (..) nodrošināšanu dabasgāzes saņemšanai no ārvalstīm un aizvadīšanai uz ārvalstīm (Enerģētikas likuma 112.panta pirmās daļas 3.punkts);</w:t>
            </w:r>
          </w:p>
          <w:p w:rsidR="008C7DF2" w:rsidRPr="00C76935" w:rsidRDefault="008C7DF2" w:rsidP="008C7DF2">
            <w:pPr>
              <w:pStyle w:val="ListParagraph"/>
              <w:numPr>
                <w:ilvl w:val="0"/>
                <w:numId w:val="3"/>
              </w:numPr>
              <w:jc w:val="both"/>
            </w:pPr>
            <w:r w:rsidRPr="00C76935">
              <w:t>Inčukalna pazemes gāzes krātuves darbības, tehniskās ekspluatācijas un attīstības, lai sniegtu dabasgāzes krātuves pakalpojumus, nodrošināšana (Enerģētikas likuma 112.panta pirmās daļas 4.punkts);</w:t>
            </w:r>
          </w:p>
          <w:p w:rsidR="008C7DF2" w:rsidRPr="00C76935" w:rsidRDefault="008C7DF2" w:rsidP="008C7DF2">
            <w:pPr>
              <w:pStyle w:val="ListParagraph"/>
              <w:numPr>
                <w:ilvl w:val="0"/>
                <w:numId w:val="3"/>
              </w:numPr>
              <w:jc w:val="both"/>
            </w:pPr>
            <w:r w:rsidRPr="00C76935">
              <w:t>pietiekamas pārrobežu pārvades jaudas, lai integrētos Eiropas dabasgāzes pārvades sistēmas infrastruktūrā nodrošināšana (Enerģētikas likuma 112.panta pirmās daļas 9.punkts);</w:t>
            </w:r>
          </w:p>
          <w:p w:rsidR="008C7DF2" w:rsidRPr="00C76935" w:rsidRDefault="008C7DF2" w:rsidP="008C7DF2">
            <w:pPr>
              <w:pStyle w:val="ListParagraph"/>
              <w:numPr>
                <w:ilvl w:val="0"/>
                <w:numId w:val="3"/>
              </w:numPr>
              <w:jc w:val="both"/>
            </w:pPr>
            <w:r w:rsidRPr="00C76935">
              <w:t>dabasgāzes pārvades sistēmas operatoru sadarbības Eiropas un reģionālā līmenī īstenošana (Enerģētikas likuma 112.panta pirmās daļas 13.punkts).</w:t>
            </w:r>
          </w:p>
          <w:p w:rsidR="008C7DF2" w:rsidRPr="00C76935" w:rsidRDefault="00D66594" w:rsidP="008C7DF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DF2" w:rsidRPr="00C76935">
              <w:rPr>
                <w:rFonts w:ascii="Times New Roman" w:hAnsi="Times New Roman" w:cs="Times New Roman"/>
                <w:sz w:val="24"/>
                <w:szCs w:val="24"/>
              </w:rPr>
              <w:t>Vērtējot uz AST kā elektroenerģijas pārvades sistēmas operatora un dabasgāzes pārvades sistēmas operatora akcionāra darbību attiecināmo politikas plānošanas dokumentu prasības, jāņem vērā  Enerģētikas attīstības pamatnostādnēs 2016.-2020. gadam (apstiprinātas ar Ministru kabineta 2016.gada 9.februāra rīkojumu Nr.129) noteiktais  Latvijas enerģētikas politikas galvenais mērķis - kopā ar citu nozaru politiku īstenošanu paaugstināt tautsaimniecības konkurētspēju, sekmējot piegāžu drošumu, brīvā tirgus un konkurences noteiktu energoresursu un enerģijas cenu veidošanos, ilgtspējīgu enerģijas ražošanu un patēriņu. Šim mērķim noteikti divi enerģētikas politikas apakšmērķi:</w:t>
            </w:r>
          </w:p>
          <w:p w:rsidR="008C7DF2" w:rsidRPr="00C76935" w:rsidRDefault="008C7DF2" w:rsidP="008B114E">
            <w:pPr>
              <w:pStyle w:val="ListParagraph"/>
              <w:numPr>
                <w:ilvl w:val="0"/>
                <w:numId w:val="4"/>
              </w:numPr>
              <w:ind w:left="596" w:hanging="425"/>
              <w:jc w:val="both"/>
              <w:rPr>
                <w:rFonts w:eastAsiaTheme="minorHAnsi"/>
              </w:rPr>
            </w:pPr>
            <w:r w:rsidRPr="00C76935">
              <w:lastRenderedPageBreak/>
              <w:t xml:space="preserve">energoapgādes drošuma paaugstināšana.  Lai ilgtermiņā optimizētu energoapgādes drošuma izmaksas, nepieciešama reģionāla sadarbība, kā arī </w:t>
            </w:r>
            <w:r w:rsidRPr="00C76935">
              <w:rPr>
                <w:rFonts w:eastAsiaTheme="minorHAnsi"/>
              </w:rPr>
              <w:t>enerģijas piegāžu dažādošana;</w:t>
            </w:r>
          </w:p>
          <w:p w:rsidR="008C7DF2" w:rsidRPr="00C76935" w:rsidRDefault="008C7DF2" w:rsidP="008B114E">
            <w:pPr>
              <w:pStyle w:val="ListParagraph"/>
              <w:numPr>
                <w:ilvl w:val="0"/>
                <w:numId w:val="4"/>
              </w:numPr>
              <w:spacing w:before="120"/>
              <w:ind w:left="596" w:hanging="425"/>
              <w:jc w:val="both"/>
            </w:pPr>
            <w:r w:rsidRPr="00C76935">
              <w:rPr>
                <w:rFonts w:eastAsiaTheme="minorHAnsi"/>
              </w:rPr>
              <w:t xml:space="preserve">ilgtspējīga enerģētika, kas nodrošina enerģētikas ilgtspēju gan ekonomiskā, gan sociālā, gan vides izpratnē. </w:t>
            </w:r>
          </w:p>
          <w:p w:rsidR="008C7DF2" w:rsidRPr="00C76935" w:rsidRDefault="008C7DF2" w:rsidP="008C7DF2">
            <w:pPr>
              <w:spacing w:after="0" w:line="240" w:lineRule="auto"/>
              <w:ind w:firstLine="357"/>
              <w:contextualSpacing/>
              <w:jc w:val="both"/>
              <w:rPr>
                <w:rFonts w:ascii="Times New Roman" w:hAnsi="Times New Roman" w:cs="Times New Roman"/>
                <w:sz w:val="24"/>
                <w:szCs w:val="24"/>
              </w:rPr>
            </w:pPr>
            <w:r w:rsidRPr="00C76935">
              <w:rPr>
                <w:rFonts w:ascii="Times New Roman" w:hAnsi="Times New Roman" w:cs="Times New Roman"/>
                <w:sz w:val="24"/>
                <w:szCs w:val="24"/>
              </w:rPr>
              <w:t xml:space="preserve">Ievērojot  iepriekš minētos no ETL, Enerģētikas likuma, likuma "Par sabiedrisko pakalpojumu regulatoriem" un Enerģētikas attīstības pamatnostādnēm 2016.-2020. gadam  izrietošos uzdevumus, secināms, ka enerģijas pārvades sistēmu galvenā funkcija, veicot enerģijas pārvadi, ir enerģijas piegādes drošums. Drošuma jēdziens vienlīdz aptver gan sistēmas tehniskās kvalitātes, gan sistēmā ievadāmās enerģijas avotu pieejamību un dažādību, gan enerģijas cenu  konkurences mehānisma veidošanu. Elektroenerģijas pārvades pakalpojumu sniegšanas drošumu raksturo arī pārvades pakalpojumu sniegšanas kvalitāte un nepārtrauktība. Līdz ar to AST kā elektroenerģijas pārvades sistēmas operatora pamatdarbības mērķim ir jābūt vērstam uz elektroapgādes drošumu un pakalpojumu sniegšanas nepārtrauktību, kvalitāti un pieejamību. </w:t>
            </w:r>
          </w:p>
          <w:p w:rsidR="008C7DF2" w:rsidRPr="00C76935" w:rsidRDefault="008B114E" w:rsidP="008C7D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C7DF2" w:rsidRPr="00C76935">
              <w:rPr>
                <w:rFonts w:ascii="Times New Roman" w:hAnsi="Times New Roman" w:cs="Times New Roman"/>
                <w:sz w:val="24"/>
                <w:szCs w:val="24"/>
              </w:rPr>
              <w:t>Tāpat kā enerģijas pārvades sistēmu drošumu veicinošu faktoru politikas veidotāji un likumdevējs ir noteikuši turpmāku enerģijas sistēmu integrāciju ar Eiropas Savienības dalībvalstu enerģijas pārvades tīkliem. Turklāt jānorāda, ka uzskaitīto pārvades sistēmas operatoru funkciju izpilde ir vērsta uz pārvades sistēmu ilgtspējību un attīstību. Attiecīgi AST kā elektroenerģijas pārvades sistēmas operatoram un dabasgāzes pārvades sistēmas operatora akcionāram būtu būtiski īstenot valstiski svarīga tautsaimniecības objekta akciju un  pārvades sistēmas infrastruktūras objektu (aktīvu)   ilgtspējīgu pārvaldību un sekmēt to integrāciju  Eiropas Savienības iekšējā energoresursu tirgū.</w:t>
            </w:r>
          </w:p>
          <w:p w:rsidR="00831136" w:rsidRPr="00C76935" w:rsidRDefault="008C7DF2" w:rsidP="009A31D1">
            <w:pPr>
              <w:spacing w:after="0" w:line="240" w:lineRule="auto"/>
              <w:ind w:firstLine="429"/>
              <w:jc w:val="both"/>
              <w:rPr>
                <w:rFonts w:ascii="Times New Roman" w:eastAsia="Times New Roman" w:hAnsi="Times New Roman" w:cs="Times New Roman"/>
                <w:iCs/>
                <w:color w:val="000000" w:themeColor="text1"/>
                <w:sz w:val="24"/>
                <w:szCs w:val="24"/>
                <w:lang w:eastAsia="lv-LV"/>
              </w:rPr>
            </w:pPr>
            <w:r w:rsidRPr="00C76935">
              <w:rPr>
                <w:rFonts w:ascii="Times New Roman" w:hAnsi="Times New Roman" w:cs="Times New Roman"/>
                <w:sz w:val="24"/>
                <w:szCs w:val="24"/>
              </w:rPr>
              <w:t>Ņemot vērā minēto skaidrojumu, kā arī iepriekš sniegto AST raksturojumu</w:t>
            </w:r>
            <w:r w:rsidRPr="00C76935">
              <w:rPr>
                <w:rFonts w:ascii="Times New Roman" w:eastAsia="Times New Roman" w:hAnsi="Times New Roman" w:cs="Times New Roman"/>
                <w:sz w:val="24"/>
                <w:szCs w:val="24"/>
                <w:lang w:eastAsia="lv-LV"/>
              </w:rPr>
              <w:t xml:space="preserve">, </w:t>
            </w:r>
            <w:r w:rsidRPr="00C76935">
              <w:rPr>
                <w:rFonts w:ascii="Times New Roman" w:hAnsi="Times New Roman" w:cs="Times New Roman"/>
                <w:sz w:val="24"/>
                <w:szCs w:val="24"/>
              </w:rPr>
              <w:t xml:space="preserve"> tiek piedāvāts apstiprināt š</w:t>
            </w:r>
            <w:r w:rsidR="008B114E">
              <w:rPr>
                <w:rFonts w:ascii="Times New Roman" w:hAnsi="Times New Roman" w:cs="Times New Roman"/>
                <w:sz w:val="24"/>
                <w:szCs w:val="24"/>
              </w:rPr>
              <w:t>ād</w:t>
            </w:r>
            <w:r w:rsidRPr="00C76935">
              <w:rPr>
                <w:rFonts w:ascii="Times New Roman" w:hAnsi="Times New Roman" w:cs="Times New Roman"/>
                <w:sz w:val="24"/>
                <w:szCs w:val="24"/>
              </w:rPr>
              <w:t xml:space="preserve">u </w:t>
            </w:r>
            <w:r w:rsidRPr="00C76935">
              <w:rPr>
                <w:rFonts w:ascii="Times New Roman" w:hAnsi="Times New Roman" w:cs="Times New Roman"/>
                <w:sz w:val="24"/>
                <w:szCs w:val="24"/>
                <w:lang w:eastAsia="lv-LV"/>
              </w:rPr>
              <w:t>AS “Augstsprieguma tīkls</w:t>
            </w:r>
            <w:r w:rsidRPr="00C76935">
              <w:rPr>
                <w:rFonts w:ascii="Times New Roman" w:hAnsi="Times New Roman" w:cs="Times New Roman"/>
                <w:b/>
                <w:sz w:val="24"/>
                <w:szCs w:val="24"/>
              </w:rPr>
              <w:t xml:space="preserve">” </w:t>
            </w:r>
            <w:r w:rsidRPr="00C76935">
              <w:rPr>
                <w:rFonts w:ascii="Times New Roman" w:hAnsi="Times New Roman" w:cs="Times New Roman"/>
                <w:sz w:val="24"/>
                <w:szCs w:val="24"/>
                <w:u w:val="single"/>
              </w:rPr>
              <w:t>vispārējo stratēģisko mērķi:</w:t>
            </w:r>
            <w:r w:rsidRPr="00C76935">
              <w:rPr>
                <w:rFonts w:ascii="Times New Roman" w:hAnsi="Times New Roman" w:cs="Times New Roman"/>
                <w:sz w:val="24"/>
                <w:szCs w:val="24"/>
              </w:rPr>
              <w:t xml:space="preserve"> </w:t>
            </w:r>
            <w:r w:rsidRPr="00C76935">
              <w:rPr>
                <w:rFonts w:ascii="Times New Roman" w:eastAsia="Times New Roman" w:hAnsi="Times New Roman" w:cs="Times New Roman"/>
                <w:b/>
                <w:sz w:val="24"/>
                <w:szCs w:val="24"/>
                <w:lang w:eastAsia="lv-LV"/>
              </w:rPr>
              <w:t>“nodrošināt Latvijas e</w:t>
            </w:r>
            <w:r w:rsidR="00084EFD">
              <w:rPr>
                <w:rFonts w:ascii="Times New Roman" w:eastAsia="Times New Roman" w:hAnsi="Times New Roman" w:cs="Times New Roman"/>
                <w:b/>
                <w:sz w:val="24"/>
                <w:szCs w:val="24"/>
                <w:lang w:eastAsia="lv-LV"/>
              </w:rPr>
              <w:t>n</w:t>
            </w:r>
            <w:r w:rsidRPr="00C76935">
              <w:rPr>
                <w:rFonts w:ascii="Times New Roman" w:eastAsia="Times New Roman" w:hAnsi="Times New Roman" w:cs="Times New Roman"/>
                <w:b/>
                <w:sz w:val="24"/>
                <w:szCs w:val="24"/>
                <w:lang w:eastAsia="lv-LV"/>
              </w:rPr>
              <w:t>er</w:t>
            </w:r>
            <w:r w:rsidR="00084EFD">
              <w:rPr>
                <w:rFonts w:ascii="Times New Roman" w:eastAsia="Times New Roman" w:hAnsi="Times New Roman" w:cs="Times New Roman"/>
                <w:b/>
                <w:sz w:val="24"/>
                <w:szCs w:val="24"/>
                <w:lang w:eastAsia="lv-LV"/>
              </w:rPr>
              <w:t>g</w:t>
            </w:r>
            <w:r w:rsidRPr="00C76935">
              <w:rPr>
                <w:rFonts w:ascii="Times New Roman" w:eastAsia="Times New Roman" w:hAnsi="Times New Roman" w:cs="Times New Roman"/>
                <w:b/>
                <w:sz w:val="24"/>
                <w:szCs w:val="24"/>
                <w:lang w:eastAsia="lv-LV"/>
              </w:rPr>
              <w:t xml:space="preserve">oapgādes drošumu, sniegt nepārtrauktu, kvalitatīvu un pieejamu </w:t>
            </w:r>
            <w:r w:rsidR="00084EFD" w:rsidRPr="00084EFD">
              <w:rPr>
                <w:rFonts w:ascii="Times New Roman" w:eastAsia="Times New Roman" w:hAnsi="Times New Roman" w:cs="Times New Roman"/>
                <w:b/>
                <w:color w:val="000000"/>
                <w:sz w:val="28"/>
                <w:szCs w:val="28"/>
                <w:lang w:eastAsia="lv-LV"/>
              </w:rPr>
              <w:t>energoapgādes</w:t>
            </w:r>
            <w:r w:rsidRPr="00C76935">
              <w:rPr>
                <w:rFonts w:ascii="Times New Roman" w:eastAsia="Times New Roman" w:hAnsi="Times New Roman" w:cs="Times New Roman"/>
                <w:b/>
                <w:sz w:val="24"/>
                <w:szCs w:val="24"/>
                <w:lang w:eastAsia="lv-LV"/>
              </w:rPr>
              <w:t xml:space="preserve"> pārvades pakalpojumu</w:t>
            </w:r>
            <w:r w:rsidR="00042C86">
              <w:rPr>
                <w:rFonts w:ascii="Times New Roman" w:eastAsia="Times New Roman" w:hAnsi="Times New Roman" w:cs="Times New Roman"/>
                <w:b/>
                <w:sz w:val="24"/>
                <w:szCs w:val="24"/>
                <w:lang w:eastAsia="lv-LV"/>
              </w:rPr>
              <w:t>, kā arī</w:t>
            </w:r>
            <w:r w:rsidRPr="00C76935">
              <w:rPr>
                <w:rFonts w:ascii="Times New Roman" w:eastAsia="Times New Roman" w:hAnsi="Times New Roman" w:cs="Times New Roman"/>
                <w:b/>
                <w:sz w:val="24"/>
                <w:szCs w:val="24"/>
                <w:lang w:eastAsia="lv-LV"/>
              </w:rPr>
              <w:t xml:space="preserve"> </w:t>
            </w:r>
            <w:r w:rsidR="00042C86">
              <w:rPr>
                <w:rFonts w:ascii="Times New Roman" w:eastAsia="Times New Roman" w:hAnsi="Times New Roman" w:cs="Times New Roman"/>
                <w:b/>
                <w:sz w:val="24"/>
                <w:szCs w:val="24"/>
                <w:lang w:eastAsia="lv-LV"/>
              </w:rPr>
              <w:t>ī</w:t>
            </w:r>
            <w:r w:rsidRPr="00C76935">
              <w:rPr>
                <w:rFonts w:ascii="Times New Roman" w:eastAsia="Times New Roman" w:hAnsi="Times New Roman" w:cs="Times New Roman"/>
                <w:b/>
                <w:sz w:val="24"/>
                <w:szCs w:val="24"/>
                <w:lang w:eastAsia="lv-LV"/>
              </w:rPr>
              <w:t>stenot valstij stratēģiski svarīgo energoapgādes aktīvu ilgtspējīgu pārvaldību</w:t>
            </w:r>
            <w:r w:rsidR="009A31D1">
              <w:rPr>
                <w:rFonts w:ascii="Times New Roman" w:eastAsia="Times New Roman" w:hAnsi="Times New Roman" w:cs="Times New Roman"/>
                <w:b/>
                <w:sz w:val="24"/>
                <w:szCs w:val="24"/>
                <w:lang w:eastAsia="lv-LV"/>
              </w:rPr>
              <w:t>,</w:t>
            </w:r>
            <w:bookmarkStart w:id="0" w:name="_GoBack"/>
            <w:bookmarkEnd w:id="0"/>
            <w:r w:rsidRPr="00C76935">
              <w:rPr>
                <w:rFonts w:ascii="Times New Roman" w:eastAsia="Times New Roman" w:hAnsi="Times New Roman" w:cs="Times New Roman"/>
                <w:b/>
                <w:sz w:val="24"/>
                <w:szCs w:val="24"/>
                <w:lang w:eastAsia="lv-LV"/>
              </w:rPr>
              <w:t xml:space="preserve"> sekmēt to integrāciju Eiropas Savienības iekšējā energoresursu tirgū.”</w:t>
            </w:r>
            <w:r w:rsidRPr="00C76935">
              <w:rPr>
                <w:rFonts w:ascii="Times New Roman" w:eastAsia="Times New Roman" w:hAnsi="Times New Roman" w:cs="Times New Roman"/>
                <w:sz w:val="24"/>
                <w:szCs w:val="24"/>
                <w:lang w:eastAsia="lv-LV"/>
              </w:rPr>
              <w:t>.</w:t>
            </w:r>
          </w:p>
        </w:tc>
      </w:tr>
      <w:tr w:rsidR="00B91227" w:rsidRPr="00C76935" w:rsidTr="00D665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lastRenderedPageBreak/>
              <w:t>3.</w:t>
            </w:r>
          </w:p>
        </w:tc>
        <w:tc>
          <w:tcPr>
            <w:tcW w:w="1839"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806" w:type="pct"/>
            <w:tcBorders>
              <w:top w:val="outset" w:sz="6" w:space="0" w:color="auto"/>
              <w:left w:val="outset" w:sz="6" w:space="0" w:color="auto"/>
              <w:bottom w:val="outset" w:sz="6" w:space="0" w:color="auto"/>
              <w:right w:val="outset" w:sz="6" w:space="0" w:color="auto"/>
            </w:tcBorders>
            <w:hideMark/>
          </w:tcPr>
          <w:p w:rsidR="00E5323B" w:rsidRPr="00C76935" w:rsidRDefault="008C7DF2" w:rsidP="00A9631C">
            <w:pPr>
              <w:spacing w:after="0" w:line="240" w:lineRule="auto"/>
              <w:jc w:val="both"/>
              <w:rPr>
                <w:rFonts w:ascii="Times New Roman" w:eastAsia="Times New Roman" w:hAnsi="Times New Roman" w:cs="Times New Roman"/>
                <w:iCs/>
                <w:color w:val="000000" w:themeColor="text1"/>
                <w:sz w:val="24"/>
                <w:szCs w:val="24"/>
                <w:lang w:eastAsia="lv-LV"/>
              </w:rPr>
            </w:pPr>
            <w:r w:rsidRPr="00C76935">
              <w:rPr>
                <w:rFonts w:ascii="Times New Roman" w:hAnsi="Times New Roman" w:cs="Times New Roman"/>
                <w:sz w:val="24"/>
                <w:szCs w:val="24"/>
              </w:rPr>
              <w:t>Finanšu ministrija, AS “Augstsprieguma tīkls”.</w:t>
            </w:r>
          </w:p>
        </w:tc>
      </w:tr>
      <w:tr w:rsidR="00B91227" w:rsidRPr="00C76935" w:rsidTr="00D665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4.</w:t>
            </w:r>
          </w:p>
        </w:tc>
        <w:tc>
          <w:tcPr>
            <w:tcW w:w="1839"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Cita informācija</w:t>
            </w:r>
          </w:p>
        </w:tc>
        <w:tc>
          <w:tcPr>
            <w:tcW w:w="2806" w:type="pct"/>
            <w:tcBorders>
              <w:top w:val="outset" w:sz="6" w:space="0" w:color="auto"/>
              <w:left w:val="outset" w:sz="6" w:space="0" w:color="auto"/>
              <w:bottom w:val="outset" w:sz="6" w:space="0" w:color="auto"/>
              <w:right w:val="outset" w:sz="6" w:space="0" w:color="auto"/>
            </w:tcBorders>
            <w:hideMark/>
          </w:tcPr>
          <w:p w:rsidR="00E5323B" w:rsidRPr="00C7693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hAnsi="Times New Roman" w:cs="Times New Roman"/>
                <w:sz w:val="24"/>
                <w:szCs w:val="24"/>
              </w:rPr>
              <w:t>Nav.</w:t>
            </w:r>
          </w:p>
        </w:tc>
      </w:tr>
    </w:tbl>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49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91"/>
        <w:gridCol w:w="4957"/>
      </w:tblGrid>
      <w:tr w:rsidR="00B91227" w:rsidRPr="00C76935" w:rsidTr="00FB71FC">
        <w:trPr>
          <w:trHeight w:val="562"/>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91227" w:rsidRPr="00C76935" w:rsidTr="00D66594">
        <w:trPr>
          <w:trHeight w:val="836"/>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1.</w:t>
            </w:r>
          </w:p>
        </w:tc>
        <w:tc>
          <w:tcPr>
            <w:tcW w:w="1884"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754" w:type="pct"/>
            <w:tcBorders>
              <w:top w:val="outset" w:sz="6" w:space="0" w:color="auto"/>
              <w:left w:val="outset" w:sz="6" w:space="0" w:color="auto"/>
              <w:bottom w:val="outset" w:sz="6" w:space="0" w:color="auto"/>
              <w:right w:val="outset" w:sz="6" w:space="0" w:color="auto"/>
            </w:tcBorders>
            <w:hideMark/>
          </w:tcPr>
          <w:p w:rsidR="00E5323B" w:rsidRPr="00667F8D" w:rsidRDefault="00667F8D" w:rsidP="00E5323B">
            <w:pPr>
              <w:spacing w:after="0" w:line="240" w:lineRule="auto"/>
              <w:rPr>
                <w:rFonts w:ascii="Times New Roman" w:eastAsia="Times New Roman" w:hAnsi="Times New Roman" w:cs="Times New Roman"/>
                <w:iCs/>
                <w:color w:val="000000" w:themeColor="text1"/>
                <w:sz w:val="24"/>
                <w:szCs w:val="24"/>
                <w:lang w:eastAsia="lv-LV"/>
              </w:rPr>
            </w:pPr>
            <w:r w:rsidRPr="00667F8D">
              <w:rPr>
                <w:rFonts w:ascii="Times New Roman" w:eastAsia="Times New Roman" w:hAnsi="Times New Roman" w:cs="Times New Roman"/>
                <w:sz w:val="24"/>
                <w:szCs w:val="24"/>
              </w:rPr>
              <w:t>Enerģijas pārvades pakalpojuma saņēmēji</w:t>
            </w:r>
          </w:p>
        </w:tc>
      </w:tr>
      <w:tr w:rsidR="00B91227" w:rsidRPr="00C76935" w:rsidTr="00D66594">
        <w:trPr>
          <w:trHeight w:val="836"/>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2.</w:t>
            </w:r>
          </w:p>
        </w:tc>
        <w:tc>
          <w:tcPr>
            <w:tcW w:w="1884"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754" w:type="pct"/>
            <w:tcBorders>
              <w:top w:val="outset" w:sz="6" w:space="0" w:color="auto"/>
              <w:left w:val="outset" w:sz="6" w:space="0" w:color="auto"/>
              <w:bottom w:val="outset" w:sz="6" w:space="0" w:color="auto"/>
              <w:right w:val="outset" w:sz="6" w:space="0" w:color="auto"/>
            </w:tcBorders>
            <w:hideMark/>
          </w:tcPr>
          <w:p w:rsidR="00E5323B" w:rsidRPr="00C76935" w:rsidRDefault="00B91227" w:rsidP="00085B85">
            <w:pPr>
              <w:spacing w:after="0" w:line="240" w:lineRule="auto"/>
              <w:jc w:val="both"/>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Projekta tiesiskais regulējums nemaina tiesības un pienākumus, kā arī veicamās darbības.</w:t>
            </w:r>
          </w:p>
        </w:tc>
      </w:tr>
      <w:tr w:rsidR="00B91227" w:rsidRPr="00C76935" w:rsidTr="00D66594">
        <w:trPr>
          <w:trHeight w:val="562"/>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3.</w:t>
            </w:r>
          </w:p>
        </w:tc>
        <w:tc>
          <w:tcPr>
            <w:tcW w:w="1884"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Administratīvo izmaksu monetārs novērtējums</w:t>
            </w:r>
          </w:p>
        </w:tc>
        <w:tc>
          <w:tcPr>
            <w:tcW w:w="2754" w:type="pct"/>
            <w:tcBorders>
              <w:top w:val="outset" w:sz="6" w:space="0" w:color="auto"/>
              <w:left w:val="outset" w:sz="6" w:space="0" w:color="auto"/>
              <w:bottom w:val="outset" w:sz="6" w:space="0" w:color="auto"/>
              <w:right w:val="outset" w:sz="6" w:space="0" w:color="auto"/>
            </w:tcBorders>
            <w:hideMark/>
          </w:tcPr>
          <w:p w:rsidR="00E5323B" w:rsidRPr="00C7693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Projekts šo jomu neskar.</w:t>
            </w:r>
          </w:p>
        </w:tc>
      </w:tr>
      <w:tr w:rsidR="00B91227" w:rsidRPr="00C76935" w:rsidTr="00D66594">
        <w:trPr>
          <w:trHeight w:val="562"/>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4.</w:t>
            </w:r>
          </w:p>
        </w:tc>
        <w:tc>
          <w:tcPr>
            <w:tcW w:w="1884"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Atbilstības izmaksu monetārs novērtējums</w:t>
            </w:r>
          </w:p>
        </w:tc>
        <w:tc>
          <w:tcPr>
            <w:tcW w:w="2754" w:type="pct"/>
            <w:tcBorders>
              <w:top w:val="outset" w:sz="6" w:space="0" w:color="auto"/>
              <w:left w:val="outset" w:sz="6" w:space="0" w:color="auto"/>
              <w:bottom w:val="outset" w:sz="6" w:space="0" w:color="auto"/>
              <w:right w:val="outset" w:sz="6" w:space="0" w:color="auto"/>
            </w:tcBorders>
            <w:hideMark/>
          </w:tcPr>
          <w:p w:rsidR="00E5323B" w:rsidRPr="00C76935" w:rsidRDefault="00085B85"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Projekts šo jomu neskar.</w:t>
            </w:r>
          </w:p>
        </w:tc>
      </w:tr>
      <w:tr w:rsidR="00B91227" w:rsidRPr="00C76935" w:rsidTr="00D66594">
        <w:trPr>
          <w:trHeight w:val="273"/>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5.</w:t>
            </w:r>
          </w:p>
        </w:tc>
        <w:tc>
          <w:tcPr>
            <w:tcW w:w="1884" w:type="pct"/>
            <w:tcBorders>
              <w:top w:val="outset" w:sz="6" w:space="0" w:color="auto"/>
              <w:left w:val="outset" w:sz="6" w:space="0" w:color="auto"/>
              <w:bottom w:val="outset" w:sz="6" w:space="0" w:color="auto"/>
              <w:right w:val="outset" w:sz="6" w:space="0" w:color="auto"/>
            </w:tcBorders>
            <w:hideMark/>
          </w:tcPr>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Cita informācija</w:t>
            </w:r>
          </w:p>
        </w:tc>
        <w:tc>
          <w:tcPr>
            <w:tcW w:w="2754" w:type="pct"/>
            <w:tcBorders>
              <w:top w:val="outset" w:sz="6" w:space="0" w:color="auto"/>
              <w:left w:val="outset" w:sz="6" w:space="0" w:color="auto"/>
              <w:bottom w:val="outset" w:sz="6" w:space="0" w:color="auto"/>
              <w:right w:val="outset" w:sz="6" w:space="0" w:color="auto"/>
            </w:tcBorders>
            <w:hideMark/>
          </w:tcPr>
          <w:p w:rsidR="00E5323B" w:rsidRPr="00C76935" w:rsidRDefault="00E5323B" w:rsidP="00085B85">
            <w:pPr>
              <w:spacing w:after="0" w:line="240" w:lineRule="auto"/>
              <w:rPr>
                <w:rFonts w:ascii="Times New Roman" w:eastAsia="Times New Roman" w:hAnsi="Times New Roman" w:cs="Times New Roman"/>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Nav</w:t>
            </w:r>
            <w:r w:rsidR="00085B85" w:rsidRPr="00C76935">
              <w:rPr>
                <w:rFonts w:ascii="Times New Roman" w:eastAsia="Times New Roman" w:hAnsi="Times New Roman" w:cs="Times New Roman"/>
                <w:iCs/>
                <w:color w:val="000000" w:themeColor="text1"/>
                <w:sz w:val="24"/>
                <w:szCs w:val="24"/>
                <w:lang w:eastAsia="lv-LV"/>
              </w:rPr>
              <w:t>.</w:t>
            </w:r>
          </w:p>
        </w:tc>
      </w:tr>
    </w:tbl>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49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35"/>
      </w:tblGrid>
      <w:tr w:rsidR="00B91227" w:rsidRPr="00C76935" w:rsidTr="00FB71FC">
        <w:trPr>
          <w:trHeight w:val="2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085B85" w:rsidRPr="00C76935" w:rsidTr="00FB71FC">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C76935" w:rsidRDefault="00085B85" w:rsidP="00085B85">
            <w:pPr>
              <w:spacing w:after="0" w:line="240" w:lineRule="auto"/>
              <w:jc w:val="center"/>
              <w:rPr>
                <w:rFonts w:ascii="Times New Roman" w:eastAsia="Times New Roman" w:hAnsi="Times New Roman" w:cs="Times New Roman"/>
                <w:bCs/>
                <w:iCs/>
                <w:color w:val="000000" w:themeColor="text1"/>
                <w:sz w:val="24"/>
                <w:szCs w:val="24"/>
                <w:lang w:eastAsia="lv-LV"/>
              </w:rPr>
            </w:pPr>
            <w:r w:rsidRPr="00C76935">
              <w:rPr>
                <w:rFonts w:ascii="Times New Roman" w:eastAsia="Times New Roman" w:hAnsi="Times New Roman" w:cs="Times New Roman"/>
                <w:bCs/>
                <w:iCs/>
                <w:color w:val="000000" w:themeColor="text1"/>
                <w:sz w:val="24"/>
                <w:szCs w:val="24"/>
                <w:lang w:eastAsia="lv-LV"/>
              </w:rPr>
              <w:t>Projekts šo jomu neskar.</w:t>
            </w:r>
          </w:p>
        </w:tc>
      </w:tr>
    </w:tbl>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494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0"/>
      </w:tblGrid>
      <w:tr w:rsidR="00B91227" w:rsidRPr="00C76935" w:rsidTr="00FB71FC">
        <w:trPr>
          <w:trHeight w:val="29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085B85" w:rsidRPr="00C76935" w:rsidTr="00FB71FC">
        <w:trPr>
          <w:trHeight w:val="31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C76935"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Cs/>
                <w:iCs/>
                <w:color w:val="000000" w:themeColor="text1"/>
                <w:sz w:val="24"/>
                <w:szCs w:val="24"/>
                <w:lang w:eastAsia="lv-LV"/>
              </w:rPr>
              <w:t>Projekts šo jomu neskar.</w:t>
            </w:r>
          </w:p>
        </w:tc>
      </w:tr>
    </w:tbl>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C7693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085B85" w:rsidRPr="00C7693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C76935"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bCs/>
                <w:iCs/>
                <w:color w:val="000000" w:themeColor="text1"/>
                <w:sz w:val="24"/>
                <w:szCs w:val="24"/>
                <w:lang w:eastAsia="lv-LV"/>
              </w:rPr>
              <w:t>Projekts šo jomu neskar.</w:t>
            </w:r>
          </w:p>
        </w:tc>
      </w:tr>
    </w:tbl>
    <w:p w:rsidR="00E5323B" w:rsidRPr="00C7693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C7693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7693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76935">
              <w:rPr>
                <w:rFonts w:ascii="Times New Roman" w:eastAsia="Times New Roman" w:hAnsi="Times New Roman" w:cs="Times New Roman"/>
                <w:iCs/>
                <w:color w:val="000000" w:themeColor="text1"/>
                <w:sz w:val="24"/>
                <w:szCs w:val="24"/>
                <w:lang w:eastAsia="lv-LV"/>
              </w:rPr>
              <w:t xml:space="preserve">  </w:t>
            </w:r>
            <w:r w:rsidRPr="00C7693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085B85" w:rsidRPr="00C7693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C76935" w:rsidRDefault="00A9631C"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C76935">
              <w:rPr>
                <w:rFonts w:ascii="Times New Roman" w:hAnsi="Times New Roman" w:cs="Times New Roman"/>
                <w:sz w:val="24"/>
                <w:szCs w:val="24"/>
                <w:lang w:eastAsia="lv-LV"/>
              </w:rPr>
              <w:t>Projekts neskar plašāku sabiedrību, jo ar projektu tiek noteikts kapitālsabiedrības stratēģiskais mērķis.</w:t>
            </w:r>
          </w:p>
        </w:tc>
      </w:tr>
    </w:tbl>
    <w:p w:rsidR="00E5323B" w:rsidRPr="002C3A6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3655"/>
        <w:gridCol w:w="4872"/>
      </w:tblGrid>
      <w:tr w:rsidR="002C3A6F" w:rsidRPr="002C3A6F" w:rsidTr="002C3A6F">
        <w:tc>
          <w:tcPr>
            <w:tcW w:w="9072" w:type="dxa"/>
            <w:gridSpan w:val="3"/>
            <w:tcBorders>
              <w:top w:val="single" w:sz="4" w:space="0" w:color="auto"/>
            </w:tcBorders>
          </w:tcPr>
          <w:p w:rsidR="002C3A6F" w:rsidRPr="002C3A6F" w:rsidRDefault="002C3A6F" w:rsidP="000E577F">
            <w:pPr>
              <w:spacing w:after="0" w:line="240" w:lineRule="auto"/>
              <w:jc w:val="both"/>
              <w:rPr>
                <w:rFonts w:ascii="Times New Roman" w:hAnsi="Times New Roman" w:cs="Times New Roman"/>
                <w:b/>
                <w:bCs/>
                <w:sz w:val="24"/>
                <w:szCs w:val="24"/>
              </w:rPr>
            </w:pPr>
            <w:r w:rsidRPr="002C3A6F">
              <w:rPr>
                <w:rFonts w:ascii="Times New Roman" w:hAnsi="Times New Roman" w:cs="Times New Roman"/>
                <w:b/>
                <w:bCs/>
                <w:sz w:val="24"/>
                <w:szCs w:val="24"/>
              </w:rPr>
              <w:t>VII. Tiesību akta projekta izpildes nodrošināšana un tās ietekme uz institūcijām</w:t>
            </w:r>
          </w:p>
        </w:tc>
      </w:tr>
      <w:tr w:rsidR="002C3A6F" w:rsidRPr="002C3A6F" w:rsidTr="002C3A6F">
        <w:trPr>
          <w:trHeight w:val="427"/>
        </w:trPr>
        <w:tc>
          <w:tcPr>
            <w:tcW w:w="545" w:type="dxa"/>
          </w:tcPr>
          <w:p w:rsidR="002C3A6F" w:rsidRPr="002C3A6F" w:rsidRDefault="002C3A6F" w:rsidP="000E577F">
            <w:pPr>
              <w:spacing w:after="0" w:line="240" w:lineRule="auto"/>
              <w:jc w:val="both"/>
              <w:rPr>
                <w:rFonts w:ascii="Times New Roman" w:hAnsi="Times New Roman" w:cs="Times New Roman"/>
                <w:bCs/>
                <w:sz w:val="24"/>
                <w:szCs w:val="24"/>
              </w:rPr>
            </w:pPr>
            <w:r w:rsidRPr="002C3A6F">
              <w:rPr>
                <w:rFonts w:ascii="Times New Roman" w:hAnsi="Times New Roman" w:cs="Times New Roman"/>
                <w:bCs/>
                <w:sz w:val="24"/>
                <w:szCs w:val="24"/>
              </w:rPr>
              <w:t>1.</w:t>
            </w:r>
          </w:p>
        </w:tc>
        <w:tc>
          <w:tcPr>
            <w:tcW w:w="3655" w:type="dxa"/>
          </w:tcPr>
          <w:p w:rsidR="002C3A6F" w:rsidRPr="002C3A6F" w:rsidRDefault="002C3A6F" w:rsidP="000E577F">
            <w:pPr>
              <w:spacing w:after="0" w:line="240" w:lineRule="auto"/>
              <w:jc w:val="both"/>
              <w:rPr>
                <w:rFonts w:ascii="Times New Roman" w:hAnsi="Times New Roman" w:cs="Times New Roman"/>
                <w:sz w:val="24"/>
                <w:szCs w:val="24"/>
              </w:rPr>
            </w:pPr>
            <w:r w:rsidRPr="002C3A6F">
              <w:rPr>
                <w:rFonts w:ascii="Times New Roman" w:hAnsi="Times New Roman" w:cs="Times New Roman"/>
                <w:sz w:val="24"/>
                <w:szCs w:val="24"/>
              </w:rPr>
              <w:t xml:space="preserve">Projekta izpildē iesaistītās institūcijas </w:t>
            </w:r>
          </w:p>
        </w:tc>
        <w:tc>
          <w:tcPr>
            <w:tcW w:w="4872" w:type="dxa"/>
          </w:tcPr>
          <w:p w:rsidR="002C3A6F" w:rsidRPr="002C3A6F" w:rsidRDefault="002C3A6F" w:rsidP="000E577F">
            <w:pPr>
              <w:spacing w:line="240" w:lineRule="auto"/>
              <w:jc w:val="both"/>
              <w:rPr>
                <w:rFonts w:ascii="Times New Roman" w:hAnsi="Times New Roman" w:cs="Times New Roman"/>
                <w:bCs/>
                <w:sz w:val="24"/>
                <w:szCs w:val="24"/>
              </w:rPr>
            </w:pPr>
            <w:r w:rsidRPr="002C3A6F">
              <w:rPr>
                <w:rFonts w:ascii="Times New Roman" w:hAnsi="Times New Roman" w:cs="Times New Roman"/>
                <w:bCs/>
                <w:sz w:val="24"/>
                <w:szCs w:val="24"/>
              </w:rPr>
              <w:t>AS “Augstsprieguma tīkls” un Finanšu ministrija kā kapitālsabiedrības kapitāla daļu turētāja.</w:t>
            </w:r>
          </w:p>
        </w:tc>
      </w:tr>
      <w:tr w:rsidR="002C3A6F" w:rsidRPr="002C3A6F" w:rsidTr="002C3A6F">
        <w:trPr>
          <w:trHeight w:val="463"/>
        </w:trPr>
        <w:tc>
          <w:tcPr>
            <w:tcW w:w="545" w:type="dxa"/>
          </w:tcPr>
          <w:p w:rsidR="002C3A6F" w:rsidRPr="002C3A6F" w:rsidRDefault="002C3A6F" w:rsidP="000E577F">
            <w:pPr>
              <w:spacing w:after="0" w:line="240" w:lineRule="auto"/>
              <w:jc w:val="both"/>
              <w:rPr>
                <w:rFonts w:ascii="Times New Roman" w:hAnsi="Times New Roman" w:cs="Times New Roman"/>
                <w:bCs/>
                <w:sz w:val="24"/>
                <w:szCs w:val="24"/>
              </w:rPr>
            </w:pPr>
            <w:r w:rsidRPr="002C3A6F">
              <w:rPr>
                <w:rFonts w:ascii="Times New Roman" w:hAnsi="Times New Roman" w:cs="Times New Roman"/>
                <w:bCs/>
                <w:sz w:val="24"/>
                <w:szCs w:val="24"/>
              </w:rPr>
              <w:t>2.</w:t>
            </w:r>
          </w:p>
        </w:tc>
        <w:tc>
          <w:tcPr>
            <w:tcW w:w="3655" w:type="dxa"/>
          </w:tcPr>
          <w:p w:rsidR="002C3A6F" w:rsidRPr="002C3A6F" w:rsidRDefault="002C3A6F" w:rsidP="000E577F">
            <w:pPr>
              <w:spacing w:after="0" w:line="240" w:lineRule="auto"/>
              <w:jc w:val="both"/>
              <w:rPr>
                <w:rFonts w:ascii="Times New Roman" w:hAnsi="Times New Roman" w:cs="Times New Roman"/>
                <w:sz w:val="24"/>
                <w:szCs w:val="24"/>
              </w:rPr>
            </w:pPr>
            <w:r w:rsidRPr="002C3A6F">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4872" w:type="dxa"/>
          </w:tcPr>
          <w:p w:rsidR="002C3A6F" w:rsidRPr="002C3A6F" w:rsidRDefault="002C3A6F" w:rsidP="000E577F">
            <w:pPr>
              <w:spacing w:after="0" w:line="240" w:lineRule="auto"/>
              <w:jc w:val="both"/>
              <w:rPr>
                <w:rFonts w:ascii="Times New Roman" w:hAnsi="Times New Roman" w:cs="Times New Roman"/>
                <w:sz w:val="24"/>
                <w:szCs w:val="24"/>
              </w:rPr>
            </w:pPr>
            <w:r w:rsidRPr="002C3A6F">
              <w:rPr>
                <w:rFonts w:ascii="Times New Roman" w:hAnsi="Times New Roman" w:cs="Times New Roman"/>
                <w:sz w:val="24"/>
                <w:szCs w:val="24"/>
              </w:rPr>
              <w:t>Nav attiecināms.</w:t>
            </w:r>
          </w:p>
        </w:tc>
      </w:tr>
      <w:tr w:rsidR="002C3A6F" w:rsidRPr="002C3A6F" w:rsidTr="002C3A6F">
        <w:trPr>
          <w:trHeight w:val="476"/>
        </w:trPr>
        <w:tc>
          <w:tcPr>
            <w:tcW w:w="545" w:type="dxa"/>
          </w:tcPr>
          <w:p w:rsidR="002C3A6F" w:rsidRPr="002C3A6F" w:rsidRDefault="002C3A6F" w:rsidP="000E577F">
            <w:pPr>
              <w:spacing w:after="0" w:line="240" w:lineRule="auto"/>
              <w:jc w:val="both"/>
              <w:rPr>
                <w:rFonts w:ascii="Times New Roman" w:hAnsi="Times New Roman" w:cs="Times New Roman"/>
                <w:sz w:val="24"/>
                <w:szCs w:val="24"/>
              </w:rPr>
            </w:pPr>
            <w:r w:rsidRPr="002C3A6F">
              <w:rPr>
                <w:rFonts w:ascii="Times New Roman" w:hAnsi="Times New Roman" w:cs="Times New Roman"/>
                <w:sz w:val="24"/>
                <w:szCs w:val="24"/>
              </w:rPr>
              <w:lastRenderedPageBreak/>
              <w:t>3.</w:t>
            </w:r>
          </w:p>
        </w:tc>
        <w:tc>
          <w:tcPr>
            <w:tcW w:w="3655" w:type="dxa"/>
          </w:tcPr>
          <w:p w:rsidR="002C3A6F" w:rsidRPr="002C3A6F" w:rsidRDefault="002C3A6F" w:rsidP="000E577F">
            <w:pPr>
              <w:spacing w:after="0" w:line="240" w:lineRule="auto"/>
              <w:jc w:val="both"/>
              <w:rPr>
                <w:rFonts w:ascii="Times New Roman" w:hAnsi="Times New Roman" w:cs="Times New Roman"/>
                <w:sz w:val="24"/>
                <w:szCs w:val="24"/>
              </w:rPr>
            </w:pPr>
            <w:r w:rsidRPr="002C3A6F">
              <w:rPr>
                <w:rFonts w:ascii="Times New Roman" w:hAnsi="Times New Roman" w:cs="Times New Roman"/>
                <w:sz w:val="24"/>
                <w:szCs w:val="24"/>
              </w:rPr>
              <w:t>Cita informācija</w:t>
            </w:r>
          </w:p>
        </w:tc>
        <w:tc>
          <w:tcPr>
            <w:tcW w:w="4872" w:type="dxa"/>
          </w:tcPr>
          <w:p w:rsidR="002C3A6F" w:rsidRPr="002C3A6F" w:rsidRDefault="002C3A6F" w:rsidP="000E577F">
            <w:pPr>
              <w:spacing w:after="0" w:line="240" w:lineRule="auto"/>
              <w:jc w:val="both"/>
              <w:rPr>
                <w:rFonts w:ascii="Times New Roman" w:hAnsi="Times New Roman" w:cs="Times New Roman"/>
                <w:sz w:val="24"/>
                <w:szCs w:val="24"/>
              </w:rPr>
            </w:pPr>
            <w:r w:rsidRPr="002C3A6F">
              <w:rPr>
                <w:rFonts w:ascii="Times New Roman" w:hAnsi="Times New Roman" w:cs="Times New Roman"/>
                <w:sz w:val="24"/>
                <w:szCs w:val="24"/>
              </w:rPr>
              <w:t>Nav.</w:t>
            </w:r>
          </w:p>
          <w:p w:rsidR="002C3A6F" w:rsidRPr="002C3A6F" w:rsidRDefault="002C3A6F" w:rsidP="000E577F">
            <w:pPr>
              <w:spacing w:after="0" w:line="240" w:lineRule="auto"/>
              <w:jc w:val="both"/>
              <w:rPr>
                <w:rFonts w:ascii="Times New Roman" w:hAnsi="Times New Roman" w:cs="Times New Roman"/>
                <w:i/>
                <w:sz w:val="24"/>
                <w:szCs w:val="24"/>
              </w:rPr>
            </w:pPr>
          </w:p>
        </w:tc>
      </w:tr>
    </w:tbl>
    <w:p w:rsidR="00C25B49" w:rsidRDefault="00C25B49" w:rsidP="00894C55">
      <w:pPr>
        <w:spacing w:after="0" w:line="240" w:lineRule="auto"/>
        <w:rPr>
          <w:rFonts w:ascii="Times New Roman" w:hAnsi="Times New Roman" w:cs="Times New Roman"/>
          <w:color w:val="000000" w:themeColor="text1"/>
          <w:sz w:val="24"/>
          <w:szCs w:val="24"/>
        </w:rPr>
      </w:pPr>
    </w:p>
    <w:p w:rsidR="002C3A6F" w:rsidRDefault="002C3A6F" w:rsidP="00894C55">
      <w:pPr>
        <w:spacing w:after="0" w:line="240" w:lineRule="auto"/>
        <w:rPr>
          <w:rFonts w:ascii="Times New Roman" w:hAnsi="Times New Roman" w:cs="Times New Roman"/>
          <w:color w:val="000000" w:themeColor="text1"/>
          <w:sz w:val="24"/>
          <w:szCs w:val="24"/>
        </w:rPr>
      </w:pPr>
    </w:p>
    <w:p w:rsidR="002C3A6F" w:rsidRDefault="002C3A6F" w:rsidP="00894C55">
      <w:pPr>
        <w:spacing w:after="0" w:line="240" w:lineRule="auto"/>
        <w:rPr>
          <w:rFonts w:ascii="Times New Roman" w:hAnsi="Times New Roman" w:cs="Times New Roman"/>
          <w:color w:val="000000" w:themeColor="text1"/>
          <w:sz w:val="24"/>
          <w:szCs w:val="24"/>
        </w:rPr>
      </w:pPr>
    </w:p>
    <w:p w:rsidR="002C3A6F" w:rsidRPr="002C3A6F" w:rsidRDefault="002C3A6F" w:rsidP="00894C55">
      <w:pPr>
        <w:spacing w:after="0" w:line="240" w:lineRule="auto"/>
        <w:rPr>
          <w:rFonts w:ascii="Times New Roman" w:hAnsi="Times New Roman" w:cs="Times New Roman"/>
          <w:color w:val="000000" w:themeColor="text1"/>
          <w:sz w:val="24"/>
          <w:szCs w:val="24"/>
        </w:rPr>
      </w:pPr>
    </w:p>
    <w:p w:rsidR="00B91227" w:rsidRPr="002C3A6F" w:rsidRDefault="00B91227" w:rsidP="00831136">
      <w:pPr>
        <w:tabs>
          <w:tab w:val="left" w:pos="6237"/>
        </w:tabs>
        <w:spacing w:after="0" w:line="240" w:lineRule="auto"/>
        <w:rPr>
          <w:rFonts w:ascii="Times New Roman" w:hAnsi="Times New Roman" w:cs="Times New Roman"/>
          <w:color w:val="000000" w:themeColor="text1"/>
          <w:sz w:val="24"/>
          <w:szCs w:val="24"/>
        </w:rPr>
      </w:pPr>
      <w:r w:rsidRPr="002C3A6F">
        <w:rPr>
          <w:rFonts w:ascii="Times New Roman" w:hAnsi="Times New Roman" w:cs="Times New Roman"/>
          <w:color w:val="000000" w:themeColor="text1"/>
          <w:sz w:val="24"/>
          <w:szCs w:val="24"/>
        </w:rPr>
        <w:t>Finanšu ministre</w:t>
      </w:r>
      <w:r w:rsidRPr="002C3A6F">
        <w:rPr>
          <w:rFonts w:ascii="Times New Roman" w:hAnsi="Times New Roman" w:cs="Times New Roman"/>
          <w:color w:val="000000" w:themeColor="text1"/>
          <w:sz w:val="24"/>
          <w:szCs w:val="24"/>
        </w:rPr>
        <w:tab/>
      </w:r>
      <w:r w:rsidRPr="002C3A6F">
        <w:rPr>
          <w:rFonts w:ascii="Times New Roman" w:hAnsi="Times New Roman" w:cs="Times New Roman"/>
          <w:color w:val="000000" w:themeColor="text1"/>
          <w:sz w:val="24"/>
          <w:szCs w:val="24"/>
        </w:rPr>
        <w:tab/>
        <w:t xml:space="preserve">     </w:t>
      </w:r>
      <w:r w:rsidR="00BD3ADD">
        <w:rPr>
          <w:rFonts w:ascii="Times New Roman" w:hAnsi="Times New Roman" w:cs="Times New Roman"/>
          <w:color w:val="000000" w:themeColor="text1"/>
          <w:sz w:val="24"/>
          <w:szCs w:val="24"/>
        </w:rPr>
        <w:t>D.</w:t>
      </w:r>
      <w:r w:rsidRPr="002C3A6F">
        <w:rPr>
          <w:rFonts w:ascii="Times New Roman" w:hAnsi="Times New Roman" w:cs="Times New Roman"/>
          <w:color w:val="000000" w:themeColor="text1"/>
          <w:sz w:val="24"/>
          <w:szCs w:val="24"/>
        </w:rPr>
        <w:t>Reizniece-Ozola</w:t>
      </w:r>
    </w:p>
    <w:p w:rsidR="00831136" w:rsidRPr="002C3A6F" w:rsidRDefault="00831136" w:rsidP="00B91227">
      <w:pPr>
        <w:tabs>
          <w:tab w:val="left" w:pos="6237"/>
        </w:tabs>
        <w:spacing w:after="0" w:line="240" w:lineRule="auto"/>
        <w:ind w:firstLine="720"/>
        <w:rPr>
          <w:rFonts w:ascii="Times New Roman" w:hAnsi="Times New Roman" w:cs="Times New Roman"/>
          <w:color w:val="000000" w:themeColor="text1"/>
          <w:sz w:val="24"/>
          <w:szCs w:val="24"/>
        </w:rPr>
      </w:pPr>
    </w:p>
    <w:p w:rsidR="00831136" w:rsidRDefault="0083113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Default="00825316" w:rsidP="00B91227">
      <w:pPr>
        <w:tabs>
          <w:tab w:val="left" w:pos="6237"/>
        </w:tabs>
        <w:spacing w:after="0" w:line="240" w:lineRule="auto"/>
        <w:ind w:firstLine="720"/>
        <w:rPr>
          <w:rFonts w:ascii="Times New Roman" w:hAnsi="Times New Roman" w:cs="Times New Roman"/>
          <w:color w:val="000000" w:themeColor="text1"/>
          <w:sz w:val="24"/>
          <w:szCs w:val="24"/>
        </w:rPr>
      </w:pPr>
    </w:p>
    <w:p w:rsidR="00825316" w:rsidRPr="00825316" w:rsidRDefault="00825316" w:rsidP="00825316">
      <w:pPr>
        <w:tabs>
          <w:tab w:val="left" w:pos="6237"/>
        </w:tabs>
        <w:spacing w:after="0" w:line="240" w:lineRule="auto"/>
        <w:rPr>
          <w:rStyle w:val="SubtleEmphasis"/>
          <w:rFonts w:ascii="Times New Roman" w:hAnsi="Times New Roman" w:cs="Times New Roman"/>
          <w:i w:val="0"/>
          <w:sz w:val="20"/>
          <w:szCs w:val="20"/>
        </w:rPr>
      </w:pPr>
      <w:r w:rsidRPr="00825316">
        <w:rPr>
          <w:rStyle w:val="SubtleEmphasis"/>
          <w:rFonts w:ascii="Times New Roman" w:hAnsi="Times New Roman" w:cs="Times New Roman"/>
          <w:i w:val="0"/>
          <w:sz w:val="20"/>
          <w:szCs w:val="20"/>
        </w:rPr>
        <w:t>Zane Mūrniece</w:t>
      </w:r>
    </w:p>
    <w:p w:rsidR="00825316" w:rsidRPr="00825316" w:rsidRDefault="00825316" w:rsidP="00825316">
      <w:pPr>
        <w:tabs>
          <w:tab w:val="left" w:pos="6237"/>
        </w:tabs>
        <w:spacing w:after="0" w:line="240" w:lineRule="auto"/>
        <w:rPr>
          <w:rStyle w:val="SubtleEmphasis"/>
          <w:rFonts w:ascii="Times New Roman" w:hAnsi="Times New Roman" w:cs="Times New Roman"/>
          <w:i w:val="0"/>
          <w:sz w:val="20"/>
          <w:szCs w:val="20"/>
        </w:rPr>
      </w:pPr>
      <w:r w:rsidRPr="00825316">
        <w:rPr>
          <w:rStyle w:val="SubtleEmphasis"/>
          <w:rFonts w:ascii="Times New Roman" w:hAnsi="Times New Roman" w:cs="Times New Roman"/>
          <w:i w:val="0"/>
          <w:sz w:val="20"/>
          <w:szCs w:val="20"/>
        </w:rPr>
        <w:t xml:space="preserve">67725340 </w:t>
      </w:r>
      <w:r w:rsidRPr="00825316">
        <w:rPr>
          <w:rStyle w:val="SubtleEmphasis"/>
          <w:rFonts w:ascii="Times New Roman" w:hAnsi="Times New Roman" w:cs="Times New Roman"/>
          <w:i w:val="0"/>
          <w:sz w:val="20"/>
          <w:szCs w:val="20"/>
        </w:rPr>
        <w:br/>
      </w:r>
      <w:hyperlink r:id="rId8" w:history="1">
        <w:r w:rsidRPr="00825316">
          <w:rPr>
            <w:rStyle w:val="SubtleEmphasis"/>
            <w:rFonts w:ascii="Times New Roman" w:hAnsi="Times New Roman" w:cs="Times New Roman"/>
            <w:i w:val="0"/>
            <w:sz w:val="20"/>
            <w:szCs w:val="20"/>
          </w:rPr>
          <w:t>zane.murniece@ast.lv</w:t>
        </w:r>
      </w:hyperlink>
      <w:r w:rsidRPr="00825316">
        <w:rPr>
          <w:rStyle w:val="SubtleEmphasis"/>
          <w:rFonts w:ascii="Times New Roman" w:hAnsi="Times New Roman" w:cs="Times New Roman"/>
          <w:i w:val="0"/>
          <w:sz w:val="20"/>
          <w:szCs w:val="20"/>
        </w:rPr>
        <w:t xml:space="preserve"> </w:t>
      </w:r>
    </w:p>
    <w:sectPr w:rsidR="00825316" w:rsidRPr="00825316" w:rsidSect="00CF5210">
      <w:headerReference w:type="default" r:id="rId9"/>
      <w:footerReference w:type="default" r:id="rId10"/>
      <w:footerReference w:type="first" r:id="rId11"/>
      <w:pgSz w:w="11906" w:h="16838"/>
      <w:pgMar w:top="1418" w:right="1134" w:bottom="1134" w:left="1701" w:header="709"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53" w:rsidRDefault="00522A53" w:rsidP="00894C55">
      <w:pPr>
        <w:spacing w:after="0" w:line="240" w:lineRule="auto"/>
      </w:pPr>
      <w:r>
        <w:separator/>
      </w:r>
    </w:p>
  </w:endnote>
  <w:endnote w:type="continuationSeparator" w:id="0">
    <w:p w:rsidR="00522A53" w:rsidRDefault="00522A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DD" w:rsidRDefault="005866DD" w:rsidP="005866DD">
    <w:pPr>
      <w:pStyle w:val="Footer"/>
      <w:rPr>
        <w:rFonts w:ascii="Times New Roman" w:hAnsi="Times New Roman" w:cs="Times New Roman"/>
      </w:rPr>
    </w:pPr>
    <w:r w:rsidRPr="00B91227">
      <w:rPr>
        <w:rFonts w:ascii="Times New Roman" w:hAnsi="Times New Roman" w:cs="Times New Roman"/>
      </w:rPr>
      <w:fldChar w:fldCharType="begin"/>
    </w:r>
    <w:r w:rsidRPr="00B91227">
      <w:rPr>
        <w:rFonts w:ascii="Times New Roman" w:hAnsi="Times New Roman" w:cs="Times New Roman"/>
      </w:rPr>
      <w:instrText xml:space="preserve"> FILENAME   \* MERGEFORMAT </w:instrText>
    </w:r>
    <w:r w:rsidRPr="00B91227">
      <w:rPr>
        <w:rFonts w:ascii="Times New Roman" w:hAnsi="Times New Roman" w:cs="Times New Roman"/>
      </w:rPr>
      <w:fldChar w:fldCharType="separate"/>
    </w:r>
    <w:r>
      <w:rPr>
        <w:rFonts w:ascii="Times New Roman" w:hAnsi="Times New Roman" w:cs="Times New Roman"/>
        <w:noProof/>
      </w:rPr>
      <w:t>FManot_05062018_</w:t>
    </w:r>
    <w:r w:rsidRPr="00494C54">
      <w:rPr>
        <w:rFonts w:ascii="Times New Roman" w:hAnsi="Times New Roman" w:cs="Times New Roman"/>
        <w:noProof/>
        <w:sz w:val="20"/>
        <w:szCs w:val="20"/>
      </w:rPr>
      <w:t>MKRik</w:t>
    </w:r>
    <w:r w:rsidR="00DF6805">
      <w:rPr>
        <w:rFonts w:ascii="Times New Roman" w:hAnsi="Times New Roman" w:cs="Times New Roman"/>
        <w:noProof/>
      </w:rPr>
      <w:t>_</w:t>
    </w:r>
    <w:r w:rsidR="00DF6805" w:rsidRPr="001C4075">
      <w:rPr>
        <w:rFonts w:ascii="Times New Roman" w:hAnsi="Times New Roman" w:cs="Times New Roman"/>
        <w:noProof/>
        <w:sz w:val="20"/>
        <w:szCs w:val="20"/>
      </w:rPr>
      <w:t>AST</w:t>
    </w:r>
    <w:r w:rsidR="00DF6805">
      <w:rPr>
        <w:rFonts w:ascii="Times New Roman" w:hAnsi="Times New Roman" w:cs="Times New Roman"/>
        <w:noProof/>
      </w:rPr>
      <w:t>.</w:t>
    </w:r>
    <w:r>
      <w:rPr>
        <w:rFonts w:ascii="Times New Roman" w:hAnsi="Times New Roman" w:cs="Times New Roman"/>
        <w:noProof/>
      </w:rPr>
      <w:t>docx</w:t>
    </w:r>
    <w:r w:rsidRPr="00B91227">
      <w:rPr>
        <w:rFonts w:ascii="Times New Roman" w:hAnsi="Times New Roman" w:cs="Times New Roman"/>
      </w:rPr>
      <w:fldChar w:fldCharType="end"/>
    </w:r>
  </w:p>
  <w:p w:rsidR="00B91227" w:rsidRDefault="00B91227" w:rsidP="00B91227">
    <w:pPr>
      <w:pStyle w:val="Header"/>
      <w:rPr>
        <w:rFonts w:ascii="Times New Roman" w:hAnsi="Times New Roman" w:cs="Times New Roman"/>
        <w:sz w:val="20"/>
        <w:szCs w:val="20"/>
      </w:rPr>
    </w:pPr>
  </w:p>
  <w:p w:rsidR="00B91227" w:rsidRPr="00B91227" w:rsidRDefault="00B91227" w:rsidP="00B91227">
    <w:pPr>
      <w:pStyle w:val="Header"/>
      <w:jc w:val="center"/>
      <w:rPr>
        <w:rFonts w:ascii="Times New Roman" w:hAnsi="Times New Roman" w:cs="Times New Roman"/>
        <w: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Default="00B91227" w:rsidP="00B91227">
    <w:pPr>
      <w:pStyle w:val="Footer"/>
      <w:rPr>
        <w:rFonts w:ascii="Times New Roman" w:hAnsi="Times New Roman" w:cs="Times New Roman"/>
      </w:rPr>
    </w:pPr>
    <w:r w:rsidRPr="00B91227">
      <w:rPr>
        <w:rFonts w:ascii="Times New Roman" w:hAnsi="Times New Roman" w:cs="Times New Roman"/>
      </w:rPr>
      <w:fldChar w:fldCharType="begin"/>
    </w:r>
    <w:r w:rsidRPr="00B91227">
      <w:rPr>
        <w:rFonts w:ascii="Times New Roman" w:hAnsi="Times New Roman" w:cs="Times New Roman"/>
      </w:rPr>
      <w:instrText xml:space="preserve"> FILENAME   \* MERGEFORMAT </w:instrText>
    </w:r>
    <w:r w:rsidRPr="00B91227">
      <w:rPr>
        <w:rFonts w:ascii="Times New Roman" w:hAnsi="Times New Roman" w:cs="Times New Roman"/>
      </w:rPr>
      <w:fldChar w:fldCharType="separate"/>
    </w:r>
    <w:r w:rsidR="005866DD">
      <w:rPr>
        <w:rFonts w:ascii="Times New Roman" w:hAnsi="Times New Roman" w:cs="Times New Roman"/>
        <w:noProof/>
      </w:rPr>
      <w:t>FManot_05</w:t>
    </w:r>
    <w:r w:rsidR="00831136">
      <w:rPr>
        <w:rFonts w:ascii="Times New Roman" w:hAnsi="Times New Roman" w:cs="Times New Roman"/>
        <w:noProof/>
      </w:rPr>
      <w:t>06</w:t>
    </w:r>
    <w:r w:rsidR="005866DD">
      <w:rPr>
        <w:rFonts w:ascii="Times New Roman" w:hAnsi="Times New Roman" w:cs="Times New Roman"/>
        <w:noProof/>
      </w:rPr>
      <w:t>2018_MKRik_AST</w:t>
    </w:r>
    <w:r w:rsidR="001C4075">
      <w:rPr>
        <w:rFonts w:ascii="Times New Roman" w:hAnsi="Times New Roman" w:cs="Times New Roman"/>
        <w:noProof/>
      </w:rPr>
      <w:t>.</w:t>
    </w:r>
    <w:r w:rsidR="00831136">
      <w:rPr>
        <w:rFonts w:ascii="Times New Roman" w:hAnsi="Times New Roman" w:cs="Times New Roman"/>
        <w:noProof/>
      </w:rPr>
      <w:t>docx</w:t>
    </w:r>
    <w:r w:rsidRPr="00B91227">
      <w:rPr>
        <w:rFonts w:ascii="Times New Roman" w:hAnsi="Times New Roman" w:cs="Times New Roman"/>
      </w:rPr>
      <w:fldChar w:fldCharType="end"/>
    </w:r>
  </w:p>
  <w:p w:rsidR="00B91227" w:rsidRPr="00B91227" w:rsidRDefault="00B91227" w:rsidP="00B91227">
    <w:pPr>
      <w:pStyle w:val="Header"/>
      <w:jc w:val="center"/>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53" w:rsidRDefault="00522A53" w:rsidP="00894C55">
      <w:pPr>
        <w:spacing w:after="0" w:line="240" w:lineRule="auto"/>
      </w:pPr>
      <w:r>
        <w:separator/>
      </w:r>
    </w:p>
  </w:footnote>
  <w:footnote w:type="continuationSeparator" w:id="0">
    <w:p w:rsidR="00522A53" w:rsidRDefault="00522A5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91227" w:rsidRPr="00B91227" w:rsidRDefault="00B91227" w:rsidP="00B91227">
        <w:pPr>
          <w:pStyle w:val="Header"/>
          <w:jc w:val="center"/>
          <w:rPr>
            <w:rFonts w:ascii="Times New Roman" w:hAnsi="Times New Roman" w:cs="Times New Roman"/>
            <w:i/>
            <w:sz w:val="24"/>
            <w:szCs w:val="24"/>
          </w:rPr>
        </w:pPr>
      </w:p>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31D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D9C"/>
    <w:multiLevelType w:val="hybridMultilevel"/>
    <w:tmpl w:val="05E0BE34"/>
    <w:lvl w:ilvl="0" w:tplc="5EA67A82">
      <w:start w:val="1"/>
      <w:numFmt w:val="upperRoman"/>
      <w:lvlText w:val="%1."/>
      <w:lvlJc w:val="right"/>
      <w:pPr>
        <w:ind w:left="1432" w:hanging="360"/>
      </w:pPr>
      <w:rPr>
        <w:rFonts w:hint="default"/>
        <w:b w:val="0"/>
      </w:rPr>
    </w:lvl>
    <w:lvl w:ilvl="1" w:tplc="04260003" w:tentative="1">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1" w15:restartNumberingAfterBreak="0">
    <w:nsid w:val="48772FD8"/>
    <w:multiLevelType w:val="hybridMultilevel"/>
    <w:tmpl w:val="E2F0A9E4"/>
    <w:lvl w:ilvl="0" w:tplc="BB8A1C08">
      <w:start w:val="1"/>
      <w:numFmt w:val="decimal"/>
      <w:lvlText w:val="%1)"/>
      <w:lvlJc w:val="left"/>
      <w:pPr>
        <w:ind w:left="937" w:hanging="360"/>
      </w:pPr>
      <w:rPr>
        <w:rFonts w:hint="default"/>
      </w:rPr>
    </w:lvl>
    <w:lvl w:ilvl="1" w:tplc="04260019" w:tentative="1">
      <w:start w:val="1"/>
      <w:numFmt w:val="lowerLetter"/>
      <w:lvlText w:val="%2."/>
      <w:lvlJc w:val="left"/>
      <w:pPr>
        <w:ind w:left="1657" w:hanging="360"/>
      </w:pPr>
    </w:lvl>
    <w:lvl w:ilvl="2" w:tplc="0426001B" w:tentative="1">
      <w:start w:val="1"/>
      <w:numFmt w:val="lowerRoman"/>
      <w:lvlText w:val="%3."/>
      <w:lvlJc w:val="right"/>
      <w:pPr>
        <w:ind w:left="2377" w:hanging="180"/>
      </w:pPr>
    </w:lvl>
    <w:lvl w:ilvl="3" w:tplc="0426000F" w:tentative="1">
      <w:start w:val="1"/>
      <w:numFmt w:val="decimal"/>
      <w:lvlText w:val="%4."/>
      <w:lvlJc w:val="left"/>
      <w:pPr>
        <w:ind w:left="3097" w:hanging="360"/>
      </w:pPr>
    </w:lvl>
    <w:lvl w:ilvl="4" w:tplc="04260019" w:tentative="1">
      <w:start w:val="1"/>
      <w:numFmt w:val="lowerLetter"/>
      <w:lvlText w:val="%5."/>
      <w:lvlJc w:val="left"/>
      <w:pPr>
        <w:ind w:left="3817" w:hanging="360"/>
      </w:pPr>
    </w:lvl>
    <w:lvl w:ilvl="5" w:tplc="0426001B" w:tentative="1">
      <w:start w:val="1"/>
      <w:numFmt w:val="lowerRoman"/>
      <w:lvlText w:val="%6."/>
      <w:lvlJc w:val="right"/>
      <w:pPr>
        <w:ind w:left="4537" w:hanging="180"/>
      </w:pPr>
    </w:lvl>
    <w:lvl w:ilvl="6" w:tplc="0426000F" w:tentative="1">
      <w:start w:val="1"/>
      <w:numFmt w:val="decimal"/>
      <w:lvlText w:val="%7."/>
      <w:lvlJc w:val="left"/>
      <w:pPr>
        <w:ind w:left="5257" w:hanging="360"/>
      </w:pPr>
    </w:lvl>
    <w:lvl w:ilvl="7" w:tplc="04260019" w:tentative="1">
      <w:start w:val="1"/>
      <w:numFmt w:val="lowerLetter"/>
      <w:lvlText w:val="%8."/>
      <w:lvlJc w:val="left"/>
      <w:pPr>
        <w:ind w:left="5977" w:hanging="360"/>
      </w:pPr>
    </w:lvl>
    <w:lvl w:ilvl="8" w:tplc="0426001B" w:tentative="1">
      <w:start w:val="1"/>
      <w:numFmt w:val="lowerRoman"/>
      <w:lvlText w:val="%9."/>
      <w:lvlJc w:val="right"/>
      <w:pPr>
        <w:ind w:left="6697" w:hanging="180"/>
      </w:pPr>
    </w:lvl>
  </w:abstractNum>
  <w:abstractNum w:abstractNumId="2" w15:restartNumberingAfterBreak="0">
    <w:nsid w:val="67AD26BE"/>
    <w:multiLevelType w:val="hybridMultilevel"/>
    <w:tmpl w:val="05A04384"/>
    <w:lvl w:ilvl="0" w:tplc="C5E2F288">
      <w:start w:val="7"/>
      <w:numFmt w:val="bullet"/>
      <w:lvlText w:val="-"/>
      <w:lvlJc w:val="left"/>
      <w:pPr>
        <w:ind w:left="796" w:hanging="360"/>
      </w:pPr>
      <w:rPr>
        <w:rFonts w:ascii="Times New Roman" w:eastAsiaTheme="minorHAnsi" w:hAnsi="Times New Roman" w:cs="Times New Roman" w:hint="default"/>
      </w:rPr>
    </w:lvl>
    <w:lvl w:ilvl="1" w:tplc="04260003" w:tentative="1">
      <w:start w:val="1"/>
      <w:numFmt w:val="bullet"/>
      <w:lvlText w:val="o"/>
      <w:lvlJc w:val="left"/>
      <w:pPr>
        <w:ind w:left="1516" w:hanging="360"/>
      </w:pPr>
      <w:rPr>
        <w:rFonts w:ascii="Courier New" w:hAnsi="Courier New" w:cs="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cs="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cs="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3" w15:restartNumberingAfterBreak="0">
    <w:nsid w:val="7BF4211E"/>
    <w:multiLevelType w:val="hybridMultilevel"/>
    <w:tmpl w:val="AAF029D6"/>
    <w:lvl w:ilvl="0" w:tplc="FF888BCC">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5CE"/>
    <w:rsid w:val="00042C86"/>
    <w:rsid w:val="0008471A"/>
    <w:rsid w:val="00084EFD"/>
    <w:rsid w:val="00085B85"/>
    <w:rsid w:val="000E41F2"/>
    <w:rsid w:val="00161490"/>
    <w:rsid w:val="00172691"/>
    <w:rsid w:val="0017379A"/>
    <w:rsid w:val="001C4075"/>
    <w:rsid w:val="00243426"/>
    <w:rsid w:val="002C3A6F"/>
    <w:rsid w:val="002E1C05"/>
    <w:rsid w:val="00303F46"/>
    <w:rsid w:val="003B0BF9"/>
    <w:rsid w:val="003D5469"/>
    <w:rsid w:val="003E0791"/>
    <w:rsid w:val="003F28AC"/>
    <w:rsid w:val="004454FE"/>
    <w:rsid w:val="00456E40"/>
    <w:rsid w:val="00471F27"/>
    <w:rsid w:val="00494C54"/>
    <w:rsid w:val="004A1EA6"/>
    <w:rsid w:val="004E7579"/>
    <w:rsid w:val="0050178F"/>
    <w:rsid w:val="00522A53"/>
    <w:rsid w:val="005866DD"/>
    <w:rsid w:val="005D6DAA"/>
    <w:rsid w:val="005D6FBB"/>
    <w:rsid w:val="005E7FC6"/>
    <w:rsid w:val="0061326C"/>
    <w:rsid w:val="0063536D"/>
    <w:rsid w:val="00655F2C"/>
    <w:rsid w:val="00667F8D"/>
    <w:rsid w:val="006E1081"/>
    <w:rsid w:val="006F4B95"/>
    <w:rsid w:val="00716B2C"/>
    <w:rsid w:val="00720585"/>
    <w:rsid w:val="00773AF6"/>
    <w:rsid w:val="00795F71"/>
    <w:rsid w:val="007B4D70"/>
    <w:rsid w:val="007E5F7A"/>
    <w:rsid w:val="007E6FCB"/>
    <w:rsid w:val="007E73AB"/>
    <w:rsid w:val="00816C11"/>
    <w:rsid w:val="00825316"/>
    <w:rsid w:val="00831136"/>
    <w:rsid w:val="00877CAC"/>
    <w:rsid w:val="00894C55"/>
    <w:rsid w:val="008B114E"/>
    <w:rsid w:val="008B6784"/>
    <w:rsid w:val="008C46AA"/>
    <w:rsid w:val="008C7DF2"/>
    <w:rsid w:val="009A2654"/>
    <w:rsid w:val="009A31D1"/>
    <w:rsid w:val="00A03A51"/>
    <w:rsid w:val="00A10FC3"/>
    <w:rsid w:val="00A6073E"/>
    <w:rsid w:val="00A666DF"/>
    <w:rsid w:val="00A8599A"/>
    <w:rsid w:val="00A9631C"/>
    <w:rsid w:val="00AB4C2E"/>
    <w:rsid w:val="00AD6F2F"/>
    <w:rsid w:val="00AE5567"/>
    <w:rsid w:val="00AF1239"/>
    <w:rsid w:val="00B16480"/>
    <w:rsid w:val="00B2165C"/>
    <w:rsid w:val="00B91227"/>
    <w:rsid w:val="00B91BA0"/>
    <w:rsid w:val="00BA20AA"/>
    <w:rsid w:val="00BA6726"/>
    <w:rsid w:val="00BD3ADD"/>
    <w:rsid w:val="00BD4425"/>
    <w:rsid w:val="00C25B49"/>
    <w:rsid w:val="00C5147B"/>
    <w:rsid w:val="00C76935"/>
    <w:rsid w:val="00CC0D2D"/>
    <w:rsid w:val="00CD2F22"/>
    <w:rsid w:val="00CE5657"/>
    <w:rsid w:val="00CF5210"/>
    <w:rsid w:val="00D069DC"/>
    <w:rsid w:val="00D133F8"/>
    <w:rsid w:val="00D14A3E"/>
    <w:rsid w:val="00D66594"/>
    <w:rsid w:val="00DC6743"/>
    <w:rsid w:val="00DF6805"/>
    <w:rsid w:val="00E20250"/>
    <w:rsid w:val="00E3716B"/>
    <w:rsid w:val="00E378C4"/>
    <w:rsid w:val="00E5323B"/>
    <w:rsid w:val="00E85A93"/>
    <w:rsid w:val="00E8749E"/>
    <w:rsid w:val="00E90C01"/>
    <w:rsid w:val="00EA486E"/>
    <w:rsid w:val="00F57B0C"/>
    <w:rsid w:val="00F73C28"/>
    <w:rsid w:val="00FB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8A2238E"/>
  <w15:docId w15:val="{0E5473D5-544E-4ACC-AEF1-B17EDF3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B91227"/>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spacing w:val="-1"/>
      <w:sz w:val="28"/>
      <w:szCs w:val="28"/>
      <w:lang w:eastAsia="lv-LV"/>
    </w:rPr>
  </w:style>
  <w:style w:type="character" w:customStyle="1" w:styleId="TitleChar">
    <w:name w:val="Title Char"/>
    <w:basedOn w:val="DefaultParagraphFont"/>
    <w:link w:val="Title"/>
    <w:rsid w:val="00B91227"/>
    <w:rPr>
      <w:rFonts w:ascii="Times New Roman" w:eastAsia="Times New Roman" w:hAnsi="Times New Roman" w:cs="Times New Roman"/>
      <w:b/>
      <w:bCs/>
      <w:spacing w:val="-1"/>
      <w:sz w:val="28"/>
      <w:szCs w:val="28"/>
      <w:shd w:val="clear" w:color="auto" w:fill="FFFFFF"/>
      <w:lang w:eastAsia="lv-LV"/>
    </w:rPr>
  </w:style>
  <w:style w:type="paragraph" w:customStyle="1" w:styleId="Default">
    <w:name w:val="Default"/>
    <w:rsid w:val="007E6FC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831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136"/>
    <w:rPr>
      <w:sz w:val="20"/>
      <w:szCs w:val="20"/>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
    <w:uiPriority w:val="99"/>
    <w:unhideWhenUsed/>
    <w:qFormat/>
    <w:rsid w:val="00831136"/>
    <w:rPr>
      <w:vertAlign w:val="superscript"/>
    </w:rPr>
  </w:style>
  <w:style w:type="table" w:styleId="GridTable1Light">
    <w:name w:val="Grid Table 1 Light"/>
    <w:basedOn w:val="TableNormal"/>
    <w:uiPriority w:val="46"/>
    <w:rsid w:val="00FB71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5866DD"/>
    <w:pPr>
      <w:spacing w:after="0" w:line="240" w:lineRule="auto"/>
    </w:pPr>
  </w:style>
  <w:style w:type="character" w:customStyle="1" w:styleId="param1">
    <w:name w:val="param1"/>
    <w:basedOn w:val="DefaultParagraphFont"/>
    <w:rsid w:val="008C7DF2"/>
    <w:rPr>
      <w:vanish w:val="0"/>
      <w:webHidden w:val="0"/>
      <w:sz w:val="21"/>
      <w:szCs w:val="21"/>
      <w:specVanish w:val="0"/>
    </w:rPr>
  </w:style>
  <w:style w:type="paragraph" w:styleId="ListParagraph">
    <w:name w:val="List Paragraph"/>
    <w:basedOn w:val="Normal"/>
    <w:uiPriority w:val="34"/>
    <w:qFormat/>
    <w:rsid w:val="008C7DF2"/>
    <w:pPr>
      <w:spacing w:after="0" w:line="240" w:lineRule="auto"/>
      <w:ind w:left="720"/>
      <w:contextualSpacing/>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825316"/>
    <w:rPr>
      <w:smallCaps/>
      <w:color w:val="5A5A5A" w:themeColor="text1" w:themeTint="A5"/>
    </w:rPr>
  </w:style>
  <w:style w:type="character" w:styleId="SubtleEmphasis">
    <w:name w:val="Subtle Emphasis"/>
    <w:basedOn w:val="DefaultParagraphFont"/>
    <w:uiPriority w:val="19"/>
    <w:qFormat/>
    <w:rsid w:val="008253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3756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murniece@ast.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E00F-EA71-48A1-8A2A-8A809491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6617</Words>
  <Characters>3773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Finanšu ministrija</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Mūrniece 67-725-340</dc:creator>
  <cp:keywords/>
  <dc:description>Zane Mūrniece
67725340 
zane.murniece@ast.lv</dc:description>
  <cp:lastModifiedBy>Dana Aleksandrova</cp:lastModifiedBy>
  <cp:revision>38</cp:revision>
  <dcterms:created xsi:type="dcterms:W3CDTF">2018-01-22T06:25:00Z</dcterms:created>
  <dcterms:modified xsi:type="dcterms:W3CDTF">2018-06-27T07:05:00Z</dcterms:modified>
</cp:coreProperties>
</file>