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63" w:rsidRPr="00101263" w:rsidRDefault="00101263" w:rsidP="00101263">
      <w:pPr>
        <w:tabs>
          <w:tab w:val="left" w:pos="540"/>
        </w:tabs>
        <w:jc w:val="center"/>
        <w:rPr>
          <w:rFonts w:ascii="Times New Roman" w:eastAsia="Times New Roman" w:hAnsi="Times New Roman" w:cs="Times New Roman"/>
          <w:sz w:val="24"/>
        </w:rPr>
      </w:pPr>
      <w:bookmarkStart w:id="0" w:name="OLE_LINK1"/>
      <w:bookmarkStart w:id="1" w:name="OLE_LINK2"/>
      <w:bookmarkStart w:id="2" w:name="OLE_LINK3"/>
      <w:r w:rsidRPr="00101263">
        <w:rPr>
          <w:rFonts w:ascii="Times New Roman" w:hAnsi="Times New Roman" w:cs="Times New Roman"/>
          <w:b/>
          <w:sz w:val="24"/>
        </w:rPr>
        <w:t>Likumprojekta „Grozījumi Aizsardzības un drošības jomas iepirkumu likumā” sākotnējās ietekmes novērtējuma ziņojums (anotācija)</w:t>
      </w:r>
      <w:bookmarkEnd w:id="0"/>
      <w:bookmarkEnd w:id="1"/>
      <w:bookmarkEnd w:id="2"/>
    </w:p>
    <w:p w:rsidR="00E5323B" w:rsidRPr="00101263" w:rsidRDefault="00E5323B" w:rsidP="00101263">
      <w:pPr>
        <w:spacing w:after="0" w:line="240" w:lineRule="auto"/>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0126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Tiesību akta projekta anotācijas kopsavilkums</w:t>
            </w:r>
          </w:p>
        </w:tc>
      </w:tr>
      <w:tr w:rsidR="00E5323B" w:rsidRPr="0010126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01263" w:rsidRDefault="00EB5E0C" w:rsidP="00EC75A3">
            <w:pPr>
              <w:spacing w:after="0" w:line="276" w:lineRule="auto"/>
              <w:jc w:val="both"/>
              <w:rPr>
                <w:rFonts w:ascii="Times New Roman" w:hAnsi="Times New Roman" w:cs="Times New Roman"/>
                <w:sz w:val="24"/>
                <w:szCs w:val="24"/>
              </w:rPr>
            </w:pPr>
            <w:r w:rsidRPr="00350B1F">
              <w:rPr>
                <w:rFonts w:ascii="Times New Roman" w:hAnsi="Times New Roman"/>
                <w:sz w:val="24"/>
                <w:szCs w:val="24"/>
              </w:rPr>
              <w:t xml:space="preserve">Ņemot vērā, ka tiek veikta nozaru administratīvo pārkāpumu kodifikācijas sistēmas reforma, ir nepieciešams paredzēt administratīvos sodus par </w:t>
            </w:r>
            <w:r>
              <w:rPr>
                <w:rFonts w:ascii="Times New Roman" w:hAnsi="Times New Roman"/>
                <w:sz w:val="24"/>
                <w:szCs w:val="24"/>
              </w:rPr>
              <w:t>aizsardzības un drošības jomas iepirkumu</w:t>
            </w:r>
            <w:r w:rsidRPr="00350B1F">
              <w:rPr>
                <w:rFonts w:ascii="Times New Roman" w:hAnsi="Times New Roman"/>
                <w:sz w:val="24"/>
                <w:szCs w:val="24"/>
              </w:rPr>
              <w:t xml:space="preserve"> normatīvo aktu pārkāpumiem. Šobrīd sodi ir noteikti Latvijas Administratīvo pārkāpumu kodeksā.</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 Tiesību akta projekta izstrādes nepieciešamība</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Ministru kabineta 2016.gada 13.decembra sēdes protokola Nr.68 67.§ „Informatīvais ziņojums „Nozaru administratīvo pārkāpumu kodifikācijas ieviešanas sistēmas īstenošana”” 2.punkts.</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Administratīvie pārkāpumi publisko iepirkumu un publiskās un privātās partnerības jomā līdz šim ir bijuši noteikti Latvijas Administratīvo pārkāpumu kodeksa (turpmāk arī – LAPK) 166.21–166.25 pantā. Īstenojot nozaru administratīvo pārkāpumu kodifikācijas procesu, administratīvo pārkāpumu publisko iepirkumu un publiskās un privātās partnerības jomā tiesiskais regulējums ietverams četros likumos – Publisko iepirkumu likumā, Sabiedrisko pakalpojumu sniedzēju iepirkumu likumā, Aizsardzības un drošības jomas iepirkumu likumā un Publiskās un privātās partnerības likumā. Ietverot šo tiesisko regulējumu minētajos likumos, ir izvērtēta nepieciešamība saglabāt administratīvos pārkāpumus, kas līdz šim bijuši noteikti iepriekš minētajās LAPK normās, atsevišķos gadījumos tos precizējot un papildinot. Likumu normas, kas attieksies uz administratīvo pārkāpumu procesu, stāsies spēkā vienlaikus ar Administratīvo pārkāpumu procesa likumu.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Aizsardzības un drošības jomas iepirkumu likums (turpmāk – Likums) tiek papildināts ar XV nodaļu, kurā ietverti gan panti, kas attiecas uz administratīvajiem pārkāpumiem, gan kompetence sodu piemērošanā, saglabājot to Iepirkumu uzraudzības birojam, gan kārtība, kādā izpildāms lēmums par aizliegumu ieņemt amatus, kuru pienākumos ietilpst lēmumu pieņemšana </w:t>
            </w:r>
            <w:r w:rsidRPr="00101263">
              <w:rPr>
                <w:rFonts w:ascii="Times New Roman" w:hAnsi="Times New Roman" w:cs="Times New Roman"/>
                <w:sz w:val="24"/>
                <w:szCs w:val="24"/>
              </w:rPr>
              <w:lastRenderedPageBreak/>
              <w:t>publisko iepirkumu un publiskās un privātās partnerības jomā vai iepirkuma līgumu, vispārīgo vienošanos, partnerības iepirkuma līgumu vai koncesijas līgumu noslēgšana.</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I. Administratīvie pārkāpumi.</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Izmaiņas tiesiskajā regulējumā:</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1) precizēti pantu nosaukumi, lai tie pēc iespējas precīzāk atspoguļotu attiecīgajos pantos ietvertā tiesiskā regulējuma būtību;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2) noteiktas pie administratīvās atbildības saucamās personas (fiziskās personas), ņemot vērā līdzšinējo LAPK tiesisko regulējumu un atbildības sadalījumu publisko iepirkumu un publiskās un privātās partnerības jomā. Savukārt par iepirkuma dokumentu (Likumā ar iepirkuma dokumentiem saprot dokumentus gan iepirkuma procedūrā, gan citā līguma slēgšanas tiesību piešķiršanas kārtībā (piemēram, Likuma 6.panta septītajā un devītajā daļā noteiktajā kārtībā) atbilstoši Likuma 1.panta 10.1 punktam) un informācijas nenodrošināšanu atbildīgās fiziskās personas nosakāmas katrā konkrētā gadījumā, ņemot vērā personu amata vai darba pienākumus. Ja šādi pārkāpumi izdarīti attiecībā uz jautājumiem, kas ir iepirkuma komisijas kompetencē, tad pie atbildības saucams iepirkuma komisijas priekšsēdētājs vai tā pienākumu izpildītājs, izņemot, ja attiecīgie pienākumi noteikti citai personai vai nu iekšējos normatīvajos aktos, amata aprakstā vai līdzīgā dokumentā, vai tie tai uzdoti, piemēram, iepirkuma komisijas sēdes protokolā fiksējot attiecīgo pienākumu. Ja pārkāpumi attiecas uz citām darbībām (piemēram, statistikas pārskata iesniegšanu) un līdzīgā kārtībā nav konstatējama persona, kurai būtu uzdots attiecīgos pienākumus veikt, tad atbildīgs būs pasūtītāja vadītājs, valdes priekšsēdētājs vai cita persona, kura ir kopumā atbildīga par attiecīgā pasūtītāja darbību;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3) mainīta līgumcenas robežvērtība lielāka naudas soda apmēra un papildsoda piemērošanai par būtiskākiem pārkāpumiem no 145 000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uz 500 000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xml:space="preserve">, ņemot vērā to, ka iepriekš noteiktā robežvērtība bija diezgan zema, lai piemērotu obligātu tiesību izmantošanas aizliegumu ieņemt noteiktus amatus (attiecībā uz būvdarbu līgumiem tas varēja būt pat t.s. „mazo iepirkumu” gadījums). Šādos gadījumos tiek palielināts </w:t>
            </w:r>
            <w:r w:rsidRPr="00101263">
              <w:rPr>
                <w:rFonts w:ascii="Times New Roman" w:hAnsi="Times New Roman" w:cs="Times New Roman"/>
                <w:sz w:val="24"/>
                <w:szCs w:val="24"/>
              </w:rPr>
              <w:lastRenderedPageBreak/>
              <w:t xml:space="preserve">arī naudas soda maksimālais apmērs atbilstoši Administratīvo pārkāpumu procesa likuma projektā noteiktajam naudas soda maksimālajam apmēram, ņemot vērā pārkāpumu būtiskumu (īpaši gadījumos, kad tiek prettiesiski noslēgti līgumi vairāku miljonu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xml:space="preserve"> apmērā vai šāda apmēra līgumos tiek prettiesiski veikti grozījumi). Ņemot vērā to, ka gadījumos, kad līguma līgumcena būs zemāka par 500 000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xml:space="preserve">, vairs nebūs noteikts aizliegums ieņemt noteiktus amatus, tiek paaugstināts arī naudas soda maksimālais apmērs šajos gadījumos;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4) administratīvo pārkāpumu sankcijās, kurās paredzēts papildsods, konkrēti noteikts, kādus amatus ir aizliegts ieņemt personai, kurai kā papildsods piemērojams tiesību izmantošanas aizliegums. Likums vairs sodu neaprobežo ar aizliegumu ieņemt tikai valsts amatpersonas amatus, tādējādi sasniedzot šāda soda galveno mērķi – personām, kuras izdarījušas būtiskus pārkāpumus publisko iepirkumu un publiskās un privātās partnerības jomā, liegt tiesības ieņemt amatus, kuru pienākumos ietilpst lēmumu pieņemšana publisko iepirkumu un publiskās un privātās partnerības jomā vai iepirkuma līgumu, vispārīgo vienošanos, partnerības iepirkuma līgumu vai koncesijas līgumu noslēgšana. Vienlaikus, precizējot administratīvo pārkāpumu sankcijas, to amatu funkcijas, kurus būs aizliegts ieņemt, izrietēs jau no sankcijā ietvertā soda, nevis tikai no normām, kas nosaka lēmuma izpildi. Attiecīgi precizēts Likuma 1.panta 18.punkts un 28.panta pirmā daļa;</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5) ņemot vērā administratīvo pārkāpumu jomā uzsākto atteikšanos normatīvajos aktos noteikt atsevišķus administratīvo pārkāpumu sastāvus par atkārtotiem pārkāpumiem, arī Likumā tādi nav paredzēti. Šādos gadījumos ievērojama vispārīgā kārtība sodu piemērošanai;</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6) Likuma 29.panta pirmā, otrā un trešā daļa (līdzīgi attiecīgajām normām Publisko iepirkumu likumā, Sabiedrisko pakalpojumu sniedzēju iepirkumu likumā un Publiskās un privātās partnerības likumā) papildinātas ar interešu konflikta novēršanas tiesisko regulējumu attiecībā uz iepirkuma dokumentu sagatavotāju (pasūtītāja amatpersonu vai darbinieku), </w:t>
            </w:r>
            <w:r w:rsidRPr="00101263">
              <w:rPr>
                <w:rFonts w:ascii="Times New Roman" w:hAnsi="Times New Roman" w:cs="Times New Roman"/>
                <w:sz w:val="24"/>
                <w:szCs w:val="24"/>
              </w:rPr>
              <w:lastRenderedPageBreak/>
              <w:t>attiecīgi arī šai personai paredzēta administratīvā atbildība Likuma 74.panta otrajā daļā;</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7) ņemot vērā Tieslietu ministrijas izveidotās Latvijas Administratīvo pārkāpumu kodeksa pastāvīgās darba grupas priekšlikumu, palielināts administratīvā soda apmērs par likumā noteiktā aizlieguma pasūtītāja amatpersonām un darbiniekiem, kas sagatavo iepirkuma dokumentus, iepirkuma komisijas locekļiem un ekspertiem pārstāvēt kandidāta vai pretendenta intereses neievērošanu, kā arī par aizlieguma būt saistītiem ar kandidātu vai pretendentu neievērošanu;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8) administratīvā atbildība par kandidātu un pretendentu izslēgšanas noteikumu neievērošanu, atlases prasību neievērošanu un tehnisko specifikāciju prasību neievērošanu aprobežota ar gadījumiem, kad pieņemtais lēmums ir ietekmējis kandidātu atlases rezultātus (vairākposmu procedūrā ar kandidātu atlases posmu) vai līguma slēgšanas tiesību piešķiršanu. Arī sekas, kādām jāiestājas prasību neievērošanas rezultātā (attiecībā uz piegādātāja prettiesisku izslēgšanu vai neizslēgšanu no dalības iepirkumā un pieteikuma/piedāvājuma nepamatotu noraidīšanu vai atzīšanu par atbilstošu), tiek paredzētas jau Likumā. Šie pārkāpumi tiek noteikti kā vienīgie ar materiālu pārkāpuma sastāvu.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Ņemot vērā  LAPK 166.21–166.25 panta piemērošanas praksi, attiecībā uz jauno tiesisko regulējumu paskaidrojams, ka:</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1) administratīvās atbildības tiesiskais regulējums ir attiecināms gan uz iepirkuma procedūrām, gan jebkuru citu Likumā noteiktu līguma slēgšanas tiesību piešķiršanas kārtību;</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2) Likuma 73.pantā minētajos gadījumos, kad ir veikti darījumi, kas atbilst iepirkuma līguma vai vispārīgās vienošanās būtībai, bet kas nav noformēti kā rakstveida līgumi, un to veikšanu apliecina dažādi maksājuma dokumenti, piemēram, rēķini-pavadzīmes, persona, kas būs administratīvi atbildīga par šādu darījumu veikšanu, būs tā pasūtītāja atbildīgā persona, kuras kompetencē un pienākumos ir šādu darījumu (līgumu) slēgšana pasūtītāja vārdā un kura ir akceptējusi  (piemēram, apstiprinot iesniegtos rēķinus-pavadzīmes) citu darbinieku rīcību, kas faktiski pasūtījuši (piemēram, piezvanot attiecīgajam </w:t>
            </w:r>
            <w:r w:rsidRPr="00101263">
              <w:rPr>
                <w:rFonts w:ascii="Times New Roman" w:hAnsi="Times New Roman" w:cs="Times New Roman"/>
                <w:sz w:val="24"/>
                <w:szCs w:val="24"/>
              </w:rPr>
              <w:lastRenderedPageBreak/>
              <w:t>piegādātājam) preces, pakalpojumus vai būvdarbus un kuriem nav tiesību veikt darījumus pasūtītāja vārdā. Fiziskajām personām, kas slēdz iepirkuma līgumus vai vispārīgās vienošanās vai veic šādus cita veida darījumus pasūtītāja vārdā, arī pašām ir jāpārliecinās par attiecīgā pasūtītāja kopējo darījumu apjomu (tajā skaitā iepriekšējā periodā, kas izmantojams paredzamās līgumcenas noteikšanai, un ņemot vērā arī iespējamās izmaiņas nākamajā periodā), lai konstatētu, vai ir pieļaujami attiecīgi līgumi/ darījumi (maksājumi), nepiemērojot Likumu vai piemērojot attiecīgo līguma slēgšanas tiesību piešķiršanas kārtību, un tās nevar aizbildināties ar šādas informācijas neesamību (neapkopošanu) attiecīgajā pasūtītājā;</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3) Likuma 73.pantā minētajos gadījumos tiek vērtēta kopējā prettiesiski noslēgto iepirkuma līgumu, vispārīgo vienošanos vai citu darījumu summa;</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4) par Likuma 74.panta pirmajā daļā minēto pārkāpumu pie administratīvās atbildības ir saucams iepirkuma komisijas priekšsēdētājs, taču tad, ja šī persona nav varējusi pildīt savus pienākumus un to ir aizvietojusi cita persona brīdī, kad bijusi nodrošināma apliecinājumu parakstīšana, pie atbildības saucama persona, kas pildījusi iepirkuma komisijas priekšsēdētāja pienākumus;</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5) Likuma 74.panta otrajā daļā minētajā gadījumā pie atbildības sauc fizisko personu (iepirkuma dokumentu sagatavotāju, iepirkuma komisijas locekli vai ekspertu), kas attiecīgo aizliegumu pārkāpusi;</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6) Likuma 75.panta pirmās un otrās daļas piemērošanai ir ņemams vērā katra iepirkuma komisijas locekļa balsojums (kura rezultātā pieņemts attiecīgais lēmums), ja tas ir norādīts iepirkuma komisijas sēdes protokolā vai citā dokumentā, kurā ietverts attiecīgais lēmums. Ja katra iepirkuma komisijas locekļa balsojums nav norādīts un ir vispārīgs ieraksts par to, ko iepirkuma komisija ir nolēmusi, ir uzskatāms, ka iepirkuma komisija attiecīgo lēmumu ir pieņēmusi vienbalsīgi, tādējādi, ja lēmums ir bijis prettiesisks un attiecīgi ietekmējis kandidātu atlases rezultātus vai līguma slēgšanas tiesību piešķiršanu, pie administratīvās atbildības ir saucams katrs attiecīgās iepirkuma komisijas loceklis;</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7) Likuma 76.panta trešajā daļā minētā frāze „iekļauti atšķirīgi noteikumi” nav attiecināma uz gadījumiem, kad veikti nebūtiski grozījumi, piemēram, precizētas atsauces uz līguma punktiem vai pielikumiem. Atšķirībā no Likuma 76.panta ceturtās daļas, kurā atbildība paredzēta par grozījumiem, kas izdarīti jau noslēgta iepirkuma līguma vai vispārīgās vienošanās tekstā, Likuma 76.panta trešajā daļā ir paredzēta atbildība par iepirkuma līguma vai vispārīgās vienošanās sākotnējo noslēgšanu, neiekļaujot tajā iepirkuma dokumentos paredzētos noteikumus vai iekļaujot atšķirīgus noteikumus, kas izdarīts, neievērojot Likumā noteikto kārtību attiecībā uz to, kādi grozījumi (arī šie pēc būtības ir grozījumi, salīdzinot ar līguma projektu vai citiem noteikumiem iepirkuma dokumentos) ir pieļaujami iepirkuma līgumā vai vispārīgās vienošanās tekstā;</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8) Likuma 76.panta sestā daļa ir attiecināma uz likumam neatbilstošu grozījumu izdarīšanu (kā minēts Likuma 76.panta ceturtajā daļā), ja to kopējā vērtība naudas izteiksmē ir 500 000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vai lielāka (ja tos var izteikt naudas izteiksmē) vai ja tie izdarīti tāda iepirkuma līguma vai vispārīgās vienošanās tekstā, attiecīgi kura vai kuras līgumcena ir 500 000 </w:t>
            </w:r>
            <w:proofErr w:type="spellStart"/>
            <w:r w:rsidRPr="00101263">
              <w:rPr>
                <w:rFonts w:ascii="Times New Roman" w:hAnsi="Times New Roman" w:cs="Times New Roman"/>
                <w:sz w:val="24"/>
                <w:szCs w:val="24"/>
              </w:rPr>
              <w:t>euro</w:t>
            </w:r>
            <w:proofErr w:type="spellEnd"/>
            <w:r w:rsidRPr="00101263">
              <w:rPr>
                <w:rFonts w:ascii="Times New Roman" w:hAnsi="Times New Roman" w:cs="Times New Roman"/>
                <w:sz w:val="24"/>
                <w:szCs w:val="24"/>
              </w:rPr>
              <w:t> vai lielāka (neatkarīgi no grozījumu vērtības naudas izteiksmē, ja tos vispār var izteikt naudas izteiksmē);</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9) Likuma 77.panta pirmā daļa ir attiecināma uz laikposmu līdz pieteikumu un piedāvājumu iesniegšanai, lai nodrošinātu piegādātājiem nepieciešamo informāciju attiecīgi pieteikumu vai piedāvājumu sagatavošanai.</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Ņemot vērā to, ka administratīvā atbildība ir individuāla atbildība par izdarītajiem administratīvajiem pārkāpumiem, persona par izdarīto administratīvo pārkāpumu ir saucama pie administratīvās atbildības neatkarīgi no tā, vai tā ir paļāvusies uz citas personas padomiem vai rīcību. Tādējādi, piemēram, gadījumos, kad pārkāpums izpaužas prettiesiskā iepirkuma līguma vai vispārīgās vienošanās noslēgšanā vai grozījumu veikšanā, nav nozīmes tam, piemēram, kurš: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ir apgalvojis, ka Likums līguma noslēgšanai nav piemērojams;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 xml:space="preserve">ir neatbilstoši izraudzījies līguma slēgšanas tiesību piešķiršanas kārtību un ka lēmumu šādā iepirkumā pieņēmusi iepirkuma komisija;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aizpildot paziņojuma formu, nav izvēlējies pareizo paredzamās līgumcenas diapazonu, kas norādāms, lai paziņojumu nosūtītu publicēšanai Eiropas Savienības Oficiālajā Vēstnesī;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ir nepareizi izskaitījis termiņu iepirkuma līguma vai vispārīgās vienošanās noslēgšanai;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ir sagatavojis iepirkuma līguma vai vispārīgās vienošanās projektu vai grozījumus (papildu vienošanās projektu), kas nav bijuši atbilstoši likumam, un tamlīdzīgi.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Svarīgs ir fakts, ka iepirkuma līgums vai vispārīgā vienošanās ir noslēgta vai grozījumi veikti, bet nav ievēroti likumā ietvertie priekšnoteikumi un prasības iepirkuma līguma vai vispārīgās vienošanās noslēgšanai vai grozījumu veikšanai, un tādējādi personai, kura iepirkuma līgumu vai vispārīgo vienošanos slēdz (paraksta) vai veic (paraksta) grozījumus iepirkuma līgumā vai vispārīgās vienošanās tekstā, pirms attiecīgajām darbībām ir pašai jāpārliecinās par attiecīgo likuma normu ievērošanu. </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Likumā ar grozījumiem netiek iekļauts administratīvais pārkāpums, kas atbilstoši LAPK 215.11 pantam līdz šim ir bijis Iepirkumu uzraudzības biroja kompetencē un bijis paredzēts LAPK 175.2 pantā (par pārkāpumiem, kas saistīti ar Iepirkumu uzraudzības biroja likumīgo prasību savlaicīgu neizpildīšanu), jo Tieslietu ministrija ir plānojusi LAPK 175.2 pantā minētos administratīvos pārkāpumus ietvert atsevišķā likumā, kas apkopos tos administratīvos pārkāpumus, kas nav iekļaujami nozaru speciālajā tiesiskajā regulējumā, bet ir aktuāli dažādām institūcijām.</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II. Kārtība, kādā izpildāms lēmums par tiesību izmantošanas aizliegumu ieņemt amatus.</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Likuma 79.panta otrā daļa paredz, ka institūcijai, kurā persona ieņem amatus, kuru pienākumos ietilpst lēmumu pieņemšana publisko iepirkumu un publiskās un privātās partnerības jomā vai iepirkuma līgumu, vispārīgo vienošanos, partnerības iepirkuma līgumu vai koncesijas līgumu noslēgšana un kurus ar lēmumu administratīvā pārkāpuma lietā personai tiek aizliegts ieņemt, ir pienākums nodrošināt, ka attiecīgā persona </w:t>
            </w:r>
            <w:r w:rsidRPr="00101263">
              <w:rPr>
                <w:rFonts w:ascii="Times New Roman" w:hAnsi="Times New Roman" w:cs="Times New Roman"/>
                <w:sz w:val="24"/>
                <w:szCs w:val="24"/>
              </w:rPr>
              <w:lastRenderedPageBreak/>
              <w:t>iepriekš minētos amatus neieņem, lēmumus nepieņem un līgumus neslēdz. Lai lēmumu izpildītu, institūcijai ir jāizvērtē, vai sodītā persona var turpināt pildīt tā amata pienākumus, ko šī persona ieņem. Tad, ja sodītās personas amata pienākumus atbilstoši normatīvajiem aktiem ir iespējams pārskatīt un grozīt, izslēdzot no personas amata pienākumiem Likuma 79.panta otrajā daļā norādītos pienākumus, institūcijai vienlaikus arī nodrošinot, ka nenotiek faktiska attiecīgo lēmumu pieņemšana un līgumu noslēgšana, sodītā persona var palikt amatā, ko tā ieņem. Tomēr tad, ja sodītās personas amata pienākumi nevar tiesiski tikt mainīti (tajā skaitā – ja amats pēc būtības ietver iepriekš minēto darbību veikšanu, piemēram, iepirkumu speciālista amats), institūcijai ir jānodrošina, ka persona no attiecīgā amata atkāpjas.</w:t>
            </w:r>
          </w:p>
          <w:p w:rsidR="00101263"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Ņemot vērā minēto, Likuma 79.panta pirmā daļa paredz, ka Iepirkumu uzraudzības birojs vienas darbdienas laikā pēc tam, kad lēmums administratīvā pārkāpuma lietā paziņots personai, kurai piemērots tiesību izmantošanas aizliegums ieņemt amatus, kuru pienākumos ietilpst lēmumu pieņemšana publisko iepirkumu un publiskās un privātās partnerības jomā vai iepirkuma līgumu, vispārīgo vienošanos, partnerības iepirkuma līgumu vai koncesijas līgumu noslēgšana, par pieņemto lēmumu informē visas tās Iepirkumu uzraudzības birojam zināmās (personas paziņotās) institūcijas, kurās šī persona ieņem šādus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komisijas vai koncesijas procedūras komisijas locekļu dalību komisijas darbā) un institūciju atbildīgo personu atbildību par dažādu līgumu (darījumu) un vispārīgo vienošanos noslēgšanu, institūcijas par pieņemto lēmumu administratīvā pārkāpuma lietā tiek informētas pirms tam, kad minētais lēmums stājies spēkā (vienlaikus iekļaujot norādi, ka lēmums vēl nav stājies spēkā (kļuvis nepārsūdzams)), lai dotu iespēju </w:t>
            </w:r>
            <w:r w:rsidRPr="00101263">
              <w:rPr>
                <w:rFonts w:ascii="Times New Roman" w:hAnsi="Times New Roman" w:cs="Times New Roman"/>
                <w:sz w:val="24"/>
                <w:szCs w:val="24"/>
              </w:rPr>
              <w:lastRenderedPageBreak/>
              <w:t>institūcijām savlaicīgi sagatavoties iespējamai soda izpildei, kas var būt saistīta ar amata pienākumu maiņu (tajā skaitā personas aizstāšanu iepirkuma komisijās vai koncesijas procedūras komisijās un neiekļaušanu citās), ja tas iespējams, vai pat pārcelšanu citā amatā, ja līdzšinējā amata pienākumu maiņa nav iespējama.</w:t>
            </w:r>
          </w:p>
          <w:p w:rsidR="00E5323B" w:rsidRPr="00101263" w:rsidRDefault="00101263" w:rsidP="00EC75A3">
            <w:pPr>
              <w:spacing w:after="0" w:line="276"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Atbilstoši Likuma 79.panta trešajai daļai triju darbdienu laikā pēc tam, kad saņemtas ziņas par to, ka lēmums administratīvā pārkāpuma lietā, kurā piemērots tiesību izmantošanas aizliegums ieņemt iepriekš minētos amatus, ir stājies spēkā, Iepirkumu uzraudzības birojs šo informāciju </w:t>
            </w:r>
            <w:proofErr w:type="spellStart"/>
            <w:r w:rsidRPr="00101263">
              <w:rPr>
                <w:rFonts w:ascii="Times New Roman" w:hAnsi="Times New Roman" w:cs="Times New Roman"/>
                <w:sz w:val="24"/>
                <w:szCs w:val="24"/>
              </w:rPr>
              <w:t>nosūta</w:t>
            </w:r>
            <w:proofErr w:type="spellEnd"/>
            <w:r w:rsidRPr="00101263">
              <w:rPr>
                <w:rFonts w:ascii="Times New Roman" w:hAnsi="Times New Roman" w:cs="Times New Roman"/>
                <w:sz w:val="24"/>
                <w:szCs w:val="24"/>
              </w:rPr>
              <w:t xml:space="preserve"> šā panta pirmajā daļā minētajām institūcijām, kā arī publikāciju vadības sistēmā publicē pie administratīvās atbildības sauktās personas vārdu, uzvārdu un personas kodu (lai persona būtu skaidri identificējama) un termiņu, līdz kuram notiek soda izpilde. Informācija par attiecīgo personu publikāciju vadības sistēmā ir pieejama tikai šajā sistēmā reģistrētiem (pasūtītāju, sabiedrisko pakalpojumu sniedzēju, publisko partneru un publisko partneru pārstāvju pilnvarotiem) lietotājiem līdz dienai, kad soda izpilde beidzas, to par katru personu atsevišķi meklējot speciāli izveidotā sodīto personu meklēšanas modulī. Turklāt sistēmā tiek saglabāti dati par ikvienu personu, kura informāciju ar attiecīgajiem meklēšanas parametriem ir meklējusi, kā arī pamatojums, ko persona ir norādījusi šīs informācijas meklēšanai. Iepriekš minētā informācija publikāciju vadības sistēmā ir iegūstama un izmantojama tikai likumā noteikto pienākumu izpildei, tas ir, personu pārbaudei pirms to iekļaušanas iepirkuma komisijā vai koncesijas procedūras komisijā, kā arī Likuma 79.panta otrajā daļā (un attiecīgās normās citos publisko iepirkumu un publiskās un privātās partnerības jomas likumos) noteiktajām institūcijām lēmumu par tiesību izmantošanas aizliegumu ieņemt iepriekš minētos amatus izpildei (piemēram, lai pārliecinātos par soda izpildes termiņu).</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Iepirkumu uzraudzības birojs, Finanšu ministrija.</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Likumprojekts saskaņots ar Tieslietu ministrijas izveidoto Latvijas Administratīvo pārkāpumu kodeksa pastāvīgo darba grupu.</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II. Tiesību akta projekta ietekme uz sabiedrību, tautsaimniecības attīstību un administratīvo slogu</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Sabiedrības </w:t>
            </w:r>
            <w:proofErr w:type="spellStart"/>
            <w:r w:rsidRPr="00101263">
              <w:rPr>
                <w:rFonts w:ascii="Times New Roman" w:hAnsi="Times New Roman" w:cs="Times New Roman"/>
                <w:sz w:val="24"/>
                <w:szCs w:val="24"/>
              </w:rPr>
              <w:t>mērķgrupas</w:t>
            </w:r>
            <w:proofErr w:type="spellEnd"/>
            <w:r w:rsidRPr="00101263">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Pasūtītāju Publisko iepirkumu likuma izpratnē un sabiedrisko pakalpojumu sniedzēju Sabiedrisko pakalpojumu sniedzēju iepirkumu likuma izpratnē, kuri veic iepirkumus aizsardzības un drošības jomā, amatpersonas un darbinieki. To aptuvenais skaits nav zināms.</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grupām un institūcijām projekta tiesiskais regulējums nemaina tiesības un pienākumus, kā arī veicamās darbības.</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III. Tiesību akta projekta ietekme uz valsts budžetu un pašvaldību budžetiem</w:t>
            </w:r>
          </w:p>
        </w:tc>
      </w:tr>
      <w:tr w:rsidR="00101263"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IV. Tiesību akta projekta ietekme uz spēkā esošo tiesību normu sistēmu</w:t>
            </w:r>
          </w:p>
        </w:tc>
      </w:tr>
      <w:tr w:rsidR="00101263"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 Tiesību akta projekta atbilstība Latvijas Republikas starptautiskajām saistībām</w:t>
            </w:r>
          </w:p>
        </w:tc>
      </w:tr>
      <w:tr w:rsidR="00101263" w:rsidRPr="0010126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VI. Sabiedrības līdzdalība un komunikācijas aktivitātes</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01263"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Finanšu ministrijas tīmekļvietnes sadaļā „Sabiedrības līdzdalība” ir ievietota uzziņa par projektu.</w:t>
            </w:r>
          </w:p>
          <w:p w:rsidR="00101263"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pēc tā izsludināšanas Valsts sekretāru sanāksmē ir publiski pieejams Ministru kabineta tīmekļvietnes sadaļā „Tiesību aktu projekti”.</w:t>
            </w:r>
          </w:p>
          <w:p w:rsidR="00E5323B" w:rsidRPr="00101263" w:rsidRDefault="00E5323B" w:rsidP="00101263">
            <w:pPr>
              <w:spacing w:after="0" w:line="240" w:lineRule="auto"/>
              <w:jc w:val="both"/>
              <w:rPr>
                <w:rFonts w:ascii="Times New Roman" w:hAnsi="Times New Roman" w:cs="Times New Roman"/>
                <w:sz w:val="24"/>
                <w:szCs w:val="24"/>
              </w:rPr>
            </w:pP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VII. Tiesību akta projekta izpildes nodrošināšana un tās ietekme uz institūcijām</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Iepirkumu uzraudzības birojs.</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izpildes ietekme uz pārvaldes funkcijām un institucionālo struktūru.</w:t>
            </w:r>
            <w:r w:rsidRPr="00101263">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Iepirkumu uzraudzības birojs turpina pildīt pienākumus, kas attiecībā uz administratīvo pārkāpumu lietu izskatīšanu bija noteikti jau iepriekš ar Latvijas Administratīvo pārkāpumu kodeksa 215.11 pantu.</w:t>
            </w:r>
          </w:p>
        </w:tc>
      </w:tr>
      <w:tr w:rsidR="00E5323B" w:rsidRPr="0010126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rsidR="00C25B49" w:rsidRPr="00101263" w:rsidRDefault="00C25B49" w:rsidP="00101263">
      <w:pPr>
        <w:spacing w:after="0" w:line="240" w:lineRule="auto"/>
        <w:jc w:val="both"/>
        <w:rPr>
          <w:rFonts w:ascii="Times New Roman" w:hAnsi="Times New Roman" w:cs="Times New Roman"/>
          <w:sz w:val="24"/>
          <w:szCs w:val="24"/>
        </w:rPr>
      </w:pPr>
    </w:p>
    <w:p w:rsidR="00E5323B" w:rsidRDefault="00E5323B" w:rsidP="00101263">
      <w:pPr>
        <w:spacing w:after="0" w:line="240" w:lineRule="auto"/>
        <w:jc w:val="both"/>
        <w:rPr>
          <w:rFonts w:ascii="Times New Roman" w:hAnsi="Times New Roman" w:cs="Times New Roman"/>
          <w:sz w:val="24"/>
          <w:szCs w:val="24"/>
        </w:rPr>
      </w:pPr>
    </w:p>
    <w:p w:rsidR="001106F5" w:rsidRPr="00101263" w:rsidRDefault="001106F5" w:rsidP="00101263">
      <w:pPr>
        <w:spacing w:after="0" w:line="240" w:lineRule="auto"/>
        <w:jc w:val="both"/>
        <w:rPr>
          <w:rFonts w:ascii="Times New Roman" w:hAnsi="Times New Roman" w:cs="Times New Roman"/>
          <w:sz w:val="24"/>
          <w:szCs w:val="24"/>
        </w:rPr>
      </w:pPr>
      <w:bookmarkStart w:id="3" w:name="_GoBack"/>
      <w:bookmarkEnd w:id="3"/>
    </w:p>
    <w:p w:rsidR="00101263"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Finanšu ministre</w:t>
      </w:r>
      <w:r w:rsidRPr="001012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1263">
        <w:rPr>
          <w:rFonts w:ascii="Times New Roman" w:hAnsi="Times New Roman" w:cs="Times New Roman"/>
          <w:sz w:val="24"/>
          <w:szCs w:val="24"/>
        </w:rPr>
        <w:t>Dana Reizniece-Ozola</w:t>
      </w:r>
    </w:p>
    <w:p w:rsidR="00894C55" w:rsidRPr="00101263" w:rsidRDefault="00894C55" w:rsidP="00101263">
      <w:pPr>
        <w:spacing w:after="0" w:line="240" w:lineRule="auto"/>
        <w:jc w:val="both"/>
        <w:rPr>
          <w:rFonts w:ascii="Times New Roman" w:hAnsi="Times New Roman" w:cs="Times New Roman"/>
          <w:sz w:val="24"/>
          <w:szCs w:val="24"/>
        </w:rPr>
      </w:pPr>
    </w:p>
    <w:p w:rsidR="00894C55" w:rsidRPr="00101263" w:rsidRDefault="00894C55" w:rsidP="00101263">
      <w:pPr>
        <w:spacing w:after="0" w:line="240" w:lineRule="auto"/>
        <w:jc w:val="both"/>
        <w:rPr>
          <w:rFonts w:ascii="Times New Roman" w:hAnsi="Times New Roman" w:cs="Times New Roman"/>
          <w:sz w:val="24"/>
          <w:szCs w:val="24"/>
        </w:rPr>
      </w:pPr>
    </w:p>
    <w:p w:rsidR="00894C55" w:rsidRPr="00101263" w:rsidRDefault="00894C55" w:rsidP="00101263">
      <w:pPr>
        <w:spacing w:after="0" w:line="240" w:lineRule="auto"/>
        <w:jc w:val="both"/>
        <w:rPr>
          <w:rFonts w:ascii="Times New Roman" w:hAnsi="Times New Roman" w:cs="Times New Roman"/>
          <w:sz w:val="24"/>
          <w:szCs w:val="24"/>
        </w:rPr>
      </w:pPr>
    </w:p>
    <w:p w:rsidR="00894C55" w:rsidRPr="00101263" w:rsidRDefault="00894C55" w:rsidP="00101263">
      <w:pPr>
        <w:spacing w:after="0" w:line="240" w:lineRule="auto"/>
        <w:jc w:val="both"/>
        <w:rPr>
          <w:rFonts w:ascii="Times New Roman" w:hAnsi="Times New Roman" w:cs="Times New Roman"/>
          <w:sz w:val="24"/>
          <w:szCs w:val="24"/>
        </w:rPr>
      </w:pPr>
    </w:p>
    <w:sectPr w:rsidR="00894C55" w:rsidRPr="0010126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8B" w:rsidRDefault="00C9148B" w:rsidP="00894C55">
      <w:pPr>
        <w:spacing w:after="0" w:line="240" w:lineRule="auto"/>
      </w:pPr>
      <w:r>
        <w:separator/>
      </w:r>
    </w:p>
  </w:endnote>
  <w:endnote w:type="continuationSeparator" w:id="0">
    <w:p w:rsidR="00C9148B" w:rsidRDefault="00C9148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FManot_150518_ADJIL_sodi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FManot_150518_ADJIL_sodi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8B" w:rsidRDefault="00C9148B" w:rsidP="00894C55">
      <w:pPr>
        <w:spacing w:after="0" w:line="240" w:lineRule="auto"/>
      </w:pPr>
      <w:r>
        <w:separator/>
      </w:r>
    </w:p>
  </w:footnote>
  <w:footnote w:type="continuationSeparator" w:id="0">
    <w:p w:rsidR="00C9148B" w:rsidRDefault="00C9148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06F5">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FD6"/>
    <w:multiLevelType w:val="hybridMultilevel"/>
    <w:tmpl w:val="AF9A4284"/>
    <w:lvl w:ilvl="0" w:tplc="0D56E728">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01263"/>
    <w:rsid w:val="001106F5"/>
    <w:rsid w:val="00243426"/>
    <w:rsid w:val="002D53D8"/>
    <w:rsid w:val="002E1C05"/>
    <w:rsid w:val="003B0BF9"/>
    <w:rsid w:val="003E0791"/>
    <w:rsid w:val="003F28AC"/>
    <w:rsid w:val="004454FE"/>
    <w:rsid w:val="00456E40"/>
    <w:rsid w:val="00471F27"/>
    <w:rsid w:val="0050178F"/>
    <w:rsid w:val="00655F2C"/>
    <w:rsid w:val="006E1081"/>
    <w:rsid w:val="00720585"/>
    <w:rsid w:val="007225BE"/>
    <w:rsid w:val="00773AF6"/>
    <w:rsid w:val="00795F71"/>
    <w:rsid w:val="007E5F7A"/>
    <w:rsid w:val="007E73AB"/>
    <w:rsid w:val="00816C11"/>
    <w:rsid w:val="00894C55"/>
    <w:rsid w:val="009A2654"/>
    <w:rsid w:val="00A10FC3"/>
    <w:rsid w:val="00A6073E"/>
    <w:rsid w:val="00AE5567"/>
    <w:rsid w:val="00AF1239"/>
    <w:rsid w:val="00B16480"/>
    <w:rsid w:val="00B2165C"/>
    <w:rsid w:val="00BA20AA"/>
    <w:rsid w:val="00BD4425"/>
    <w:rsid w:val="00C25B49"/>
    <w:rsid w:val="00C9148B"/>
    <w:rsid w:val="00CC0D2D"/>
    <w:rsid w:val="00CE5657"/>
    <w:rsid w:val="00D133F8"/>
    <w:rsid w:val="00D14A3E"/>
    <w:rsid w:val="00E3716B"/>
    <w:rsid w:val="00E5323B"/>
    <w:rsid w:val="00E8749E"/>
    <w:rsid w:val="00E90C01"/>
    <w:rsid w:val="00EA486E"/>
    <w:rsid w:val="00EB5E0C"/>
    <w:rsid w:val="00EC75A3"/>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C1D4"/>
  <w15:docId w15:val="{9B0D4769-6CA6-44D0-AF78-8000B27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01263"/>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13799</Words>
  <Characters>7866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Matulis</cp:lastModifiedBy>
  <cp:revision>10</cp:revision>
  <cp:lastPrinted>2018-06-13T13:22:00Z</cp:lastPrinted>
  <dcterms:created xsi:type="dcterms:W3CDTF">2018-05-21T08:28:00Z</dcterms:created>
  <dcterms:modified xsi:type="dcterms:W3CDTF">2018-06-13T13:23:00Z</dcterms:modified>
</cp:coreProperties>
</file>