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D5BC77" w14:textId="77777777" w:rsidR="00EF0AF7" w:rsidRDefault="00AC75BC" w:rsidP="00AC75BC">
      <w:pPr>
        <w:spacing w:line="240" w:lineRule="auto"/>
        <w:jc w:val="center"/>
        <w:rPr>
          <w:b/>
          <w:sz w:val="24"/>
          <w:szCs w:val="28"/>
        </w:rPr>
      </w:pPr>
      <w:bookmarkStart w:id="0" w:name="_Hlk502916799"/>
      <w:bookmarkStart w:id="1" w:name="_GoBack"/>
      <w:r>
        <w:rPr>
          <w:b/>
          <w:sz w:val="24"/>
          <w:szCs w:val="28"/>
        </w:rPr>
        <w:t>Ministru kabineta noteikumu projekta</w:t>
      </w:r>
      <w:r w:rsidR="00771355" w:rsidRPr="000A6A60">
        <w:rPr>
          <w:b/>
          <w:sz w:val="24"/>
          <w:szCs w:val="28"/>
        </w:rPr>
        <w:t xml:space="preserve"> “</w:t>
      </w:r>
      <w:r w:rsidRPr="00AC75BC">
        <w:rPr>
          <w:b/>
          <w:sz w:val="24"/>
          <w:szCs w:val="28"/>
        </w:rPr>
        <w:t xml:space="preserve">Grozījumi Ministru kabineta 2017.gada 30.maija noteikumos Nr.295 </w:t>
      </w:r>
      <w:r>
        <w:rPr>
          <w:b/>
          <w:sz w:val="24"/>
          <w:szCs w:val="28"/>
        </w:rPr>
        <w:t>“</w:t>
      </w:r>
      <w:r w:rsidRPr="00AC75BC">
        <w:rPr>
          <w:b/>
          <w:sz w:val="24"/>
          <w:szCs w:val="28"/>
        </w:rPr>
        <w:t>Noteikumi par transportlīdzekļu valsts tehnisko apskati un tehnisko kontroli uz ceļa</w:t>
      </w:r>
      <w:r>
        <w:rPr>
          <w:b/>
          <w:sz w:val="24"/>
          <w:szCs w:val="28"/>
        </w:rPr>
        <w:t>”</w:t>
      </w:r>
      <w:r w:rsidR="00771355" w:rsidRPr="000A6A60">
        <w:rPr>
          <w:b/>
          <w:sz w:val="24"/>
          <w:szCs w:val="28"/>
        </w:rPr>
        <w:t>” sākotnējās ietekmes novērtējuma ziņojums (anotācija)</w:t>
      </w:r>
    </w:p>
    <w:bookmarkEnd w:id="1"/>
    <w:p w14:paraId="01AC1453" w14:textId="77777777" w:rsidR="00A1287D" w:rsidRDefault="00A1287D" w:rsidP="00AC75BC">
      <w:pPr>
        <w:spacing w:line="240" w:lineRule="auto"/>
        <w:jc w:val="center"/>
        <w:rPr>
          <w:b/>
          <w:sz w:val="24"/>
          <w:szCs w:val="28"/>
        </w:rPr>
      </w:pPr>
    </w:p>
    <w:tbl>
      <w:tblPr>
        <w:tblW w:w="52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9810"/>
      </w:tblGrid>
      <w:tr w:rsidR="00A1287D" w:rsidRPr="00906CB3" w14:paraId="59FADE49" w14:textId="77777777" w:rsidTr="00F906CE">
        <w:trPr>
          <w:cantSplit/>
        </w:trPr>
        <w:tc>
          <w:tcPr>
            <w:tcW w:w="9809" w:type="dxa"/>
            <w:shd w:val="clear" w:color="auto" w:fill="FFFFFF"/>
            <w:vAlign w:val="center"/>
            <w:hideMark/>
          </w:tcPr>
          <w:p w14:paraId="419467A1" w14:textId="77777777" w:rsidR="00A1287D" w:rsidRDefault="00A1287D" w:rsidP="00CF10F5">
            <w:pPr>
              <w:spacing w:line="240" w:lineRule="auto"/>
              <w:ind w:firstLine="300"/>
              <w:jc w:val="center"/>
              <w:rPr>
                <w:rFonts w:eastAsia="Times New Roman"/>
                <w:b/>
                <w:bCs/>
                <w:sz w:val="26"/>
                <w:szCs w:val="26"/>
                <w:lang w:eastAsia="lv-LV"/>
              </w:rPr>
            </w:pPr>
            <w:r w:rsidRPr="00906CB3">
              <w:rPr>
                <w:rFonts w:eastAsia="Times New Roman"/>
                <w:b/>
                <w:bCs/>
                <w:sz w:val="26"/>
                <w:szCs w:val="26"/>
                <w:lang w:eastAsia="lv-LV"/>
              </w:rPr>
              <w:t>Tiesību akta projekta anotācijas kopsavilkums</w:t>
            </w:r>
          </w:p>
          <w:p w14:paraId="75585D29" w14:textId="77777777" w:rsidR="00A1287D" w:rsidRPr="00906CB3" w:rsidRDefault="00A1287D" w:rsidP="00CF10F5">
            <w:pPr>
              <w:spacing w:line="240" w:lineRule="auto"/>
              <w:ind w:firstLine="300"/>
              <w:jc w:val="center"/>
              <w:rPr>
                <w:rFonts w:ascii="Cambria" w:hAnsi="Cambria"/>
                <w:b/>
                <w:iCs/>
                <w:sz w:val="26"/>
                <w:szCs w:val="26"/>
              </w:rPr>
            </w:pPr>
          </w:p>
        </w:tc>
      </w:tr>
      <w:tr w:rsidR="00A1287D" w:rsidRPr="00906CB3" w14:paraId="54CC4F4E" w14:textId="77777777" w:rsidTr="00F906CE">
        <w:trPr>
          <w:cantSplit/>
          <w:trHeight w:val="1874"/>
        </w:trPr>
        <w:tc>
          <w:tcPr>
            <w:tcW w:w="9809" w:type="dxa"/>
            <w:shd w:val="clear" w:color="auto" w:fill="FFFFFF"/>
            <w:vAlign w:val="center"/>
          </w:tcPr>
          <w:p w14:paraId="082E820C" w14:textId="77777777" w:rsidR="00E53CE2" w:rsidRDefault="00747F28" w:rsidP="00A1287D">
            <w:pPr>
              <w:pStyle w:val="naiskr"/>
              <w:spacing w:before="0" w:beforeAutospacing="0" w:after="0" w:afterAutospacing="0"/>
              <w:jc w:val="both"/>
            </w:pPr>
            <w:r>
              <w:rPr>
                <w:iCs/>
              </w:rPr>
              <w:t xml:space="preserve">      </w:t>
            </w:r>
            <w:r w:rsidR="00900C76">
              <w:rPr>
                <w:iCs/>
              </w:rPr>
              <w:t xml:space="preserve">Noteikumu projekts nosaka </w:t>
            </w:r>
            <w:r w:rsidR="00A1287D" w:rsidRPr="003E08B6">
              <w:rPr>
                <w:iCs/>
              </w:rPr>
              <w:t>transportlīdzekļu pielāgošanas prasības, kuras jāizpilda personai attiecībā uz transportlīdzekli ar vadības ierīcēm labajā pusē, kuru persona vēlas pastāvīgi reģistrēt Latvijā</w:t>
            </w:r>
            <w:r w:rsidR="00A1287D">
              <w:rPr>
                <w:iCs/>
              </w:rPr>
              <w:t>.</w:t>
            </w:r>
            <w:r w:rsidR="00900C76">
              <w:rPr>
                <w:iCs/>
              </w:rPr>
              <w:t xml:space="preserve"> Noteikumu prasības stājas spēkā 2018.gada 1.novembrī.</w:t>
            </w:r>
            <w:r>
              <w:t xml:space="preserve"> </w:t>
            </w:r>
          </w:p>
          <w:p w14:paraId="7B3FAC92" w14:textId="77777777" w:rsidR="00D87C95" w:rsidRPr="00D63B5D" w:rsidRDefault="00467D32" w:rsidP="00A1287D">
            <w:pPr>
              <w:pStyle w:val="naiskr"/>
              <w:spacing w:before="0" w:beforeAutospacing="0" w:after="0" w:afterAutospacing="0"/>
              <w:jc w:val="both"/>
            </w:pPr>
            <w:r>
              <w:t xml:space="preserve">Papildus </w:t>
            </w:r>
            <w:r w:rsidR="00747F28">
              <w:t xml:space="preserve">noteikumu projektā paredzēts </w:t>
            </w:r>
            <w:r>
              <w:t>precizē</w:t>
            </w:r>
            <w:r w:rsidR="00747F28">
              <w:t>t</w:t>
            </w:r>
            <w:r>
              <w:t xml:space="preserve"> kārtīb</w:t>
            </w:r>
            <w:r w:rsidR="00747F28">
              <w:t>u</w:t>
            </w:r>
            <w:r>
              <w:t xml:space="preserve"> par tehniskās apskates veikšanu transportlīdzeklim, kuru izmanto pasažieru komercpārvadājumos ar taksometriem atbilstoši </w:t>
            </w:r>
            <w:r w:rsidR="002C1B56">
              <w:t xml:space="preserve">spēkā esošajām </w:t>
            </w:r>
            <w:r>
              <w:t>normatīvajām prasībām taksometriem.</w:t>
            </w:r>
          </w:p>
        </w:tc>
      </w:tr>
      <w:bookmarkEnd w:id="0"/>
    </w:tbl>
    <w:p w14:paraId="3D0B3D53" w14:textId="77777777" w:rsidR="00D63B5D" w:rsidRDefault="00D63B5D" w:rsidP="00A1287D">
      <w:pPr>
        <w:ind w:firstLine="0"/>
        <w:rPr>
          <w:rFonts w:eastAsia="Times New Roman"/>
          <w:b/>
          <w:bCs/>
          <w:sz w:val="24"/>
          <w:szCs w:val="24"/>
          <w:lang w:eastAsia="lv-LV"/>
        </w:rPr>
      </w:pPr>
    </w:p>
    <w:tbl>
      <w:tblPr>
        <w:tblpPr w:leftFromText="180" w:rightFromText="180" w:vertAnchor="text" w:horzAnchor="margin" w:tblpX="108" w:tblpY="1"/>
        <w:tblOverlap w:val="never"/>
        <w:tblW w:w="5186"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99"/>
        <w:gridCol w:w="3077"/>
        <w:gridCol w:w="6405"/>
      </w:tblGrid>
      <w:tr w:rsidR="00FB77E7" w:rsidRPr="00C708B6" w14:paraId="71F1A1FC" w14:textId="77777777" w:rsidTr="00F906CE">
        <w:tc>
          <w:tcPr>
            <w:tcW w:w="5000" w:type="pct"/>
            <w:gridSpan w:val="3"/>
          </w:tcPr>
          <w:p w14:paraId="733C78C2" w14:textId="77777777" w:rsidR="00FB77E7" w:rsidRPr="00C708B6" w:rsidRDefault="00FB77E7" w:rsidP="00F906CE">
            <w:pPr>
              <w:pStyle w:val="Parastais1"/>
              <w:spacing w:before="100" w:beforeAutospacing="1" w:after="100" w:afterAutospacing="1"/>
              <w:ind w:right="-415"/>
              <w:jc w:val="center"/>
              <w:rPr>
                <w:b/>
                <w:bCs/>
              </w:rPr>
            </w:pPr>
            <w:r w:rsidRPr="00C708B6">
              <w:rPr>
                <w:b/>
                <w:bCs/>
              </w:rPr>
              <w:t>I. Tiesību akta projekta izstrādes nepieciešamība</w:t>
            </w:r>
          </w:p>
        </w:tc>
      </w:tr>
      <w:tr w:rsidR="00E53CE2" w:rsidRPr="00C708B6" w14:paraId="42682811" w14:textId="77777777" w:rsidTr="00F906CE">
        <w:tc>
          <w:tcPr>
            <w:tcW w:w="153" w:type="pct"/>
          </w:tcPr>
          <w:p w14:paraId="5DE035F5" w14:textId="77777777" w:rsidR="00FB77E7" w:rsidRPr="00C708B6" w:rsidRDefault="00FB77E7" w:rsidP="00F906CE">
            <w:pPr>
              <w:pStyle w:val="Parastais1"/>
              <w:spacing w:before="100" w:beforeAutospacing="1" w:after="100" w:afterAutospacing="1"/>
              <w:ind w:right="-415"/>
              <w:jc w:val="both"/>
            </w:pPr>
            <w:r w:rsidRPr="00C708B6">
              <w:t>1.</w:t>
            </w:r>
          </w:p>
        </w:tc>
        <w:tc>
          <w:tcPr>
            <w:tcW w:w="1573" w:type="pct"/>
          </w:tcPr>
          <w:p w14:paraId="7D82EA1E" w14:textId="77777777" w:rsidR="00FB77E7" w:rsidRPr="00C708B6" w:rsidRDefault="00FB77E7" w:rsidP="00F906CE">
            <w:pPr>
              <w:pStyle w:val="Parastais1"/>
              <w:spacing w:before="100" w:beforeAutospacing="1" w:after="100" w:afterAutospacing="1"/>
              <w:ind w:right="-415"/>
              <w:jc w:val="both"/>
            </w:pPr>
            <w:r w:rsidRPr="00C708B6">
              <w:t>Pamatojums</w:t>
            </w:r>
          </w:p>
        </w:tc>
        <w:tc>
          <w:tcPr>
            <w:tcW w:w="3274" w:type="pct"/>
          </w:tcPr>
          <w:p w14:paraId="225C733E" w14:textId="77777777" w:rsidR="004C3DEA" w:rsidRDefault="00BD5E92" w:rsidP="00F906CE">
            <w:pPr>
              <w:spacing w:line="240" w:lineRule="auto"/>
              <w:ind w:right="34" w:firstLine="0"/>
              <w:rPr>
                <w:iCs/>
                <w:sz w:val="24"/>
                <w:szCs w:val="24"/>
              </w:rPr>
            </w:pPr>
            <w:r w:rsidRPr="00BD5E92">
              <w:rPr>
                <w:iCs/>
                <w:sz w:val="24"/>
                <w:szCs w:val="24"/>
              </w:rPr>
              <w:t>Ceļu satiksmes likuma 16.panta septītā daļa.</w:t>
            </w:r>
          </w:p>
          <w:p w14:paraId="4FBDCC31" w14:textId="77777777" w:rsidR="00D87C95" w:rsidRDefault="005877E1" w:rsidP="00F906CE">
            <w:pPr>
              <w:spacing w:line="240" w:lineRule="auto"/>
              <w:ind w:right="34" w:firstLine="0"/>
              <w:rPr>
                <w:sz w:val="24"/>
                <w:szCs w:val="24"/>
              </w:rPr>
            </w:pPr>
            <w:r>
              <w:rPr>
                <w:sz w:val="24"/>
                <w:szCs w:val="24"/>
              </w:rPr>
              <w:t>Eiropas Komisijas  2018</w:t>
            </w:r>
            <w:r w:rsidRPr="000803D1">
              <w:rPr>
                <w:sz w:val="24"/>
                <w:szCs w:val="24"/>
              </w:rPr>
              <w:t xml:space="preserve">. gada 17. maija </w:t>
            </w:r>
            <w:r w:rsidR="00A56445">
              <w:rPr>
                <w:sz w:val="24"/>
                <w:szCs w:val="24"/>
              </w:rPr>
              <w:t>formālais paziņojums</w:t>
            </w:r>
            <w:r w:rsidRPr="000803D1">
              <w:rPr>
                <w:sz w:val="24"/>
                <w:szCs w:val="24"/>
              </w:rPr>
              <w:t xml:space="preserve"> pār</w:t>
            </w:r>
            <w:r>
              <w:rPr>
                <w:sz w:val="24"/>
                <w:szCs w:val="24"/>
              </w:rPr>
              <w:t>kāpuma procedūras lietā Nr. 2018</w:t>
            </w:r>
            <w:r w:rsidRPr="000803D1">
              <w:rPr>
                <w:sz w:val="24"/>
                <w:szCs w:val="24"/>
              </w:rPr>
              <w:t>/</w:t>
            </w:r>
            <w:r>
              <w:rPr>
                <w:sz w:val="24"/>
                <w:szCs w:val="24"/>
              </w:rPr>
              <w:t>4022</w:t>
            </w:r>
            <w:r w:rsidRPr="000803D1">
              <w:rPr>
                <w:sz w:val="24"/>
                <w:szCs w:val="24"/>
              </w:rPr>
              <w:t>.</w:t>
            </w:r>
            <w:r w:rsidR="00D87C95">
              <w:rPr>
                <w:sz w:val="24"/>
                <w:szCs w:val="24"/>
              </w:rPr>
              <w:t xml:space="preserve"> </w:t>
            </w:r>
          </w:p>
          <w:p w14:paraId="3F4F5642" w14:textId="77777777" w:rsidR="00CA11A7" w:rsidRDefault="00CA11A7" w:rsidP="00F906CE">
            <w:pPr>
              <w:spacing w:line="240" w:lineRule="auto"/>
              <w:ind w:right="34" w:firstLine="0"/>
              <w:rPr>
                <w:sz w:val="24"/>
                <w:szCs w:val="24"/>
              </w:rPr>
            </w:pPr>
          </w:p>
          <w:p w14:paraId="61ACEF60" w14:textId="77777777" w:rsidR="005877E1" w:rsidRPr="00C708B6" w:rsidRDefault="00D87C95" w:rsidP="00F906CE">
            <w:pPr>
              <w:spacing w:line="240" w:lineRule="auto"/>
              <w:ind w:right="34" w:firstLine="0"/>
              <w:rPr>
                <w:iCs/>
                <w:sz w:val="24"/>
                <w:szCs w:val="24"/>
              </w:rPr>
            </w:pPr>
            <w:r>
              <w:rPr>
                <w:sz w:val="24"/>
                <w:szCs w:val="24"/>
              </w:rPr>
              <w:t xml:space="preserve">Papildus veikti grozījumi, precizējot prasības, kas attiecināmas transportlīdzekļiem, kurus izmanto pasažieru komercpārvadājumos ar taksometriem, atbilstoši Ministru kabineta </w:t>
            </w:r>
            <w:r w:rsidRPr="00D96B53">
              <w:rPr>
                <w:sz w:val="24"/>
                <w:szCs w:val="24"/>
              </w:rPr>
              <w:t>2018. gada 6.</w:t>
            </w:r>
            <w:r>
              <w:t> </w:t>
            </w:r>
            <w:r w:rsidRPr="00D96B53">
              <w:rPr>
                <w:sz w:val="24"/>
                <w:szCs w:val="24"/>
              </w:rPr>
              <w:t>mart</w:t>
            </w:r>
            <w:r>
              <w:rPr>
                <w:sz w:val="24"/>
                <w:szCs w:val="24"/>
              </w:rPr>
              <w:t>a</w:t>
            </w:r>
            <w:r w:rsidRPr="00D96B53">
              <w:rPr>
                <w:sz w:val="24"/>
                <w:szCs w:val="24"/>
              </w:rPr>
              <w:t xml:space="preserve"> noteikum</w:t>
            </w:r>
            <w:r>
              <w:rPr>
                <w:sz w:val="24"/>
                <w:szCs w:val="24"/>
              </w:rPr>
              <w:t>os</w:t>
            </w:r>
            <w:r w:rsidRPr="00D96B53">
              <w:rPr>
                <w:sz w:val="24"/>
                <w:szCs w:val="24"/>
              </w:rPr>
              <w:t xml:space="preserve"> Nr. 148 (turpmāk MK noteikumi Nr. 148) </w:t>
            </w:r>
            <w:r w:rsidRPr="00D96B53">
              <w:rPr>
                <w:bCs/>
                <w:sz w:val="24"/>
                <w:szCs w:val="24"/>
              </w:rPr>
              <w:t>“Prasības plānošanas reģiona un republikas pilsētas speciālās atļaujas (licences) saņemšanai un kārtība, kādā veicami pasažieru komercpārvadājumi ar taksometru”</w:t>
            </w:r>
            <w:r>
              <w:rPr>
                <w:bCs/>
                <w:sz w:val="24"/>
                <w:szCs w:val="24"/>
              </w:rPr>
              <w:t xml:space="preserve"> ietvertajiem regulējumiem.</w:t>
            </w:r>
            <w:r>
              <w:rPr>
                <w:sz w:val="24"/>
                <w:szCs w:val="24"/>
              </w:rPr>
              <w:t xml:space="preserve"> </w:t>
            </w:r>
          </w:p>
        </w:tc>
      </w:tr>
      <w:tr w:rsidR="00E53CE2" w:rsidRPr="00C708B6" w14:paraId="270663F0" w14:textId="77777777" w:rsidTr="00F906CE">
        <w:tc>
          <w:tcPr>
            <w:tcW w:w="153" w:type="pct"/>
          </w:tcPr>
          <w:p w14:paraId="30D5E71F" w14:textId="77777777" w:rsidR="00FB77E7" w:rsidRPr="00C708B6" w:rsidRDefault="00FB77E7" w:rsidP="00F906CE">
            <w:pPr>
              <w:pStyle w:val="Parastais1"/>
              <w:spacing w:before="100" w:beforeAutospacing="1" w:after="100" w:afterAutospacing="1"/>
              <w:ind w:right="-415"/>
              <w:jc w:val="both"/>
            </w:pPr>
            <w:r w:rsidRPr="00C708B6">
              <w:t>2.</w:t>
            </w:r>
          </w:p>
        </w:tc>
        <w:tc>
          <w:tcPr>
            <w:tcW w:w="1573" w:type="pct"/>
          </w:tcPr>
          <w:p w14:paraId="19106D07" w14:textId="77777777" w:rsidR="00FB77E7" w:rsidRPr="00C708B6" w:rsidRDefault="00FB77E7" w:rsidP="00F906CE">
            <w:pPr>
              <w:pStyle w:val="Parastais1"/>
              <w:spacing w:before="100" w:beforeAutospacing="1" w:after="100" w:afterAutospacing="1"/>
              <w:ind w:right="-415"/>
            </w:pPr>
            <w:r w:rsidRPr="00C708B6">
              <w:t>Pašreizējā situācija un problēmas, kuru risināšanai tiesību akta projekts izstrādāts, tiesiskā regulējuma mērķis un būtība</w:t>
            </w:r>
          </w:p>
        </w:tc>
        <w:tc>
          <w:tcPr>
            <w:tcW w:w="3274" w:type="pct"/>
          </w:tcPr>
          <w:p w14:paraId="26335413" w14:textId="77777777" w:rsidR="00FE2CD5" w:rsidRDefault="00467D32" w:rsidP="00F906CE">
            <w:pPr>
              <w:pStyle w:val="naiskr"/>
              <w:spacing w:before="0" w:beforeAutospacing="0" w:after="0" w:afterAutospacing="0"/>
              <w:ind w:right="170"/>
              <w:jc w:val="both"/>
            </w:pPr>
            <w:r>
              <w:t xml:space="preserve">Ministru kabinets </w:t>
            </w:r>
            <w:r w:rsidRPr="00D96B53">
              <w:t>2018. gada 6.</w:t>
            </w:r>
            <w:r>
              <w:t> </w:t>
            </w:r>
            <w:r w:rsidRPr="00D96B53">
              <w:t>mart</w:t>
            </w:r>
            <w:r>
              <w:t>ā</w:t>
            </w:r>
            <w:r w:rsidRPr="00D96B53">
              <w:t xml:space="preserve"> </w:t>
            </w:r>
            <w:r>
              <w:t xml:space="preserve">ir pieņēmis </w:t>
            </w:r>
            <w:r w:rsidRPr="00D96B53">
              <w:t>noteikum</w:t>
            </w:r>
            <w:r>
              <w:t>us</w:t>
            </w:r>
            <w:r w:rsidRPr="00D96B53">
              <w:t xml:space="preserve"> Nr. 148 (turpmāk</w:t>
            </w:r>
            <w:r w:rsidR="006C3E65">
              <w:t xml:space="preserve"> -</w:t>
            </w:r>
            <w:r w:rsidRPr="00D96B53">
              <w:t xml:space="preserve"> MK noteikumi Nr. 148) </w:t>
            </w:r>
            <w:r w:rsidRPr="00D96B53">
              <w:rPr>
                <w:bCs/>
              </w:rPr>
              <w:t>“Prasības plānošanas reģiona un republikas pilsētas speciālās atļaujas (licences) saņemšanai un kārtība, kādā veicami pasažieru komercpārvadājumi ar taksometru”</w:t>
            </w:r>
            <w:r w:rsidR="00A826BE">
              <w:rPr>
                <w:bCs/>
              </w:rPr>
              <w:t>,</w:t>
            </w:r>
            <w:r w:rsidR="006C3E65">
              <w:rPr>
                <w:bCs/>
              </w:rPr>
              <w:t xml:space="preserve"> kurā ir noteiktas jaunas  prasības taksometra aprīkojumam, taksometra licences kartītes piešķiršanas un anulēšanas kārtībai</w:t>
            </w:r>
            <w:r w:rsidR="00B11114">
              <w:rPr>
                <w:bCs/>
              </w:rPr>
              <w:t>. S</w:t>
            </w:r>
            <w:r w:rsidR="007D3584">
              <w:rPr>
                <w:bCs/>
              </w:rPr>
              <w:t>aistībā ar pieņemt</w:t>
            </w:r>
            <w:r w:rsidR="006C3E65">
              <w:rPr>
                <w:bCs/>
              </w:rPr>
              <w:t>ajām izmaiņām</w:t>
            </w:r>
            <w:r w:rsidR="007D3584">
              <w:rPr>
                <w:bCs/>
              </w:rPr>
              <w:t xml:space="preserve">, </w:t>
            </w:r>
            <w:r w:rsidR="00FE2CD5">
              <w:rPr>
                <w:bCs/>
              </w:rPr>
              <w:t xml:space="preserve">nepieciešams veikt grozījumus </w:t>
            </w:r>
            <w:r w:rsidR="00A826BE" w:rsidRPr="005877E1">
              <w:t>Ministru kabineta 2017.</w:t>
            </w:r>
            <w:r w:rsidR="007D3584">
              <w:t>gada 30.maija</w:t>
            </w:r>
            <w:r w:rsidR="00A826BE" w:rsidRPr="005877E1">
              <w:t xml:space="preserve"> noteikum</w:t>
            </w:r>
            <w:r w:rsidR="00FE2CD5">
              <w:t>os</w:t>
            </w:r>
            <w:r w:rsidR="00A826BE" w:rsidRPr="005877E1">
              <w:t xml:space="preserve"> Nr.295 “Noteikumi par transportlīdzekļu valsts tehnisko apskati un tehnisko kontroli uz ceļa”</w:t>
            </w:r>
            <w:r w:rsidR="00A826BE">
              <w:t xml:space="preserve"> (turpmāk – MK noteikumi Nr.295) </w:t>
            </w:r>
            <w:r w:rsidR="00B11114">
              <w:t xml:space="preserve">precizējot normas, kas </w:t>
            </w:r>
            <w:r w:rsidR="00FE2CD5">
              <w:t>attiecināmas transportlīdzekļiem, kuru</w:t>
            </w:r>
            <w:r w:rsidR="007D3584">
              <w:t>s</w:t>
            </w:r>
            <w:r w:rsidR="00FE2CD5">
              <w:t xml:space="preserve"> izmanto pasažieru komercpārvadājumos ar taksometriem.</w:t>
            </w:r>
          </w:p>
          <w:p w14:paraId="1A2D2F07" w14:textId="77777777" w:rsidR="00A826BE" w:rsidRDefault="00A826BE" w:rsidP="00F906CE">
            <w:pPr>
              <w:pStyle w:val="naiskr"/>
              <w:spacing w:before="0" w:beforeAutospacing="0" w:after="0" w:afterAutospacing="0"/>
              <w:ind w:right="170"/>
              <w:jc w:val="both"/>
            </w:pPr>
          </w:p>
          <w:p w14:paraId="5271D604" w14:textId="77777777" w:rsidR="00A826BE" w:rsidRDefault="00A826BE" w:rsidP="00F906CE">
            <w:pPr>
              <w:pStyle w:val="naiskr"/>
              <w:spacing w:before="0" w:beforeAutospacing="0" w:after="0" w:afterAutospacing="0"/>
              <w:ind w:right="170"/>
              <w:jc w:val="both"/>
              <w:rPr>
                <w:bCs/>
              </w:rPr>
            </w:pPr>
            <w:r>
              <w:rPr>
                <w:bCs/>
              </w:rPr>
              <w:t>Noteikumu projekt</w:t>
            </w:r>
            <w:r w:rsidR="00C224BF">
              <w:rPr>
                <w:bCs/>
              </w:rPr>
              <w:t>a</w:t>
            </w:r>
            <w:r>
              <w:rPr>
                <w:bCs/>
              </w:rPr>
              <w:t xml:space="preserve"> </w:t>
            </w:r>
            <w:r w:rsidR="00C224BF">
              <w:rPr>
                <w:bCs/>
              </w:rPr>
              <w:t xml:space="preserve">1. un </w:t>
            </w:r>
            <w:r w:rsidR="007E42C0">
              <w:rPr>
                <w:bCs/>
              </w:rPr>
              <w:t>7</w:t>
            </w:r>
            <w:r w:rsidR="00C224BF">
              <w:rPr>
                <w:bCs/>
              </w:rPr>
              <w:t>. punkt</w:t>
            </w:r>
            <w:r w:rsidR="00426E6E">
              <w:rPr>
                <w:bCs/>
              </w:rPr>
              <w:t>s paredz redakcionālu precizējumu</w:t>
            </w:r>
            <w:r w:rsidR="00B11114">
              <w:rPr>
                <w:bCs/>
              </w:rPr>
              <w:t xml:space="preserve"> svītrojot apzīmējumu “vieglais” un turpmāk noteikumos lietojot t</w:t>
            </w:r>
            <w:r w:rsidR="00426E6E">
              <w:rPr>
                <w:bCs/>
              </w:rPr>
              <w:t xml:space="preserve">erminu </w:t>
            </w:r>
            <w:r>
              <w:rPr>
                <w:bCs/>
              </w:rPr>
              <w:t>“taksometrs”, atbilstoši Autopārvadājumu likumā noteiktajam</w:t>
            </w:r>
            <w:r w:rsidR="00B11114">
              <w:rPr>
                <w:bCs/>
              </w:rPr>
              <w:t xml:space="preserve"> terminam</w:t>
            </w:r>
            <w:r>
              <w:rPr>
                <w:bCs/>
              </w:rPr>
              <w:t>.</w:t>
            </w:r>
          </w:p>
          <w:p w14:paraId="742C3350" w14:textId="77777777" w:rsidR="00FE2CD5" w:rsidRDefault="00FE2CD5" w:rsidP="00F906CE">
            <w:pPr>
              <w:pStyle w:val="naiskr"/>
              <w:spacing w:before="0" w:beforeAutospacing="0" w:after="0" w:afterAutospacing="0"/>
              <w:ind w:right="170"/>
              <w:jc w:val="both"/>
              <w:rPr>
                <w:bCs/>
              </w:rPr>
            </w:pPr>
          </w:p>
          <w:p w14:paraId="5EB9786D" w14:textId="77777777" w:rsidR="002E0C50" w:rsidRDefault="00C224BF" w:rsidP="00F906CE">
            <w:pPr>
              <w:pStyle w:val="naiskr"/>
              <w:spacing w:before="0" w:beforeAutospacing="0" w:after="240" w:afterAutospacing="0"/>
              <w:ind w:right="170"/>
              <w:jc w:val="both"/>
              <w:rPr>
                <w:szCs w:val="28"/>
              </w:rPr>
            </w:pPr>
            <w:r>
              <w:rPr>
                <w:bCs/>
              </w:rPr>
              <w:t xml:space="preserve">Noteikumu </w:t>
            </w:r>
            <w:r w:rsidR="007E42C0">
              <w:rPr>
                <w:bCs/>
              </w:rPr>
              <w:t>projekta 2</w:t>
            </w:r>
            <w:r>
              <w:rPr>
                <w:bCs/>
              </w:rPr>
              <w:t>.</w:t>
            </w:r>
            <w:r w:rsidR="007D3584">
              <w:rPr>
                <w:bCs/>
              </w:rPr>
              <w:t xml:space="preserve"> </w:t>
            </w:r>
            <w:r>
              <w:rPr>
                <w:bCs/>
              </w:rPr>
              <w:t xml:space="preserve">un </w:t>
            </w:r>
            <w:r w:rsidR="007E42C0">
              <w:rPr>
                <w:bCs/>
              </w:rPr>
              <w:t>3</w:t>
            </w:r>
            <w:r>
              <w:rPr>
                <w:bCs/>
              </w:rPr>
              <w:t xml:space="preserve">. punktā </w:t>
            </w:r>
            <w:r w:rsidR="00A826BE">
              <w:rPr>
                <w:bCs/>
              </w:rPr>
              <w:t>precizēts nosacījum</w:t>
            </w:r>
            <w:r>
              <w:rPr>
                <w:bCs/>
              </w:rPr>
              <w:t>s</w:t>
            </w:r>
            <w:r w:rsidR="00A826BE">
              <w:rPr>
                <w:bCs/>
              </w:rPr>
              <w:t>, ka t</w:t>
            </w:r>
            <w:r w:rsidR="00A826BE" w:rsidRPr="00D95DDE">
              <w:rPr>
                <w:szCs w:val="28"/>
              </w:rPr>
              <w:t xml:space="preserve">ehnisko apskati taksometram neveic, ja piešķirtās licences kartītes derīguma termiņš ir beidzies vai </w:t>
            </w:r>
            <w:r w:rsidR="00A826BE">
              <w:rPr>
                <w:szCs w:val="28"/>
              </w:rPr>
              <w:t xml:space="preserve">piešķirtā </w:t>
            </w:r>
            <w:r w:rsidR="00A826BE" w:rsidRPr="00D95DDE">
              <w:rPr>
                <w:szCs w:val="28"/>
              </w:rPr>
              <w:t>licences kartīte ir anulēta</w:t>
            </w:r>
            <w:r w:rsidR="002E0C50">
              <w:rPr>
                <w:szCs w:val="28"/>
              </w:rPr>
              <w:t xml:space="preserve"> vai tās darbība ir apturēta </w:t>
            </w:r>
            <w:r w:rsidR="00A826BE" w:rsidRPr="00D95DDE">
              <w:rPr>
                <w:szCs w:val="28"/>
              </w:rPr>
              <w:t>normatīv</w:t>
            </w:r>
            <w:r w:rsidR="00A826BE">
              <w:rPr>
                <w:szCs w:val="28"/>
              </w:rPr>
              <w:t>ajos</w:t>
            </w:r>
            <w:r w:rsidR="00A826BE" w:rsidRPr="00D95DDE">
              <w:rPr>
                <w:szCs w:val="28"/>
              </w:rPr>
              <w:t xml:space="preserve"> akt</w:t>
            </w:r>
            <w:r w:rsidR="00A826BE">
              <w:rPr>
                <w:szCs w:val="28"/>
              </w:rPr>
              <w:t>os</w:t>
            </w:r>
            <w:r w:rsidR="00A826BE" w:rsidRPr="00D95DDE">
              <w:rPr>
                <w:szCs w:val="28"/>
              </w:rPr>
              <w:t xml:space="preserve"> par pasažieru komercpārvadājumiem ar taksometriem</w:t>
            </w:r>
            <w:r w:rsidR="00A826BE">
              <w:rPr>
                <w:szCs w:val="28"/>
              </w:rPr>
              <w:t xml:space="preserve"> noteiktajā kārtībā.</w:t>
            </w:r>
            <w:r>
              <w:rPr>
                <w:szCs w:val="28"/>
              </w:rPr>
              <w:t xml:space="preserve"> </w:t>
            </w:r>
          </w:p>
          <w:p w14:paraId="0C4DCAE3" w14:textId="77777777" w:rsidR="00FE2CD5" w:rsidRPr="00FE2CD5" w:rsidRDefault="00FA721A" w:rsidP="00F906CE">
            <w:pPr>
              <w:pStyle w:val="naiskr"/>
              <w:spacing w:before="0" w:beforeAutospacing="0" w:after="240" w:afterAutospacing="0"/>
              <w:ind w:right="170"/>
              <w:jc w:val="both"/>
              <w:rPr>
                <w:szCs w:val="28"/>
              </w:rPr>
            </w:pPr>
            <w:r w:rsidRPr="00FE2CD5">
              <w:rPr>
                <w:bCs/>
              </w:rPr>
              <w:lastRenderedPageBreak/>
              <w:t>MK noteikumos Nr.148 noteikt</w:t>
            </w:r>
            <w:r w:rsidR="007D3584">
              <w:rPr>
                <w:bCs/>
              </w:rPr>
              <w:t xml:space="preserve">s, ka </w:t>
            </w:r>
            <w:r w:rsidRPr="00FE2CD5">
              <w:rPr>
                <w:bCs/>
              </w:rPr>
              <w:t>institūcijas, kas piešķir licences kartītes, Transportlīdzekļu un to vadītāju valsts reģistrā ievada informāciju par piešķirtajām un izsniegtajām licences kartītēm</w:t>
            </w:r>
            <w:r w:rsidR="007D3584">
              <w:rPr>
                <w:bCs/>
              </w:rPr>
              <w:t xml:space="preserve">, kā arī </w:t>
            </w:r>
            <w:r w:rsidRPr="00FE2CD5">
              <w:rPr>
                <w:bCs/>
              </w:rPr>
              <w:t xml:space="preserve"> </w:t>
            </w:r>
            <w:r w:rsidR="007D3584">
              <w:rPr>
                <w:bCs/>
              </w:rPr>
              <w:t xml:space="preserve">ievada informāciju par anulētajām </w:t>
            </w:r>
            <w:r w:rsidRPr="00FE2CD5">
              <w:rPr>
                <w:bCs/>
              </w:rPr>
              <w:t>licences kartī</w:t>
            </w:r>
            <w:r w:rsidR="007D3584">
              <w:rPr>
                <w:bCs/>
              </w:rPr>
              <w:t xml:space="preserve">tēm. Ja piešķirtās licences kartītes derīguma termiņš ir beidzies, tās darbība ir apturēta vai tā ir anulēta, saskaņā ar MK noteikumu Nr.148 </w:t>
            </w:r>
            <w:r w:rsidR="00FE2CD5" w:rsidRPr="00FE2CD5">
              <w:t xml:space="preserve">31.1. apakšpunktam </w:t>
            </w:r>
            <w:r w:rsidR="002C1B56">
              <w:t>V</w:t>
            </w:r>
            <w:r w:rsidR="00FE2CD5" w:rsidRPr="00FE2CD5">
              <w:t>alsts akciju sabiedrība "Ceļu satiksmes drošības direkcija" transportlīdzeklim neveic valsts tehnisko apskati kā taksometram</w:t>
            </w:r>
            <w:r w:rsidR="002C1B56">
              <w:t>.</w:t>
            </w:r>
            <w:r w:rsidR="007D3584">
              <w:t xml:space="preserve"> </w:t>
            </w:r>
          </w:p>
          <w:p w14:paraId="1F6D1F6A" w14:textId="77777777" w:rsidR="006C3E65" w:rsidRDefault="007D3584" w:rsidP="00F906CE">
            <w:pPr>
              <w:pStyle w:val="naiskr"/>
              <w:spacing w:before="0" w:beforeAutospacing="0" w:after="240" w:afterAutospacing="0"/>
              <w:ind w:right="170"/>
              <w:jc w:val="both"/>
            </w:pPr>
            <w:r>
              <w:rPr>
                <w:iCs/>
              </w:rPr>
              <w:t xml:space="preserve">    </w:t>
            </w:r>
            <w:r w:rsidR="00C224BF">
              <w:rPr>
                <w:iCs/>
              </w:rPr>
              <w:t xml:space="preserve">Attiecībā uz taksometriem noteikumu projekta </w:t>
            </w:r>
            <w:r w:rsidR="00036B80">
              <w:rPr>
                <w:iCs/>
              </w:rPr>
              <w:t>9</w:t>
            </w:r>
            <w:r w:rsidR="00C224BF">
              <w:rPr>
                <w:iCs/>
              </w:rPr>
              <w:t>.punkts paredz  grozījumus arī MK noteikumu Nr.295 1.pielikumā samazinot prasības, kas tiek pārbaudītas tehniskās apskates laikā attiecībā uz informācijas izvietošanu uz transportlīdzekļa (taksometra) virsbūves un salonā, vienlaikus papildinot ar prasībām taksometra skaitītājiem</w:t>
            </w:r>
            <w:r w:rsidR="002E0C50">
              <w:rPr>
                <w:iCs/>
              </w:rPr>
              <w:t>,</w:t>
            </w:r>
            <w:r w:rsidR="00C224BF">
              <w:rPr>
                <w:iCs/>
              </w:rPr>
              <w:t xml:space="preserve"> atbilstoši spēkā esošajiem </w:t>
            </w:r>
            <w:r w:rsidR="00C224BF" w:rsidRPr="00FE0DC1">
              <w:rPr>
                <w:iCs/>
              </w:rPr>
              <w:t xml:space="preserve">normatīvajiem aktiem </w:t>
            </w:r>
            <w:r w:rsidR="00FE0DC1" w:rsidRPr="00FE0DC1">
              <w:t xml:space="preserve">par nodokļu un citu maksājumu reģistrēšanas elektronisko ierīču un iekārtu tehniskajām prasībām. </w:t>
            </w:r>
            <w:r w:rsidR="00747F28">
              <w:t xml:space="preserve"> </w:t>
            </w:r>
          </w:p>
          <w:p w14:paraId="385ADAC8" w14:textId="77777777" w:rsidR="00FE0DC1" w:rsidRPr="00FE0DC1" w:rsidRDefault="002E0C50" w:rsidP="00F906CE">
            <w:pPr>
              <w:pStyle w:val="naiskr"/>
              <w:spacing w:before="0" w:beforeAutospacing="0" w:after="240" w:afterAutospacing="0"/>
              <w:ind w:right="170"/>
              <w:jc w:val="both"/>
            </w:pPr>
            <w:r>
              <w:t>Pašlaik t</w:t>
            </w:r>
            <w:r w:rsidR="007D3584">
              <w:t xml:space="preserve">ehniskajā apskatē tiek vērtēts, vai </w:t>
            </w:r>
            <w:r>
              <w:t xml:space="preserve">taksometra </w:t>
            </w:r>
            <w:r w:rsidR="007D3584">
              <w:t>s</w:t>
            </w:r>
            <w:r w:rsidR="00FE0DC1" w:rsidRPr="00FE0DC1">
              <w:t>kaitītājam</w:t>
            </w:r>
            <w:r w:rsidR="007D3584">
              <w:t xml:space="preserve">, </w:t>
            </w:r>
            <w:r w:rsidR="00FE0DC1" w:rsidRPr="00FE0DC1">
              <w:t>atbilst</w:t>
            </w:r>
            <w:r w:rsidR="007D3584">
              <w:t xml:space="preserve">oši </w:t>
            </w:r>
            <w:r w:rsidR="00FE0DC1" w:rsidRPr="00FE0DC1">
              <w:t>likuma </w:t>
            </w:r>
            <w:r w:rsidR="00FE0DC1">
              <w:t xml:space="preserve">Par mērījumu vienotību </w:t>
            </w:r>
            <w:r w:rsidR="002C1B56">
              <w:t xml:space="preserve">prasībām </w:t>
            </w:r>
            <w:r w:rsidR="007D3584">
              <w:t xml:space="preserve">ir </w:t>
            </w:r>
            <w:r w:rsidR="00FE0DC1" w:rsidRPr="00FE0DC1">
              <w:t>derīg</w:t>
            </w:r>
            <w:r w:rsidR="007D3584">
              <w:t>a</w:t>
            </w:r>
            <w:r w:rsidR="00FE0DC1" w:rsidRPr="00FE0DC1">
              <w:t xml:space="preserve"> verifikācijas uzlīm</w:t>
            </w:r>
            <w:r w:rsidR="007D3584">
              <w:t>e</w:t>
            </w:r>
            <w:r w:rsidR="00FE0DC1" w:rsidRPr="00FE0DC1">
              <w:t xml:space="preserve">. Datus par </w:t>
            </w:r>
            <w:r>
              <w:t xml:space="preserve">veikto </w:t>
            </w:r>
            <w:r w:rsidR="00FE0DC1" w:rsidRPr="00FE0DC1">
              <w:t xml:space="preserve">skaitītāja verifikāciju atbilstības novērtēšanas institūcija ievada </w:t>
            </w:r>
            <w:r>
              <w:t>T</w:t>
            </w:r>
            <w:r w:rsidR="00FE0DC1" w:rsidRPr="00FE0DC1">
              <w:t xml:space="preserve">ransportlīdzekļu </w:t>
            </w:r>
            <w:r>
              <w:t xml:space="preserve">un to vadītāju valsts </w:t>
            </w:r>
            <w:r w:rsidR="00FE0DC1" w:rsidRPr="00FE0DC1">
              <w:t>reģistrā</w:t>
            </w:r>
            <w:r w:rsidR="002C1B56">
              <w:t xml:space="preserve"> un i</w:t>
            </w:r>
            <w:r w:rsidR="00FE0DC1" w:rsidRPr="00FE0DC1">
              <w:t>evadītajiem datiem jāļauj identificēt skaitītāju un tā verifikācijas derīguma termiņu.</w:t>
            </w:r>
            <w:r w:rsidRPr="00FE0DC1">
              <w:t xml:space="preserve"> </w:t>
            </w:r>
          </w:p>
          <w:p w14:paraId="10880A1E" w14:textId="77777777" w:rsidR="006C3E65" w:rsidRPr="006C3E65" w:rsidRDefault="00FE0DC1" w:rsidP="00F906CE">
            <w:pPr>
              <w:tabs>
                <w:tab w:val="left" w:pos="2127"/>
                <w:tab w:val="left" w:pos="6096"/>
              </w:tabs>
              <w:spacing w:line="240" w:lineRule="auto"/>
              <w:ind w:right="170" w:firstLine="0"/>
              <w:rPr>
                <w:rFonts w:eastAsia="Times New Roman"/>
                <w:sz w:val="24"/>
                <w:szCs w:val="24"/>
                <w:lang w:eastAsia="lv-LV"/>
              </w:rPr>
            </w:pPr>
            <w:r>
              <w:rPr>
                <w:rFonts w:eastAsia="Times New Roman"/>
                <w:sz w:val="24"/>
                <w:szCs w:val="24"/>
                <w:lang w:eastAsia="lv-LV"/>
              </w:rPr>
              <w:t>L</w:t>
            </w:r>
            <w:r w:rsidRPr="00FE0DC1">
              <w:rPr>
                <w:rFonts w:eastAsia="Times New Roman"/>
                <w:sz w:val="24"/>
                <w:szCs w:val="24"/>
                <w:lang w:eastAsia="lv-LV"/>
              </w:rPr>
              <w:t>ikumā “Par nodokļiem un nodevām” noteikts, ka nodokļu maksātāji drīkst lietot elektroniskās ierīces un iekārtas, kuras atbilst nodokļu un citu maksājumu reģistrēšanas elektronisko ierīču un iekārtu tehniskajām prasībām un kurām ir veikta atbilstības pārbaude</w:t>
            </w:r>
            <w:r w:rsidR="007D3584">
              <w:rPr>
                <w:rFonts w:eastAsia="Times New Roman"/>
                <w:sz w:val="24"/>
                <w:szCs w:val="24"/>
                <w:lang w:eastAsia="lv-LV"/>
              </w:rPr>
              <w:t>. T</w:t>
            </w:r>
            <w:r w:rsidRPr="00FE0DC1">
              <w:rPr>
                <w:rFonts w:eastAsia="Times New Roman"/>
                <w:sz w:val="24"/>
                <w:szCs w:val="24"/>
                <w:lang w:eastAsia="lv-LV"/>
              </w:rPr>
              <w:t>aksometra skaitītājam jāatbilst Ministru kabineta 2014.gada 11.februāra noteikum</w:t>
            </w:r>
            <w:r w:rsidR="007D3584">
              <w:rPr>
                <w:rFonts w:eastAsia="Times New Roman"/>
                <w:sz w:val="24"/>
                <w:szCs w:val="24"/>
                <w:lang w:eastAsia="lv-LV"/>
              </w:rPr>
              <w:t>os</w:t>
            </w:r>
            <w:r w:rsidRPr="00FE0DC1">
              <w:rPr>
                <w:rFonts w:eastAsia="Times New Roman"/>
                <w:sz w:val="24"/>
                <w:szCs w:val="24"/>
                <w:lang w:eastAsia="lv-LV"/>
              </w:rPr>
              <w:t xml:space="preserve"> Nr.95</w:t>
            </w:r>
            <w:r w:rsidR="007D3584">
              <w:rPr>
                <w:rFonts w:eastAsia="Times New Roman"/>
                <w:sz w:val="24"/>
                <w:szCs w:val="24"/>
                <w:lang w:eastAsia="lv-LV"/>
              </w:rPr>
              <w:t xml:space="preserve"> </w:t>
            </w:r>
            <w:r w:rsidRPr="00FE0DC1">
              <w:rPr>
                <w:rFonts w:eastAsia="Times New Roman"/>
                <w:sz w:val="24"/>
                <w:szCs w:val="24"/>
                <w:lang w:eastAsia="lv-LV"/>
              </w:rPr>
              <w:t xml:space="preserve">  noteiktajām prasībām un to jāreģistrē </w:t>
            </w:r>
            <w:r w:rsidR="007D3584">
              <w:rPr>
                <w:rFonts w:eastAsia="Times New Roman"/>
                <w:sz w:val="24"/>
                <w:szCs w:val="24"/>
                <w:lang w:eastAsia="lv-LV"/>
              </w:rPr>
              <w:t xml:space="preserve">Valsts ieņēmumu dienesta </w:t>
            </w:r>
            <w:r w:rsidRPr="00FE0DC1">
              <w:rPr>
                <w:rFonts w:eastAsia="Times New Roman"/>
                <w:sz w:val="24"/>
                <w:szCs w:val="24"/>
                <w:lang w:eastAsia="lv-LV"/>
              </w:rPr>
              <w:t>vie</w:t>
            </w:r>
            <w:r w:rsidRPr="006C3E65">
              <w:rPr>
                <w:rFonts w:eastAsia="Times New Roman"/>
                <w:sz w:val="24"/>
                <w:szCs w:val="24"/>
                <w:lang w:eastAsia="lv-LV"/>
              </w:rPr>
              <w:t xml:space="preserve">notajā datubāzē (reģistrā) Ministru kabineta 2014.gada 11.februāra noteikumos Nr.96 noteiktajā kārtībā. </w:t>
            </w:r>
          </w:p>
          <w:p w14:paraId="4DF8E41C" w14:textId="77777777" w:rsidR="00FE0DC1" w:rsidRPr="002E0C50" w:rsidRDefault="006C3E65" w:rsidP="00F906CE">
            <w:pPr>
              <w:tabs>
                <w:tab w:val="left" w:pos="2127"/>
                <w:tab w:val="left" w:pos="6096"/>
              </w:tabs>
              <w:spacing w:line="240" w:lineRule="auto"/>
              <w:ind w:right="170" w:firstLine="0"/>
              <w:rPr>
                <w:szCs w:val="28"/>
                <w:lang w:eastAsia="lv-LV"/>
              </w:rPr>
            </w:pPr>
            <w:r w:rsidRPr="006C3E65">
              <w:rPr>
                <w:rFonts w:eastAsia="Times New Roman"/>
                <w:sz w:val="24"/>
                <w:szCs w:val="24"/>
                <w:lang w:eastAsia="lv-LV"/>
              </w:rPr>
              <w:t xml:space="preserve">Pašlaik apliecinājumu par atbilstību jaunajām tehniskajām prasībām šobrīd ir saņēmis un 2017.gada 13.septembrī Valsts ieņēmumu dienesta  vienotajā datubāzē (reģistrā) </w:t>
            </w:r>
            <w:r w:rsidR="002E0C50">
              <w:rPr>
                <w:rFonts w:eastAsia="Times New Roman"/>
                <w:sz w:val="24"/>
                <w:szCs w:val="24"/>
                <w:lang w:eastAsia="lv-LV"/>
              </w:rPr>
              <w:t>ir</w:t>
            </w:r>
            <w:r w:rsidRPr="006C3E65">
              <w:rPr>
                <w:rFonts w:eastAsia="Times New Roman"/>
                <w:sz w:val="24"/>
                <w:szCs w:val="24"/>
                <w:lang w:eastAsia="lv-LV"/>
              </w:rPr>
              <w:t xml:space="preserve"> reģistrēts taksometra skaitītāja modelis Microtax-06, un visiem taksometru skaitītāju lietotājiem Ministru kabineta 2014.gada 11.februāra noteikumos Nr.96 noteiktajos termiņos, t.i. līdz 2017.gada 13.decembrim bija jānodrošina prasībām atbilstošu taksometru skaitītāju lietošanas uzsākšana. </w:t>
            </w:r>
            <w:r>
              <w:rPr>
                <w:rFonts w:eastAsia="Times New Roman"/>
                <w:sz w:val="24"/>
                <w:szCs w:val="24"/>
                <w:lang w:eastAsia="lv-LV"/>
              </w:rPr>
              <w:t>Lai novērstu neatbilstošu taksometru skaitītāju lietošanu</w:t>
            </w:r>
            <w:r w:rsidR="002E0C50">
              <w:rPr>
                <w:rFonts w:eastAsia="Times New Roman"/>
                <w:sz w:val="24"/>
                <w:szCs w:val="24"/>
                <w:lang w:eastAsia="lv-LV"/>
              </w:rPr>
              <w:t xml:space="preserve"> pasažieru komercpārvadājumos</w:t>
            </w:r>
            <w:r>
              <w:rPr>
                <w:rFonts w:eastAsia="Times New Roman"/>
                <w:sz w:val="24"/>
                <w:szCs w:val="24"/>
                <w:lang w:eastAsia="lv-LV"/>
              </w:rPr>
              <w:t xml:space="preserve">,  </w:t>
            </w:r>
            <w:r w:rsidR="00FE0DC1" w:rsidRPr="00FE0DC1">
              <w:rPr>
                <w:rFonts w:eastAsia="Times New Roman"/>
                <w:sz w:val="24"/>
                <w:szCs w:val="24"/>
                <w:lang w:eastAsia="lv-LV"/>
              </w:rPr>
              <w:t>noteikumu projekts paredz papildināt 10.1. kodu ar A3 daļu nosakot, ka s</w:t>
            </w:r>
            <w:r w:rsidR="00FE0DC1" w:rsidRPr="00FE0DC1">
              <w:rPr>
                <w:sz w:val="24"/>
                <w:szCs w:val="24"/>
                <w:lang w:eastAsia="lv-LV"/>
              </w:rPr>
              <w:t>kaitītāja</w:t>
            </w:r>
            <w:r w:rsidR="00036B80">
              <w:rPr>
                <w:sz w:val="24"/>
                <w:szCs w:val="24"/>
                <w:lang w:eastAsia="lv-LV"/>
              </w:rPr>
              <w:t>m</w:t>
            </w:r>
            <w:r w:rsidR="00036B80" w:rsidRPr="00FE0DC1">
              <w:rPr>
                <w:sz w:val="24"/>
                <w:szCs w:val="24"/>
                <w:lang w:eastAsia="lv-LV"/>
              </w:rPr>
              <w:t xml:space="preserve"> </w:t>
            </w:r>
            <w:r w:rsidR="00FE0DC1" w:rsidRPr="00FE0DC1">
              <w:rPr>
                <w:sz w:val="24"/>
                <w:szCs w:val="24"/>
                <w:lang w:eastAsia="lv-LV"/>
              </w:rPr>
              <w:t xml:space="preserve">jāatbilst normatīvo aktu par nodokļu un citu maksājumu reģistrēšanas elektronisko ierīču un iekārtu lietošanas kārtību prasībām. </w:t>
            </w:r>
            <w:r w:rsidR="00FE0DC1" w:rsidRPr="002E0C50">
              <w:rPr>
                <w:sz w:val="24"/>
                <w:szCs w:val="24"/>
                <w:lang w:eastAsia="lv-LV"/>
              </w:rPr>
              <w:t>Datus par apstiprināta skaitītāja tipu Valsts ieņēmumu dienests ievada transportlīdzekļu reģistrā”.</w:t>
            </w:r>
          </w:p>
          <w:p w14:paraId="6053DD63" w14:textId="77777777" w:rsidR="00467D32" w:rsidRDefault="00467D32" w:rsidP="00F906CE">
            <w:pPr>
              <w:pStyle w:val="naiskr"/>
              <w:spacing w:before="0" w:beforeAutospacing="0" w:after="0" w:afterAutospacing="0"/>
              <w:ind w:right="170"/>
              <w:jc w:val="both"/>
              <w:rPr>
                <w:iCs/>
              </w:rPr>
            </w:pPr>
          </w:p>
          <w:p w14:paraId="0C61094B" w14:textId="77777777" w:rsidR="005877E1" w:rsidRDefault="005877E1" w:rsidP="00F906CE">
            <w:pPr>
              <w:pStyle w:val="naiskr"/>
              <w:spacing w:before="0" w:beforeAutospacing="0" w:after="0" w:afterAutospacing="0"/>
              <w:ind w:right="170"/>
              <w:jc w:val="both"/>
              <w:rPr>
                <w:iCs/>
              </w:rPr>
            </w:pPr>
            <w:r w:rsidRPr="005877E1">
              <w:rPr>
                <w:iCs/>
              </w:rPr>
              <w:t xml:space="preserve">Ar 2018.gada 12.aprīļa grozījumiem Ceļu satiksmes likuma 10. panta astotās daļas 1. punktā no 2018.gada 1.novembra ir atcelts aizliegums Latvijā pastāvīgi reģistrēt transportlīdzekļus ar vadības ierīcēm labajā pusē, tādēļ izstrādātas transportlīdzekļu pielāgošanas prasības, kuras jāizpilda personai attiecībā uz transportlīdzekli ar vadības ierīcēm labajā pusē, kuru persona vēlas pastāvīgi reģistrēt Latvijā, bet nav uzskatāmas par transportlīdzekļa pārbūvi </w:t>
            </w:r>
            <w:r w:rsidRPr="005877E1">
              <w:t xml:space="preserve">(noteikumu projekta </w:t>
            </w:r>
            <w:r w:rsidR="00494DCB">
              <w:t xml:space="preserve">4., </w:t>
            </w:r>
            <w:r w:rsidR="00467D32">
              <w:t>5</w:t>
            </w:r>
            <w:r>
              <w:t xml:space="preserve">., </w:t>
            </w:r>
            <w:r w:rsidR="00467D32">
              <w:t>6</w:t>
            </w:r>
            <w:r>
              <w:t xml:space="preserve">., </w:t>
            </w:r>
            <w:r w:rsidR="00467D32">
              <w:t>7</w:t>
            </w:r>
            <w:r>
              <w:t>.</w:t>
            </w:r>
            <w:r w:rsidR="00732DB3">
              <w:t xml:space="preserve"> </w:t>
            </w:r>
            <w:r w:rsidRPr="005877E1">
              <w:t>punkts)</w:t>
            </w:r>
            <w:r w:rsidRPr="005877E1">
              <w:rPr>
                <w:iCs/>
              </w:rPr>
              <w:t>.</w:t>
            </w:r>
          </w:p>
          <w:p w14:paraId="01AE2C0F" w14:textId="56B098D5" w:rsidR="005877E1" w:rsidRPr="005877E1" w:rsidRDefault="005877E1" w:rsidP="00F906CE">
            <w:pPr>
              <w:pStyle w:val="naiskr"/>
              <w:ind w:right="170"/>
              <w:jc w:val="both"/>
            </w:pPr>
            <w:r w:rsidRPr="005877E1">
              <w:t xml:space="preserve">Noteikumu projekta </w:t>
            </w:r>
            <w:r w:rsidR="00467D32">
              <w:t>5</w:t>
            </w:r>
            <w:r>
              <w:t xml:space="preserve">., </w:t>
            </w:r>
            <w:r w:rsidR="00467D32">
              <w:t>6</w:t>
            </w:r>
            <w:r>
              <w:t xml:space="preserve">., </w:t>
            </w:r>
            <w:r w:rsidR="00467D32">
              <w:t>7</w:t>
            </w:r>
            <w:r>
              <w:t>.punkta</w:t>
            </w:r>
            <w:r>
              <w:rPr>
                <w:iCs/>
              </w:rPr>
              <w:t xml:space="preserve"> </w:t>
            </w:r>
            <w:r w:rsidRPr="005877E1">
              <w:t xml:space="preserve">tiesiskais pamatojums izriet no Eiropas Savienības Tiesas spriedumiem lietās Eiropas Komisija pret Polijas Republiku </w:t>
            </w:r>
            <w:r w:rsidR="00E045AD">
              <w:t xml:space="preserve"> C-639/11  </w:t>
            </w:r>
            <w:r w:rsidRPr="005877E1">
              <w:t xml:space="preserve">Eiropas Komisija pret Lietuvas Republiku </w:t>
            </w:r>
            <w:r w:rsidR="00E045AD">
              <w:t xml:space="preserve"> C-61/12 </w:t>
            </w:r>
            <w:r w:rsidRPr="005877E1">
              <w:t>par tādu mehānisko transportlīdzekļu reģistrēšanu, kam stūres iekārta atrodas labajā pusē.</w:t>
            </w:r>
          </w:p>
          <w:p w14:paraId="11DCFC91" w14:textId="77777777" w:rsidR="005877E1" w:rsidRPr="005877E1" w:rsidRDefault="00A56445" w:rsidP="00F906CE">
            <w:pPr>
              <w:pStyle w:val="naiskr"/>
              <w:ind w:right="170"/>
              <w:jc w:val="both"/>
            </w:pPr>
            <w:r>
              <w:t xml:space="preserve">No minētajiem Eiropas Savienības tiesas spriedumiem tika secināts, ka </w:t>
            </w:r>
            <w:r w:rsidR="005877E1" w:rsidRPr="005877E1">
              <w:t>Eiropas Savienības Tiesas judikatūrā (</w:t>
            </w:r>
            <w:r>
              <w:t xml:space="preserve">piemēram, </w:t>
            </w:r>
            <w:r w:rsidR="005877E1" w:rsidRPr="005877E1">
              <w:t xml:space="preserve">C-639/11, C-61/12) secināts, ka Direktīva 70/311/EEK un Direktīva 2007/46/EK skaidri reglamentē tehniskās prasības, kādām ir jāatbilst jauniem vieglajiem automobiļiem, un neatstāj dalībvalstīm novērtējuma brīvību šajā jautājumā, taču drīkst piemērot samērīgas pielāgošanas prasības kustībai pa labo ceļa pusi - tādejādi secinot, ka dalībvalsts nav tiesīga izvirzīt prasību mainīt stūres iekārtas atrašanās vietu, jo šī ir tehniska rakstura prasība. Ņemot vērā iepriekš minēto, tika secināts, ka aizliegums reģistrēt vieglos automobiļus, kuriem stūre atrodas labajā pusē un/vai izvirzot prasību, ka jauna vai citā dalībvalstī reģistrēta vieglā automobiļa ar stūres iekārtu labajā pusē reģistrēšanai stūre ir jāpārceļ uz kreiso pusi ir saprotama kā Direktīvas 2007/46/EK un Direktīvas 70/311/EEK prasību nepildīšana, kā arī ir vērtējama kā ar </w:t>
            </w:r>
            <w:r>
              <w:t xml:space="preserve"> Līguma par Eiropas Savienības darbību</w:t>
            </w:r>
            <w:r w:rsidRPr="005877E1">
              <w:t xml:space="preserve"> </w:t>
            </w:r>
            <w:r w:rsidR="005877E1" w:rsidRPr="005877E1">
              <w:t>34.pantu aizliegts kvantitatīvais ierobežojums.</w:t>
            </w:r>
          </w:p>
          <w:p w14:paraId="65D1F43C" w14:textId="77777777" w:rsidR="005877E1" w:rsidRDefault="005877E1" w:rsidP="00F906CE">
            <w:pPr>
              <w:pStyle w:val="naiskr"/>
              <w:ind w:right="170"/>
              <w:jc w:val="both"/>
            </w:pPr>
            <w:r w:rsidRPr="005877E1">
              <w:t xml:space="preserve">Turklāt šajās </w:t>
            </w:r>
            <w:r w:rsidR="00A56445">
              <w:t>D</w:t>
            </w:r>
            <w:r w:rsidRPr="005877E1">
              <w:t>irektīvās izvirzītās tehniskās prasības ir vērstas uz augsta līmeņa ceļu satiksmes drošības nodrošināšanu. Arī Eiropas Savienības Tiesas sprieduma lietā C-61/12 minēts, ka Direktīvas 2007/46/EK pamatā ir pilnīgas saskaņošanas princips, kas attiecas uz transportlīdzekļu tehniskajām prasībām un transportlīdzekļa uzbūvi, garantējot augsta līmeņa ceļu satiksmes drošību.</w:t>
            </w:r>
          </w:p>
          <w:p w14:paraId="42937D0F" w14:textId="77777777" w:rsidR="00A56445" w:rsidRPr="005877E1" w:rsidRDefault="00A56445" w:rsidP="00F906CE">
            <w:pPr>
              <w:pStyle w:val="naiskr"/>
              <w:ind w:right="170"/>
              <w:jc w:val="both"/>
            </w:pPr>
            <w:r>
              <w:t>Vienlaikus ir jāuzsver, ka tā kā Latvija iesaistījās minētajās Eiropas Savienības Tiesas lietās, aizstāvot Polijas un Lietuvas viedokli, pamatojot to ar ceļu satiksmes drošības aspektu, pēc minēto spriedumu pieņemšanas, Eiropas Komisija uzsāka EU PILOT lietu pret Latviju, kas ir rezultējusies formālajā paziņojumā.</w:t>
            </w:r>
          </w:p>
          <w:p w14:paraId="2F318B6E" w14:textId="77777777" w:rsidR="005877E1" w:rsidRPr="005877E1" w:rsidRDefault="005877E1" w:rsidP="00F906CE">
            <w:pPr>
              <w:pStyle w:val="naiskr"/>
              <w:spacing w:before="0" w:beforeAutospacing="0" w:after="0" w:afterAutospacing="0"/>
              <w:ind w:right="170"/>
              <w:jc w:val="both"/>
            </w:pPr>
            <w:r w:rsidRPr="005877E1">
              <w:t xml:space="preserve">Tādējādi secināts, ka Ceļu satiksmes likuma 10.panta astotās </w:t>
            </w:r>
            <w:r w:rsidRPr="005877E1">
              <w:lastRenderedPageBreak/>
              <w:t>daļas 1.punkts ir pretrunā ar Direktīvas 2007/46/EK 4.panta 3.punktā noteikto, kā arī ierobežo</w:t>
            </w:r>
            <w:r w:rsidR="00A56445">
              <w:t xml:space="preserve"> Līguma par Eiropas Savienības darbību</w:t>
            </w:r>
            <w:r w:rsidRPr="005877E1">
              <w:t xml:space="preserve"> 34.pantā noteikto preču brīvu apriti.</w:t>
            </w:r>
          </w:p>
          <w:p w14:paraId="1ABED2C8" w14:textId="77777777" w:rsidR="000302D6" w:rsidRDefault="005877E1" w:rsidP="00F906CE">
            <w:pPr>
              <w:pStyle w:val="naiskr"/>
              <w:spacing w:before="0" w:beforeAutospacing="0" w:after="0" w:afterAutospacing="0"/>
              <w:ind w:right="170"/>
              <w:jc w:val="both"/>
            </w:pPr>
            <w:r w:rsidRPr="005877E1">
              <w:t>Ministru kabineta noteikumi, kuros  jāveic grozījumus:</w:t>
            </w:r>
          </w:p>
          <w:p w14:paraId="25A8F1A3" w14:textId="77777777" w:rsidR="001830E8" w:rsidRPr="005877E1" w:rsidRDefault="001830E8" w:rsidP="00F906CE">
            <w:pPr>
              <w:pStyle w:val="naiskr"/>
              <w:spacing w:before="0" w:beforeAutospacing="0" w:after="0" w:afterAutospacing="0"/>
              <w:ind w:right="170"/>
              <w:jc w:val="both"/>
            </w:pPr>
            <w:r>
              <w:t xml:space="preserve">- </w:t>
            </w:r>
            <w:r w:rsidRPr="005877E1">
              <w:t xml:space="preserve">Ministru kabineta </w:t>
            </w:r>
            <w:r>
              <w:t>2010.gada 30.novembra</w:t>
            </w:r>
            <w:r w:rsidRPr="005877E1">
              <w:t xml:space="preserve"> noteikumi Nr.1080 “Transportlīdzekļu reģistrācijas noteikumi”;</w:t>
            </w:r>
          </w:p>
          <w:p w14:paraId="5D4ACFC8" w14:textId="77777777" w:rsidR="001830E8" w:rsidRDefault="001830E8" w:rsidP="00F906CE">
            <w:pPr>
              <w:pStyle w:val="naiskr"/>
              <w:spacing w:before="0" w:beforeAutospacing="0" w:after="0" w:afterAutospacing="0"/>
              <w:ind w:right="170"/>
              <w:jc w:val="both"/>
            </w:pPr>
            <w:r>
              <w:t xml:space="preserve">-   </w:t>
            </w:r>
            <w:r w:rsidRPr="005877E1">
              <w:t>Ministru kabine</w:t>
            </w:r>
            <w:r>
              <w:t>ta 2004.gada 17.augusta noteikumi Nr.725</w:t>
            </w:r>
          </w:p>
          <w:p w14:paraId="1A121622" w14:textId="77777777" w:rsidR="001830E8" w:rsidRPr="005877E1" w:rsidRDefault="001830E8" w:rsidP="00F906CE">
            <w:pPr>
              <w:pStyle w:val="naiskr"/>
              <w:spacing w:before="0" w:beforeAutospacing="0" w:after="0" w:afterAutospacing="0"/>
              <w:ind w:right="170"/>
              <w:jc w:val="both"/>
            </w:pPr>
            <w:r w:rsidRPr="005877E1">
              <w:t>“Transportlīdzekļu pārbūves noteikumi”;</w:t>
            </w:r>
          </w:p>
          <w:p w14:paraId="42E7CE19" w14:textId="77777777" w:rsidR="001830E8" w:rsidRPr="005877E1" w:rsidRDefault="001830E8" w:rsidP="00F906CE">
            <w:pPr>
              <w:pStyle w:val="naiskr"/>
              <w:spacing w:before="0" w:beforeAutospacing="0" w:after="0" w:afterAutospacing="0"/>
              <w:ind w:right="170"/>
              <w:jc w:val="both"/>
            </w:pPr>
            <w:r>
              <w:t xml:space="preserve">- </w:t>
            </w:r>
            <w:r w:rsidRPr="005877E1">
              <w:t xml:space="preserve">Ministru kabineta </w:t>
            </w:r>
            <w:r>
              <w:t>2009.gada 22.decembra</w:t>
            </w:r>
            <w:r w:rsidRPr="005877E1">
              <w:t xml:space="preserve"> noteikumi Nr.1494 “Mopēdu, mehānisko transportlīdzekļu, to piekabju un sastāvdaļu atbilstības novērtēšanas noteikumi”.</w:t>
            </w:r>
          </w:p>
          <w:p w14:paraId="51DA7451" w14:textId="77777777" w:rsidR="005877E1" w:rsidRPr="005877E1" w:rsidRDefault="001830E8" w:rsidP="00F906CE">
            <w:pPr>
              <w:pStyle w:val="naiskr"/>
              <w:spacing w:before="0" w:beforeAutospacing="0" w:after="0" w:afterAutospacing="0"/>
              <w:ind w:right="170"/>
              <w:jc w:val="both"/>
            </w:pPr>
            <w:r>
              <w:t xml:space="preserve">- </w:t>
            </w:r>
            <w:r w:rsidR="005877E1" w:rsidRPr="005877E1">
              <w:t xml:space="preserve">Ministru kabineta </w:t>
            </w:r>
            <w:r>
              <w:t xml:space="preserve">2017.gada 30.maija </w:t>
            </w:r>
            <w:r w:rsidR="005877E1" w:rsidRPr="005877E1">
              <w:t>noteikumi Nr.295 “Noteikumi par transportlīdzekļu valsts tehnisko apskati un tehnisko kontroli uz ceļa” (turpmāk – tehniskās apskates noteikumi);</w:t>
            </w:r>
          </w:p>
          <w:p w14:paraId="44AD1C18" w14:textId="775C6BB0" w:rsidR="005877E1" w:rsidRPr="005877E1" w:rsidRDefault="005877E1" w:rsidP="00F906CE">
            <w:pPr>
              <w:pStyle w:val="naiskr"/>
              <w:ind w:right="170"/>
              <w:jc w:val="both"/>
            </w:pPr>
            <w:r w:rsidRPr="005877E1">
              <w:t xml:space="preserve">Vienlaikus jāņem vērā, ka Eiropas Savienības Tiesā ceļu satiksmes drošība kā faktors tika vērtēts, taču tas nebija par iemeslu, lai ierobežotu šādu transportlīdzekļu reģistrāciju. </w:t>
            </w:r>
          </w:p>
          <w:p w14:paraId="401BA84C" w14:textId="77777777" w:rsidR="005877E1" w:rsidRPr="005877E1" w:rsidRDefault="005877E1" w:rsidP="00F906CE">
            <w:pPr>
              <w:pStyle w:val="naiskr"/>
              <w:ind w:right="170"/>
              <w:jc w:val="both"/>
            </w:pPr>
            <w:r w:rsidRPr="005877E1">
              <w:t xml:space="preserve">Jāņem vērā, ka transportlīdzekļi ar stūri labajā pusē ceļu satiksmē rada papildus riskus un būtiskām prasībām jānodrošina, lai netiktu apdraudēti citu ceļu satiksmes dalībnieki. </w:t>
            </w:r>
          </w:p>
          <w:p w14:paraId="001454D0" w14:textId="77777777" w:rsidR="002C1B56" w:rsidRPr="00C708B6" w:rsidRDefault="005877E1" w:rsidP="00F906CE">
            <w:pPr>
              <w:pStyle w:val="naiskr"/>
              <w:ind w:right="170"/>
              <w:jc w:val="both"/>
            </w:pPr>
            <w:r w:rsidRPr="005877E1">
              <w:t>Izvērtējot tehniskās prasības citās Eiropas Savienības dalībvalstīs, ir secināts, ka tehnisko prasību kopumā būtu jāietver – obligāta prasība mainīt priekšējos (galvenos) lukturus, pakaļējo miglas lukturi/us, obligāta prasība, ka jābūt uzstādītiem ārējiem atpakaļskata spoguļiem ar atbilstošu redzamību, kā arī salonā būtu jāuzstāda videokamera kreisajā (pasažiera) pusē un monitors, kuram jābūt novietotam vadītāja redzamības zonā un iebūvētam vai nostiprinātam pie transportlīdzekļa paneļa.</w:t>
            </w:r>
          </w:p>
        </w:tc>
      </w:tr>
      <w:tr w:rsidR="00E53CE2" w:rsidRPr="00C708B6" w14:paraId="1A3D908B" w14:textId="77777777" w:rsidTr="00F906CE">
        <w:tc>
          <w:tcPr>
            <w:tcW w:w="153" w:type="pct"/>
          </w:tcPr>
          <w:p w14:paraId="3B34C6C1" w14:textId="77777777" w:rsidR="00FB77E7" w:rsidRPr="00C708B6" w:rsidRDefault="00FB77E7" w:rsidP="00F906CE">
            <w:pPr>
              <w:pStyle w:val="Parastais1"/>
              <w:spacing w:before="100" w:beforeAutospacing="1" w:after="100" w:afterAutospacing="1"/>
              <w:ind w:right="-415"/>
              <w:jc w:val="both"/>
            </w:pPr>
            <w:r w:rsidRPr="00C708B6">
              <w:lastRenderedPageBreak/>
              <w:t>3.</w:t>
            </w:r>
          </w:p>
        </w:tc>
        <w:tc>
          <w:tcPr>
            <w:tcW w:w="1573" w:type="pct"/>
          </w:tcPr>
          <w:p w14:paraId="72B9B60C" w14:textId="77777777" w:rsidR="00FB77E7" w:rsidRPr="00C708B6" w:rsidRDefault="00FB77E7" w:rsidP="00F906CE">
            <w:pPr>
              <w:pStyle w:val="Parastais1"/>
              <w:spacing w:before="100" w:beforeAutospacing="1" w:after="100" w:afterAutospacing="1"/>
              <w:ind w:right="-415"/>
            </w:pPr>
            <w:r w:rsidRPr="00C708B6">
              <w:t>Projekta izstrādē iesaistītās institūcijas</w:t>
            </w:r>
            <w:r w:rsidR="00C708B2" w:rsidRPr="00C708B6">
              <w:t xml:space="preserve"> un publiskas personas kapitālsabiedrības</w:t>
            </w:r>
          </w:p>
        </w:tc>
        <w:tc>
          <w:tcPr>
            <w:tcW w:w="3274" w:type="pct"/>
          </w:tcPr>
          <w:p w14:paraId="5989E5B1" w14:textId="77777777" w:rsidR="002C1B56" w:rsidRPr="00C708B6" w:rsidRDefault="00CD23C3" w:rsidP="00F906CE">
            <w:pPr>
              <w:pStyle w:val="Parastais1"/>
              <w:spacing w:before="100" w:beforeAutospacing="1" w:after="100" w:afterAutospacing="1"/>
              <w:ind w:right="34"/>
              <w:jc w:val="both"/>
            </w:pPr>
            <w:r w:rsidRPr="00C708B6">
              <w:t>Valsts akciju sabiedrība „</w:t>
            </w:r>
            <w:r>
              <w:t>Latvijas Valsts ceļi</w:t>
            </w:r>
            <w:r w:rsidRPr="00C708B6">
              <w:t>”</w:t>
            </w:r>
            <w:r>
              <w:t xml:space="preserve">, </w:t>
            </w:r>
            <w:r w:rsidR="001B7B5A" w:rsidRPr="00620A49">
              <w:t>V</w:t>
            </w:r>
            <w:r w:rsidR="00620A49">
              <w:t xml:space="preserve">alsts </w:t>
            </w:r>
            <w:r>
              <w:t>p</w:t>
            </w:r>
            <w:r w:rsidR="00620A49">
              <w:t>olicija</w:t>
            </w:r>
            <w:r w:rsidR="008A55E3" w:rsidRPr="00620A49">
              <w:t xml:space="preserve">, </w:t>
            </w:r>
            <w:r>
              <w:t>Latvijas Transportlīdzekļu apdrošinātāju birojs,</w:t>
            </w:r>
            <w:r w:rsidR="008A55E3" w:rsidRPr="00620A49">
              <w:t xml:space="preserve"> </w:t>
            </w:r>
            <w:r>
              <w:t>Ceļu satiksmes drošības padomes Domnīca</w:t>
            </w:r>
            <w:r w:rsidR="00620A49">
              <w:t xml:space="preserve">, </w:t>
            </w:r>
            <w:r w:rsidR="00620A49" w:rsidRPr="00C708B6">
              <w:t>Valsts akciju sabiedrība „Ceļu satiksmes drošības direkcija”</w:t>
            </w:r>
            <w:r w:rsidR="002C1B56">
              <w:t xml:space="preserve">, Valsts ieņēmumu dienests. </w:t>
            </w:r>
          </w:p>
        </w:tc>
      </w:tr>
      <w:tr w:rsidR="00E53CE2" w:rsidRPr="00C708B6" w14:paraId="33768E23" w14:textId="77777777" w:rsidTr="00F906CE">
        <w:tc>
          <w:tcPr>
            <w:tcW w:w="153" w:type="pct"/>
          </w:tcPr>
          <w:p w14:paraId="46DEE4C9" w14:textId="77777777" w:rsidR="00FB77E7" w:rsidRPr="00C708B6" w:rsidRDefault="00FB77E7" w:rsidP="00F906CE">
            <w:pPr>
              <w:pStyle w:val="Parastais1"/>
              <w:spacing w:before="100" w:beforeAutospacing="1" w:after="100" w:afterAutospacing="1"/>
              <w:ind w:right="-415"/>
              <w:jc w:val="both"/>
            </w:pPr>
            <w:r w:rsidRPr="00C708B6">
              <w:t>4.</w:t>
            </w:r>
          </w:p>
        </w:tc>
        <w:tc>
          <w:tcPr>
            <w:tcW w:w="1573" w:type="pct"/>
          </w:tcPr>
          <w:p w14:paraId="6FFBC703" w14:textId="77777777" w:rsidR="00FB77E7" w:rsidRPr="00C708B6" w:rsidRDefault="00FB77E7" w:rsidP="00F906CE">
            <w:pPr>
              <w:pStyle w:val="Parastais1"/>
              <w:spacing w:before="100" w:beforeAutospacing="1" w:after="100" w:afterAutospacing="1"/>
              <w:ind w:right="-415"/>
              <w:jc w:val="both"/>
            </w:pPr>
            <w:r w:rsidRPr="00C708B6">
              <w:t>Cita informācija</w:t>
            </w:r>
          </w:p>
        </w:tc>
        <w:tc>
          <w:tcPr>
            <w:tcW w:w="3274" w:type="pct"/>
          </w:tcPr>
          <w:p w14:paraId="290EAFAF" w14:textId="77777777" w:rsidR="00FB77E7" w:rsidRPr="00C708B6" w:rsidRDefault="003E7BFA" w:rsidP="00F906CE">
            <w:pPr>
              <w:pStyle w:val="Parastais1"/>
              <w:spacing w:before="100" w:beforeAutospacing="1" w:after="100" w:afterAutospacing="1"/>
              <w:ind w:right="-415"/>
              <w:jc w:val="both"/>
            </w:pPr>
            <w:r>
              <w:t>Nav</w:t>
            </w:r>
          </w:p>
        </w:tc>
      </w:tr>
    </w:tbl>
    <w:p w14:paraId="6637AC14" w14:textId="77777777" w:rsidR="00747F28" w:rsidRPr="00C708B6" w:rsidRDefault="000A4F47" w:rsidP="00FB77E7">
      <w:pPr>
        <w:pStyle w:val="Parastais1"/>
        <w:jc w:val="both"/>
      </w:pPr>
      <w:r>
        <w:br w:type="textWrapping" w:clear="all"/>
      </w:r>
      <w:r w:rsidR="00FB77E7" w:rsidRPr="00C708B6">
        <w:t> </w:t>
      </w:r>
    </w:p>
    <w:tbl>
      <w:tblPr>
        <w:tblW w:w="5111" w:type="pct"/>
        <w:tblInd w:w="25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396"/>
        <w:gridCol w:w="3116"/>
        <w:gridCol w:w="6127"/>
      </w:tblGrid>
      <w:tr w:rsidR="00FB77E7" w:rsidRPr="00C708B6" w14:paraId="7E49C9F8" w14:textId="77777777" w:rsidTr="00F906CE">
        <w:tc>
          <w:tcPr>
            <w:tcW w:w="5000" w:type="pct"/>
            <w:gridSpan w:val="3"/>
          </w:tcPr>
          <w:p w14:paraId="00D17388" w14:textId="77777777" w:rsidR="00FB77E7" w:rsidRPr="00C708B6" w:rsidRDefault="00FB77E7" w:rsidP="000C473E">
            <w:pPr>
              <w:pStyle w:val="Parastais1"/>
              <w:spacing w:before="100" w:beforeAutospacing="1" w:after="100" w:afterAutospacing="1"/>
              <w:jc w:val="center"/>
              <w:rPr>
                <w:b/>
                <w:bCs/>
              </w:rPr>
            </w:pPr>
            <w:r w:rsidRPr="00C708B6">
              <w:rPr>
                <w:b/>
                <w:bCs/>
              </w:rPr>
              <w:t>II. Tiesību akta projekta ietekme uz sabiedrību, tautsaimniecības attīstību un administratīvo slogu</w:t>
            </w:r>
          </w:p>
        </w:tc>
      </w:tr>
      <w:tr w:rsidR="00FB77E7" w:rsidRPr="00C708B6" w14:paraId="30D4FFEA" w14:textId="77777777" w:rsidTr="00F906CE">
        <w:tc>
          <w:tcPr>
            <w:tcW w:w="196" w:type="pct"/>
          </w:tcPr>
          <w:p w14:paraId="6FD63DAE" w14:textId="77777777" w:rsidR="00FB77E7" w:rsidRPr="00C708B6" w:rsidRDefault="00FB77E7" w:rsidP="000C473E">
            <w:pPr>
              <w:pStyle w:val="Parastais1"/>
              <w:spacing w:before="100" w:beforeAutospacing="1" w:after="100" w:afterAutospacing="1"/>
              <w:jc w:val="both"/>
            </w:pPr>
            <w:r w:rsidRPr="00C708B6">
              <w:t>1.</w:t>
            </w:r>
          </w:p>
        </w:tc>
        <w:tc>
          <w:tcPr>
            <w:tcW w:w="1621" w:type="pct"/>
          </w:tcPr>
          <w:p w14:paraId="09093B11" w14:textId="77777777" w:rsidR="00FB77E7" w:rsidRPr="00C708B6" w:rsidRDefault="000B14AA" w:rsidP="000C473E">
            <w:pPr>
              <w:pStyle w:val="Parastais1"/>
              <w:spacing w:before="100" w:beforeAutospacing="1" w:after="100" w:afterAutospacing="1"/>
              <w:jc w:val="both"/>
            </w:pPr>
            <w:r>
              <w:t>Sabiedrības mērķ</w:t>
            </w:r>
            <w:r w:rsidR="00FB77E7" w:rsidRPr="00C708B6">
              <w:t>grupa, kuras tiesiskais regulējums arī ietekmē vai varētu ietekmēt</w:t>
            </w:r>
          </w:p>
        </w:tc>
        <w:tc>
          <w:tcPr>
            <w:tcW w:w="3183" w:type="pct"/>
          </w:tcPr>
          <w:p w14:paraId="422BC295" w14:textId="77777777" w:rsidR="00FB77E7" w:rsidRPr="0049499C" w:rsidRDefault="00F40ECD" w:rsidP="0049499C">
            <w:pPr>
              <w:pStyle w:val="NoSpacing"/>
              <w:jc w:val="both"/>
              <w:rPr>
                <w:rFonts w:ascii="Times New Roman" w:hAnsi="Times New Roman"/>
                <w:sz w:val="24"/>
                <w:szCs w:val="24"/>
                <w:lang w:eastAsia="lv-LV"/>
              </w:rPr>
            </w:pPr>
            <w:r w:rsidRPr="0049499C">
              <w:rPr>
                <w:rFonts w:ascii="Times New Roman" w:hAnsi="Times New Roman"/>
                <w:sz w:val="24"/>
                <w:szCs w:val="24"/>
                <w:lang w:eastAsia="lv-LV"/>
              </w:rPr>
              <w:t>Transportlīdzekļu īpašnieki (turētāji, valdītāji)</w:t>
            </w:r>
            <w:r w:rsidR="0049499C" w:rsidRPr="0049499C">
              <w:rPr>
                <w:rFonts w:ascii="Times New Roman" w:hAnsi="Times New Roman"/>
                <w:sz w:val="24"/>
                <w:szCs w:val="24"/>
                <w:lang w:eastAsia="lv-LV"/>
              </w:rPr>
              <w:t>, īpaši tie, kuri vēlas pastāvīgi reģistrēt un piedalīties satiksmē ar transportlīdzekli ar vadības ierīcēm labajā pusē.</w:t>
            </w:r>
          </w:p>
          <w:p w14:paraId="23D4ABF1" w14:textId="77777777" w:rsidR="002C1B56" w:rsidRPr="0049499C" w:rsidRDefault="0049499C" w:rsidP="0049499C">
            <w:pPr>
              <w:pStyle w:val="NoSpacing"/>
              <w:jc w:val="both"/>
              <w:rPr>
                <w:lang w:eastAsia="lv-LV"/>
              </w:rPr>
            </w:pPr>
            <w:r>
              <w:rPr>
                <w:rFonts w:ascii="Times New Roman" w:hAnsi="Times New Roman"/>
                <w:color w:val="000000"/>
                <w:sz w:val="24"/>
                <w:szCs w:val="24"/>
              </w:rPr>
              <w:t>Kopumā 2018.gadā Latvijā tehniskā kārtībā (ar derīgu tehnisko apskati) ir aptuveni 630 000 vieglo automobiļu un gandrīz 855</w:t>
            </w:r>
            <w:r w:rsidRPr="00E712E6">
              <w:rPr>
                <w:rFonts w:ascii="Times New Roman" w:hAnsi="Times New Roman"/>
                <w:color w:val="000000"/>
                <w:sz w:val="24"/>
                <w:szCs w:val="24"/>
              </w:rPr>
              <w:t> 000 personu, kur</w:t>
            </w:r>
            <w:r>
              <w:rPr>
                <w:rFonts w:ascii="Times New Roman" w:hAnsi="Times New Roman"/>
                <w:color w:val="000000"/>
                <w:sz w:val="24"/>
                <w:szCs w:val="24"/>
              </w:rPr>
              <w:t xml:space="preserve">ām ir derīga vadītāja apliecība. </w:t>
            </w:r>
          </w:p>
        </w:tc>
      </w:tr>
      <w:tr w:rsidR="00FB77E7" w:rsidRPr="00C708B6" w14:paraId="54544F96" w14:textId="77777777" w:rsidTr="00F906CE">
        <w:tc>
          <w:tcPr>
            <w:tcW w:w="196" w:type="pct"/>
          </w:tcPr>
          <w:p w14:paraId="766A72CB" w14:textId="77777777" w:rsidR="00FB77E7" w:rsidRPr="00C708B6" w:rsidRDefault="00FB77E7" w:rsidP="000C473E">
            <w:pPr>
              <w:pStyle w:val="Parastais1"/>
              <w:spacing w:before="100" w:beforeAutospacing="1" w:after="100" w:afterAutospacing="1"/>
              <w:jc w:val="both"/>
            </w:pPr>
            <w:r w:rsidRPr="00C708B6">
              <w:t>2.</w:t>
            </w:r>
          </w:p>
        </w:tc>
        <w:tc>
          <w:tcPr>
            <w:tcW w:w="1621" w:type="pct"/>
          </w:tcPr>
          <w:p w14:paraId="6CC2DE30" w14:textId="77777777" w:rsidR="00FB77E7" w:rsidRPr="006B63E0" w:rsidRDefault="00FB77E7" w:rsidP="00E53CE2">
            <w:pPr>
              <w:pStyle w:val="Parastais1"/>
              <w:spacing w:before="100" w:beforeAutospacing="1" w:after="100" w:afterAutospacing="1"/>
              <w:jc w:val="both"/>
            </w:pPr>
            <w:r w:rsidRPr="00C708B6">
              <w:t>Tiesiskā regulējuma ietekme uz tautsaimniecību un administratīvo slogu</w:t>
            </w:r>
            <w:r w:rsidR="00E53CE2">
              <w:t>.</w:t>
            </w:r>
          </w:p>
        </w:tc>
        <w:tc>
          <w:tcPr>
            <w:tcW w:w="3183" w:type="pct"/>
          </w:tcPr>
          <w:p w14:paraId="0AD2CECD" w14:textId="77777777" w:rsidR="00FB77E7" w:rsidRPr="00C708B6" w:rsidRDefault="00FB77E7" w:rsidP="000C473E">
            <w:pPr>
              <w:spacing w:line="240" w:lineRule="auto"/>
              <w:ind w:firstLine="0"/>
              <w:jc w:val="left"/>
            </w:pPr>
            <w:r w:rsidRPr="00C708B6">
              <w:rPr>
                <w:rFonts w:eastAsia="Times New Roman"/>
                <w:sz w:val="24"/>
                <w:szCs w:val="24"/>
                <w:lang w:eastAsia="lv-LV"/>
              </w:rPr>
              <w:t>Projekts šo jomu</w:t>
            </w:r>
            <w:r w:rsidR="003E7BFA">
              <w:rPr>
                <w:rFonts w:eastAsia="Times New Roman"/>
                <w:sz w:val="24"/>
                <w:szCs w:val="24"/>
                <w:lang w:eastAsia="lv-LV"/>
              </w:rPr>
              <w:t xml:space="preserve"> neskar</w:t>
            </w:r>
            <w:r w:rsidR="00E53CE2">
              <w:rPr>
                <w:rFonts w:eastAsia="Times New Roman"/>
                <w:sz w:val="24"/>
                <w:szCs w:val="24"/>
                <w:lang w:eastAsia="lv-LV"/>
              </w:rPr>
              <w:t>.</w:t>
            </w:r>
          </w:p>
        </w:tc>
      </w:tr>
      <w:tr w:rsidR="00FB77E7" w:rsidRPr="00C708B6" w14:paraId="15E0083F" w14:textId="77777777" w:rsidTr="00F906CE">
        <w:tc>
          <w:tcPr>
            <w:tcW w:w="196" w:type="pct"/>
          </w:tcPr>
          <w:p w14:paraId="417E016A" w14:textId="77777777" w:rsidR="00FB77E7" w:rsidRPr="00C708B6" w:rsidRDefault="00FB77E7" w:rsidP="000C473E">
            <w:pPr>
              <w:pStyle w:val="Parastais1"/>
              <w:spacing w:before="100" w:beforeAutospacing="1" w:after="100" w:afterAutospacing="1"/>
              <w:jc w:val="both"/>
            </w:pPr>
            <w:r w:rsidRPr="00C708B6">
              <w:lastRenderedPageBreak/>
              <w:t>3.</w:t>
            </w:r>
          </w:p>
        </w:tc>
        <w:tc>
          <w:tcPr>
            <w:tcW w:w="1621" w:type="pct"/>
          </w:tcPr>
          <w:p w14:paraId="1A0903C5" w14:textId="77777777" w:rsidR="00FB77E7" w:rsidRPr="00C708B6" w:rsidRDefault="00FB77E7" w:rsidP="000C473E">
            <w:pPr>
              <w:pStyle w:val="Parastais1"/>
              <w:spacing w:before="100" w:beforeAutospacing="1" w:after="100" w:afterAutospacing="1"/>
              <w:jc w:val="both"/>
            </w:pPr>
            <w:r w:rsidRPr="00C708B6">
              <w:t>Administratīvo izmaksu monetārs novērtējums</w:t>
            </w:r>
          </w:p>
        </w:tc>
        <w:tc>
          <w:tcPr>
            <w:tcW w:w="3183" w:type="pct"/>
          </w:tcPr>
          <w:p w14:paraId="66E2623F" w14:textId="77777777" w:rsidR="00FB77E7" w:rsidRPr="00C708B6" w:rsidRDefault="00FB77E7" w:rsidP="000C473E">
            <w:pPr>
              <w:pStyle w:val="Parastais1"/>
              <w:spacing w:before="100" w:beforeAutospacing="1" w:after="100" w:afterAutospacing="1"/>
              <w:jc w:val="both"/>
            </w:pPr>
            <w:r w:rsidRPr="00C708B6">
              <w:rPr>
                <w:iCs/>
              </w:rPr>
              <w:t>Projekts šo jomu neskar</w:t>
            </w:r>
          </w:p>
        </w:tc>
      </w:tr>
      <w:tr w:rsidR="000F0585" w:rsidRPr="002F6DC1" w14:paraId="3B33A574" w14:textId="77777777" w:rsidTr="00F906CE">
        <w:tc>
          <w:tcPr>
            <w:tcW w:w="196" w:type="pct"/>
          </w:tcPr>
          <w:p w14:paraId="4EA907F1" w14:textId="77777777" w:rsidR="000F0585" w:rsidRPr="002F6DC1" w:rsidRDefault="000F0585" w:rsidP="000C473E">
            <w:pPr>
              <w:pStyle w:val="Parastais1"/>
              <w:spacing w:before="100" w:beforeAutospacing="1" w:after="100" w:afterAutospacing="1"/>
              <w:jc w:val="both"/>
              <w:rPr>
                <w:color w:val="000000"/>
              </w:rPr>
            </w:pPr>
            <w:r w:rsidRPr="002F6DC1">
              <w:rPr>
                <w:color w:val="000000"/>
              </w:rPr>
              <w:t>4.</w:t>
            </w:r>
          </w:p>
        </w:tc>
        <w:tc>
          <w:tcPr>
            <w:tcW w:w="1621" w:type="pct"/>
          </w:tcPr>
          <w:p w14:paraId="45A28516" w14:textId="77777777" w:rsidR="000F0585" w:rsidRPr="002F6DC1" w:rsidRDefault="000F0585" w:rsidP="000F0585">
            <w:pPr>
              <w:pStyle w:val="Parastais1"/>
              <w:spacing w:before="100" w:beforeAutospacing="1" w:after="100" w:afterAutospacing="1"/>
              <w:jc w:val="both"/>
              <w:rPr>
                <w:color w:val="000000"/>
              </w:rPr>
            </w:pPr>
            <w:r w:rsidRPr="002F6DC1">
              <w:rPr>
                <w:color w:val="000000"/>
              </w:rPr>
              <w:t>Atbilstības izmaksu monetārs novērtējums</w:t>
            </w:r>
          </w:p>
        </w:tc>
        <w:tc>
          <w:tcPr>
            <w:tcW w:w="3183" w:type="pct"/>
          </w:tcPr>
          <w:p w14:paraId="06D88359" w14:textId="77777777" w:rsidR="000F0585" w:rsidRPr="002F6DC1" w:rsidRDefault="00E94EEB" w:rsidP="00671B23">
            <w:pPr>
              <w:pStyle w:val="Parastais1"/>
              <w:spacing w:before="100" w:beforeAutospacing="1" w:after="100" w:afterAutospacing="1"/>
              <w:jc w:val="both"/>
              <w:rPr>
                <w:iCs/>
                <w:color w:val="000000"/>
              </w:rPr>
            </w:pPr>
            <w:r w:rsidRPr="00C708B6">
              <w:rPr>
                <w:iCs/>
              </w:rPr>
              <w:t>Projekts šo jomu neskar</w:t>
            </w:r>
          </w:p>
        </w:tc>
      </w:tr>
      <w:tr w:rsidR="00FB77E7" w:rsidRPr="00C708B6" w14:paraId="3F820992" w14:textId="77777777" w:rsidTr="00F906CE">
        <w:tc>
          <w:tcPr>
            <w:tcW w:w="196" w:type="pct"/>
          </w:tcPr>
          <w:p w14:paraId="475F2EDA" w14:textId="77777777" w:rsidR="00FB77E7" w:rsidRPr="00C708B6" w:rsidRDefault="000F0585" w:rsidP="000C473E">
            <w:pPr>
              <w:pStyle w:val="Parastais1"/>
              <w:spacing w:before="100" w:beforeAutospacing="1" w:after="100" w:afterAutospacing="1"/>
              <w:jc w:val="both"/>
            </w:pPr>
            <w:r w:rsidRPr="00C708B6">
              <w:t>5</w:t>
            </w:r>
            <w:r w:rsidR="00FB77E7" w:rsidRPr="00C708B6">
              <w:t>.</w:t>
            </w:r>
          </w:p>
        </w:tc>
        <w:tc>
          <w:tcPr>
            <w:tcW w:w="1621" w:type="pct"/>
          </w:tcPr>
          <w:p w14:paraId="299547A0" w14:textId="77777777" w:rsidR="00FB77E7" w:rsidRPr="00C708B6" w:rsidRDefault="00FB77E7" w:rsidP="000C473E">
            <w:pPr>
              <w:pStyle w:val="Parastais1"/>
              <w:spacing w:before="100" w:beforeAutospacing="1" w:after="100" w:afterAutospacing="1"/>
              <w:jc w:val="both"/>
            </w:pPr>
            <w:r w:rsidRPr="00C708B6">
              <w:t>Cita informācija</w:t>
            </w:r>
          </w:p>
        </w:tc>
        <w:tc>
          <w:tcPr>
            <w:tcW w:w="3183" w:type="pct"/>
          </w:tcPr>
          <w:p w14:paraId="5EE98437" w14:textId="77777777" w:rsidR="00FB77E7" w:rsidRPr="00C708B6" w:rsidRDefault="003E7BFA" w:rsidP="000C473E">
            <w:pPr>
              <w:pStyle w:val="Parastais1"/>
              <w:spacing w:before="100" w:beforeAutospacing="1" w:after="100" w:afterAutospacing="1"/>
              <w:jc w:val="both"/>
            </w:pPr>
            <w:r>
              <w:t>Nav</w:t>
            </w:r>
          </w:p>
        </w:tc>
      </w:tr>
    </w:tbl>
    <w:p w14:paraId="7AB60CD6" w14:textId="77777777" w:rsidR="00747F28" w:rsidRPr="00C66FB8" w:rsidRDefault="00747F28" w:rsidP="0049568D">
      <w:pPr>
        <w:spacing w:line="240" w:lineRule="auto"/>
        <w:ind w:firstLine="0"/>
        <w:jc w:val="left"/>
        <w:rPr>
          <w:color w:val="000000"/>
          <w:sz w:val="24"/>
          <w:szCs w:val="24"/>
        </w:rPr>
      </w:pPr>
    </w:p>
    <w:tbl>
      <w:tblPr>
        <w:tblW w:w="966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68"/>
      </w:tblGrid>
      <w:tr w:rsidR="00C708B6" w:rsidRPr="00C66FB8" w14:paraId="601820B1" w14:textId="77777777" w:rsidTr="00F906CE">
        <w:tc>
          <w:tcPr>
            <w:tcW w:w="9668" w:type="dxa"/>
            <w:shd w:val="clear" w:color="auto" w:fill="auto"/>
          </w:tcPr>
          <w:p w14:paraId="3517760A" w14:textId="77777777" w:rsidR="00C708B6" w:rsidRPr="00C66FB8" w:rsidRDefault="00C708B6" w:rsidP="003E08B6">
            <w:pPr>
              <w:spacing w:line="240" w:lineRule="auto"/>
              <w:ind w:firstLine="0"/>
              <w:jc w:val="center"/>
              <w:rPr>
                <w:color w:val="000000"/>
                <w:sz w:val="24"/>
                <w:szCs w:val="24"/>
              </w:rPr>
            </w:pPr>
            <w:r w:rsidRPr="00C66FB8">
              <w:rPr>
                <w:b/>
                <w:bCs/>
                <w:color w:val="000000"/>
                <w:sz w:val="24"/>
                <w:szCs w:val="24"/>
                <w:shd w:val="clear" w:color="auto" w:fill="FFFFFF"/>
              </w:rPr>
              <w:t>III. Tiesību akta projekta ietekme uz valsts budžetu un pašvaldību budžetiem</w:t>
            </w:r>
          </w:p>
        </w:tc>
      </w:tr>
      <w:tr w:rsidR="00C708B6" w:rsidRPr="00C66FB8" w14:paraId="7675B11D" w14:textId="77777777" w:rsidTr="00F906CE">
        <w:tc>
          <w:tcPr>
            <w:tcW w:w="9668" w:type="dxa"/>
            <w:shd w:val="clear" w:color="auto" w:fill="auto"/>
          </w:tcPr>
          <w:p w14:paraId="18AB15F2" w14:textId="77777777" w:rsidR="00C708B6" w:rsidRPr="00C66FB8" w:rsidRDefault="00C708B6" w:rsidP="00F6260D">
            <w:pPr>
              <w:spacing w:line="240" w:lineRule="auto"/>
              <w:ind w:firstLine="0"/>
              <w:jc w:val="center"/>
              <w:rPr>
                <w:color w:val="000000"/>
                <w:sz w:val="24"/>
                <w:szCs w:val="24"/>
              </w:rPr>
            </w:pPr>
            <w:r w:rsidRPr="00C66FB8">
              <w:rPr>
                <w:rFonts w:eastAsia="Times New Roman"/>
                <w:color w:val="000000"/>
                <w:sz w:val="24"/>
                <w:szCs w:val="24"/>
              </w:rPr>
              <w:t>Projekts šo jomu neskar</w:t>
            </w:r>
          </w:p>
        </w:tc>
      </w:tr>
    </w:tbl>
    <w:p w14:paraId="1C189B53" w14:textId="77777777" w:rsidR="00747F28" w:rsidRDefault="00747F28" w:rsidP="0049568D">
      <w:pPr>
        <w:spacing w:line="240" w:lineRule="auto"/>
        <w:ind w:firstLine="0"/>
        <w:jc w:val="left"/>
        <w:rPr>
          <w:color w:val="000000"/>
          <w:sz w:val="24"/>
          <w:szCs w:val="24"/>
        </w:rPr>
      </w:pPr>
    </w:p>
    <w:tbl>
      <w:tblPr>
        <w:tblW w:w="5197" w:type="pct"/>
        <w:tblInd w:w="17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09"/>
        <w:gridCol w:w="2994"/>
        <w:gridCol w:w="6236"/>
      </w:tblGrid>
      <w:tr w:rsidR="00AC75BC" w:rsidRPr="00AC75BC" w14:paraId="1052B878" w14:textId="77777777" w:rsidTr="00F906CE">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770B874E" w14:textId="77777777" w:rsidR="00AC75BC" w:rsidRPr="00AC75BC" w:rsidRDefault="00AC75BC" w:rsidP="003E08B6">
            <w:pPr>
              <w:spacing w:line="240" w:lineRule="auto"/>
              <w:ind w:firstLine="0"/>
              <w:jc w:val="center"/>
              <w:rPr>
                <w:b/>
                <w:bCs/>
                <w:color w:val="000000"/>
                <w:sz w:val="24"/>
                <w:szCs w:val="24"/>
                <w:shd w:val="clear" w:color="auto" w:fill="FFFFFF"/>
              </w:rPr>
            </w:pPr>
            <w:r w:rsidRPr="00AC75BC">
              <w:rPr>
                <w:b/>
                <w:bCs/>
                <w:color w:val="000000"/>
                <w:sz w:val="24"/>
                <w:szCs w:val="24"/>
                <w:shd w:val="clear" w:color="auto" w:fill="FFFFFF"/>
              </w:rPr>
              <w:t>IV. Tiesību akta projekta ietekme uz spēkā esošo tiesību normu sistēmu</w:t>
            </w:r>
          </w:p>
        </w:tc>
      </w:tr>
      <w:tr w:rsidR="00AC75BC" w:rsidRPr="00AC75BC" w14:paraId="2482616C" w14:textId="77777777" w:rsidTr="00F906CE">
        <w:tc>
          <w:tcPr>
            <w:tcW w:w="212" w:type="pct"/>
            <w:tcBorders>
              <w:top w:val="outset" w:sz="6" w:space="0" w:color="414142"/>
              <w:left w:val="outset" w:sz="6" w:space="0" w:color="414142"/>
              <w:bottom w:val="outset" w:sz="6" w:space="0" w:color="414142"/>
              <w:right w:val="outset" w:sz="6" w:space="0" w:color="414142"/>
            </w:tcBorders>
            <w:hideMark/>
          </w:tcPr>
          <w:p w14:paraId="507B9442" w14:textId="77777777" w:rsidR="00AC75BC" w:rsidRPr="00A36CDE" w:rsidRDefault="00AC75BC" w:rsidP="004E6E1E">
            <w:pPr>
              <w:pStyle w:val="Parastais1"/>
              <w:spacing w:before="100" w:beforeAutospacing="1" w:after="100" w:afterAutospacing="1"/>
              <w:rPr>
                <w:iCs/>
              </w:rPr>
            </w:pPr>
            <w:r w:rsidRPr="00A36CDE">
              <w:rPr>
                <w:iCs/>
              </w:rPr>
              <w:t>1.</w:t>
            </w:r>
          </w:p>
        </w:tc>
        <w:tc>
          <w:tcPr>
            <w:tcW w:w="1553" w:type="pct"/>
            <w:tcBorders>
              <w:top w:val="outset" w:sz="6" w:space="0" w:color="414142"/>
              <w:left w:val="outset" w:sz="6" w:space="0" w:color="414142"/>
              <w:bottom w:val="outset" w:sz="6" w:space="0" w:color="414142"/>
              <w:right w:val="outset" w:sz="6" w:space="0" w:color="414142"/>
            </w:tcBorders>
            <w:hideMark/>
          </w:tcPr>
          <w:p w14:paraId="2FF37873" w14:textId="77777777" w:rsidR="000A011C" w:rsidRDefault="00AC75BC" w:rsidP="006C407E">
            <w:pPr>
              <w:spacing w:line="240" w:lineRule="auto"/>
              <w:ind w:firstLine="0"/>
              <w:rPr>
                <w:rFonts w:eastAsia="Times New Roman"/>
                <w:iCs/>
                <w:sz w:val="24"/>
                <w:szCs w:val="24"/>
                <w:lang w:eastAsia="lv-LV"/>
              </w:rPr>
            </w:pPr>
            <w:r w:rsidRPr="00A36CDE">
              <w:rPr>
                <w:rFonts w:eastAsia="Times New Roman"/>
                <w:iCs/>
                <w:sz w:val="24"/>
                <w:szCs w:val="24"/>
                <w:lang w:eastAsia="lv-LV"/>
              </w:rPr>
              <w:t>Saistītie tiesību aktu projekti</w:t>
            </w:r>
          </w:p>
          <w:p w14:paraId="2A60B0C4" w14:textId="77777777" w:rsidR="000A011C" w:rsidRPr="000A011C" w:rsidRDefault="000A011C" w:rsidP="000A011C">
            <w:pPr>
              <w:rPr>
                <w:rFonts w:eastAsia="Times New Roman"/>
                <w:sz w:val="24"/>
                <w:szCs w:val="24"/>
                <w:lang w:eastAsia="lv-LV"/>
              </w:rPr>
            </w:pPr>
          </w:p>
          <w:p w14:paraId="5A6A12A3" w14:textId="77777777" w:rsidR="000A011C" w:rsidRPr="000A011C" w:rsidRDefault="000A011C" w:rsidP="000A011C">
            <w:pPr>
              <w:rPr>
                <w:rFonts w:eastAsia="Times New Roman"/>
                <w:sz w:val="24"/>
                <w:szCs w:val="24"/>
                <w:lang w:eastAsia="lv-LV"/>
              </w:rPr>
            </w:pPr>
          </w:p>
          <w:p w14:paraId="3259E356" w14:textId="77777777" w:rsidR="000A011C" w:rsidRPr="000A011C" w:rsidRDefault="000A011C" w:rsidP="000A011C">
            <w:pPr>
              <w:rPr>
                <w:rFonts w:eastAsia="Times New Roman"/>
                <w:sz w:val="24"/>
                <w:szCs w:val="24"/>
                <w:lang w:eastAsia="lv-LV"/>
              </w:rPr>
            </w:pPr>
          </w:p>
          <w:p w14:paraId="3D733834" w14:textId="77777777" w:rsidR="000A011C" w:rsidRPr="000A011C" w:rsidRDefault="000A011C" w:rsidP="000A011C">
            <w:pPr>
              <w:rPr>
                <w:rFonts w:eastAsia="Times New Roman"/>
                <w:sz w:val="24"/>
                <w:szCs w:val="24"/>
                <w:lang w:eastAsia="lv-LV"/>
              </w:rPr>
            </w:pPr>
          </w:p>
          <w:p w14:paraId="083FF431" w14:textId="77777777" w:rsidR="000A011C" w:rsidRPr="000A011C" w:rsidRDefault="000A011C" w:rsidP="000A011C">
            <w:pPr>
              <w:rPr>
                <w:rFonts w:eastAsia="Times New Roman"/>
                <w:sz w:val="24"/>
                <w:szCs w:val="24"/>
                <w:lang w:eastAsia="lv-LV"/>
              </w:rPr>
            </w:pPr>
          </w:p>
          <w:p w14:paraId="1887B25A" w14:textId="77777777" w:rsidR="000A011C" w:rsidRPr="000A011C" w:rsidRDefault="000A011C" w:rsidP="000A011C">
            <w:pPr>
              <w:rPr>
                <w:rFonts w:eastAsia="Times New Roman"/>
                <w:sz w:val="24"/>
                <w:szCs w:val="24"/>
                <w:lang w:eastAsia="lv-LV"/>
              </w:rPr>
            </w:pPr>
          </w:p>
          <w:p w14:paraId="28D1E32A" w14:textId="77777777" w:rsidR="000A011C" w:rsidRPr="000A011C" w:rsidRDefault="000A011C" w:rsidP="000A011C">
            <w:pPr>
              <w:rPr>
                <w:rFonts w:eastAsia="Times New Roman"/>
                <w:sz w:val="24"/>
                <w:szCs w:val="24"/>
                <w:lang w:eastAsia="lv-LV"/>
              </w:rPr>
            </w:pPr>
          </w:p>
          <w:p w14:paraId="17048C24" w14:textId="77777777" w:rsidR="000A011C" w:rsidRPr="000A011C" w:rsidRDefault="000A011C" w:rsidP="000A011C">
            <w:pPr>
              <w:rPr>
                <w:rFonts w:eastAsia="Times New Roman"/>
                <w:sz w:val="24"/>
                <w:szCs w:val="24"/>
                <w:lang w:eastAsia="lv-LV"/>
              </w:rPr>
            </w:pPr>
          </w:p>
          <w:p w14:paraId="2480F84D" w14:textId="77777777" w:rsidR="000A011C" w:rsidRPr="000A011C" w:rsidRDefault="000A011C" w:rsidP="000A011C">
            <w:pPr>
              <w:rPr>
                <w:rFonts w:eastAsia="Times New Roman"/>
                <w:sz w:val="24"/>
                <w:szCs w:val="24"/>
                <w:lang w:eastAsia="lv-LV"/>
              </w:rPr>
            </w:pPr>
          </w:p>
          <w:p w14:paraId="02C276CC" w14:textId="77777777" w:rsidR="000A011C" w:rsidRPr="000A011C" w:rsidRDefault="000A011C" w:rsidP="000A011C">
            <w:pPr>
              <w:rPr>
                <w:rFonts w:eastAsia="Times New Roman"/>
                <w:sz w:val="24"/>
                <w:szCs w:val="24"/>
                <w:lang w:eastAsia="lv-LV"/>
              </w:rPr>
            </w:pPr>
          </w:p>
          <w:p w14:paraId="795414E5" w14:textId="77777777" w:rsidR="000A011C" w:rsidRDefault="000A011C" w:rsidP="000A011C">
            <w:pPr>
              <w:rPr>
                <w:rFonts w:eastAsia="Times New Roman"/>
                <w:sz w:val="24"/>
                <w:szCs w:val="24"/>
                <w:lang w:eastAsia="lv-LV"/>
              </w:rPr>
            </w:pPr>
          </w:p>
          <w:p w14:paraId="29B29C84" w14:textId="77777777" w:rsidR="00AC75BC" w:rsidRPr="000A011C" w:rsidRDefault="00AC75BC" w:rsidP="000A011C">
            <w:pPr>
              <w:rPr>
                <w:rFonts w:eastAsia="Times New Roman"/>
                <w:sz w:val="24"/>
                <w:szCs w:val="24"/>
                <w:lang w:eastAsia="lv-LV"/>
              </w:rPr>
            </w:pPr>
          </w:p>
        </w:tc>
        <w:tc>
          <w:tcPr>
            <w:tcW w:w="3235" w:type="pct"/>
            <w:tcBorders>
              <w:top w:val="outset" w:sz="6" w:space="0" w:color="414142"/>
              <w:left w:val="outset" w:sz="6" w:space="0" w:color="414142"/>
              <w:bottom w:val="outset" w:sz="6" w:space="0" w:color="414142"/>
              <w:right w:val="outset" w:sz="6" w:space="0" w:color="414142"/>
            </w:tcBorders>
            <w:hideMark/>
          </w:tcPr>
          <w:p w14:paraId="442B4028" w14:textId="77777777" w:rsidR="003E08B6" w:rsidRPr="003E08B6" w:rsidRDefault="003E08B6" w:rsidP="008D79BC">
            <w:pPr>
              <w:spacing w:after="240" w:line="240" w:lineRule="auto"/>
              <w:ind w:firstLine="0"/>
              <w:rPr>
                <w:rFonts w:eastAsia="Times New Roman"/>
                <w:iCs/>
                <w:sz w:val="24"/>
                <w:szCs w:val="24"/>
                <w:lang w:eastAsia="lv-LV"/>
              </w:rPr>
            </w:pPr>
            <w:r w:rsidRPr="003E08B6">
              <w:rPr>
                <w:rFonts w:eastAsia="Times New Roman"/>
                <w:iCs/>
                <w:sz w:val="24"/>
                <w:szCs w:val="24"/>
                <w:lang w:eastAsia="lv-LV"/>
              </w:rPr>
              <w:t>Grozījumi Ministru kabineta 2009.gada 22.decembra noteikumu Nr.1494 “Mopēdu, mehānisko transportlīdzekļu, to piekabju un sastāvdaļu atbilstības novērtēšanas noteikumi” 79.3. apakšpunktā, kas neierobežotu individuālā apstiprinājuma piešķiršanu transportlīdzekļiem, kas pēc to konstrukcijas ir paredzēti braukšanai pa ceļa kreiso pusi;</w:t>
            </w:r>
          </w:p>
          <w:p w14:paraId="4A490DF4" w14:textId="77777777" w:rsidR="003E08B6" w:rsidRPr="003E08B6" w:rsidRDefault="008D79BC" w:rsidP="00E53CE2">
            <w:pPr>
              <w:spacing w:after="240" w:line="240" w:lineRule="auto"/>
              <w:ind w:right="67" w:firstLine="0"/>
              <w:rPr>
                <w:rFonts w:eastAsia="Times New Roman"/>
                <w:iCs/>
                <w:sz w:val="24"/>
                <w:szCs w:val="24"/>
                <w:lang w:eastAsia="lv-LV"/>
              </w:rPr>
            </w:pPr>
            <w:r>
              <w:rPr>
                <w:rFonts w:eastAsia="Times New Roman"/>
                <w:iCs/>
                <w:sz w:val="24"/>
                <w:szCs w:val="24"/>
                <w:lang w:eastAsia="lv-LV"/>
              </w:rPr>
              <w:t>G</w:t>
            </w:r>
            <w:r w:rsidR="003E08B6" w:rsidRPr="003E08B6">
              <w:rPr>
                <w:rFonts w:eastAsia="Times New Roman"/>
                <w:iCs/>
                <w:sz w:val="24"/>
                <w:szCs w:val="24"/>
                <w:lang w:eastAsia="lv-LV"/>
              </w:rPr>
              <w:t>rozījumi Ministru kabineta 2010. gada 30.</w:t>
            </w:r>
            <w:r w:rsidR="003E08B6">
              <w:rPr>
                <w:rFonts w:eastAsia="Times New Roman"/>
                <w:iCs/>
                <w:sz w:val="24"/>
                <w:szCs w:val="24"/>
                <w:lang w:eastAsia="lv-LV"/>
              </w:rPr>
              <w:t xml:space="preserve"> novembra noteikumos Nr.</w:t>
            </w:r>
            <w:r w:rsidR="003E08B6" w:rsidRPr="003E08B6">
              <w:rPr>
                <w:rFonts w:eastAsia="Times New Roman"/>
                <w:iCs/>
                <w:sz w:val="24"/>
                <w:szCs w:val="24"/>
                <w:lang w:eastAsia="lv-LV"/>
              </w:rPr>
              <w:t>1080 “Transportlīdzekļu reģistrācijas noteikumi”, kas papildina tos ar 57</w:t>
            </w:r>
            <w:r w:rsidR="003E08B6" w:rsidRPr="008D79BC">
              <w:rPr>
                <w:rFonts w:eastAsia="Times New Roman"/>
                <w:iCs/>
                <w:sz w:val="24"/>
                <w:szCs w:val="24"/>
                <w:lang w:eastAsia="lv-LV"/>
              </w:rPr>
              <w:t>1</w:t>
            </w:r>
            <w:r w:rsidR="003E08B6" w:rsidRPr="003E08B6">
              <w:rPr>
                <w:rFonts w:eastAsia="Times New Roman"/>
                <w:iCs/>
                <w:sz w:val="24"/>
                <w:szCs w:val="24"/>
                <w:lang w:eastAsia="lv-LV"/>
              </w:rPr>
              <w:t>. punktu, kas nosaka transportlīdzekļiem, kas pēc to konstrukcijas paredzēti braukšanai pa ceļa kreiso pusi un ir pielāgoti labās puses kustībai atbilstoši normatīvajam aktam par transportlīdzekļu valsts tehnisko apskati un tehnisko kontroli uz ceļa, reģistrācijas apliecības sadaļā “Piezīmes” norādīt “Pielāgots labās puses kustībai”, lai tie būtu atšķirami no transportlīdzekļiem, kas pēc to konstrukcijas paredzēti braukšanai pa ceļa labo pusi;</w:t>
            </w:r>
          </w:p>
          <w:p w14:paraId="6FA93828" w14:textId="77777777" w:rsidR="00AC75BC" w:rsidRDefault="008D79BC" w:rsidP="00E53CE2">
            <w:pPr>
              <w:spacing w:after="240" w:line="240" w:lineRule="auto"/>
              <w:ind w:right="67" w:firstLine="0"/>
              <w:rPr>
                <w:rFonts w:eastAsia="Times New Roman"/>
                <w:iCs/>
                <w:sz w:val="24"/>
                <w:szCs w:val="24"/>
                <w:lang w:eastAsia="lv-LV"/>
              </w:rPr>
            </w:pPr>
            <w:r>
              <w:rPr>
                <w:rFonts w:eastAsia="Times New Roman"/>
                <w:iCs/>
                <w:sz w:val="24"/>
                <w:szCs w:val="24"/>
                <w:lang w:eastAsia="lv-LV"/>
              </w:rPr>
              <w:t>G</w:t>
            </w:r>
            <w:r w:rsidR="003E08B6" w:rsidRPr="003E08B6">
              <w:rPr>
                <w:rFonts w:eastAsia="Times New Roman"/>
                <w:iCs/>
                <w:sz w:val="24"/>
                <w:szCs w:val="24"/>
                <w:lang w:eastAsia="lv-LV"/>
              </w:rPr>
              <w:t>rozījumi Ministru kabineta 2004.gada 27.augusta noteikumos Nr.725 “Transportlīdzekļa pārbūves noteikumi”, kas papildina tos ar 4.18. apakšpunktu, kas nosaka par pārbūvi neuzskatīt transportlīdzekļu, kas pēc to konstrukcijas paredzēti braukšanai pa ceļa kreiso pusi pielāgošanu labās puses kustībai atbilstoši normatīvajam aktam par transportlīdzekļu valsts tehnisko apskati un tehnisko kontroli uz ceļa</w:t>
            </w:r>
          </w:p>
          <w:p w14:paraId="49DC53A9" w14:textId="77777777" w:rsidR="008D79BC" w:rsidRPr="00A36CDE" w:rsidRDefault="008D79BC" w:rsidP="00E53CE2">
            <w:pPr>
              <w:spacing w:line="240" w:lineRule="auto"/>
              <w:ind w:right="67" w:firstLine="0"/>
              <w:rPr>
                <w:rFonts w:eastAsia="Times New Roman"/>
                <w:iCs/>
                <w:sz w:val="24"/>
                <w:szCs w:val="24"/>
                <w:lang w:eastAsia="lv-LV"/>
              </w:rPr>
            </w:pPr>
            <w:r w:rsidRPr="00FE6D66">
              <w:rPr>
                <w:rFonts w:eastAsia="Times New Roman"/>
                <w:iCs/>
                <w:sz w:val="24"/>
                <w:szCs w:val="24"/>
                <w:lang w:eastAsia="lv-LV"/>
              </w:rPr>
              <w:t>Ceļu satiksmes likuma pārejas noteikumu 40. punkts</w:t>
            </w:r>
            <w:r>
              <w:rPr>
                <w:rFonts w:eastAsia="Times New Roman"/>
                <w:iCs/>
                <w:sz w:val="24"/>
                <w:szCs w:val="24"/>
                <w:lang w:eastAsia="lv-LV"/>
              </w:rPr>
              <w:t>, kas</w:t>
            </w:r>
            <w:r w:rsidRPr="00FE6D66">
              <w:rPr>
                <w:rFonts w:eastAsia="Times New Roman"/>
                <w:iCs/>
                <w:sz w:val="24"/>
                <w:szCs w:val="24"/>
                <w:lang w:eastAsia="lv-LV"/>
              </w:rPr>
              <w:t xml:space="preserve"> paredz, ka šā likuma grozījums par 10. panta astotās daļas 1. punkta izteikšanu jaunā redakcijā stāja</w:t>
            </w:r>
            <w:r>
              <w:rPr>
                <w:rFonts w:eastAsia="Times New Roman"/>
                <w:iCs/>
                <w:sz w:val="24"/>
                <w:szCs w:val="24"/>
                <w:lang w:eastAsia="lv-LV"/>
              </w:rPr>
              <w:t>s spēkā 2018. gada 1. novembrī.</w:t>
            </w:r>
          </w:p>
        </w:tc>
      </w:tr>
      <w:tr w:rsidR="000B14AA" w:rsidRPr="000B14AA" w14:paraId="32B348A0" w14:textId="77777777" w:rsidTr="00F906CE">
        <w:tc>
          <w:tcPr>
            <w:tcW w:w="212" w:type="pct"/>
            <w:tcBorders>
              <w:top w:val="outset" w:sz="6" w:space="0" w:color="414142"/>
              <w:left w:val="outset" w:sz="6" w:space="0" w:color="414142"/>
              <w:bottom w:val="outset" w:sz="6" w:space="0" w:color="414142"/>
              <w:right w:val="outset" w:sz="6" w:space="0" w:color="414142"/>
            </w:tcBorders>
            <w:hideMark/>
          </w:tcPr>
          <w:p w14:paraId="38E03CB5" w14:textId="77777777" w:rsidR="000B14AA" w:rsidRPr="00A36CDE" w:rsidRDefault="000B14AA" w:rsidP="000B14AA">
            <w:pPr>
              <w:pStyle w:val="Parastais1"/>
              <w:rPr>
                <w:iCs/>
              </w:rPr>
            </w:pPr>
            <w:r w:rsidRPr="00A36CDE">
              <w:rPr>
                <w:iCs/>
              </w:rPr>
              <w:t>2.</w:t>
            </w:r>
          </w:p>
        </w:tc>
        <w:tc>
          <w:tcPr>
            <w:tcW w:w="1553" w:type="pct"/>
            <w:tcBorders>
              <w:top w:val="outset" w:sz="6" w:space="0" w:color="414142"/>
              <w:left w:val="outset" w:sz="6" w:space="0" w:color="414142"/>
              <w:bottom w:val="outset" w:sz="6" w:space="0" w:color="414142"/>
              <w:right w:val="outset" w:sz="6" w:space="0" w:color="414142"/>
            </w:tcBorders>
            <w:hideMark/>
          </w:tcPr>
          <w:p w14:paraId="0D85C8BE" w14:textId="77777777" w:rsidR="000B14AA" w:rsidRPr="00A36CDE" w:rsidRDefault="000B14AA" w:rsidP="000B14AA">
            <w:pPr>
              <w:spacing w:line="240" w:lineRule="auto"/>
              <w:ind w:firstLine="0"/>
              <w:rPr>
                <w:rFonts w:eastAsia="Times New Roman"/>
                <w:iCs/>
                <w:sz w:val="24"/>
                <w:szCs w:val="24"/>
                <w:lang w:eastAsia="lv-LV"/>
              </w:rPr>
            </w:pPr>
            <w:r w:rsidRPr="00A36CDE">
              <w:rPr>
                <w:rFonts w:eastAsia="Times New Roman"/>
                <w:iCs/>
                <w:sz w:val="24"/>
                <w:szCs w:val="24"/>
                <w:lang w:eastAsia="lv-LV"/>
              </w:rPr>
              <w:t>Atbildīgā institūcija</w:t>
            </w:r>
          </w:p>
        </w:tc>
        <w:tc>
          <w:tcPr>
            <w:tcW w:w="3235" w:type="pct"/>
            <w:tcBorders>
              <w:top w:val="outset" w:sz="6" w:space="0" w:color="414142"/>
              <w:left w:val="outset" w:sz="6" w:space="0" w:color="414142"/>
              <w:bottom w:val="outset" w:sz="6" w:space="0" w:color="414142"/>
              <w:right w:val="outset" w:sz="6" w:space="0" w:color="414142"/>
            </w:tcBorders>
            <w:hideMark/>
          </w:tcPr>
          <w:p w14:paraId="6072E475" w14:textId="77777777" w:rsidR="000B14AA" w:rsidRPr="00A36CDE" w:rsidRDefault="00D36651" w:rsidP="000B14AA">
            <w:pPr>
              <w:spacing w:line="240" w:lineRule="auto"/>
              <w:ind w:firstLine="0"/>
              <w:rPr>
                <w:rFonts w:eastAsia="Times New Roman"/>
                <w:iCs/>
                <w:sz w:val="24"/>
                <w:szCs w:val="24"/>
                <w:lang w:eastAsia="lv-LV"/>
              </w:rPr>
            </w:pPr>
            <w:r>
              <w:rPr>
                <w:rFonts w:eastAsia="Times New Roman"/>
                <w:iCs/>
                <w:sz w:val="24"/>
                <w:szCs w:val="24"/>
                <w:lang w:eastAsia="lv-LV"/>
              </w:rPr>
              <w:t>Satiksmes ministrija</w:t>
            </w:r>
          </w:p>
        </w:tc>
      </w:tr>
      <w:tr w:rsidR="000B14AA" w:rsidRPr="000B14AA" w14:paraId="27CE5A94" w14:textId="77777777" w:rsidTr="00F906CE">
        <w:tc>
          <w:tcPr>
            <w:tcW w:w="212" w:type="pct"/>
            <w:tcBorders>
              <w:top w:val="outset" w:sz="6" w:space="0" w:color="414142"/>
              <w:left w:val="outset" w:sz="6" w:space="0" w:color="414142"/>
              <w:bottom w:val="outset" w:sz="6" w:space="0" w:color="414142"/>
              <w:right w:val="outset" w:sz="6" w:space="0" w:color="414142"/>
            </w:tcBorders>
            <w:hideMark/>
          </w:tcPr>
          <w:p w14:paraId="22F60016" w14:textId="77777777" w:rsidR="000B14AA" w:rsidRPr="00A36CDE" w:rsidRDefault="000B14AA" w:rsidP="000B14AA">
            <w:pPr>
              <w:pStyle w:val="Parastais1"/>
              <w:rPr>
                <w:iCs/>
              </w:rPr>
            </w:pPr>
            <w:r w:rsidRPr="00A36CDE">
              <w:rPr>
                <w:iCs/>
              </w:rPr>
              <w:t>3.</w:t>
            </w:r>
          </w:p>
        </w:tc>
        <w:tc>
          <w:tcPr>
            <w:tcW w:w="1553" w:type="pct"/>
            <w:tcBorders>
              <w:top w:val="outset" w:sz="6" w:space="0" w:color="414142"/>
              <w:left w:val="outset" w:sz="6" w:space="0" w:color="414142"/>
              <w:bottom w:val="outset" w:sz="6" w:space="0" w:color="414142"/>
              <w:right w:val="outset" w:sz="6" w:space="0" w:color="414142"/>
            </w:tcBorders>
            <w:hideMark/>
          </w:tcPr>
          <w:p w14:paraId="526E1D4A" w14:textId="77777777" w:rsidR="000B14AA" w:rsidRPr="00A36CDE" w:rsidRDefault="000B14AA" w:rsidP="000B14AA">
            <w:pPr>
              <w:spacing w:line="240" w:lineRule="auto"/>
              <w:ind w:firstLine="0"/>
              <w:rPr>
                <w:rFonts w:eastAsia="Times New Roman"/>
                <w:iCs/>
                <w:sz w:val="24"/>
                <w:szCs w:val="24"/>
                <w:lang w:eastAsia="lv-LV"/>
              </w:rPr>
            </w:pPr>
            <w:r w:rsidRPr="00A36CDE">
              <w:rPr>
                <w:rFonts w:eastAsia="Times New Roman"/>
                <w:iCs/>
                <w:sz w:val="24"/>
                <w:szCs w:val="24"/>
                <w:lang w:eastAsia="lv-LV"/>
              </w:rPr>
              <w:t>Cita informācija</w:t>
            </w:r>
          </w:p>
        </w:tc>
        <w:tc>
          <w:tcPr>
            <w:tcW w:w="3235" w:type="pct"/>
            <w:tcBorders>
              <w:top w:val="outset" w:sz="6" w:space="0" w:color="414142"/>
              <w:left w:val="outset" w:sz="6" w:space="0" w:color="414142"/>
              <w:bottom w:val="outset" w:sz="6" w:space="0" w:color="414142"/>
              <w:right w:val="outset" w:sz="6" w:space="0" w:color="414142"/>
            </w:tcBorders>
            <w:hideMark/>
          </w:tcPr>
          <w:p w14:paraId="65667CCB" w14:textId="77777777" w:rsidR="000B14AA" w:rsidRPr="00A36CDE" w:rsidRDefault="00D36651" w:rsidP="000B14AA">
            <w:pPr>
              <w:spacing w:line="240" w:lineRule="auto"/>
              <w:ind w:firstLine="0"/>
              <w:rPr>
                <w:rFonts w:eastAsia="Times New Roman"/>
                <w:iCs/>
                <w:sz w:val="24"/>
                <w:szCs w:val="24"/>
                <w:lang w:eastAsia="lv-LV"/>
              </w:rPr>
            </w:pPr>
            <w:r>
              <w:rPr>
                <w:rFonts w:eastAsia="Times New Roman"/>
                <w:iCs/>
                <w:sz w:val="24"/>
                <w:szCs w:val="24"/>
                <w:lang w:eastAsia="lv-LV"/>
              </w:rPr>
              <w:t>Nav</w:t>
            </w:r>
          </w:p>
        </w:tc>
      </w:tr>
    </w:tbl>
    <w:p w14:paraId="3275A9A5" w14:textId="77777777" w:rsidR="00C708B6" w:rsidRDefault="00C708B6" w:rsidP="0049568D">
      <w:pPr>
        <w:spacing w:line="240" w:lineRule="auto"/>
        <w:ind w:firstLine="0"/>
        <w:jc w:val="left"/>
        <w:rPr>
          <w:b/>
          <w:bCs/>
          <w:color w:val="000000"/>
          <w:sz w:val="24"/>
          <w:szCs w:val="24"/>
          <w:shd w:val="clear" w:color="auto" w:fill="FFFFFF"/>
        </w:rPr>
      </w:pPr>
    </w:p>
    <w:p w14:paraId="66F9FC86" w14:textId="77777777" w:rsidR="00D60C92" w:rsidRDefault="00D60C92" w:rsidP="0049568D">
      <w:pPr>
        <w:spacing w:line="240" w:lineRule="auto"/>
        <w:ind w:firstLine="0"/>
        <w:jc w:val="left"/>
        <w:rPr>
          <w:b/>
          <w:bCs/>
          <w:color w:val="000000"/>
          <w:sz w:val="24"/>
          <w:szCs w:val="24"/>
          <w:shd w:val="clear" w:color="auto" w:fill="FFFFFF"/>
        </w:rPr>
      </w:pPr>
    </w:p>
    <w:tbl>
      <w:tblPr>
        <w:tblW w:w="5221" w:type="pct"/>
        <w:tblInd w:w="17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684"/>
      </w:tblGrid>
      <w:tr w:rsidR="00BF0288" w:rsidRPr="00D60C92" w14:paraId="4BBD3870" w14:textId="77777777" w:rsidTr="00F906CE">
        <w:tc>
          <w:tcPr>
            <w:tcW w:w="5000" w:type="pct"/>
            <w:tcBorders>
              <w:top w:val="outset" w:sz="6" w:space="0" w:color="414142"/>
              <w:left w:val="outset" w:sz="6" w:space="0" w:color="414142"/>
              <w:bottom w:val="outset" w:sz="6" w:space="0" w:color="414142"/>
              <w:right w:val="outset" w:sz="6" w:space="0" w:color="414142"/>
            </w:tcBorders>
            <w:vAlign w:val="center"/>
            <w:hideMark/>
          </w:tcPr>
          <w:p w14:paraId="1F599BDD" w14:textId="77777777" w:rsidR="00BF0288" w:rsidRPr="00D60C92" w:rsidRDefault="00BF0288" w:rsidP="00B23339">
            <w:pPr>
              <w:spacing w:line="240" w:lineRule="auto"/>
              <w:ind w:firstLine="300"/>
              <w:jc w:val="center"/>
              <w:rPr>
                <w:rFonts w:eastAsia="Times New Roman"/>
                <w:b/>
                <w:bCs/>
                <w:sz w:val="24"/>
                <w:szCs w:val="24"/>
                <w:lang w:eastAsia="lv-LV"/>
              </w:rPr>
            </w:pPr>
            <w:r w:rsidRPr="00D60C92">
              <w:rPr>
                <w:rFonts w:eastAsia="Times New Roman"/>
                <w:b/>
                <w:bCs/>
                <w:sz w:val="24"/>
                <w:szCs w:val="24"/>
                <w:lang w:eastAsia="lv-LV"/>
              </w:rPr>
              <w:t>V. Tiesību akta projekta atbilstība Latvijas Republikas starptautiskajām saistībām</w:t>
            </w:r>
          </w:p>
        </w:tc>
      </w:tr>
    </w:tbl>
    <w:p w14:paraId="352B01A5" w14:textId="77777777" w:rsidR="00BF0288" w:rsidRPr="00E23AAF" w:rsidRDefault="00BF0288" w:rsidP="00BF0288">
      <w:pPr>
        <w:spacing w:line="240" w:lineRule="auto"/>
        <w:ind w:firstLine="0"/>
        <w:rPr>
          <w:rFonts w:eastAsia="Times New Roman"/>
          <w:sz w:val="4"/>
          <w:szCs w:val="4"/>
          <w:lang w:eastAsia="lv-LV"/>
        </w:rPr>
      </w:pPr>
    </w:p>
    <w:tbl>
      <w:tblPr>
        <w:tblW w:w="5222" w:type="pct"/>
        <w:tblInd w:w="166" w:type="dxa"/>
        <w:tblBorders>
          <w:top w:val="outset" w:sz="6" w:space="0" w:color="414142"/>
          <w:left w:val="outset" w:sz="6" w:space="0" w:color="414142"/>
          <w:bottom w:val="outset" w:sz="6" w:space="0" w:color="414142"/>
          <w:right w:val="outset" w:sz="6" w:space="0" w:color="414142"/>
        </w:tblBorders>
        <w:tblLayout w:type="fixed"/>
        <w:tblCellMar>
          <w:top w:w="24" w:type="dxa"/>
          <w:left w:w="24" w:type="dxa"/>
          <w:bottom w:w="24" w:type="dxa"/>
          <w:right w:w="24" w:type="dxa"/>
        </w:tblCellMar>
        <w:tblLook w:val="04A0" w:firstRow="1" w:lastRow="0" w:firstColumn="1" w:lastColumn="0" w:noHBand="0" w:noVBand="1"/>
      </w:tblPr>
      <w:tblGrid>
        <w:gridCol w:w="394"/>
        <w:gridCol w:w="1198"/>
        <w:gridCol w:w="1641"/>
        <w:gridCol w:w="228"/>
        <w:gridCol w:w="2389"/>
        <w:gridCol w:w="3790"/>
        <w:gridCol w:w="33"/>
      </w:tblGrid>
      <w:tr w:rsidR="00BF0288" w:rsidRPr="00D60C92" w14:paraId="316F3DD8" w14:textId="77777777" w:rsidTr="00F906CE">
        <w:tc>
          <w:tcPr>
            <w:tcW w:w="204" w:type="pct"/>
            <w:tcBorders>
              <w:top w:val="outset" w:sz="6" w:space="0" w:color="414142"/>
              <w:left w:val="outset" w:sz="6" w:space="0" w:color="414142"/>
              <w:bottom w:val="outset" w:sz="6" w:space="0" w:color="414142"/>
              <w:right w:val="outset" w:sz="6" w:space="0" w:color="414142"/>
            </w:tcBorders>
            <w:hideMark/>
          </w:tcPr>
          <w:p w14:paraId="4DEAF26E" w14:textId="77777777" w:rsidR="00BF0288" w:rsidRPr="00D60C92" w:rsidRDefault="00BF0288" w:rsidP="00BF0288">
            <w:pPr>
              <w:spacing w:line="240" w:lineRule="auto"/>
              <w:ind w:left="-1017" w:firstLine="709"/>
              <w:rPr>
                <w:rFonts w:eastAsia="Times New Roman"/>
                <w:sz w:val="24"/>
                <w:szCs w:val="24"/>
                <w:lang w:eastAsia="lv-LV"/>
              </w:rPr>
            </w:pPr>
            <w:r w:rsidRPr="00D60C92">
              <w:rPr>
                <w:rFonts w:eastAsia="Times New Roman"/>
                <w:sz w:val="24"/>
                <w:szCs w:val="24"/>
                <w:lang w:eastAsia="lv-LV"/>
              </w:rPr>
              <w:t>1.11.</w:t>
            </w:r>
          </w:p>
        </w:tc>
        <w:tc>
          <w:tcPr>
            <w:tcW w:w="1467" w:type="pct"/>
            <w:gridSpan w:val="2"/>
            <w:tcBorders>
              <w:top w:val="outset" w:sz="6" w:space="0" w:color="414142"/>
              <w:left w:val="outset" w:sz="6" w:space="0" w:color="414142"/>
              <w:bottom w:val="outset" w:sz="6" w:space="0" w:color="414142"/>
              <w:right w:val="outset" w:sz="6" w:space="0" w:color="414142"/>
            </w:tcBorders>
            <w:hideMark/>
          </w:tcPr>
          <w:p w14:paraId="4963377C" w14:textId="77777777" w:rsidR="00BF0288" w:rsidRPr="00D60C92" w:rsidRDefault="00BF0288" w:rsidP="00BF0288">
            <w:pPr>
              <w:spacing w:line="240" w:lineRule="auto"/>
              <w:ind w:firstLine="0"/>
              <w:jc w:val="left"/>
              <w:rPr>
                <w:rFonts w:eastAsia="Times New Roman"/>
                <w:sz w:val="24"/>
                <w:szCs w:val="24"/>
                <w:lang w:eastAsia="lv-LV"/>
              </w:rPr>
            </w:pPr>
            <w:r w:rsidRPr="00D60C92">
              <w:rPr>
                <w:rFonts w:eastAsia="Times New Roman"/>
                <w:sz w:val="24"/>
                <w:szCs w:val="24"/>
                <w:lang w:eastAsia="lv-LV"/>
              </w:rPr>
              <w:t>Saistības pret Eiropas Savienību</w:t>
            </w:r>
          </w:p>
        </w:tc>
        <w:tc>
          <w:tcPr>
            <w:tcW w:w="3329" w:type="pct"/>
            <w:gridSpan w:val="4"/>
            <w:tcBorders>
              <w:top w:val="outset" w:sz="6" w:space="0" w:color="414142"/>
              <w:left w:val="outset" w:sz="6" w:space="0" w:color="414142"/>
              <w:bottom w:val="outset" w:sz="6" w:space="0" w:color="414142"/>
              <w:right w:val="outset" w:sz="6" w:space="0" w:color="414142"/>
            </w:tcBorders>
            <w:hideMark/>
          </w:tcPr>
          <w:p w14:paraId="7E545B7F" w14:textId="2F9C2C8F" w:rsidR="00BF0288" w:rsidRPr="00D60C92" w:rsidRDefault="00BF0288" w:rsidP="00BF0288">
            <w:pPr>
              <w:spacing w:line="240" w:lineRule="auto"/>
              <w:ind w:firstLine="0"/>
              <w:rPr>
                <w:rFonts w:eastAsia="Times New Roman"/>
                <w:bCs/>
                <w:sz w:val="24"/>
                <w:szCs w:val="24"/>
                <w:lang w:eastAsia="lv-LV"/>
              </w:rPr>
            </w:pPr>
            <w:r w:rsidRPr="00D60C92">
              <w:rPr>
                <w:rFonts w:eastAsia="Times New Roman"/>
                <w:bCs/>
                <w:sz w:val="24"/>
                <w:szCs w:val="24"/>
                <w:lang w:eastAsia="lv-LV"/>
              </w:rPr>
              <w:t xml:space="preserve">Eiropas Parlamenta un Padomes 2007. gada 5. septembra Direktīva 2007/46/EK, ar ko izveido sistēmu mehānisko transportlīdzekļu un to piekabju, kā arī tādiem transportlīdzekļiem paredzētu sistēmu, sastāvdaļu un atsevišķu tehnisku vienību apstiprināšanai (pamatdirektīva) (Oficiālais Vēstnesis L 263/1, </w:t>
            </w:r>
            <w:r w:rsidRPr="00D60C92">
              <w:rPr>
                <w:rFonts w:eastAsia="Times New Roman"/>
                <w:bCs/>
                <w:sz w:val="24"/>
                <w:szCs w:val="24"/>
                <w:lang w:eastAsia="lv-LV"/>
              </w:rPr>
              <w:lastRenderedPageBreak/>
              <w:t>09.10.2007</w:t>
            </w:r>
            <w:r w:rsidR="00D60C92" w:rsidRPr="00D60C92">
              <w:rPr>
                <w:rFonts w:eastAsia="Times New Roman"/>
                <w:bCs/>
                <w:sz w:val="24"/>
                <w:szCs w:val="24"/>
                <w:lang w:eastAsia="lv-LV"/>
              </w:rPr>
              <w:t>., 1</w:t>
            </w:r>
            <w:r w:rsidRPr="00D60C92">
              <w:rPr>
                <w:rFonts w:eastAsia="Times New Roman"/>
                <w:bCs/>
                <w:sz w:val="24"/>
                <w:szCs w:val="24"/>
                <w:lang w:eastAsia="lv-LV"/>
              </w:rPr>
              <w:t>.</w:t>
            </w:r>
            <w:r w:rsidR="00D60C92" w:rsidRPr="00D60C92">
              <w:rPr>
                <w:rFonts w:eastAsia="Times New Roman"/>
                <w:bCs/>
                <w:sz w:val="24"/>
                <w:szCs w:val="24"/>
                <w:lang w:eastAsia="lv-LV"/>
              </w:rPr>
              <w:t>/</w:t>
            </w:r>
            <w:r w:rsidR="00D60C92">
              <w:rPr>
                <w:rFonts w:eastAsia="Times New Roman"/>
                <w:bCs/>
                <w:sz w:val="24"/>
                <w:szCs w:val="24"/>
                <w:lang w:eastAsia="lv-LV"/>
              </w:rPr>
              <w:t>1.</w:t>
            </w:r>
            <w:r w:rsidRPr="00D60C92">
              <w:rPr>
                <w:rFonts w:eastAsia="Times New Roman"/>
                <w:bCs/>
                <w:sz w:val="24"/>
                <w:szCs w:val="24"/>
                <w:lang w:eastAsia="lv-LV"/>
              </w:rPr>
              <w:t xml:space="preserve"> lpp.)</w:t>
            </w:r>
            <w:r w:rsidR="001830E8">
              <w:rPr>
                <w:rFonts w:eastAsia="Times New Roman"/>
                <w:bCs/>
                <w:sz w:val="24"/>
                <w:szCs w:val="24"/>
                <w:lang w:eastAsia="lv-LV"/>
              </w:rPr>
              <w:t xml:space="preserve"> </w:t>
            </w:r>
          </w:p>
          <w:p w14:paraId="12D5DC40" w14:textId="4A4703C8" w:rsidR="00A56445" w:rsidRPr="00D60C92" w:rsidRDefault="00E045AD" w:rsidP="00E65C5D">
            <w:pPr>
              <w:spacing w:line="240" w:lineRule="auto"/>
              <w:ind w:firstLine="0"/>
              <w:rPr>
                <w:rFonts w:eastAsia="Times New Roman"/>
                <w:sz w:val="24"/>
                <w:szCs w:val="24"/>
                <w:lang w:eastAsia="lv-LV"/>
              </w:rPr>
            </w:pPr>
            <w:r>
              <w:rPr>
                <w:rFonts w:eastAsia="Times New Roman"/>
                <w:sz w:val="24"/>
                <w:szCs w:val="24"/>
                <w:lang w:eastAsia="lv-LV"/>
              </w:rPr>
              <w:t xml:space="preserve">Eiropas </w:t>
            </w:r>
            <w:r w:rsidRPr="00E045AD">
              <w:rPr>
                <w:rFonts w:eastAsia="Times New Roman"/>
                <w:sz w:val="24"/>
                <w:szCs w:val="24"/>
                <w:lang w:eastAsia="lv-LV"/>
              </w:rPr>
              <w:t>Padomes 1970. gada 8. jūnija Direktīva 70/311/EEK par dalībvalstu tiesību aktu tuvināšanu attiecībā uz mehānisko transportlīdzekļu un to piekabju stūres iekārtu (70/311/EEK, O</w:t>
            </w:r>
            <w:r w:rsidR="00033B6B">
              <w:rPr>
                <w:rFonts w:eastAsia="Times New Roman"/>
                <w:sz w:val="24"/>
                <w:szCs w:val="24"/>
                <w:lang w:eastAsia="lv-LV"/>
              </w:rPr>
              <w:t>ficiālais Vēstnesis</w:t>
            </w:r>
            <w:r w:rsidRPr="00E045AD">
              <w:rPr>
                <w:rFonts w:eastAsia="Times New Roman"/>
                <w:sz w:val="24"/>
                <w:szCs w:val="24"/>
                <w:lang w:eastAsia="lv-LV"/>
              </w:rPr>
              <w:t xml:space="preserve"> L 133, 18.6.1970.), atcelta ar 2014. gada 1. novembra Regulu (EK) 661/2009)</w:t>
            </w:r>
            <w:r w:rsidR="00E65C5D">
              <w:rPr>
                <w:rFonts w:eastAsia="Times New Roman"/>
                <w:sz w:val="24"/>
                <w:szCs w:val="24"/>
                <w:lang w:eastAsia="lv-LV"/>
              </w:rPr>
              <w:t>.</w:t>
            </w:r>
          </w:p>
        </w:tc>
      </w:tr>
      <w:tr w:rsidR="00BF0288" w:rsidRPr="00D60C92" w14:paraId="5514BE9A" w14:textId="77777777" w:rsidTr="00F906CE">
        <w:tc>
          <w:tcPr>
            <w:tcW w:w="204" w:type="pct"/>
            <w:tcBorders>
              <w:top w:val="outset" w:sz="6" w:space="0" w:color="414142"/>
              <w:left w:val="outset" w:sz="6" w:space="0" w:color="414142"/>
              <w:bottom w:val="outset" w:sz="6" w:space="0" w:color="414142"/>
              <w:right w:val="outset" w:sz="6" w:space="0" w:color="414142"/>
            </w:tcBorders>
            <w:hideMark/>
          </w:tcPr>
          <w:p w14:paraId="13A462F6" w14:textId="77777777" w:rsidR="00BF0288" w:rsidRPr="00D60C92" w:rsidRDefault="00BF0288" w:rsidP="00B23339">
            <w:pPr>
              <w:spacing w:line="240" w:lineRule="auto"/>
              <w:rPr>
                <w:rFonts w:eastAsia="Times New Roman"/>
                <w:sz w:val="24"/>
                <w:szCs w:val="24"/>
                <w:lang w:eastAsia="lv-LV"/>
              </w:rPr>
            </w:pPr>
            <w:r w:rsidRPr="00D60C92">
              <w:rPr>
                <w:rFonts w:eastAsia="Times New Roman"/>
                <w:sz w:val="24"/>
                <w:szCs w:val="24"/>
                <w:lang w:eastAsia="lv-LV"/>
              </w:rPr>
              <w:lastRenderedPageBreak/>
              <w:t>22.</w:t>
            </w:r>
          </w:p>
        </w:tc>
        <w:tc>
          <w:tcPr>
            <w:tcW w:w="1467" w:type="pct"/>
            <w:gridSpan w:val="2"/>
            <w:tcBorders>
              <w:top w:val="outset" w:sz="6" w:space="0" w:color="414142"/>
              <w:left w:val="outset" w:sz="6" w:space="0" w:color="414142"/>
              <w:bottom w:val="outset" w:sz="6" w:space="0" w:color="414142"/>
              <w:right w:val="outset" w:sz="6" w:space="0" w:color="414142"/>
            </w:tcBorders>
            <w:hideMark/>
          </w:tcPr>
          <w:p w14:paraId="24752287" w14:textId="77777777" w:rsidR="00BF0288" w:rsidRPr="00D60C92" w:rsidRDefault="00BF0288" w:rsidP="00BF0288">
            <w:pPr>
              <w:spacing w:line="240" w:lineRule="auto"/>
              <w:ind w:firstLine="0"/>
              <w:jc w:val="left"/>
              <w:rPr>
                <w:rFonts w:eastAsia="Times New Roman"/>
                <w:sz w:val="24"/>
                <w:szCs w:val="24"/>
                <w:lang w:eastAsia="lv-LV"/>
              </w:rPr>
            </w:pPr>
            <w:r w:rsidRPr="00D60C92">
              <w:rPr>
                <w:rFonts w:eastAsia="Times New Roman"/>
                <w:sz w:val="24"/>
                <w:szCs w:val="24"/>
                <w:lang w:eastAsia="lv-LV"/>
              </w:rPr>
              <w:t>Citas starptautiskās saistības</w:t>
            </w:r>
          </w:p>
        </w:tc>
        <w:tc>
          <w:tcPr>
            <w:tcW w:w="3329" w:type="pct"/>
            <w:gridSpan w:val="4"/>
            <w:tcBorders>
              <w:top w:val="outset" w:sz="6" w:space="0" w:color="414142"/>
              <w:left w:val="outset" w:sz="6" w:space="0" w:color="414142"/>
              <w:bottom w:val="outset" w:sz="6" w:space="0" w:color="414142"/>
              <w:right w:val="outset" w:sz="6" w:space="0" w:color="414142"/>
            </w:tcBorders>
            <w:hideMark/>
          </w:tcPr>
          <w:p w14:paraId="3CBA607F" w14:textId="77777777" w:rsidR="00BF0288" w:rsidRPr="00D60C92" w:rsidRDefault="00BF0288" w:rsidP="00BF0288">
            <w:pPr>
              <w:spacing w:line="240" w:lineRule="auto"/>
              <w:ind w:firstLine="0"/>
              <w:rPr>
                <w:rFonts w:eastAsia="Times New Roman"/>
                <w:sz w:val="24"/>
                <w:szCs w:val="24"/>
                <w:lang w:eastAsia="lv-LV"/>
              </w:rPr>
            </w:pPr>
            <w:r w:rsidRPr="00D60C92">
              <w:rPr>
                <w:rFonts w:eastAsia="Times New Roman"/>
                <w:sz w:val="24"/>
                <w:szCs w:val="24"/>
                <w:lang w:eastAsia="lv-LV"/>
              </w:rPr>
              <w:t>Projekts šo jomu neskar.</w:t>
            </w:r>
          </w:p>
        </w:tc>
      </w:tr>
      <w:tr w:rsidR="00BF0288" w:rsidRPr="00D60C92" w14:paraId="4FA29782" w14:textId="77777777" w:rsidTr="00F906CE">
        <w:trPr>
          <w:trHeight w:val="602"/>
        </w:trPr>
        <w:tc>
          <w:tcPr>
            <w:tcW w:w="204" w:type="pct"/>
            <w:tcBorders>
              <w:top w:val="outset" w:sz="6" w:space="0" w:color="414142"/>
              <w:left w:val="outset" w:sz="6" w:space="0" w:color="414142"/>
              <w:bottom w:val="outset" w:sz="6" w:space="0" w:color="414142"/>
              <w:right w:val="outset" w:sz="6" w:space="0" w:color="414142"/>
            </w:tcBorders>
            <w:hideMark/>
          </w:tcPr>
          <w:p w14:paraId="17E10B51" w14:textId="77777777" w:rsidR="00BF0288" w:rsidRPr="00D60C92" w:rsidRDefault="00BF0288" w:rsidP="00B23339">
            <w:pPr>
              <w:spacing w:line="240" w:lineRule="auto"/>
              <w:rPr>
                <w:rFonts w:eastAsia="Times New Roman"/>
                <w:sz w:val="24"/>
                <w:szCs w:val="24"/>
                <w:lang w:eastAsia="lv-LV"/>
              </w:rPr>
            </w:pPr>
            <w:r w:rsidRPr="00D60C92">
              <w:rPr>
                <w:rFonts w:eastAsia="Times New Roman"/>
                <w:sz w:val="24"/>
                <w:szCs w:val="24"/>
                <w:lang w:eastAsia="lv-LV"/>
              </w:rPr>
              <w:t>33.</w:t>
            </w:r>
          </w:p>
        </w:tc>
        <w:tc>
          <w:tcPr>
            <w:tcW w:w="1467" w:type="pct"/>
            <w:gridSpan w:val="2"/>
            <w:tcBorders>
              <w:top w:val="outset" w:sz="6" w:space="0" w:color="414142"/>
              <w:left w:val="outset" w:sz="6" w:space="0" w:color="414142"/>
              <w:bottom w:val="outset" w:sz="6" w:space="0" w:color="414142"/>
              <w:right w:val="outset" w:sz="6" w:space="0" w:color="414142"/>
            </w:tcBorders>
            <w:hideMark/>
          </w:tcPr>
          <w:p w14:paraId="2F7BCF16" w14:textId="77777777" w:rsidR="00BF0288" w:rsidRPr="00D60C92" w:rsidRDefault="00BF0288" w:rsidP="00BF0288">
            <w:pPr>
              <w:spacing w:line="240" w:lineRule="auto"/>
              <w:ind w:firstLine="0"/>
              <w:jc w:val="left"/>
              <w:rPr>
                <w:rFonts w:eastAsia="Times New Roman"/>
                <w:sz w:val="24"/>
                <w:szCs w:val="24"/>
                <w:lang w:eastAsia="lv-LV"/>
              </w:rPr>
            </w:pPr>
            <w:r w:rsidRPr="00D60C92">
              <w:rPr>
                <w:rFonts w:eastAsia="Times New Roman"/>
                <w:sz w:val="24"/>
                <w:szCs w:val="24"/>
                <w:lang w:eastAsia="lv-LV"/>
              </w:rPr>
              <w:t>Cita informācija</w:t>
            </w:r>
          </w:p>
        </w:tc>
        <w:tc>
          <w:tcPr>
            <w:tcW w:w="3329" w:type="pct"/>
            <w:gridSpan w:val="4"/>
            <w:tcBorders>
              <w:top w:val="outset" w:sz="6" w:space="0" w:color="414142"/>
              <w:left w:val="outset" w:sz="6" w:space="0" w:color="414142"/>
              <w:bottom w:val="outset" w:sz="6" w:space="0" w:color="414142"/>
              <w:right w:val="outset" w:sz="6" w:space="0" w:color="414142"/>
            </w:tcBorders>
            <w:hideMark/>
          </w:tcPr>
          <w:p w14:paraId="3BC43C5C" w14:textId="77777777" w:rsidR="001830E8" w:rsidRDefault="001830E8" w:rsidP="001830E8">
            <w:pPr>
              <w:pStyle w:val="naiskr"/>
              <w:spacing w:before="0" w:beforeAutospacing="0" w:after="0" w:afterAutospacing="0"/>
              <w:ind w:right="170"/>
              <w:jc w:val="both"/>
            </w:pPr>
            <w:r>
              <w:t xml:space="preserve">Saistītie </w:t>
            </w:r>
            <w:r w:rsidRPr="005877E1">
              <w:t>Mini</w:t>
            </w:r>
            <w:r>
              <w:t>stru kabineta noteikumi, kuros arī tiek veikti grozījumi</w:t>
            </w:r>
            <w:r w:rsidRPr="005877E1">
              <w:t>:</w:t>
            </w:r>
          </w:p>
          <w:p w14:paraId="724C6631" w14:textId="77777777" w:rsidR="001830E8" w:rsidRPr="005877E1" w:rsidRDefault="001830E8" w:rsidP="001830E8">
            <w:pPr>
              <w:pStyle w:val="naiskr"/>
              <w:spacing w:before="0" w:beforeAutospacing="0" w:after="0" w:afterAutospacing="0"/>
              <w:ind w:right="170"/>
              <w:jc w:val="both"/>
            </w:pPr>
            <w:r>
              <w:t xml:space="preserve">- </w:t>
            </w:r>
            <w:r w:rsidRPr="005877E1">
              <w:t xml:space="preserve">Ministru kabineta </w:t>
            </w:r>
            <w:r>
              <w:t>2010.gada 30.novembra</w:t>
            </w:r>
            <w:r w:rsidRPr="005877E1">
              <w:t xml:space="preserve"> noteikumi Nr.1080 “Transportlīdzekļu reģistrācijas noteikumi”;</w:t>
            </w:r>
          </w:p>
          <w:p w14:paraId="77F95EA8" w14:textId="77777777" w:rsidR="001830E8" w:rsidRDefault="001830E8" w:rsidP="001830E8">
            <w:pPr>
              <w:pStyle w:val="naiskr"/>
              <w:spacing w:before="0" w:beforeAutospacing="0" w:after="0" w:afterAutospacing="0"/>
              <w:ind w:right="170"/>
              <w:jc w:val="both"/>
            </w:pPr>
            <w:r>
              <w:t xml:space="preserve">-   </w:t>
            </w:r>
            <w:r w:rsidRPr="005877E1">
              <w:t>Ministru kabine</w:t>
            </w:r>
            <w:r>
              <w:t>ta 2004.gada 17.augusta noteikumi Nr.725</w:t>
            </w:r>
          </w:p>
          <w:p w14:paraId="34B152C9" w14:textId="77777777" w:rsidR="001830E8" w:rsidRPr="005877E1" w:rsidRDefault="001830E8" w:rsidP="001830E8">
            <w:pPr>
              <w:pStyle w:val="naiskr"/>
              <w:spacing w:before="0" w:beforeAutospacing="0" w:after="0" w:afterAutospacing="0"/>
              <w:ind w:right="170"/>
              <w:jc w:val="both"/>
            </w:pPr>
            <w:r w:rsidRPr="005877E1">
              <w:t>“Transportlīdzekļu pārbūves noteikumi”;</w:t>
            </w:r>
          </w:p>
          <w:p w14:paraId="11C1B753" w14:textId="77777777" w:rsidR="00BF0288" w:rsidRPr="00D60C92" w:rsidRDefault="001830E8" w:rsidP="006E22E6">
            <w:pPr>
              <w:pStyle w:val="naiskr"/>
              <w:spacing w:before="0" w:beforeAutospacing="0" w:after="0" w:afterAutospacing="0"/>
              <w:ind w:right="170"/>
              <w:jc w:val="both"/>
            </w:pPr>
            <w:r>
              <w:t xml:space="preserve">- </w:t>
            </w:r>
            <w:r w:rsidRPr="005877E1">
              <w:t xml:space="preserve">Ministru kabineta </w:t>
            </w:r>
            <w:r>
              <w:t>2009.gada 22.decembra</w:t>
            </w:r>
            <w:r w:rsidRPr="005877E1">
              <w:t xml:space="preserve"> noteikumi Nr.1494 “Mopēdu, mehānisko transportlīdzekļu, to piekabju un sastāvdaļu atbilstības novērtēšanas noteikumi”.</w:t>
            </w:r>
          </w:p>
        </w:tc>
      </w:tr>
      <w:tr w:rsidR="00033B6B" w:rsidRPr="00E110B0" w14:paraId="01A9597C" w14:textId="77777777" w:rsidTr="00F906CE">
        <w:tblPrEx>
          <w:tblCellSpacing w:w="0" w:type="dxa"/>
          <w:tblBorders>
            <w:top w:val="outset" w:sz="6" w:space="0" w:color="auto"/>
            <w:left w:val="outset" w:sz="6" w:space="0" w:color="auto"/>
            <w:bottom w:val="outset" w:sz="6" w:space="0" w:color="auto"/>
            <w:right w:val="outset" w:sz="6" w:space="0" w:color="auto"/>
          </w:tblBorders>
          <w:tblCellMar>
            <w:top w:w="0" w:type="dxa"/>
            <w:left w:w="0" w:type="dxa"/>
            <w:bottom w:w="0" w:type="dxa"/>
            <w:right w:w="0" w:type="dxa"/>
          </w:tblCellMar>
        </w:tblPrEx>
        <w:trPr>
          <w:gridAfter w:val="1"/>
          <w:wAfter w:w="17" w:type="pct"/>
          <w:trHeight w:val="1181"/>
          <w:tblCellSpacing w:w="0" w:type="dxa"/>
        </w:trPr>
        <w:tc>
          <w:tcPr>
            <w:tcW w:w="4983" w:type="pct"/>
            <w:gridSpan w:val="6"/>
            <w:tcBorders>
              <w:top w:val="single" w:sz="4" w:space="0" w:color="auto"/>
              <w:left w:val="single" w:sz="4" w:space="0" w:color="auto"/>
              <w:bottom w:val="single" w:sz="4" w:space="0" w:color="auto"/>
              <w:right w:val="single" w:sz="4" w:space="0" w:color="auto"/>
            </w:tcBorders>
            <w:vAlign w:val="center"/>
          </w:tcPr>
          <w:p w14:paraId="2B9B4473" w14:textId="77777777" w:rsidR="00033B6B" w:rsidRPr="00E110B0" w:rsidRDefault="00033B6B" w:rsidP="008A5CB4">
            <w:pPr>
              <w:spacing w:before="100" w:beforeAutospacing="1" w:after="100" w:afterAutospacing="1" w:line="240" w:lineRule="auto"/>
              <w:jc w:val="center"/>
              <w:rPr>
                <w:rFonts w:eastAsia="Times New Roman"/>
                <w:b/>
                <w:sz w:val="24"/>
                <w:szCs w:val="24"/>
                <w:lang w:eastAsia="lv-LV"/>
              </w:rPr>
            </w:pPr>
            <w:r w:rsidRPr="00E110B0">
              <w:rPr>
                <w:rFonts w:eastAsia="Times New Roman"/>
                <w:b/>
                <w:sz w:val="24"/>
                <w:szCs w:val="24"/>
                <w:lang w:eastAsia="lv-LV"/>
              </w:rPr>
              <w:t>1.tabula</w:t>
            </w:r>
          </w:p>
          <w:p w14:paraId="7E9DAAAB" w14:textId="77777777" w:rsidR="00033B6B" w:rsidRPr="00E110B0" w:rsidRDefault="00033B6B" w:rsidP="008A5CB4">
            <w:pPr>
              <w:spacing w:before="100" w:beforeAutospacing="1" w:after="100" w:afterAutospacing="1" w:line="240" w:lineRule="auto"/>
              <w:jc w:val="center"/>
              <w:rPr>
                <w:rFonts w:eastAsia="Times New Roman"/>
                <w:sz w:val="24"/>
                <w:szCs w:val="24"/>
                <w:lang w:eastAsia="lv-LV"/>
              </w:rPr>
            </w:pPr>
            <w:r w:rsidRPr="00E110B0">
              <w:rPr>
                <w:rFonts w:eastAsia="Times New Roman"/>
                <w:b/>
                <w:sz w:val="24"/>
                <w:szCs w:val="24"/>
                <w:lang w:eastAsia="lv-LV"/>
              </w:rPr>
              <w:t>Tiesību akta projekta atbilstība ES tiesību aktiem</w:t>
            </w:r>
          </w:p>
        </w:tc>
      </w:tr>
      <w:tr w:rsidR="00033B6B" w:rsidRPr="00E110B0" w14:paraId="54EDD055" w14:textId="77777777" w:rsidTr="00F906CE">
        <w:tblPrEx>
          <w:tblCellSpacing w:w="0" w:type="dxa"/>
          <w:tblBorders>
            <w:top w:val="outset" w:sz="6" w:space="0" w:color="auto"/>
            <w:left w:val="outset" w:sz="6" w:space="0" w:color="auto"/>
            <w:bottom w:val="outset" w:sz="6" w:space="0" w:color="auto"/>
            <w:right w:val="outset" w:sz="6" w:space="0" w:color="auto"/>
          </w:tblBorders>
          <w:tblCellMar>
            <w:top w:w="0" w:type="dxa"/>
            <w:left w:w="0" w:type="dxa"/>
            <w:bottom w:w="0" w:type="dxa"/>
            <w:right w:w="0" w:type="dxa"/>
          </w:tblCellMar>
        </w:tblPrEx>
        <w:trPr>
          <w:gridAfter w:val="1"/>
          <w:wAfter w:w="17" w:type="pct"/>
          <w:trHeight w:val="1252"/>
          <w:tblCellSpacing w:w="0" w:type="dxa"/>
        </w:trPr>
        <w:tc>
          <w:tcPr>
            <w:tcW w:w="823" w:type="pct"/>
            <w:gridSpan w:val="2"/>
            <w:tcBorders>
              <w:top w:val="single" w:sz="4" w:space="0" w:color="auto"/>
              <w:left w:val="single" w:sz="4" w:space="0" w:color="auto"/>
              <w:bottom w:val="single" w:sz="4" w:space="0" w:color="auto"/>
              <w:right w:val="single" w:sz="4" w:space="0" w:color="auto"/>
            </w:tcBorders>
            <w:vAlign w:val="center"/>
          </w:tcPr>
          <w:p w14:paraId="58DAAB29" w14:textId="77777777" w:rsidR="00033B6B" w:rsidRPr="00E110B0" w:rsidRDefault="00033B6B" w:rsidP="00FB7DE0">
            <w:pPr>
              <w:spacing w:before="100" w:beforeAutospacing="1" w:after="100" w:afterAutospacing="1" w:line="240" w:lineRule="auto"/>
              <w:ind w:firstLine="0"/>
              <w:rPr>
                <w:rFonts w:eastAsia="Times New Roman"/>
                <w:sz w:val="24"/>
                <w:szCs w:val="24"/>
                <w:lang w:eastAsia="lv-LV"/>
              </w:rPr>
            </w:pPr>
            <w:r w:rsidRPr="00E110B0">
              <w:rPr>
                <w:rFonts w:eastAsia="Times New Roman"/>
                <w:sz w:val="24"/>
                <w:szCs w:val="24"/>
                <w:lang w:eastAsia="lv-LV"/>
              </w:rPr>
              <w:t> Attiecīgā ES tiesību akta datums, numurs un nosaukums</w:t>
            </w:r>
          </w:p>
        </w:tc>
        <w:tc>
          <w:tcPr>
            <w:tcW w:w="4160" w:type="pct"/>
            <w:gridSpan w:val="4"/>
            <w:tcBorders>
              <w:top w:val="single" w:sz="4" w:space="0" w:color="auto"/>
              <w:left w:val="single" w:sz="4" w:space="0" w:color="auto"/>
              <w:bottom w:val="single" w:sz="4" w:space="0" w:color="auto"/>
              <w:right w:val="single" w:sz="4" w:space="0" w:color="auto"/>
            </w:tcBorders>
            <w:vAlign w:val="center"/>
          </w:tcPr>
          <w:p w14:paraId="57E517D0" w14:textId="77777777" w:rsidR="00033B6B" w:rsidRDefault="00033B6B" w:rsidP="00F906CE">
            <w:pPr>
              <w:spacing w:before="100" w:beforeAutospacing="1" w:after="100" w:afterAutospacing="1" w:line="240" w:lineRule="auto"/>
              <w:ind w:firstLine="0"/>
              <w:rPr>
                <w:rFonts w:eastAsia="Times New Roman"/>
                <w:bCs/>
                <w:sz w:val="24"/>
                <w:szCs w:val="24"/>
                <w:lang w:eastAsia="lv-LV"/>
              </w:rPr>
            </w:pPr>
            <w:r w:rsidRPr="00D60C92">
              <w:rPr>
                <w:rFonts w:eastAsia="Times New Roman"/>
                <w:bCs/>
                <w:sz w:val="24"/>
                <w:szCs w:val="24"/>
                <w:lang w:eastAsia="lv-LV"/>
              </w:rPr>
              <w:t>Eiropas Parlamenta un Padomes 2007. gada 5. septembra Direktīva 2007/46/EK, ar ko izveido sistēmu mehānisko transportlīdzekļu un to piekabju, kā arī tādiem transportlīdzekļiem paredzētu sistēmu, sastāvdaļu un atsevišķu tehnisku vienību apstiprināšanai (pamatdirektīva) (Oficiālais Vēstnesis L 263/1, 09.10.2007., 1./</w:t>
            </w:r>
            <w:r>
              <w:rPr>
                <w:rFonts w:eastAsia="Times New Roman"/>
                <w:bCs/>
                <w:sz w:val="24"/>
                <w:szCs w:val="24"/>
                <w:lang w:eastAsia="lv-LV"/>
              </w:rPr>
              <w:t>1.</w:t>
            </w:r>
            <w:r w:rsidRPr="00D60C92">
              <w:rPr>
                <w:rFonts w:eastAsia="Times New Roman"/>
                <w:bCs/>
                <w:sz w:val="24"/>
                <w:szCs w:val="24"/>
                <w:lang w:eastAsia="lv-LV"/>
              </w:rPr>
              <w:t xml:space="preserve"> lpp.)</w:t>
            </w:r>
            <w:r>
              <w:rPr>
                <w:rFonts w:eastAsia="Times New Roman"/>
                <w:bCs/>
                <w:sz w:val="24"/>
                <w:szCs w:val="24"/>
                <w:lang w:eastAsia="lv-LV"/>
              </w:rPr>
              <w:t>;</w:t>
            </w:r>
          </w:p>
          <w:p w14:paraId="0ACF7CA7" w14:textId="77777777" w:rsidR="00033B6B" w:rsidRPr="00033B6B" w:rsidRDefault="00033B6B" w:rsidP="00033B6B">
            <w:pPr>
              <w:spacing w:before="100" w:beforeAutospacing="1" w:after="100" w:afterAutospacing="1" w:line="240" w:lineRule="auto"/>
              <w:ind w:firstLine="0"/>
              <w:rPr>
                <w:rFonts w:eastAsia="Times New Roman"/>
                <w:bCs/>
                <w:sz w:val="24"/>
                <w:szCs w:val="24"/>
                <w:lang w:eastAsia="lv-LV"/>
              </w:rPr>
            </w:pPr>
            <w:r>
              <w:rPr>
                <w:rFonts w:eastAsia="Times New Roman"/>
                <w:sz w:val="24"/>
                <w:szCs w:val="24"/>
                <w:lang w:eastAsia="lv-LV"/>
              </w:rPr>
              <w:t xml:space="preserve">Eiropas </w:t>
            </w:r>
            <w:r w:rsidRPr="00E045AD">
              <w:rPr>
                <w:rFonts w:eastAsia="Times New Roman"/>
                <w:sz w:val="24"/>
                <w:szCs w:val="24"/>
                <w:lang w:eastAsia="lv-LV"/>
              </w:rPr>
              <w:t>Padomes 1970. gada 8. jūnija Direktīva 70/311/EEK par dalībvalstu tiesību aktu tuvināšanu attiecībā uz mehānisko transportlīdzekļu un to piekabju stūres iekārtu (70/311/EEK, O</w:t>
            </w:r>
            <w:r>
              <w:rPr>
                <w:rFonts w:eastAsia="Times New Roman"/>
                <w:sz w:val="24"/>
                <w:szCs w:val="24"/>
                <w:lang w:eastAsia="lv-LV"/>
              </w:rPr>
              <w:t>ficiālais Vēstnesis</w:t>
            </w:r>
            <w:r w:rsidRPr="00E045AD">
              <w:rPr>
                <w:rFonts w:eastAsia="Times New Roman"/>
                <w:sz w:val="24"/>
                <w:szCs w:val="24"/>
                <w:lang w:eastAsia="lv-LV"/>
              </w:rPr>
              <w:t xml:space="preserve"> L 133, 18.6.1970.), atcelta ar 2014. gada 1. novembra Regulu (EK) 661/2009)</w:t>
            </w:r>
            <w:r>
              <w:rPr>
                <w:rFonts w:eastAsia="Times New Roman"/>
                <w:sz w:val="24"/>
                <w:szCs w:val="24"/>
                <w:lang w:eastAsia="lv-LV"/>
              </w:rPr>
              <w:t>.</w:t>
            </w:r>
          </w:p>
        </w:tc>
      </w:tr>
      <w:tr w:rsidR="00FB7DE0" w:rsidRPr="00E110B0" w14:paraId="23791C89" w14:textId="77777777" w:rsidTr="00F906CE">
        <w:tblPrEx>
          <w:tblCellSpacing w:w="0" w:type="dxa"/>
          <w:tblBorders>
            <w:top w:val="outset" w:sz="6" w:space="0" w:color="auto"/>
            <w:left w:val="outset" w:sz="6" w:space="0" w:color="auto"/>
            <w:bottom w:val="outset" w:sz="6" w:space="0" w:color="auto"/>
            <w:right w:val="outset" w:sz="6" w:space="0" w:color="auto"/>
          </w:tblBorders>
          <w:tblCellMar>
            <w:top w:w="0" w:type="dxa"/>
            <w:left w:w="0" w:type="dxa"/>
            <w:bottom w:w="0" w:type="dxa"/>
            <w:right w:w="0" w:type="dxa"/>
          </w:tblCellMar>
        </w:tblPrEx>
        <w:trPr>
          <w:gridAfter w:val="1"/>
          <w:wAfter w:w="17" w:type="pct"/>
          <w:trHeight w:val="165"/>
          <w:tblCellSpacing w:w="0" w:type="dxa"/>
        </w:trPr>
        <w:tc>
          <w:tcPr>
            <w:tcW w:w="823" w:type="pct"/>
            <w:gridSpan w:val="2"/>
            <w:tcBorders>
              <w:top w:val="single" w:sz="4" w:space="0" w:color="auto"/>
              <w:left w:val="single" w:sz="4" w:space="0" w:color="auto"/>
              <w:bottom w:val="single" w:sz="4" w:space="0" w:color="auto"/>
              <w:right w:val="single" w:sz="4" w:space="0" w:color="auto"/>
            </w:tcBorders>
            <w:vAlign w:val="center"/>
          </w:tcPr>
          <w:p w14:paraId="425E3986" w14:textId="77777777" w:rsidR="00033B6B" w:rsidRPr="00E110B0" w:rsidRDefault="00033B6B" w:rsidP="008A5CB4">
            <w:pPr>
              <w:spacing w:before="100" w:beforeAutospacing="1" w:after="100" w:afterAutospacing="1" w:line="165" w:lineRule="atLeast"/>
              <w:rPr>
                <w:rFonts w:eastAsia="Times New Roman"/>
                <w:sz w:val="24"/>
                <w:szCs w:val="24"/>
                <w:lang w:eastAsia="lv-LV"/>
              </w:rPr>
            </w:pPr>
            <w:r w:rsidRPr="00E110B0">
              <w:rPr>
                <w:rFonts w:eastAsia="Times New Roman"/>
                <w:sz w:val="24"/>
                <w:szCs w:val="24"/>
                <w:lang w:eastAsia="lv-LV"/>
              </w:rPr>
              <w:t> A</w:t>
            </w:r>
          </w:p>
        </w:tc>
        <w:tc>
          <w:tcPr>
            <w:tcW w:w="966" w:type="pct"/>
            <w:gridSpan w:val="2"/>
            <w:tcBorders>
              <w:top w:val="single" w:sz="4" w:space="0" w:color="auto"/>
              <w:left w:val="single" w:sz="4" w:space="0" w:color="auto"/>
              <w:bottom w:val="single" w:sz="4" w:space="0" w:color="auto"/>
              <w:right w:val="single" w:sz="4" w:space="0" w:color="auto"/>
            </w:tcBorders>
            <w:vAlign w:val="center"/>
          </w:tcPr>
          <w:p w14:paraId="33D1B20E" w14:textId="77777777" w:rsidR="00033B6B" w:rsidRPr="00E110B0" w:rsidRDefault="00033B6B" w:rsidP="008A5CB4">
            <w:pPr>
              <w:spacing w:before="100" w:beforeAutospacing="1" w:after="100" w:afterAutospacing="1" w:line="165" w:lineRule="atLeast"/>
              <w:rPr>
                <w:rFonts w:eastAsia="Times New Roman"/>
                <w:sz w:val="24"/>
                <w:szCs w:val="24"/>
                <w:lang w:eastAsia="lv-LV"/>
              </w:rPr>
            </w:pPr>
            <w:r w:rsidRPr="00E110B0">
              <w:rPr>
                <w:rFonts w:eastAsia="Times New Roman"/>
                <w:sz w:val="24"/>
                <w:szCs w:val="24"/>
                <w:lang w:eastAsia="lv-LV"/>
              </w:rPr>
              <w:t> B</w:t>
            </w:r>
          </w:p>
        </w:tc>
        <w:tc>
          <w:tcPr>
            <w:tcW w:w="1235" w:type="pct"/>
            <w:tcBorders>
              <w:top w:val="single" w:sz="4" w:space="0" w:color="auto"/>
              <w:left w:val="single" w:sz="4" w:space="0" w:color="auto"/>
              <w:bottom w:val="single" w:sz="4" w:space="0" w:color="auto"/>
              <w:right w:val="single" w:sz="4" w:space="0" w:color="auto"/>
            </w:tcBorders>
            <w:vAlign w:val="center"/>
          </w:tcPr>
          <w:p w14:paraId="0EA89DE7" w14:textId="77777777" w:rsidR="00033B6B" w:rsidRPr="00E110B0" w:rsidRDefault="00033B6B" w:rsidP="008A5CB4">
            <w:pPr>
              <w:spacing w:before="100" w:beforeAutospacing="1" w:after="100" w:afterAutospacing="1" w:line="165" w:lineRule="atLeast"/>
              <w:rPr>
                <w:rFonts w:eastAsia="Times New Roman"/>
                <w:sz w:val="24"/>
                <w:szCs w:val="24"/>
                <w:lang w:eastAsia="lv-LV"/>
              </w:rPr>
            </w:pPr>
            <w:r w:rsidRPr="00E110B0">
              <w:rPr>
                <w:rFonts w:eastAsia="Times New Roman"/>
                <w:sz w:val="24"/>
                <w:szCs w:val="24"/>
                <w:lang w:eastAsia="lv-LV"/>
              </w:rPr>
              <w:t> C</w:t>
            </w:r>
          </w:p>
        </w:tc>
        <w:tc>
          <w:tcPr>
            <w:tcW w:w="1959" w:type="pct"/>
            <w:tcBorders>
              <w:top w:val="single" w:sz="4" w:space="0" w:color="auto"/>
              <w:left w:val="single" w:sz="4" w:space="0" w:color="auto"/>
              <w:bottom w:val="single" w:sz="4" w:space="0" w:color="auto"/>
              <w:right w:val="single" w:sz="4" w:space="0" w:color="auto"/>
            </w:tcBorders>
            <w:vAlign w:val="center"/>
          </w:tcPr>
          <w:p w14:paraId="75BE6016" w14:textId="77777777" w:rsidR="00033B6B" w:rsidRPr="00E110B0" w:rsidRDefault="00033B6B" w:rsidP="008A5CB4">
            <w:pPr>
              <w:spacing w:before="100" w:beforeAutospacing="1" w:after="100" w:afterAutospacing="1" w:line="165" w:lineRule="atLeast"/>
              <w:rPr>
                <w:rFonts w:eastAsia="Times New Roman"/>
                <w:sz w:val="24"/>
                <w:szCs w:val="24"/>
                <w:lang w:eastAsia="lv-LV"/>
              </w:rPr>
            </w:pPr>
            <w:r w:rsidRPr="00E110B0">
              <w:rPr>
                <w:rFonts w:eastAsia="Times New Roman"/>
                <w:sz w:val="24"/>
                <w:szCs w:val="24"/>
                <w:lang w:eastAsia="lv-LV"/>
              </w:rPr>
              <w:t> D</w:t>
            </w:r>
          </w:p>
        </w:tc>
      </w:tr>
      <w:tr w:rsidR="00FB7DE0" w:rsidRPr="00E110B0" w14:paraId="00A0D595" w14:textId="77777777" w:rsidTr="00F906CE">
        <w:tblPrEx>
          <w:tblCellSpacing w:w="0" w:type="dxa"/>
          <w:tblBorders>
            <w:top w:val="outset" w:sz="6" w:space="0" w:color="auto"/>
            <w:left w:val="outset" w:sz="6" w:space="0" w:color="auto"/>
            <w:bottom w:val="outset" w:sz="6" w:space="0" w:color="auto"/>
            <w:right w:val="outset" w:sz="6" w:space="0" w:color="auto"/>
          </w:tblBorders>
          <w:tblCellMar>
            <w:top w:w="0" w:type="dxa"/>
            <w:left w:w="0" w:type="dxa"/>
            <w:bottom w:w="0" w:type="dxa"/>
            <w:right w:w="0" w:type="dxa"/>
          </w:tblCellMar>
        </w:tblPrEx>
        <w:trPr>
          <w:gridAfter w:val="1"/>
          <w:wAfter w:w="17" w:type="pct"/>
          <w:trHeight w:val="165"/>
          <w:tblCellSpacing w:w="0" w:type="dxa"/>
        </w:trPr>
        <w:tc>
          <w:tcPr>
            <w:tcW w:w="823" w:type="pct"/>
            <w:gridSpan w:val="2"/>
            <w:tcBorders>
              <w:top w:val="single" w:sz="4" w:space="0" w:color="auto"/>
              <w:left w:val="single" w:sz="4" w:space="0" w:color="auto"/>
              <w:bottom w:val="single" w:sz="4" w:space="0" w:color="auto"/>
              <w:right w:val="single" w:sz="4" w:space="0" w:color="auto"/>
            </w:tcBorders>
          </w:tcPr>
          <w:p w14:paraId="78488703" w14:textId="77777777" w:rsidR="00033B6B" w:rsidRPr="00E110B0" w:rsidRDefault="00033B6B" w:rsidP="00FB7DE0">
            <w:pPr>
              <w:spacing w:line="240" w:lineRule="auto"/>
              <w:ind w:firstLine="0"/>
              <w:rPr>
                <w:sz w:val="24"/>
                <w:szCs w:val="24"/>
              </w:rPr>
            </w:pPr>
            <w:r w:rsidRPr="00E110B0">
              <w:rPr>
                <w:sz w:val="24"/>
                <w:szCs w:val="24"/>
              </w:rPr>
              <w:t>Attiecīgā ES tiesību akta panta numurs (uzskaitot katru tiesību akta vienību – pantu, daļu, punktu, apakšpunktu)</w:t>
            </w:r>
          </w:p>
        </w:tc>
        <w:tc>
          <w:tcPr>
            <w:tcW w:w="966" w:type="pct"/>
            <w:gridSpan w:val="2"/>
            <w:tcBorders>
              <w:top w:val="single" w:sz="4" w:space="0" w:color="auto"/>
              <w:left w:val="single" w:sz="4" w:space="0" w:color="auto"/>
              <w:bottom w:val="single" w:sz="4" w:space="0" w:color="auto"/>
              <w:right w:val="single" w:sz="4" w:space="0" w:color="auto"/>
            </w:tcBorders>
          </w:tcPr>
          <w:p w14:paraId="117076BA" w14:textId="77777777" w:rsidR="00033B6B" w:rsidRPr="00E110B0" w:rsidRDefault="00033B6B" w:rsidP="00FB7DE0">
            <w:pPr>
              <w:spacing w:line="240" w:lineRule="auto"/>
              <w:ind w:firstLine="0"/>
              <w:rPr>
                <w:sz w:val="24"/>
                <w:szCs w:val="24"/>
              </w:rPr>
            </w:pPr>
            <w:r w:rsidRPr="00E110B0">
              <w:rPr>
                <w:sz w:val="24"/>
                <w:szCs w:val="24"/>
              </w:rPr>
              <w:t>Projekta vienība, kas pārņem vai ievieš katru šīs tabulas A ailē minēto ES tiesību akta vienību, vai tiesību akts, kur attiecīgā ES tiesību akta vienība pārņemta vai ieviesta</w:t>
            </w:r>
          </w:p>
        </w:tc>
        <w:tc>
          <w:tcPr>
            <w:tcW w:w="1235" w:type="pct"/>
            <w:tcBorders>
              <w:top w:val="single" w:sz="4" w:space="0" w:color="auto"/>
              <w:left w:val="single" w:sz="4" w:space="0" w:color="auto"/>
              <w:bottom w:val="single" w:sz="4" w:space="0" w:color="auto"/>
              <w:right w:val="single" w:sz="4" w:space="0" w:color="auto"/>
            </w:tcBorders>
          </w:tcPr>
          <w:p w14:paraId="22878222" w14:textId="77777777" w:rsidR="00033B6B" w:rsidRPr="00E110B0" w:rsidRDefault="00033B6B" w:rsidP="00FB7DE0">
            <w:pPr>
              <w:spacing w:line="240" w:lineRule="auto"/>
              <w:ind w:firstLine="0"/>
              <w:rPr>
                <w:sz w:val="24"/>
                <w:szCs w:val="24"/>
              </w:rPr>
            </w:pPr>
            <w:r w:rsidRPr="00E110B0">
              <w:rPr>
                <w:sz w:val="24"/>
                <w:szCs w:val="24"/>
              </w:rPr>
              <w:t xml:space="preserve">Informācija par to, vai šīs tabulas A ailē minētās ES tiesību akta vienības tiek pārņemtas vai ieviestas pilnībā vai daļēji. </w:t>
            </w:r>
          </w:p>
          <w:p w14:paraId="43980D8C" w14:textId="77777777" w:rsidR="00033B6B" w:rsidRPr="00E110B0" w:rsidRDefault="00033B6B" w:rsidP="00FB7DE0">
            <w:pPr>
              <w:spacing w:line="240" w:lineRule="auto"/>
              <w:ind w:firstLine="0"/>
              <w:rPr>
                <w:rFonts w:eastAsia="Times New Roman"/>
                <w:sz w:val="24"/>
                <w:szCs w:val="24"/>
                <w:lang w:eastAsia="lv-LV"/>
              </w:rPr>
            </w:pPr>
            <w:r w:rsidRPr="00E110B0">
              <w:rPr>
                <w:rFonts w:eastAsia="Times New Roman"/>
                <w:sz w:val="24"/>
                <w:szCs w:val="24"/>
                <w:lang w:eastAsia="lv-LV"/>
              </w:rPr>
              <w:t>Ja attiecīgā ES tiesību akta vienība tiek pārņemta vai ieviesta daļēji, sniedz attiecīgu skaidrojumu, kā arī precīzi norāda, kad un kādā veidā ES tiesību akta vienība tiks pārņemta vai ieviesta pilnībā.</w:t>
            </w:r>
          </w:p>
          <w:p w14:paraId="3B4C7A5E" w14:textId="77777777" w:rsidR="00033B6B" w:rsidRPr="00E110B0" w:rsidRDefault="00033B6B" w:rsidP="00FB7DE0">
            <w:pPr>
              <w:spacing w:line="240" w:lineRule="auto"/>
              <w:ind w:firstLine="0"/>
              <w:rPr>
                <w:rFonts w:eastAsia="Times New Roman"/>
                <w:sz w:val="24"/>
                <w:szCs w:val="24"/>
                <w:lang w:eastAsia="lv-LV"/>
              </w:rPr>
            </w:pPr>
            <w:r w:rsidRPr="00E110B0">
              <w:rPr>
                <w:rFonts w:eastAsia="Times New Roman"/>
                <w:sz w:val="24"/>
                <w:szCs w:val="24"/>
                <w:lang w:eastAsia="lv-LV"/>
              </w:rPr>
              <w:t>Norāda institūciju, kas ir atbildīga par šo saistību izpildi pilnībā</w:t>
            </w:r>
          </w:p>
        </w:tc>
        <w:tc>
          <w:tcPr>
            <w:tcW w:w="1959" w:type="pct"/>
            <w:tcBorders>
              <w:top w:val="single" w:sz="4" w:space="0" w:color="auto"/>
              <w:left w:val="single" w:sz="4" w:space="0" w:color="auto"/>
              <w:bottom w:val="single" w:sz="4" w:space="0" w:color="auto"/>
              <w:right w:val="single" w:sz="4" w:space="0" w:color="auto"/>
            </w:tcBorders>
          </w:tcPr>
          <w:p w14:paraId="7FFF3F10" w14:textId="77777777" w:rsidR="00033B6B" w:rsidRPr="00E110B0" w:rsidRDefault="00033B6B" w:rsidP="00FB7DE0">
            <w:pPr>
              <w:spacing w:line="240" w:lineRule="auto"/>
              <w:ind w:firstLine="0"/>
              <w:rPr>
                <w:sz w:val="24"/>
                <w:szCs w:val="24"/>
              </w:rPr>
            </w:pPr>
            <w:r w:rsidRPr="00E110B0">
              <w:rPr>
                <w:sz w:val="24"/>
                <w:szCs w:val="24"/>
              </w:rPr>
              <w:t xml:space="preserve">Informācija par to, vai šīs tabulas B ailē minētās projekta vienības paredz stingrākas prasības nekā šīs tabulas A ailē minētās ES tiesību akta vienības. </w:t>
            </w:r>
          </w:p>
          <w:p w14:paraId="7E233D9F" w14:textId="77777777" w:rsidR="00033B6B" w:rsidRPr="00E110B0" w:rsidRDefault="00033B6B" w:rsidP="00FB7DE0">
            <w:pPr>
              <w:spacing w:line="240" w:lineRule="auto"/>
              <w:ind w:firstLine="0"/>
              <w:rPr>
                <w:rFonts w:eastAsia="Times New Roman"/>
                <w:sz w:val="24"/>
                <w:szCs w:val="24"/>
                <w:lang w:eastAsia="lv-LV"/>
              </w:rPr>
            </w:pPr>
            <w:r w:rsidRPr="00E110B0">
              <w:rPr>
                <w:rFonts w:eastAsia="Times New Roman"/>
                <w:sz w:val="24"/>
                <w:szCs w:val="24"/>
                <w:lang w:eastAsia="lv-LV"/>
              </w:rPr>
              <w:t>Ja projekts satur stingrākas prasības nekā attiecīgais ES tiesību akts, norāda pamatojumu un samērīgumu.</w:t>
            </w:r>
          </w:p>
          <w:p w14:paraId="290003DC" w14:textId="77777777" w:rsidR="00033B6B" w:rsidRPr="00E110B0" w:rsidRDefault="00033B6B" w:rsidP="00FB7DE0">
            <w:pPr>
              <w:spacing w:line="240" w:lineRule="auto"/>
              <w:ind w:firstLine="0"/>
              <w:rPr>
                <w:rFonts w:eastAsia="Times New Roman"/>
                <w:sz w:val="24"/>
                <w:szCs w:val="24"/>
                <w:lang w:eastAsia="lv-LV"/>
              </w:rPr>
            </w:pPr>
            <w:r w:rsidRPr="00E110B0">
              <w:rPr>
                <w:rFonts w:eastAsia="Times New Roman"/>
                <w:sz w:val="24"/>
                <w:szCs w:val="24"/>
                <w:lang w:eastAsia="lv-LV"/>
              </w:rPr>
              <w:t>Norāda iespējamās alternatīvas (t.sk. alternatīvas, kas neparedz tiesiskā regulējuma izstrādi) – kādos gadījumos būtu iespējams izvairīties no stingrāku prasību noteikšanas, nekā paredzēts attiecīgajos ES tiesību aktos</w:t>
            </w:r>
          </w:p>
        </w:tc>
      </w:tr>
      <w:tr w:rsidR="00FB7DE0" w:rsidRPr="00E110B0" w14:paraId="0DC0CBC5" w14:textId="77777777" w:rsidTr="00F906CE">
        <w:tblPrEx>
          <w:tblCellSpacing w:w="0" w:type="dxa"/>
          <w:tblBorders>
            <w:top w:val="outset" w:sz="6" w:space="0" w:color="auto"/>
            <w:left w:val="outset" w:sz="6" w:space="0" w:color="auto"/>
            <w:bottom w:val="outset" w:sz="6" w:space="0" w:color="auto"/>
            <w:right w:val="outset" w:sz="6" w:space="0" w:color="auto"/>
          </w:tblBorders>
          <w:tblCellMar>
            <w:top w:w="0" w:type="dxa"/>
            <w:left w:w="0" w:type="dxa"/>
            <w:bottom w:w="0" w:type="dxa"/>
            <w:right w:w="0" w:type="dxa"/>
          </w:tblCellMar>
        </w:tblPrEx>
        <w:trPr>
          <w:gridAfter w:val="1"/>
          <w:wAfter w:w="17" w:type="pct"/>
          <w:trHeight w:val="266"/>
          <w:tblCellSpacing w:w="0" w:type="dxa"/>
        </w:trPr>
        <w:tc>
          <w:tcPr>
            <w:tcW w:w="823" w:type="pct"/>
            <w:gridSpan w:val="2"/>
            <w:tcBorders>
              <w:top w:val="single" w:sz="4" w:space="0" w:color="auto"/>
              <w:left w:val="single" w:sz="4" w:space="0" w:color="auto"/>
              <w:bottom w:val="single" w:sz="4" w:space="0" w:color="auto"/>
              <w:right w:val="single" w:sz="4" w:space="0" w:color="auto"/>
            </w:tcBorders>
          </w:tcPr>
          <w:p w14:paraId="352E739F" w14:textId="77777777" w:rsidR="00033B6B" w:rsidRPr="00E110B0" w:rsidRDefault="00033B6B" w:rsidP="00033B6B">
            <w:pPr>
              <w:ind w:firstLine="0"/>
              <w:rPr>
                <w:rFonts w:eastAsia="Times New Roman"/>
                <w:color w:val="000000"/>
                <w:sz w:val="24"/>
                <w:szCs w:val="24"/>
                <w:lang w:eastAsia="lv-LV"/>
              </w:rPr>
            </w:pPr>
            <w:r w:rsidRPr="00D60C92">
              <w:rPr>
                <w:rFonts w:eastAsia="Times New Roman"/>
                <w:bCs/>
                <w:sz w:val="24"/>
                <w:szCs w:val="24"/>
                <w:lang w:eastAsia="lv-LV"/>
              </w:rPr>
              <w:lastRenderedPageBreak/>
              <w:t>Direktīva</w:t>
            </w:r>
            <w:r>
              <w:rPr>
                <w:rFonts w:eastAsia="Times New Roman"/>
                <w:bCs/>
                <w:sz w:val="24"/>
                <w:szCs w:val="24"/>
                <w:lang w:eastAsia="lv-LV"/>
              </w:rPr>
              <w:t>s</w:t>
            </w:r>
            <w:r w:rsidRPr="00D60C92">
              <w:rPr>
                <w:rFonts w:eastAsia="Times New Roman"/>
                <w:bCs/>
                <w:sz w:val="24"/>
                <w:szCs w:val="24"/>
                <w:lang w:eastAsia="lv-LV"/>
              </w:rPr>
              <w:t xml:space="preserve"> 2007/46/EK</w:t>
            </w:r>
            <w:r>
              <w:rPr>
                <w:rFonts w:eastAsia="Times New Roman"/>
                <w:bCs/>
                <w:sz w:val="24"/>
                <w:szCs w:val="24"/>
                <w:lang w:eastAsia="lv-LV"/>
              </w:rPr>
              <w:t xml:space="preserve"> </w:t>
            </w:r>
            <w:r>
              <w:rPr>
                <w:sz w:val="23"/>
                <w:szCs w:val="23"/>
              </w:rPr>
              <w:t>4. panta 3. punkts</w:t>
            </w:r>
          </w:p>
        </w:tc>
        <w:tc>
          <w:tcPr>
            <w:tcW w:w="966" w:type="pct"/>
            <w:gridSpan w:val="2"/>
            <w:tcBorders>
              <w:top w:val="single" w:sz="4" w:space="0" w:color="auto"/>
              <w:left w:val="single" w:sz="4" w:space="0" w:color="auto"/>
              <w:bottom w:val="single" w:sz="4" w:space="0" w:color="auto"/>
              <w:right w:val="single" w:sz="4" w:space="0" w:color="auto"/>
            </w:tcBorders>
          </w:tcPr>
          <w:p w14:paraId="521660F8" w14:textId="77777777" w:rsidR="00033B6B" w:rsidRPr="00E110B0" w:rsidRDefault="00033B6B" w:rsidP="00033B6B">
            <w:pPr>
              <w:ind w:firstLine="0"/>
              <w:rPr>
                <w:sz w:val="24"/>
                <w:szCs w:val="24"/>
                <w:lang w:eastAsia="lv-LV"/>
              </w:rPr>
            </w:pPr>
            <w:r>
              <w:rPr>
                <w:sz w:val="24"/>
                <w:szCs w:val="24"/>
                <w:lang w:eastAsia="lv-LV"/>
              </w:rPr>
              <w:t>Projekt</w:t>
            </w:r>
            <w:r w:rsidR="00FB7DE0">
              <w:rPr>
                <w:sz w:val="24"/>
                <w:szCs w:val="24"/>
                <w:lang w:eastAsia="lv-LV"/>
              </w:rPr>
              <w:t>a 5.,6., 7.punkti.</w:t>
            </w:r>
          </w:p>
        </w:tc>
        <w:tc>
          <w:tcPr>
            <w:tcW w:w="1235" w:type="pct"/>
            <w:tcBorders>
              <w:top w:val="single" w:sz="4" w:space="0" w:color="auto"/>
              <w:left w:val="single" w:sz="4" w:space="0" w:color="auto"/>
              <w:bottom w:val="single" w:sz="4" w:space="0" w:color="auto"/>
              <w:right w:val="single" w:sz="4" w:space="0" w:color="auto"/>
            </w:tcBorders>
          </w:tcPr>
          <w:p w14:paraId="3F92F701" w14:textId="77777777" w:rsidR="00033B6B" w:rsidRPr="00E110B0" w:rsidRDefault="00033B6B" w:rsidP="00FB7DE0">
            <w:pPr>
              <w:ind w:firstLine="0"/>
              <w:jc w:val="center"/>
              <w:rPr>
                <w:sz w:val="24"/>
                <w:szCs w:val="24"/>
                <w:lang w:eastAsia="lv-LV"/>
              </w:rPr>
            </w:pPr>
            <w:r w:rsidRPr="00E110B0">
              <w:rPr>
                <w:sz w:val="24"/>
                <w:szCs w:val="24"/>
                <w:lang w:eastAsia="lv-LV"/>
              </w:rPr>
              <w:t>Pārņemts pilnībā</w:t>
            </w:r>
          </w:p>
        </w:tc>
        <w:tc>
          <w:tcPr>
            <w:tcW w:w="1959" w:type="pct"/>
            <w:tcBorders>
              <w:top w:val="single" w:sz="4" w:space="0" w:color="auto"/>
              <w:left w:val="single" w:sz="4" w:space="0" w:color="auto"/>
              <w:bottom w:val="single" w:sz="4" w:space="0" w:color="auto"/>
              <w:right w:val="single" w:sz="4" w:space="0" w:color="auto"/>
            </w:tcBorders>
          </w:tcPr>
          <w:p w14:paraId="041AA88D" w14:textId="77777777" w:rsidR="00033B6B" w:rsidRPr="00E110B0" w:rsidRDefault="00033B6B" w:rsidP="008A5CB4">
            <w:pPr>
              <w:rPr>
                <w:sz w:val="24"/>
                <w:szCs w:val="24"/>
                <w:lang w:eastAsia="lv-LV"/>
              </w:rPr>
            </w:pPr>
            <w:r w:rsidRPr="00E110B0">
              <w:rPr>
                <w:sz w:val="24"/>
                <w:szCs w:val="24"/>
                <w:lang w:eastAsia="lv-LV"/>
              </w:rPr>
              <w:t>Stingrākas prasības neparedz</w:t>
            </w:r>
          </w:p>
        </w:tc>
      </w:tr>
      <w:tr w:rsidR="00033B6B" w:rsidRPr="00E110B0" w14:paraId="3F86DC78" w14:textId="77777777" w:rsidTr="00F906CE">
        <w:tblPrEx>
          <w:tblCellSpacing w:w="0" w:type="dxa"/>
          <w:tblBorders>
            <w:top w:val="outset" w:sz="6" w:space="0" w:color="auto"/>
            <w:left w:val="outset" w:sz="6" w:space="0" w:color="auto"/>
            <w:bottom w:val="outset" w:sz="6" w:space="0" w:color="auto"/>
            <w:right w:val="outset" w:sz="6" w:space="0" w:color="auto"/>
          </w:tblBorders>
          <w:tblCellMar>
            <w:top w:w="0" w:type="dxa"/>
            <w:left w:w="0" w:type="dxa"/>
            <w:bottom w:w="0" w:type="dxa"/>
            <w:right w:w="0" w:type="dxa"/>
          </w:tblCellMar>
        </w:tblPrEx>
        <w:trPr>
          <w:gridAfter w:val="1"/>
          <w:wAfter w:w="17" w:type="pct"/>
          <w:trHeight w:val="266"/>
          <w:tblCellSpacing w:w="0" w:type="dxa"/>
        </w:trPr>
        <w:tc>
          <w:tcPr>
            <w:tcW w:w="823" w:type="pct"/>
            <w:gridSpan w:val="2"/>
            <w:tcBorders>
              <w:top w:val="single" w:sz="4" w:space="0" w:color="auto"/>
              <w:left w:val="single" w:sz="4" w:space="0" w:color="auto"/>
              <w:bottom w:val="single" w:sz="4" w:space="0" w:color="auto"/>
              <w:right w:val="single" w:sz="4" w:space="0" w:color="auto"/>
            </w:tcBorders>
          </w:tcPr>
          <w:p w14:paraId="3855EDED" w14:textId="77777777" w:rsidR="00033B6B" w:rsidRPr="00033B6B" w:rsidRDefault="00033B6B" w:rsidP="00033B6B">
            <w:pPr>
              <w:pStyle w:val="Default"/>
              <w:rPr>
                <w:rFonts w:ascii="Times New Roman" w:hAnsi="Times New Roman" w:cs="Times New Roman"/>
              </w:rPr>
            </w:pPr>
            <w:r w:rsidRPr="00E045AD">
              <w:rPr>
                <w:rFonts w:eastAsia="Times New Roman"/>
              </w:rPr>
              <w:t xml:space="preserve">Direktīva </w:t>
            </w:r>
            <w:r>
              <w:rPr>
                <w:rFonts w:eastAsia="Times New Roman"/>
              </w:rPr>
              <w:t>s</w:t>
            </w:r>
            <w:r w:rsidRPr="00E045AD">
              <w:rPr>
                <w:rFonts w:eastAsia="Times New Roman"/>
              </w:rPr>
              <w:t>70/311/EEK</w:t>
            </w:r>
            <w:r>
              <w:rPr>
                <w:rFonts w:eastAsia="Times New Roman"/>
              </w:rPr>
              <w:t xml:space="preserve"> </w:t>
            </w:r>
          </w:p>
          <w:p w14:paraId="53958120" w14:textId="77777777" w:rsidR="00033B6B" w:rsidRPr="00033B6B" w:rsidRDefault="00033B6B" w:rsidP="00033B6B">
            <w:pPr>
              <w:autoSpaceDE w:val="0"/>
              <w:autoSpaceDN w:val="0"/>
              <w:adjustRightInd w:val="0"/>
              <w:spacing w:line="240" w:lineRule="auto"/>
              <w:ind w:firstLine="0"/>
              <w:jc w:val="left"/>
              <w:rPr>
                <w:color w:val="000000"/>
                <w:sz w:val="23"/>
                <w:szCs w:val="23"/>
                <w:lang w:eastAsia="lv-LV"/>
              </w:rPr>
            </w:pPr>
            <w:r>
              <w:rPr>
                <w:color w:val="000000"/>
                <w:sz w:val="23"/>
                <w:szCs w:val="23"/>
                <w:lang w:eastAsia="lv-LV"/>
              </w:rPr>
              <w:t>2.a pants</w:t>
            </w:r>
          </w:p>
          <w:p w14:paraId="29879546" w14:textId="77777777" w:rsidR="00033B6B" w:rsidRPr="00E110B0" w:rsidRDefault="00033B6B" w:rsidP="00033B6B">
            <w:pPr>
              <w:ind w:firstLine="0"/>
              <w:rPr>
                <w:rFonts w:eastAsia="Times New Roman"/>
                <w:color w:val="000000"/>
                <w:sz w:val="24"/>
                <w:szCs w:val="24"/>
                <w:lang w:eastAsia="lv-LV"/>
              </w:rPr>
            </w:pPr>
          </w:p>
        </w:tc>
        <w:tc>
          <w:tcPr>
            <w:tcW w:w="966" w:type="pct"/>
            <w:gridSpan w:val="2"/>
            <w:tcBorders>
              <w:top w:val="single" w:sz="4" w:space="0" w:color="auto"/>
              <w:left w:val="single" w:sz="4" w:space="0" w:color="auto"/>
              <w:bottom w:val="single" w:sz="4" w:space="0" w:color="auto"/>
              <w:right w:val="single" w:sz="4" w:space="0" w:color="auto"/>
            </w:tcBorders>
          </w:tcPr>
          <w:p w14:paraId="51766071" w14:textId="77777777" w:rsidR="00033B6B" w:rsidRPr="00E110B0" w:rsidRDefault="00FB7DE0" w:rsidP="00033B6B">
            <w:pPr>
              <w:ind w:firstLine="0"/>
              <w:rPr>
                <w:sz w:val="24"/>
                <w:szCs w:val="24"/>
                <w:lang w:eastAsia="lv-LV"/>
              </w:rPr>
            </w:pPr>
            <w:r>
              <w:rPr>
                <w:sz w:val="24"/>
                <w:szCs w:val="24"/>
                <w:lang w:eastAsia="lv-LV"/>
              </w:rPr>
              <w:t>Projekta 5.,6., 7.punkti.</w:t>
            </w:r>
          </w:p>
        </w:tc>
        <w:tc>
          <w:tcPr>
            <w:tcW w:w="1235" w:type="pct"/>
            <w:tcBorders>
              <w:top w:val="single" w:sz="4" w:space="0" w:color="auto"/>
              <w:left w:val="single" w:sz="4" w:space="0" w:color="auto"/>
              <w:bottom w:val="single" w:sz="4" w:space="0" w:color="auto"/>
              <w:right w:val="single" w:sz="4" w:space="0" w:color="auto"/>
            </w:tcBorders>
          </w:tcPr>
          <w:p w14:paraId="455EA9DD" w14:textId="77777777" w:rsidR="00033B6B" w:rsidRPr="00E110B0" w:rsidRDefault="00033B6B" w:rsidP="00FB7DE0">
            <w:pPr>
              <w:jc w:val="center"/>
              <w:rPr>
                <w:sz w:val="24"/>
                <w:szCs w:val="24"/>
                <w:lang w:eastAsia="lv-LV"/>
              </w:rPr>
            </w:pPr>
            <w:r w:rsidRPr="00E110B0">
              <w:rPr>
                <w:sz w:val="24"/>
                <w:szCs w:val="24"/>
                <w:lang w:eastAsia="lv-LV"/>
              </w:rPr>
              <w:t>Pārņemts pilnībā</w:t>
            </w:r>
          </w:p>
        </w:tc>
        <w:tc>
          <w:tcPr>
            <w:tcW w:w="1959" w:type="pct"/>
            <w:tcBorders>
              <w:top w:val="single" w:sz="4" w:space="0" w:color="auto"/>
              <w:left w:val="single" w:sz="4" w:space="0" w:color="auto"/>
              <w:bottom w:val="single" w:sz="4" w:space="0" w:color="auto"/>
              <w:right w:val="single" w:sz="4" w:space="0" w:color="auto"/>
            </w:tcBorders>
          </w:tcPr>
          <w:p w14:paraId="5BA762D1" w14:textId="77777777" w:rsidR="00033B6B" w:rsidRPr="00E110B0" w:rsidRDefault="00033B6B" w:rsidP="008A5CB4">
            <w:pPr>
              <w:rPr>
                <w:sz w:val="24"/>
                <w:szCs w:val="24"/>
                <w:lang w:eastAsia="lv-LV"/>
              </w:rPr>
            </w:pPr>
            <w:r w:rsidRPr="00E110B0">
              <w:rPr>
                <w:sz w:val="24"/>
                <w:szCs w:val="24"/>
                <w:lang w:eastAsia="lv-LV"/>
              </w:rPr>
              <w:t>Stingrākas prasības neparedz</w:t>
            </w:r>
          </w:p>
        </w:tc>
      </w:tr>
      <w:tr w:rsidR="00033B6B" w:rsidRPr="00E110B0" w14:paraId="09CC8886" w14:textId="77777777" w:rsidTr="00F906CE">
        <w:tblPrEx>
          <w:tblCellSpacing w:w="0" w:type="dxa"/>
          <w:tblBorders>
            <w:top w:val="outset" w:sz="6" w:space="0" w:color="auto"/>
            <w:left w:val="outset" w:sz="6" w:space="0" w:color="auto"/>
            <w:bottom w:val="outset" w:sz="6" w:space="0" w:color="auto"/>
            <w:right w:val="outset" w:sz="6" w:space="0" w:color="auto"/>
          </w:tblBorders>
          <w:tblCellMar>
            <w:top w:w="0" w:type="dxa"/>
            <w:left w:w="0" w:type="dxa"/>
            <w:bottom w:w="0" w:type="dxa"/>
            <w:right w:w="0" w:type="dxa"/>
          </w:tblCellMar>
        </w:tblPrEx>
        <w:trPr>
          <w:gridAfter w:val="1"/>
          <w:wAfter w:w="17" w:type="pct"/>
          <w:trHeight w:val="281"/>
          <w:tblCellSpacing w:w="0" w:type="dxa"/>
        </w:trPr>
        <w:tc>
          <w:tcPr>
            <w:tcW w:w="823" w:type="pct"/>
            <w:gridSpan w:val="2"/>
            <w:tcBorders>
              <w:top w:val="single" w:sz="4" w:space="0" w:color="auto"/>
              <w:left w:val="single" w:sz="4" w:space="0" w:color="auto"/>
              <w:bottom w:val="single" w:sz="4" w:space="0" w:color="auto"/>
              <w:right w:val="single" w:sz="4" w:space="0" w:color="auto"/>
            </w:tcBorders>
            <w:vAlign w:val="center"/>
          </w:tcPr>
          <w:p w14:paraId="33C4BAB1" w14:textId="77777777" w:rsidR="00033B6B" w:rsidRPr="00E110B0" w:rsidRDefault="00033B6B" w:rsidP="008A5CB4">
            <w:pPr>
              <w:spacing w:before="100" w:beforeAutospacing="1" w:after="100" w:afterAutospacing="1" w:line="240" w:lineRule="auto"/>
              <w:rPr>
                <w:rFonts w:eastAsia="Times New Roman"/>
                <w:sz w:val="24"/>
                <w:szCs w:val="24"/>
                <w:lang w:eastAsia="lv-LV"/>
              </w:rPr>
            </w:pPr>
            <w:r w:rsidRPr="00E110B0">
              <w:rPr>
                <w:rFonts w:eastAsia="Times New Roman"/>
                <w:sz w:val="24"/>
                <w:szCs w:val="24"/>
                <w:lang w:eastAsia="lv-LV"/>
              </w:rPr>
              <w:t>Kā ir izmantota ES tiesību aktā paredzētā rīcības brīvība dalībvalstij pārņemt vai ieviest noteiktas ES tiesību akta normas.</w:t>
            </w:r>
          </w:p>
          <w:p w14:paraId="1D3ADCA3" w14:textId="77777777" w:rsidR="00033B6B" w:rsidRPr="00E110B0" w:rsidRDefault="00033B6B" w:rsidP="008A5CB4">
            <w:pPr>
              <w:spacing w:before="100" w:beforeAutospacing="1" w:after="100" w:afterAutospacing="1" w:line="240" w:lineRule="auto"/>
              <w:rPr>
                <w:rFonts w:eastAsia="Times New Roman"/>
                <w:sz w:val="24"/>
                <w:szCs w:val="24"/>
                <w:lang w:eastAsia="lv-LV"/>
              </w:rPr>
            </w:pPr>
            <w:r w:rsidRPr="00E110B0">
              <w:rPr>
                <w:rFonts w:eastAsia="Times New Roman"/>
                <w:sz w:val="24"/>
                <w:szCs w:val="24"/>
                <w:lang w:eastAsia="lv-LV"/>
              </w:rPr>
              <w:t>Kādēļ?</w:t>
            </w:r>
          </w:p>
        </w:tc>
        <w:tc>
          <w:tcPr>
            <w:tcW w:w="4160" w:type="pct"/>
            <w:gridSpan w:val="4"/>
            <w:tcBorders>
              <w:top w:val="single" w:sz="4" w:space="0" w:color="auto"/>
              <w:left w:val="single" w:sz="4" w:space="0" w:color="auto"/>
              <w:bottom w:val="single" w:sz="4" w:space="0" w:color="auto"/>
              <w:right w:val="single" w:sz="4" w:space="0" w:color="auto"/>
            </w:tcBorders>
          </w:tcPr>
          <w:p w14:paraId="762F25DD" w14:textId="77777777" w:rsidR="00033B6B" w:rsidRPr="00E110B0" w:rsidRDefault="00FB7DE0" w:rsidP="00FB7DE0">
            <w:pPr>
              <w:ind w:firstLine="0"/>
              <w:jc w:val="center"/>
              <w:rPr>
                <w:sz w:val="24"/>
                <w:szCs w:val="24"/>
              </w:rPr>
            </w:pPr>
            <w:r w:rsidRPr="00BD5F3A">
              <w:rPr>
                <w:sz w:val="24"/>
                <w:szCs w:val="24"/>
              </w:rPr>
              <w:t>Projekts šo jomu neskar.</w:t>
            </w:r>
          </w:p>
        </w:tc>
      </w:tr>
      <w:tr w:rsidR="00033B6B" w:rsidRPr="00E110B0" w14:paraId="212061F8" w14:textId="77777777" w:rsidTr="00F906CE">
        <w:tblPrEx>
          <w:tblCellSpacing w:w="0" w:type="dxa"/>
          <w:tblBorders>
            <w:top w:val="outset" w:sz="6" w:space="0" w:color="auto"/>
            <w:left w:val="outset" w:sz="6" w:space="0" w:color="auto"/>
            <w:bottom w:val="outset" w:sz="6" w:space="0" w:color="auto"/>
            <w:right w:val="outset" w:sz="6" w:space="0" w:color="auto"/>
          </w:tblBorders>
          <w:tblCellMar>
            <w:top w:w="0" w:type="dxa"/>
            <w:left w:w="0" w:type="dxa"/>
            <w:bottom w:w="0" w:type="dxa"/>
            <w:right w:w="0" w:type="dxa"/>
          </w:tblCellMar>
        </w:tblPrEx>
        <w:trPr>
          <w:gridAfter w:val="1"/>
          <w:wAfter w:w="17" w:type="pct"/>
          <w:trHeight w:val="281"/>
          <w:tblCellSpacing w:w="0" w:type="dxa"/>
        </w:trPr>
        <w:tc>
          <w:tcPr>
            <w:tcW w:w="823" w:type="pct"/>
            <w:gridSpan w:val="2"/>
            <w:tcBorders>
              <w:top w:val="single" w:sz="4" w:space="0" w:color="auto"/>
              <w:left w:val="single" w:sz="4" w:space="0" w:color="auto"/>
              <w:bottom w:val="single" w:sz="4" w:space="0" w:color="auto"/>
              <w:right w:val="single" w:sz="4" w:space="0" w:color="auto"/>
            </w:tcBorders>
            <w:vAlign w:val="center"/>
          </w:tcPr>
          <w:p w14:paraId="069E2C43" w14:textId="77777777" w:rsidR="00033B6B" w:rsidRPr="00E110B0" w:rsidRDefault="00033B6B" w:rsidP="008A5CB4">
            <w:pPr>
              <w:spacing w:before="100" w:beforeAutospacing="1" w:after="100" w:afterAutospacing="1" w:line="240" w:lineRule="auto"/>
              <w:rPr>
                <w:rFonts w:eastAsia="Times New Roman"/>
                <w:sz w:val="24"/>
                <w:szCs w:val="24"/>
                <w:lang w:eastAsia="lv-LV"/>
              </w:rPr>
            </w:pPr>
            <w:r w:rsidRPr="00E110B0">
              <w:rPr>
                <w:rFonts w:eastAsia="Times New Roman"/>
                <w:sz w:val="24"/>
                <w:szCs w:val="24"/>
                <w:lang w:eastAsia="lv-LV"/>
              </w:rPr>
              <w:t>Cita informācija</w:t>
            </w:r>
          </w:p>
        </w:tc>
        <w:tc>
          <w:tcPr>
            <w:tcW w:w="4160" w:type="pct"/>
            <w:gridSpan w:val="4"/>
            <w:tcBorders>
              <w:top w:val="single" w:sz="4" w:space="0" w:color="auto"/>
              <w:left w:val="single" w:sz="4" w:space="0" w:color="auto"/>
              <w:bottom w:val="single" w:sz="4" w:space="0" w:color="auto"/>
              <w:right w:val="single" w:sz="4" w:space="0" w:color="auto"/>
            </w:tcBorders>
          </w:tcPr>
          <w:p w14:paraId="7D14C6ED" w14:textId="77777777" w:rsidR="00033B6B" w:rsidRPr="00E110B0" w:rsidRDefault="00033B6B" w:rsidP="00F906CE">
            <w:pPr>
              <w:ind w:firstLine="0"/>
              <w:rPr>
                <w:sz w:val="24"/>
                <w:szCs w:val="24"/>
              </w:rPr>
            </w:pPr>
            <w:r>
              <w:rPr>
                <w:sz w:val="24"/>
                <w:szCs w:val="24"/>
              </w:rPr>
              <w:t>Nav</w:t>
            </w:r>
          </w:p>
        </w:tc>
      </w:tr>
      <w:tr w:rsidR="00FB7DE0" w:rsidRPr="00BD5F3A" w14:paraId="45DCBCCB" w14:textId="77777777" w:rsidTr="00F906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After w:val="1"/>
          <w:wAfter w:w="17" w:type="pct"/>
        </w:trPr>
        <w:tc>
          <w:tcPr>
            <w:tcW w:w="4983" w:type="pct"/>
            <w:gridSpan w:val="6"/>
            <w:shd w:val="clear" w:color="auto" w:fill="auto"/>
            <w:hideMark/>
          </w:tcPr>
          <w:p w14:paraId="725B21E9" w14:textId="77777777" w:rsidR="00FB7DE0" w:rsidRDefault="00FB7DE0" w:rsidP="00FB7DE0">
            <w:pPr>
              <w:spacing w:line="240" w:lineRule="auto"/>
              <w:ind w:firstLine="0"/>
              <w:jc w:val="center"/>
              <w:rPr>
                <w:b/>
                <w:bCs/>
                <w:sz w:val="24"/>
                <w:szCs w:val="24"/>
              </w:rPr>
            </w:pPr>
            <w:r w:rsidRPr="00BD5F3A">
              <w:rPr>
                <w:b/>
                <w:bCs/>
                <w:sz w:val="24"/>
                <w:szCs w:val="24"/>
              </w:rPr>
              <w:t>2.tabula</w:t>
            </w:r>
            <w:r>
              <w:rPr>
                <w:b/>
                <w:bCs/>
                <w:sz w:val="24"/>
                <w:szCs w:val="24"/>
              </w:rPr>
              <w:t xml:space="preserve"> </w:t>
            </w:r>
            <w:r w:rsidRPr="00BD5F3A">
              <w:rPr>
                <w:b/>
                <w:bCs/>
                <w:sz w:val="24"/>
                <w:szCs w:val="24"/>
              </w:rPr>
              <w:t>Ar tiesību akta projektu izpildītās vai uzņemtās saistības, kas izriet no starptautiskajiem tiesību aktiem vai starptautiskas institūcijas vai organizācijas dokumentiem.</w:t>
            </w:r>
          </w:p>
          <w:p w14:paraId="2D30D80A" w14:textId="77777777" w:rsidR="00FB7DE0" w:rsidRPr="00BD5F3A" w:rsidRDefault="00FB7DE0" w:rsidP="00FB7DE0">
            <w:pPr>
              <w:spacing w:line="240" w:lineRule="auto"/>
              <w:ind w:firstLine="0"/>
              <w:jc w:val="center"/>
              <w:rPr>
                <w:b/>
                <w:bCs/>
                <w:sz w:val="24"/>
                <w:szCs w:val="24"/>
              </w:rPr>
            </w:pPr>
            <w:r w:rsidRPr="00BD5F3A">
              <w:rPr>
                <w:b/>
                <w:bCs/>
                <w:sz w:val="24"/>
                <w:szCs w:val="24"/>
              </w:rPr>
              <w:t>Pasākumi šo saistību izpildei</w:t>
            </w:r>
          </w:p>
        </w:tc>
      </w:tr>
      <w:tr w:rsidR="00FB7DE0" w:rsidRPr="00BD5F3A" w14:paraId="7B9862FF" w14:textId="77777777" w:rsidTr="00F906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After w:val="1"/>
          <w:wAfter w:w="17" w:type="pct"/>
        </w:trPr>
        <w:tc>
          <w:tcPr>
            <w:tcW w:w="4983" w:type="pct"/>
            <w:gridSpan w:val="6"/>
            <w:shd w:val="clear" w:color="auto" w:fill="auto"/>
          </w:tcPr>
          <w:p w14:paraId="40438453" w14:textId="77777777" w:rsidR="00FB7DE0" w:rsidRPr="00125E27" w:rsidRDefault="00FB7DE0" w:rsidP="008A5CB4">
            <w:pPr>
              <w:spacing w:line="240" w:lineRule="auto"/>
              <w:ind w:firstLine="0"/>
              <w:jc w:val="left"/>
              <w:rPr>
                <w:sz w:val="16"/>
                <w:szCs w:val="16"/>
              </w:rPr>
            </w:pPr>
          </w:p>
          <w:p w14:paraId="7938300D" w14:textId="77777777" w:rsidR="00FB7DE0" w:rsidRPr="00BD5F3A" w:rsidRDefault="00FB7DE0" w:rsidP="008A5CB4">
            <w:pPr>
              <w:spacing w:line="240" w:lineRule="auto"/>
              <w:ind w:firstLine="0"/>
              <w:jc w:val="center"/>
              <w:rPr>
                <w:b/>
                <w:bCs/>
                <w:sz w:val="24"/>
                <w:szCs w:val="24"/>
              </w:rPr>
            </w:pPr>
            <w:r w:rsidRPr="00BD5F3A">
              <w:rPr>
                <w:sz w:val="24"/>
                <w:szCs w:val="24"/>
              </w:rPr>
              <w:t>Projekts šo jomu neskar.</w:t>
            </w:r>
          </w:p>
        </w:tc>
      </w:tr>
    </w:tbl>
    <w:p w14:paraId="201ACFA4" w14:textId="77777777" w:rsidR="00453A32" w:rsidRDefault="00453A32" w:rsidP="0049568D">
      <w:pPr>
        <w:spacing w:line="240" w:lineRule="auto"/>
        <w:ind w:firstLine="0"/>
        <w:jc w:val="left"/>
        <w:rPr>
          <w:b/>
          <w:bCs/>
          <w:color w:val="414142"/>
          <w:sz w:val="24"/>
          <w:szCs w:val="24"/>
          <w:shd w:val="clear" w:color="auto" w:fill="FFFFFF"/>
        </w:rPr>
      </w:pPr>
    </w:p>
    <w:p w14:paraId="3F9C9BEC" w14:textId="77777777" w:rsidR="00747F28" w:rsidRPr="00C708B6" w:rsidRDefault="00747F28" w:rsidP="0049568D">
      <w:pPr>
        <w:spacing w:line="240" w:lineRule="auto"/>
        <w:ind w:firstLine="0"/>
        <w:jc w:val="left"/>
        <w:rPr>
          <w:b/>
          <w:bCs/>
          <w:color w:val="414142"/>
          <w:sz w:val="24"/>
          <w:szCs w:val="24"/>
          <w:shd w:val="clear" w:color="auto" w:fill="FFFFFF"/>
        </w:rPr>
      </w:pPr>
    </w:p>
    <w:tbl>
      <w:tblPr>
        <w:tblW w:w="964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25"/>
        <w:gridCol w:w="3119"/>
        <w:gridCol w:w="6105"/>
      </w:tblGrid>
      <w:tr w:rsidR="00C12E85" w:rsidRPr="00C12E85" w14:paraId="5891AE72" w14:textId="77777777" w:rsidTr="00453A32">
        <w:trPr>
          <w:trHeight w:val="170"/>
        </w:trPr>
        <w:tc>
          <w:tcPr>
            <w:tcW w:w="9649" w:type="dxa"/>
            <w:gridSpan w:val="3"/>
          </w:tcPr>
          <w:p w14:paraId="7616824D" w14:textId="77777777" w:rsidR="00C12E85" w:rsidRPr="00C12E85" w:rsidRDefault="00C12E85" w:rsidP="003E08B6">
            <w:pPr>
              <w:pStyle w:val="Parastais1"/>
              <w:jc w:val="center"/>
            </w:pPr>
            <w:r w:rsidRPr="00C12E85">
              <w:rPr>
                <w:b/>
              </w:rPr>
              <w:t>VI. Sabiedrības līdzdalība un komunikācijas aktivitātes</w:t>
            </w:r>
          </w:p>
        </w:tc>
      </w:tr>
      <w:tr w:rsidR="00C12E85" w:rsidRPr="00C12E85" w14:paraId="6A7BE9A1" w14:textId="77777777" w:rsidTr="00453A32">
        <w:trPr>
          <w:trHeight w:val="553"/>
        </w:trPr>
        <w:tc>
          <w:tcPr>
            <w:tcW w:w="425" w:type="dxa"/>
          </w:tcPr>
          <w:p w14:paraId="67DE2999" w14:textId="77777777" w:rsidR="00C12E85" w:rsidRPr="00C12E85" w:rsidRDefault="00C12E85" w:rsidP="00C12E85">
            <w:pPr>
              <w:pStyle w:val="Parastais1"/>
              <w:jc w:val="both"/>
            </w:pPr>
            <w:r w:rsidRPr="00C12E85">
              <w:t>1.</w:t>
            </w:r>
          </w:p>
        </w:tc>
        <w:tc>
          <w:tcPr>
            <w:tcW w:w="3119" w:type="dxa"/>
          </w:tcPr>
          <w:p w14:paraId="50EEB8C9" w14:textId="77777777" w:rsidR="00C12E85" w:rsidRPr="00C12E85" w:rsidRDefault="00C12E85" w:rsidP="00453A32">
            <w:pPr>
              <w:pStyle w:val="Parastais1"/>
              <w:ind w:right="142"/>
              <w:jc w:val="both"/>
            </w:pPr>
            <w:r w:rsidRPr="00C12E85">
              <w:t>Plānotās sabiedrības līdzdalības un komunikācijas aktivitātes saistībā ar projektu</w:t>
            </w:r>
          </w:p>
        </w:tc>
        <w:tc>
          <w:tcPr>
            <w:tcW w:w="6105" w:type="dxa"/>
          </w:tcPr>
          <w:p w14:paraId="7133C791" w14:textId="77777777" w:rsidR="00C12E85" w:rsidRPr="00C12E85" w:rsidRDefault="00C12E85" w:rsidP="00453A32">
            <w:pPr>
              <w:pStyle w:val="Parastais1"/>
              <w:ind w:left="142" w:right="152"/>
              <w:jc w:val="both"/>
            </w:pPr>
            <w:r w:rsidRPr="00C12E85">
              <w:t>Atbilstoši Ministru kabineta 2009.gada 25.augusta noteikumu Nr.970 „Sabiedrības līdzdalības kārtība attīstības plānošanas procesā” 7.4.</w:t>
            </w:r>
            <w:r w:rsidRPr="00C12E85">
              <w:rPr>
                <w:vertAlign w:val="superscript"/>
              </w:rPr>
              <w:t xml:space="preserve">1 </w:t>
            </w:r>
            <w:r w:rsidRPr="00C12E85">
              <w:t>apakšpunktam, sabiedrībai tika dota iespēja rakstiski sniegt viedokli par noteikumu projektu tā izstrādes stadijā.</w:t>
            </w:r>
          </w:p>
        </w:tc>
      </w:tr>
      <w:tr w:rsidR="00C12E85" w:rsidRPr="00C12E85" w14:paraId="7E4E18AE" w14:textId="77777777" w:rsidTr="00453A32">
        <w:trPr>
          <w:trHeight w:val="339"/>
        </w:trPr>
        <w:tc>
          <w:tcPr>
            <w:tcW w:w="425" w:type="dxa"/>
          </w:tcPr>
          <w:p w14:paraId="2EBEAB51" w14:textId="77777777" w:rsidR="00C12E85" w:rsidRPr="00C12E85" w:rsidRDefault="00C12E85" w:rsidP="00C12E85">
            <w:pPr>
              <w:pStyle w:val="Parastais1"/>
              <w:jc w:val="both"/>
            </w:pPr>
            <w:r w:rsidRPr="00C12E85">
              <w:t>2.</w:t>
            </w:r>
          </w:p>
        </w:tc>
        <w:tc>
          <w:tcPr>
            <w:tcW w:w="3119" w:type="dxa"/>
          </w:tcPr>
          <w:p w14:paraId="63BF167E" w14:textId="77777777" w:rsidR="00C12E85" w:rsidRPr="00C12E85" w:rsidRDefault="00C12E85" w:rsidP="00453A32">
            <w:pPr>
              <w:pStyle w:val="Parastais1"/>
              <w:ind w:right="142"/>
              <w:jc w:val="both"/>
            </w:pPr>
            <w:r w:rsidRPr="00C12E85">
              <w:t>Sabiedrības līdzdalība projekta izstrādē</w:t>
            </w:r>
          </w:p>
        </w:tc>
        <w:tc>
          <w:tcPr>
            <w:tcW w:w="6105" w:type="dxa"/>
          </w:tcPr>
          <w:p w14:paraId="34CED856" w14:textId="77777777" w:rsidR="00C12E85" w:rsidRPr="00C12E85" w:rsidRDefault="008D1CC5" w:rsidP="00453A32">
            <w:pPr>
              <w:ind w:left="142" w:right="152" w:firstLine="0"/>
              <w:rPr>
                <w:rFonts w:eastAsia="Times New Roman"/>
                <w:sz w:val="24"/>
                <w:szCs w:val="24"/>
                <w:lang w:eastAsia="lv-LV"/>
              </w:rPr>
            </w:pPr>
            <w:r w:rsidRPr="008D1CC5">
              <w:rPr>
                <w:rFonts w:eastAsia="Times New Roman"/>
                <w:bCs/>
                <w:sz w:val="24"/>
                <w:szCs w:val="24"/>
                <w:lang w:eastAsia="lv-LV"/>
              </w:rPr>
              <w:t>Paziņojums par līdzdalības iespējām tiesību akta izstrādes procesā ievietots Satiksmes ministrijas tīmekļa</w:t>
            </w:r>
            <w:r>
              <w:rPr>
                <w:rFonts w:eastAsia="Times New Roman"/>
                <w:bCs/>
                <w:sz w:val="24"/>
                <w:szCs w:val="24"/>
                <w:lang w:eastAsia="lv-LV"/>
              </w:rPr>
              <w:t xml:space="preserve"> vietnē 2018.gada </w:t>
            </w:r>
            <w:r w:rsidR="00DD4186">
              <w:rPr>
                <w:rFonts w:eastAsia="Times New Roman"/>
                <w:bCs/>
                <w:sz w:val="24"/>
                <w:szCs w:val="24"/>
                <w:lang w:eastAsia="lv-LV"/>
              </w:rPr>
              <w:t>17.aprīlī</w:t>
            </w:r>
            <w:r>
              <w:rPr>
                <w:rFonts w:eastAsia="Times New Roman"/>
                <w:bCs/>
                <w:sz w:val="24"/>
                <w:szCs w:val="24"/>
                <w:lang w:eastAsia="lv-LV"/>
              </w:rPr>
              <w:t>.</w:t>
            </w:r>
          </w:p>
        </w:tc>
      </w:tr>
      <w:tr w:rsidR="00C12E85" w:rsidRPr="00C12E85" w14:paraId="78D0A908" w14:textId="77777777" w:rsidTr="00453A32">
        <w:trPr>
          <w:trHeight w:val="476"/>
        </w:trPr>
        <w:tc>
          <w:tcPr>
            <w:tcW w:w="425" w:type="dxa"/>
          </w:tcPr>
          <w:p w14:paraId="1515C951" w14:textId="77777777" w:rsidR="00C12E85" w:rsidRPr="00C12E85" w:rsidRDefault="00C12E85" w:rsidP="00C12E85">
            <w:pPr>
              <w:pStyle w:val="Parastais1"/>
            </w:pPr>
            <w:r w:rsidRPr="00C12E85">
              <w:t>3.</w:t>
            </w:r>
          </w:p>
        </w:tc>
        <w:tc>
          <w:tcPr>
            <w:tcW w:w="3119" w:type="dxa"/>
          </w:tcPr>
          <w:p w14:paraId="7FD8F6DF" w14:textId="77777777" w:rsidR="00C12E85" w:rsidRPr="00C12E85" w:rsidRDefault="00C12E85" w:rsidP="00453A32">
            <w:pPr>
              <w:pStyle w:val="Parastais1"/>
              <w:ind w:right="142"/>
              <w:jc w:val="both"/>
            </w:pPr>
            <w:r w:rsidRPr="00C12E85">
              <w:t>Sabiedrības līdzdalības rezultāti</w:t>
            </w:r>
          </w:p>
        </w:tc>
        <w:tc>
          <w:tcPr>
            <w:tcW w:w="6105" w:type="dxa"/>
          </w:tcPr>
          <w:p w14:paraId="4183D008" w14:textId="77777777" w:rsidR="00C12E85" w:rsidRPr="00C12E85" w:rsidRDefault="00C12E85" w:rsidP="00453A32">
            <w:pPr>
              <w:pStyle w:val="Parastais1"/>
              <w:ind w:left="142" w:right="152"/>
            </w:pPr>
            <w:r w:rsidRPr="00C12E85">
              <w:t>Sabiedrības atsauksmes nav saņemtas</w:t>
            </w:r>
            <w:r w:rsidR="00E53CE2">
              <w:t>.</w:t>
            </w:r>
          </w:p>
        </w:tc>
      </w:tr>
      <w:tr w:rsidR="00C12E85" w:rsidRPr="00C12E85" w14:paraId="2CAECBCD" w14:textId="77777777" w:rsidTr="00453A32">
        <w:trPr>
          <w:trHeight w:val="476"/>
        </w:trPr>
        <w:tc>
          <w:tcPr>
            <w:tcW w:w="425" w:type="dxa"/>
          </w:tcPr>
          <w:p w14:paraId="77F187D9" w14:textId="77777777" w:rsidR="00C12E85" w:rsidRPr="00C12E85" w:rsidRDefault="00C12E85" w:rsidP="00C12E85">
            <w:pPr>
              <w:pStyle w:val="Parastais1"/>
            </w:pPr>
            <w:r w:rsidRPr="00C12E85">
              <w:t>4.</w:t>
            </w:r>
          </w:p>
        </w:tc>
        <w:tc>
          <w:tcPr>
            <w:tcW w:w="3119" w:type="dxa"/>
          </w:tcPr>
          <w:p w14:paraId="07F57810" w14:textId="77777777" w:rsidR="00C12E85" w:rsidRPr="00C12E85" w:rsidRDefault="00C12E85" w:rsidP="00453A32">
            <w:pPr>
              <w:pStyle w:val="Parastais1"/>
              <w:ind w:right="142"/>
            </w:pPr>
            <w:r w:rsidRPr="00C12E85">
              <w:t>Cita informācija</w:t>
            </w:r>
          </w:p>
        </w:tc>
        <w:tc>
          <w:tcPr>
            <w:tcW w:w="6105" w:type="dxa"/>
          </w:tcPr>
          <w:p w14:paraId="6F0BA466" w14:textId="77777777" w:rsidR="00C12E85" w:rsidRPr="00C12E85" w:rsidRDefault="00C12E85" w:rsidP="00453A32">
            <w:pPr>
              <w:pStyle w:val="Parastais1"/>
              <w:ind w:left="142" w:right="152"/>
            </w:pPr>
            <w:r w:rsidRPr="00C12E85">
              <w:t>Nav</w:t>
            </w:r>
          </w:p>
        </w:tc>
      </w:tr>
    </w:tbl>
    <w:p w14:paraId="48CD3CEE" w14:textId="77777777" w:rsidR="006B70C5" w:rsidRPr="00C708B6" w:rsidRDefault="006B70C5" w:rsidP="00FB77E7">
      <w:pPr>
        <w:pStyle w:val="Parastais1"/>
        <w:jc w:val="both"/>
      </w:pPr>
    </w:p>
    <w:tbl>
      <w:tblPr>
        <w:tblpPr w:leftFromText="180" w:rightFromText="180" w:vertAnchor="text" w:horzAnchor="margin" w:tblpX="183" w:tblpY="113"/>
        <w:tblW w:w="5168"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425"/>
        <w:gridCol w:w="3195"/>
        <w:gridCol w:w="6127"/>
      </w:tblGrid>
      <w:tr w:rsidR="00FB77E7" w:rsidRPr="00C708B6" w14:paraId="23F0F26E" w14:textId="77777777" w:rsidTr="00DD7291">
        <w:tc>
          <w:tcPr>
            <w:tcW w:w="5000" w:type="pct"/>
            <w:gridSpan w:val="3"/>
          </w:tcPr>
          <w:p w14:paraId="04A75EEA" w14:textId="77777777" w:rsidR="00FB77E7" w:rsidRPr="00C708B6" w:rsidRDefault="00FB77E7" w:rsidP="006B63E0">
            <w:pPr>
              <w:pStyle w:val="Parastais1"/>
              <w:spacing w:before="100" w:beforeAutospacing="1" w:after="100" w:afterAutospacing="1"/>
              <w:jc w:val="center"/>
              <w:rPr>
                <w:b/>
                <w:bCs/>
              </w:rPr>
            </w:pPr>
            <w:r w:rsidRPr="00C708B6">
              <w:rPr>
                <w:b/>
                <w:bCs/>
              </w:rPr>
              <w:t>VII. Tiesību akta projekta izpildes nodrošināšana un tās ietekme uz institūcijām</w:t>
            </w:r>
          </w:p>
        </w:tc>
      </w:tr>
      <w:tr w:rsidR="00DD020E" w:rsidRPr="00C708B6" w14:paraId="548117A5" w14:textId="77777777" w:rsidTr="00DD7291">
        <w:tc>
          <w:tcPr>
            <w:tcW w:w="218" w:type="pct"/>
          </w:tcPr>
          <w:p w14:paraId="6D911B02" w14:textId="77777777" w:rsidR="00DD020E" w:rsidRPr="00C708B6" w:rsidRDefault="00DD020E" w:rsidP="006B63E0">
            <w:pPr>
              <w:pStyle w:val="Parastais1"/>
              <w:spacing w:before="100" w:beforeAutospacing="1" w:after="100" w:afterAutospacing="1"/>
            </w:pPr>
            <w:r w:rsidRPr="00C708B6">
              <w:t>1.</w:t>
            </w:r>
          </w:p>
        </w:tc>
        <w:tc>
          <w:tcPr>
            <w:tcW w:w="1639" w:type="pct"/>
          </w:tcPr>
          <w:p w14:paraId="72C60CA4" w14:textId="77777777" w:rsidR="00DD020E" w:rsidRPr="00C708B6" w:rsidRDefault="00DD020E" w:rsidP="006B63E0">
            <w:pPr>
              <w:pStyle w:val="Parastais1"/>
              <w:spacing w:before="100" w:beforeAutospacing="1" w:after="100" w:afterAutospacing="1"/>
            </w:pPr>
            <w:r w:rsidRPr="00C708B6">
              <w:t>Projekta izpildē iesaistītās institūcijas</w:t>
            </w:r>
          </w:p>
        </w:tc>
        <w:tc>
          <w:tcPr>
            <w:tcW w:w="3143" w:type="pct"/>
          </w:tcPr>
          <w:p w14:paraId="32DFE597" w14:textId="77777777" w:rsidR="00DD020E" w:rsidRPr="002C1B56" w:rsidRDefault="00FB7DE0" w:rsidP="006B63E0">
            <w:pPr>
              <w:spacing w:after="120" w:line="240" w:lineRule="auto"/>
              <w:ind w:firstLine="0"/>
              <w:rPr>
                <w:rFonts w:eastAsia="Times New Roman"/>
                <w:sz w:val="24"/>
                <w:szCs w:val="24"/>
                <w:lang w:eastAsia="lv-LV"/>
              </w:rPr>
            </w:pPr>
            <w:r>
              <w:rPr>
                <w:rFonts w:eastAsia="Times New Roman"/>
                <w:sz w:val="24"/>
                <w:szCs w:val="24"/>
                <w:lang w:eastAsia="lv-LV"/>
              </w:rPr>
              <w:t>VAS “</w:t>
            </w:r>
            <w:r w:rsidR="008D1CC5" w:rsidRPr="002C1B56">
              <w:rPr>
                <w:rFonts w:eastAsia="Times New Roman"/>
                <w:sz w:val="24"/>
                <w:szCs w:val="24"/>
                <w:lang w:eastAsia="lv-LV"/>
              </w:rPr>
              <w:t>Ceļu satiksmes drošības direkcija</w:t>
            </w:r>
            <w:r>
              <w:rPr>
                <w:rFonts w:eastAsia="Times New Roman"/>
                <w:sz w:val="24"/>
                <w:szCs w:val="24"/>
                <w:lang w:eastAsia="lv-LV"/>
              </w:rPr>
              <w:t>”</w:t>
            </w:r>
            <w:r w:rsidR="008D1CC5" w:rsidRPr="002C1B56">
              <w:rPr>
                <w:rFonts w:eastAsia="Times New Roman"/>
                <w:sz w:val="24"/>
                <w:szCs w:val="24"/>
                <w:lang w:eastAsia="lv-LV"/>
              </w:rPr>
              <w:t xml:space="preserve"> un Valsts policija, veicot transportlīdzekļu tehniskā stāvokļa novērtējumu, tiem piedaloties ceļu satiksmē.</w:t>
            </w:r>
          </w:p>
          <w:p w14:paraId="5277AEFE" w14:textId="77777777" w:rsidR="002C1B56" w:rsidRPr="002C1B56" w:rsidRDefault="002C1B56" w:rsidP="006B63E0">
            <w:pPr>
              <w:spacing w:after="120" w:line="240" w:lineRule="auto"/>
              <w:ind w:firstLine="0"/>
              <w:rPr>
                <w:rFonts w:eastAsia="Times New Roman"/>
                <w:sz w:val="24"/>
                <w:szCs w:val="24"/>
                <w:lang w:eastAsia="lv-LV"/>
              </w:rPr>
            </w:pPr>
            <w:r w:rsidRPr="002C1B56">
              <w:rPr>
                <w:rFonts w:eastAsia="Times New Roman"/>
                <w:sz w:val="24"/>
                <w:szCs w:val="24"/>
                <w:lang w:eastAsia="lv-LV"/>
              </w:rPr>
              <w:t>Valsts ieņ</w:t>
            </w:r>
            <w:r>
              <w:rPr>
                <w:rFonts w:eastAsia="Times New Roman"/>
                <w:sz w:val="24"/>
                <w:szCs w:val="24"/>
                <w:lang w:eastAsia="lv-LV"/>
              </w:rPr>
              <w:t>ē</w:t>
            </w:r>
            <w:r w:rsidRPr="002C1B56">
              <w:rPr>
                <w:rFonts w:eastAsia="Times New Roman"/>
                <w:sz w:val="24"/>
                <w:szCs w:val="24"/>
                <w:lang w:eastAsia="lv-LV"/>
              </w:rPr>
              <w:t>mumu dienests</w:t>
            </w:r>
            <w:r>
              <w:rPr>
                <w:rFonts w:eastAsia="Times New Roman"/>
                <w:sz w:val="24"/>
                <w:szCs w:val="24"/>
                <w:lang w:eastAsia="lv-LV"/>
              </w:rPr>
              <w:t xml:space="preserve"> attiecībā par prasībām taksometru skaitītājiem nodos d</w:t>
            </w:r>
            <w:r w:rsidRPr="002C1B56">
              <w:rPr>
                <w:sz w:val="24"/>
                <w:szCs w:val="24"/>
                <w:lang w:eastAsia="lv-LV"/>
              </w:rPr>
              <w:t>atus par apstiprināta skaitītāja tipu transportlīdzekļu reģistrā</w:t>
            </w:r>
            <w:r>
              <w:rPr>
                <w:sz w:val="24"/>
                <w:szCs w:val="24"/>
                <w:lang w:eastAsia="lv-LV"/>
              </w:rPr>
              <w:t>.</w:t>
            </w:r>
          </w:p>
        </w:tc>
      </w:tr>
      <w:tr w:rsidR="00DD020E" w:rsidRPr="00C708B6" w14:paraId="6ECC20AD" w14:textId="77777777" w:rsidTr="00DD7291">
        <w:tc>
          <w:tcPr>
            <w:tcW w:w="218" w:type="pct"/>
          </w:tcPr>
          <w:p w14:paraId="7774F8D1" w14:textId="77777777" w:rsidR="00DD020E" w:rsidRPr="00C708B6" w:rsidRDefault="00DD020E" w:rsidP="006B63E0">
            <w:pPr>
              <w:pStyle w:val="Parastais1"/>
              <w:spacing w:before="100" w:beforeAutospacing="1" w:after="100" w:afterAutospacing="1"/>
            </w:pPr>
            <w:r w:rsidRPr="00C708B6">
              <w:lastRenderedPageBreak/>
              <w:t>2.</w:t>
            </w:r>
          </w:p>
        </w:tc>
        <w:tc>
          <w:tcPr>
            <w:tcW w:w="1639" w:type="pct"/>
          </w:tcPr>
          <w:p w14:paraId="5D7A6EFF" w14:textId="77777777" w:rsidR="00DD020E" w:rsidRPr="00C708B6" w:rsidRDefault="00DD020E" w:rsidP="00747F28">
            <w:pPr>
              <w:pStyle w:val="Parastais1"/>
              <w:spacing w:before="100" w:beforeAutospacing="1" w:after="100" w:afterAutospacing="1"/>
            </w:pPr>
            <w:r w:rsidRPr="00C708B6">
              <w:t xml:space="preserve">Projekta izpildes ietekme uz pārvaldes funkcijām un institucionālo struktūru. </w:t>
            </w:r>
            <w:r w:rsidR="00413347" w:rsidRPr="00C708B6">
              <w:t>Jaunu institūciju izveide, esošu institūciju likvidācija vai reorganizācija, to ietekme uz institūcijas cilvēkresursiem.</w:t>
            </w:r>
          </w:p>
        </w:tc>
        <w:tc>
          <w:tcPr>
            <w:tcW w:w="3143" w:type="pct"/>
          </w:tcPr>
          <w:p w14:paraId="3D011D41" w14:textId="4F628F5D" w:rsidR="00DD020E" w:rsidRPr="00C708B6" w:rsidRDefault="00575A95" w:rsidP="006B63E0">
            <w:pPr>
              <w:spacing w:after="120" w:line="240" w:lineRule="auto"/>
              <w:ind w:firstLine="0"/>
              <w:rPr>
                <w:rFonts w:eastAsia="Times New Roman"/>
                <w:color w:val="000000"/>
                <w:sz w:val="24"/>
                <w:szCs w:val="24"/>
                <w:lang w:eastAsia="lv-LV"/>
              </w:rPr>
            </w:pPr>
            <w:r w:rsidRPr="00C708B6">
              <w:rPr>
                <w:rFonts w:eastAsia="Times New Roman"/>
                <w:color w:val="000000"/>
                <w:sz w:val="24"/>
                <w:szCs w:val="24"/>
                <w:lang w:eastAsia="lv-LV"/>
              </w:rPr>
              <w:t>Normatīvā akta izpild</w:t>
            </w:r>
            <w:r w:rsidR="00E53CE2">
              <w:rPr>
                <w:rFonts w:eastAsia="Times New Roman"/>
                <w:color w:val="000000"/>
                <w:sz w:val="24"/>
                <w:szCs w:val="24"/>
                <w:lang w:eastAsia="lv-LV"/>
              </w:rPr>
              <w:t xml:space="preserve">i </w:t>
            </w:r>
            <w:r w:rsidR="00FB7DE0">
              <w:rPr>
                <w:rFonts w:eastAsia="Times New Roman"/>
                <w:sz w:val="24"/>
                <w:szCs w:val="24"/>
                <w:lang w:eastAsia="lv-LV"/>
              </w:rPr>
              <w:t xml:space="preserve"> VAS “</w:t>
            </w:r>
            <w:r w:rsidR="00FB7DE0" w:rsidRPr="002C1B56">
              <w:rPr>
                <w:rFonts w:eastAsia="Times New Roman"/>
                <w:sz w:val="24"/>
                <w:szCs w:val="24"/>
                <w:lang w:eastAsia="lv-LV"/>
              </w:rPr>
              <w:t>Ceļu satiksmes drošības direkcija</w:t>
            </w:r>
            <w:r w:rsidR="00FB7DE0">
              <w:rPr>
                <w:rFonts w:eastAsia="Times New Roman"/>
                <w:sz w:val="24"/>
                <w:szCs w:val="24"/>
                <w:lang w:eastAsia="lv-LV"/>
              </w:rPr>
              <w:t>”, Valsts ieņēmumu dienests</w:t>
            </w:r>
            <w:r w:rsidR="00F906CE">
              <w:rPr>
                <w:rFonts w:eastAsia="Times New Roman"/>
                <w:sz w:val="24"/>
                <w:szCs w:val="24"/>
                <w:lang w:eastAsia="lv-LV"/>
              </w:rPr>
              <w:t xml:space="preserve"> </w:t>
            </w:r>
            <w:r w:rsidR="00E53CE2" w:rsidRPr="002C1B56">
              <w:rPr>
                <w:rFonts w:eastAsia="Times New Roman"/>
                <w:sz w:val="24"/>
                <w:szCs w:val="24"/>
                <w:lang w:eastAsia="lv-LV"/>
              </w:rPr>
              <w:t>un Valsts policija</w:t>
            </w:r>
            <w:r w:rsidR="00E53CE2">
              <w:rPr>
                <w:rFonts w:eastAsia="Times New Roman"/>
                <w:sz w:val="24"/>
                <w:szCs w:val="24"/>
                <w:lang w:eastAsia="lv-LV"/>
              </w:rPr>
              <w:t xml:space="preserve"> </w:t>
            </w:r>
            <w:r w:rsidRPr="00C708B6">
              <w:rPr>
                <w:rFonts w:eastAsia="Times New Roman"/>
                <w:color w:val="000000"/>
                <w:sz w:val="24"/>
                <w:szCs w:val="24"/>
                <w:lang w:eastAsia="lv-LV"/>
              </w:rPr>
              <w:t>nodrošinā</w:t>
            </w:r>
            <w:r w:rsidR="00E53CE2">
              <w:rPr>
                <w:rFonts w:eastAsia="Times New Roman"/>
                <w:color w:val="000000"/>
                <w:sz w:val="24"/>
                <w:szCs w:val="24"/>
                <w:lang w:eastAsia="lv-LV"/>
              </w:rPr>
              <w:t>s</w:t>
            </w:r>
            <w:r w:rsidRPr="00C708B6">
              <w:rPr>
                <w:rFonts w:eastAsia="Times New Roman"/>
                <w:color w:val="000000"/>
                <w:sz w:val="24"/>
                <w:szCs w:val="24"/>
                <w:lang w:eastAsia="lv-LV"/>
              </w:rPr>
              <w:t xml:space="preserve"> līdzšinējo funkciju ietvaros.</w:t>
            </w:r>
          </w:p>
        </w:tc>
      </w:tr>
      <w:tr w:rsidR="00FB77E7" w:rsidRPr="00C708B6" w14:paraId="60B26966" w14:textId="77777777" w:rsidTr="00DD7291">
        <w:tc>
          <w:tcPr>
            <w:tcW w:w="218" w:type="pct"/>
          </w:tcPr>
          <w:p w14:paraId="280E736D" w14:textId="77777777" w:rsidR="00FB77E7" w:rsidRPr="00C708B6" w:rsidRDefault="00FB77E7" w:rsidP="006B63E0">
            <w:pPr>
              <w:pStyle w:val="Parastais1"/>
              <w:spacing w:before="100" w:beforeAutospacing="1" w:after="100" w:afterAutospacing="1"/>
              <w:jc w:val="both"/>
            </w:pPr>
            <w:r w:rsidRPr="00C708B6">
              <w:t>3.</w:t>
            </w:r>
          </w:p>
        </w:tc>
        <w:tc>
          <w:tcPr>
            <w:tcW w:w="1639" w:type="pct"/>
          </w:tcPr>
          <w:p w14:paraId="4D6EE9B3" w14:textId="77777777" w:rsidR="00FB77E7" w:rsidRPr="00C708B6" w:rsidRDefault="00FB77E7" w:rsidP="006B63E0">
            <w:pPr>
              <w:pStyle w:val="Parastais1"/>
              <w:spacing w:before="100" w:beforeAutospacing="1" w:after="100" w:afterAutospacing="1"/>
              <w:jc w:val="both"/>
            </w:pPr>
            <w:r w:rsidRPr="00C708B6">
              <w:t>Cita informācija</w:t>
            </w:r>
          </w:p>
        </w:tc>
        <w:tc>
          <w:tcPr>
            <w:tcW w:w="3143" w:type="pct"/>
          </w:tcPr>
          <w:p w14:paraId="33084E59" w14:textId="77777777" w:rsidR="00FB77E7" w:rsidRPr="00C708B6" w:rsidRDefault="00FB77E7" w:rsidP="006B63E0">
            <w:pPr>
              <w:pStyle w:val="Parastais1"/>
              <w:spacing w:before="100" w:beforeAutospacing="1" w:after="100" w:afterAutospacing="1"/>
              <w:jc w:val="both"/>
            </w:pPr>
            <w:r w:rsidRPr="00C708B6">
              <w:t>Nav</w:t>
            </w:r>
          </w:p>
        </w:tc>
      </w:tr>
    </w:tbl>
    <w:p w14:paraId="37824951" w14:textId="77777777" w:rsidR="00FB77E7" w:rsidRPr="00C708B6" w:rsidRDefault="00FB77E7" w:rsidP="00747849">
      <w:pPr>
        <w:spacing w:before="58" w:after="58"/>
        <w:ind w:right="-341" w:firstLine="0"/>
        <w:rPr>
          <w:szCs w:val="28"/>
        </w:rPr>
      </w:pPr>
    </w:p>
    <w:p w14:paraId="1C438B69" w14:textId="77777777" w:rsidR="00DB7D47" w:rsidRDefault="003E7BFA" w:rsidP="00747F28">
      <w:pPr>
        <w:spacing w:line="240" w:lineRule="auto"/>
        <w:ind w:left="567" w:right="-341" w:firstLine="0"/>
        <w:rPr>
          <w:sz w:val="24"/>
          <w:szCs w:val="24"/>
        </w:rPr>
      </w:pPr>
      <w:r w:rsidRPr="00DB7D47">
        <w:rPr>
          <w:sz w:val="24"/>
          <w:szCs w:val="24"/>
        </w:rPr>
        <w:t>Satiksmes ministr</w:t>
      </w:r>
      <w:r w:rsidR="00DB7D47" w:rsidRPr="00DB7D47">
        <w:rPr>
          <w:sz w:val="24"/>
          <w:szCs w:val="24"/>
        </w:rPr>
        <w:t>a vietā</w:t>
      </w:r>
      <w:r w:rsidR="00DB7D47">
        <w:rPr>
          <w:sz w:val="24"/>
          <w:szCs w:val="24"/>
        </w:rPr>
        <w:t xml:space="preserve"> –</w:t>
      </w:r>
    </w:p>
    <w:p w14:paraId="6647EC98" w14:textId="77777777" w:rsidR="003E7BFA" w:rsidRPr="00DB7D47" w:rsidRDefault="00DB7D47" w:rsidP="00DB7D47">
      <w:pPr>
        <w:spacing w:line="240" w:lineRule="auto"/>
        <w:ind w:left="567" w:right="-341" w:firstLine="0"/>
        <w:rPr>
          <w:sz w:val="24"/>
          <w:szCs w:val="24"/>
        </w:rPr>
      </w:pPr>
      <w:r>
        <w:rPr>
          <w:sz w:val="24"/>
          <w:szCs w:val="24"/>
        </w:rPr>
        <w:t>Veselības ministre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AC1735">
        <w:rPr>
          <w:sz w:val="24"/>
          <w:szCs w:val="24"/>
        </w:rPr>
        <w:tab/>
      </w:r>
      <w:r>
        <w:rPr>
          <w:sz w:val="24"/>
          <w:szCs w:val="24"/>
        </w:rPr>
        <w:tab/>
        <w:t>A.Čakša</w:t>
      </w:r>
      <w:r w:rsidR="003E7BFA" w:rsidRPr="00DB7D47">
        <w:rPr>
          <w:sz w:val="24"/>
          <w:szCs w:val="24"/>
        </w:rPr>
        <w:tab/>
      </w:r>
      <w:r w:rsidR="003E7BFA" w:rsidRPr="00DB7D47">
        <w:rPr>
          <w:sz w:val="24"/>
          <w:szCs w:val="24"/>
        </w:rPr>
        <w:tab/>
      </w:r>
      <w:r w:rsidR="003E7BFA" w:rsidRPr="00DB7D47">
        <w:rPr>
          <w:sz w:val="24"/>
          <w:szCs w:val="24"/>
        </w:rPr>
        <w:tab/>
      </w:r>
      <w:r w:rsidR="003E7BFA" w:rsidRPr="00DB7D47">
        <w:rPr>
          <w:sz w:val="24"/>
          <w:szCs w:val="24"/>
        </w:rPr>
        <w:tab/>
      </w:r>
      <w:r w:rsidR="003E7BFA" w:rsidRPr="00DB7D47">
        <w:rPr>
          <w:sz w:val="24"/>
          <w:szCs w:val="24"/>
        </w:rPr>
        <w:tab/>
      </w:r>
      <w:r w:rsidR="003E7BFA" w:rsidRPr="00DB7D47">
        <w:rPr>
          <w:sz w:val="24"/>
          <w:szCs w:val="24"/>
        </w:rPr>
        <w:tab/>
      </w:r>
    </w:p>
    <w:p w14:paraId="704C7EEC" w14:textId="77777777" w:rsidR="00747F28" w:rsidRPr="00AC1735" w:rsidRDefault="003E7BFA" w:rsidP="00747F28">
      <w:pPr>
        <w:spacing w:line="240" w:lineRule="auto"/>
        <w:ind w:left="567" w:right="-516" w:firstLine="0"/>
        <w:rPr>
          <w:color w:val="000000" w:themeColor="text1"/>
          <w:sz w:val="24"/>
          <w:szCs w:val="24"/>
        </w:rPr>
      </w:pPr>
      <w:r w:rsidRPr="00AC1735">
        <w:rPr>
          <w:color w:val="000000" w:themeColor="text1"/>
          <w:sz w:val="24"/>
          <w:szCs w:val="24"/>
        </w:rPr>
        <w:t xml:space="preserve">Vīza: </w:t>
      </w:r>
    </w:p>
    <w:p w14:paraId="5001A761" w14:textId="7CBE379E" w:rsidR="003E7BFA" w:rsidRPr="00AC1735" w:rsidRDefault="00AC1735" w:rsidP="0054160B">
      <w:pPr>
        <w:spacing w:line="240" w:lineRule="auto"/>
        <w:ind w:left="567" w:right="-516" w:firstLine="0"/>
        <w:rPr>
          <w:color w:val="000000" w:themeColor="text1"/>
          <w:sz w:val="24"/>
          <w:szCs w:val="24"/>
        </w:rPr>
      </w:pPr>
      <w:r w:rsidRPr="00AC1735">
        <w:rPr>
          <w:color w:val="000000" w:themeColor="text1"/>
          <w:sz w:val="24"/>
          <w:szCs w:val="24"/>
        </w:rPr>
        <w:t xml:space="preserve">Valsts </w:t>
      </w:r>
      <w:r w:rsidR="0054160B">
        <w:rPr>
          <w:color w:val="000000" w:themeColor="text1"/>
          <w:sz w:val="24"/>
          <w:szCs w:val="24"/>
        </w:rPr>
        <w:t>sekretārs</w:t>
      </w:r>
      <w:r w:rsidR="0054160B">
        <w:rPr>
          <w:color w:val="000000" w:themeColor="text1"/>
          <w:sz w:val="24"/>
          <w:szCs w:val="24"/>
        </w:rPr>
        <w:tab/>
      </w:r>
      <w:r w:rsidR="0054160B">
        <w:rPr>
          <w:color w:val="000000" w:themeColor="text1"/>
          <w:sz w:val="24"/>
          <w:szCs w:val="24"/>
        </w:rPr>
        <w:tab/>
      </w:r>
      <w:r w:rsidR="0054160B">
        <w:rPr>
          <w:color w:val="000000" w:themeColor="text1"/>
          <w:sz w:val="24"/>
          <w:szCs w:val="24"/>
        </w:rPr>
        <w:tab/>
      </w:r>
      <w:r w:rsidR="0054160B">
        <w:rPr>
          <w:color w:val="000000" w:themeColor="text1"/>
          <w:sz w:val="24"/>
          <w:szCs w:val="24"/>
        </w:rPr>
        <w:tab/>
      </w:r>
      <w:r w:rsidR="0054160B">
        <w:rPr>
          <w:color w:val="000000" w:themeColor="text1"/>
          <w:sz w:val="24"/>
          <w:szCs w:val="24"/>
        </w:rPr>
        <w:tab/>
      </w:r>
      <w:r w:rsidR="0054160B">
        <w:rPr>
          <w:color w:val="000000" w:themeColor="text1"/>
          <w:sz w:val="24"/>
          <w:szCs w:val="24"/>
        </w:rPr>
        <w:tab/>
      </w:r>
      <w:r w:rsidR="0054160B">
        <w:rPr>
          <w:color w:val="000000" w:themeColor="text1"/>
          <w:sz w:val="24"/>
          <w:szCs w:val="24"/>
        </w:rPr>
        <w:tab/>
      </w:r>
      <w:r w:rsidR="0054160B">
        <w:rPr>
          <w:color w:val="000000" w:themeColor="text1"/>
          <w:sz w:val="24"/>
          <w:szCs w:val="24"/>
        </w:rPr>
        <w:tab/>
        <w:t xml:space="preserve">           K.Ozoliņš</w:t>
      </w:r>
    </w:p>
    <w:p w14:paraId="6A7F2048" w14:textId="77777777" w:rsidR="00747F28" w:rsidRDefault="00AC1735" w:rsidP="00747F28">
      <w:pPr>
        <w:ind w:firstLine="709"/>
        <w:rPr>
          <w:color w:val="000000"/>
          <w:sz w:val="20"/>
          <w:szCs w:val="20"/>
        </w:rPr>
      </w:pPr>
      <w:r>
        <w:rPr>
          <w:color w:val="000000"/>
          <w:sz w:val="20"/>
          <w:szCs w:val="20"/>
        </w:rPr>
        <w:tab/>
      </w:r>
    </w:p>
    <w:p w14:paraId="2A066783" w14:textId="77777777" w:rsidR="00747F28" w:rsidRPr="00161D2C" w:rsidRDefault="00747F28" w:rsidP="00747F28">
      <w:pPr>
        <w:ind w:firstLine="567"/>
        <w:rPr>
          <w:color w:val="000000"/>
          <w:sz w:val="20"/>
          <w:szCs w:val="20"/>
        </w:rPr>
      </w:pPr>
      <w:r w:rsidRPr="00161D2C">
        <w:rPr>
          <w:color w:val="000000"/>
          <w:sz w:val="20"/>
          <w:szCs w:val="20"/>
        </w:rPr>
        <w:t>J.Kalniņš 67027118</w:t>
      </w:r>
    </w:p>
    <w:p w14:paraId="52BDE202" w14:textId="77777777" w:rsidR="00747F28" w:rsidRPr="00161D2C" w:rsidRDefault="00747F28" w:rsidP="00747F28">
      <w:pPr>
        <w:ind w:firstLine="567"/>
        <w:rPr>
          <w:color w:val="000000"/>
          <w:sz w:val="20"/>
          <w:szCs w:val="20"/>
        </w:rPr>
      </w:pPr>
      <w:r w:rsidRPr="00161D2C">
        <w:rPr>
          <w:color w:val="000000"/>
          <w:sz w:val="20"/>
          <w:szCs w:val="20"/>
        </w:rPr>
        <w:t>Jan</w:t>
      </w:r>
      <w:r w:rsidR="00A45DAC">
        <w:rPr>
          <w:color w:val="000000"/>
          <w:sz w:val="20"/>
          <w:szCs w:val="20"/>
        </w:rPr>
        <w:t>i</w:t>
      </w:r>
      <w:r w:rsidRPr="00161D2C">
        <w:rPr>
          <w:color w:val="000000"/>
          <w:sz w:val="20"/>
          <w:szCs w:val="20"/>
        </w:rPr>
        <w:t>s.Kalnins@sam.gov.lv</w:t>
      </w:r>
    </w:p>
    <w:p w14:paraId="59944343" w14:textId="77777777" w:rsidR="00747F28" w:rsidRPr="00161D2C" w:rsidRDefault="00747F28" w:rsidP="00747F28">
      <w:pPr>
        <w:ind w:firstLine="567"/>
        <w:rPr>
          <w:sz w:val="20"/>
          <w:szCs w:val="20"/>
        </w:rPr>
      </w:pPr>
    </w:p>
    <w:p w14:paraId="27E547B2" w14:textId="77777777" w:rsidR="00747F28" w:rsidRPr="00161D2C" w:rsidRDefault="00747F28" w:rsidP="00747F28">
      <w:pPr>
        <w:ind w:firstLine="567"/>
        <w:rPr>
          <w:sz w:val="20"/>
          <w:szCs w:val="20"/>
        </w:rPr>
      </w:pPr>
      <w:r w:rsidRPr="00161D2C">
        <w:rPr>
          <w:sz w:val="20"/>
          <w:szCs w:val="20"/>
        </w:rPr>
        <w:t>D.Ziemele-Adricka 67028036</w:t>
      </w:r>
    </w:p>
    <w:p w14:paraId="21FC2FCA" w14:textId="77777777" w:rsidR="00747F28" w:rsidRPr="00161D2C" w:rsidRDefault="00747F28" w:rsidP="00747F28">
      <w:pPr>
        <w:ind w:firstLine="567"/>
        <w:rPr>
          <w:sz w:val="20"/>
          <w:szCs w:val="20"/>
        </w:rPr>
      </w:pPr>
      <w:r w:rsidRPr="00161D2C">
        <w:rPr>
          <w:sz w:val="20"/>
          <w:szCs w:val="20"/>
        </w:rPr>
        <w:t>Dana.Ziemele-Adricka@sam.gov.lv</w:t>
      </w:r>
    </w:p>
    <w:p w14:paraId="62C20DBB" w14:textId="77777777" w:rsidR="00747F28" w:rsidRPr="00161D2C" w:rsidRDefault="00747F28" w:rsidP="00747F28">
      <w:pPr>
        <w:ind w:firstLine="567"/>
        <w:rPr>
          <w:sz w:val="20"/>
          <w:szCs w:val="20"/>
        </w:rPr>
      </w:pPr>
    </w:p>
    <w:p w14:paraId="4995A55C" w14:textId="77777777" w:rsidR="00747F28" w:rsidRPr="00161D2C" w:rsidRDefault="00747F28" w:rsidP="00747F28">
      <w:pPr>
        <w:ind w:firstLine="567"/>
        <w:rPr>
          <w:sz w:val="20"/>
          <w:szCs w:val="20"/>
        </w:rPr>
      </w:pPr>
      <w:r w:rsidRPr="00161D2C">
        <w:rPr>
          <w:sz w:val="20"/>
          <w:szCs w:val="20"/>
        </w:rPr>
        <w:t xml:space="preserve">J.Liepiņš </w:t>
      </w:r>
      <w:r w:rsidRPr="00161D2C">
        <w:rPr>
          <w:iCs/>
          <w:sz w:val="20"/>
          <w:szCs w:val="20"/>
          <w:lang w:eastAsia="lv-LV"/>
        </w:rPr>
        <w:t>67025708</w:t>
      </w:r>
    </w:p>
    <w:p w14:paraId="0CF59FE1" w14:textId="77777777" w:rsidR="00747F28" w:rsidRPr="00161D2C" w:rsidRDefault="00747F28" w:rsidP="00747F28">
      <w:pPr>
        <w:ind w:firstLine="567"/>
        <w:rPr>
          <w:sz w:val="20"/>
          <w:szCs w:val="20"/>
        </w:rPr>
      </w:pPr>
      <w:r w:rsidRPr="00161D2C">
        <w:rPr>
          <w:sz w:val="20"/>
          <w:szCs w:val="20"/>
        </w:rPr>
        <w:t>Janis.Liepins@csdd.gov.lv</w:t>
      </w:r>
    </w:p>
    <w:p w14:paraId="46032BF7" w14:textId="77777777" w:rsidR="00C44EA2" w:rsidRPr="00747F28" w:rsidRDefault="00FB77E7" w:rsidP="00747F28">
      <w:pPr>
        <w:spacing w:line="240" w:lineRule="auto"/>
        <w:ind w:right="-341" w:firstLine="567"/>
        <w:rPr>
          <w:sz w:val="20"/>
          <w:szCs w:val="20"/>
        </w:rPr>
      </w:pPr>
      <w:r w:rsidRPr="00C708B6">
        <w:rPr>
          <w:szCs w:val="28"/>
        </w:rPr>
        <w:t xml:space="preserve"> </w:t>
      </w:r>
    </w:p>
    <w:p w14:paraId="02BA8989" w14:textId="77777777" w:rsidR="00344E79" w:rsidRPr="00747F28" w:rsidRDefault="00747F28" w:rsidP="00747F28">
      <w:pPr>
        <w:pStyle w:val="Header"/>
        <w:ind w:left="567" w:hanging="141"/>
        <w:rPr>
          <w:sz w:val="20"/>
          <w:szCs w:val="20"/>
          <w:lang w:val="lv-LV"/>
        </w:rPr>
      </w:pPr>
      <w:r>
        <w:rPr>
          <w:sz w:val="20"/>
          <w:szCs w:val="20"/>
          <w:lang w:val="lv-LV"/>
        </w:rPr>
        <w:tab/>
      </w:r>
      <w:r w:rsidR="00E44525" w:rsidRPr="00747F28">
        <w:rPr>
          <w:sz w:val="20"/>
          <w:szCs w:val="20"/>
          <w:lang w:val="lv-LV"/>
        </w:rPr>
        <w:t>K.Āboliņš</w:t>
      </w:r>
      <w:r w:rsidR="00A812E8" w:rsidRPr="00747F28">
        <w:rPr>
          <w:sz w:val="20"/>
          <w:szCs w:val="20"/>
          <w:lang w:val="lv-LV"/>
        </w:rPr>
        <w:t xml:space="preserve">, </w:t>
      </w:r>
      <w:r w:rsidR="00344E79" w:rsidRPr="00747F28">
        <w:rPr>
          <w:sz w:val="20"/>
          <w:szCs w:val="20"/>
          <w:lang w:val="lv-LV"/>
        </w:rPr>
        <w:t>67025735</w:t>
      </w:r>
    </w:p>
    <w:p w14:paraId="493B0856" w14:textId="77777777" w:rsidR="004420C1" w:rsidRPr="004420C1" w:rsidRDefault="00747F28" w:rsidP="00F6260D">
      <w:pPr>
        <w:pStyle w:val="Header"/>
        <w:ind w:left="567" w:hanging="141"/>
      </w:pPr>
      <w:r>
        <w:rPr>
          <w:sz w:val="20"/>
          <w:szCs w:val="20"/>
          <w:lang w:val="lv-LV"/>
        </w:rPr>
        <w:tab/>
        <w:t>Kristaps.Abolins@csdd.gov.lv</w:t>
      </w:r>
    </w:p>
    <w:p w14:paraId="78BBB497" w14:textId="77777777" w:rsidR="004420C1" w:rsidRPr="004420C1" w:rsidRDefault="004420C1" w:rsidP="00F6260D">
      <w:pPr>
        <w:ind w:firstLine="0"/>
        <w:rPr>
          <w:lang w:val="x-none"/>
        </w:rPr>
      </w:pPr>
    </w:p>
    <w:p w14:paraId="540C0488" w14:textId="77777777" w:rsidR="00721B24" w:rsidRPr="004420C1" w:rsidRDefault="00721B24" w:rsidP="004420C1">
      <w:pPr>
        <w:rPr>
          <w:lang w:val="x-none"/>
        </w:rPr>
      </w:pPr>
    </w:p>
    <w:sectPr w:rsidR="00721B24" w:rsidRPr="004420C1" w:rsidSect="00A465EF">
      <w:headerReference w:type="default" r:id="rId8"/>
      <w:footerReference w:type="default" r:id="rId9"/>
      <w:footerReference w:type="first" r:id="rId10"/>
      <w:pgSz w:w="11906" w:h="16838"/>
      <w:pgMar w:top="851" w:right="1558" w:bottom="851" w:left="1134" w:header="284" w:footer="871"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69035A" w14:textId="77777777" w:rsidR="0043532D" w:rsidRDefault="0043532D" w:rsidP="00E65F54">
      <w:pPr>
        <w:spacing w:line="240" w:lineRule="auto"/>
      </w:pPr>
      <w:r>
        <w:separator/>
      </w:r>
    </w:p>
  </w:endnote>
  <w:endnote w:type="continuationSeparator" w:id="0">
    <w:p w14:paraId="573AFCC9" w14:textId="77777777" w:rsidR="0043532D" w:rsidRDefault="0043532D" w:rsidP="00E65F5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8BED4A" w14:textId="77777777" w:rsidR="00F20B9C" w:rsidRPr="00091BD0" w:rsidRDefault="00747849" w:rsidP="00091BD0">
    <w:pPr>
      <w:pStyle w:val="Footer"/>
      <w:spacing w:line="240" w:lineRule="auto"/>
      <w:ind w:firstLine="0"/>
      <w:rPr>
        <w:sz w:val="20"/>
        <w:szCs w:val="20"/>
      </w:rPr>
    </w:pPr>
    <w:r>
      <w:rPr>
        <w:sz w:val="20"/>
        <w:szCs w:val="20"/>
        <w:lang w:val="lv-LV"/>
      </w:rPr>
      <w:t>S</w:t>
    </w:r>
    <w:r w:rsidRPr="00706EE0">
      <w:rPr>
        <w:sz w:val="20"/>
        <w:szCs w:val="20"/>
        <w:lang w:val="lv-LV"/>
      </w:rPr>
      <w:t>MAnot_</w:t>
    </w:r>
    <w:r w:rsidR="004420C1">
      <w:rPr>
        <w:sz w:val="20"/>
        <w:szCs w:val="20"/>
        <w:lang w:val="lv-LV"/>
      </w:rPr>
      <w:t>21</w:t>
    </w:r>
    <w:r w:rsidR="00DD4186">
      <w:rPr>
        <w:sz w:val="20"/>
        <w:szCs w:val="20"/>
        <w:lang w:val="lv-LV"/>
      </w:rPr>
      <w:t>0</w:t>
    </w:r>
    <w:r w:rsidR="000A4F47">
      <w:rPr>
        <w:sz w:val="20"/>
        <w:szCs w:val="20"/>
        <w:lang w:val="lv-LV"/>
      </w:rPr>
      <w:t>6</w:t>
    </w:r>
    <w:r>
      <w:rPr>
        <w:sz w:val="20"/>
        <w:szCs w:val="20"/>
        <w:lang w:val="lv-LV"/>
      </w:rPr>
      <w:t>18_</w:t>
    </w:r>
    <w:r w:rsidR="007C54AA">
      <w:rPr>
        <w:sz w:val="20"/>
        <w:szCs w:val="20"/>
        <w:lang w:val="lv-LV"/>
      </w:rPr>
      <w:t>T</w:t>
    </w:r>
    <w:r w:rsidR="00DD4186">
      <w:rPr>
        <w:sz w:val="20"/>
        <w:szCs w:val="20"/>
        <w:lang w:val="lv-LV"/>
      </w:rPr>
      <w:t>ehn_Apsk</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646C72" w14:textId="77777777" w:rsidR="00091BD0" w:rsidRPr="00706EE0" w:rsidRDefault="00A35BA5" w:rsidP="00091BD0">
    <w:pPr>
      <w:pStyle w:val="Footer"/>
      <w:spacing w:line="240" w:lineRule="auto"/>
      <w:ind w:firstLine="0"/>
    </w:pPr>
    <w:r>
      <w:rPr>
        <w:sz w:val="20"/>
        <w:szCs w:val="20"/>
        <w:lang w:val="lv-LV"/>
      </w:rPr>
      <w:t>S</w:t>
    </w:r>
    <w:r w:rsidR="00091BD0" w:rsidRPr="00706EE0">
      <w:rPr>
        <w:sz w:val="20"/>
        <w:szCs w:val="20"/>
        <w:lang w:val="lv-LV"/>
      </w:rPr>
      <w:t>MAnot_</w:t>
    </w:r>
    <w:r w:rsidR="004420C1">
      <w:rPr>
        <w:sz w:val="20"/>
        <w:szCs w:val="20"/>
        <w:lang w:val="lv-LV"/>
      </w:rPr>
      <w:t>21</w:t>
    </w:r>
    <w:r w:rsidR="00A812E8">
      <w:rPr>
        <w:sz w:val="20"/>
        <w:szCs w:val="20"/>
        <w:lang w:val="lv-LV"/>
      </w:rPr>
      <w:t>0</w:t>
    </w:r>
    <w:r w:rsidR="004420C1">
      <w:rPr>
        <w:sz w:val="20"/>
        <w:szCs w:val="20"/>
        <w:lang w:val="lv-LV"/>
      </w:rPr>
      <w:t>6</w:t>
    </w:r>
    <w:r w:rsidR="00A812E8">
      <w:rPr>
        <w:sz w:val="20"/>
        <w:szCs w:val="20"/>
        <w:lang w:val="lv-LV"/>
      </w:rPr>
      <w:t>18_</w:t>
    </w:r>
    <w:r w:rsidR="00A648BD">
      <w:rPr>
        <w:sz w:val="20"/>
        <w:szCs w:val="20"/>
        <w:lang w:val="lv-LV"/>
      </w:rPr>
      <w:t>Teh_Apsk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C9991D" w14:textId="77777777" w:rsidR="0043532D" w:rsidRDefault="0043532D" w:rsidP="00E65F54">
      <w:pPr>
        <w:spacing w:line="240" w:lineRule="auto"/>
      </w:pPr>
      <w:r>
        <w:separator/>
      </w:r>
    </w:p>
  </w:footnote>
  <w:footnote w:type="continuationSeparator" w:id="0">
    <w:p w14:paraId="55F2E94D" w14:textId="77777777" w:rsidR="0043532D" w:rsidRDefault="0043532D" w:rsidP="00E65F5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4E6284" w14:textId="77777777" w:rsidR="00A465EF" w:rsidRDefault="00A465EF">
    <w:pPr>
      <w:pStyle w:val="Header"/>
      <w:jc w:val="center"/>
    </w:pPr>
    <w:r>
      <w:fldChar w:fldCharType="begin"/>
    </w:r>
    <w:r>
      <w:instrText xml:space="preserve"> PAGE   \* MERGEFORMAT </w:instrText>
    </w:r>
    <w:r>
      <w:fldChar w:fldCharType="separate"/>
    </w:r>
    <w:r w:rsidR="008A1D87">
      <w:rPr>
        <w:noProof/>
      </w:rPr>
      <w:t>3</w:t>
    </w:r>
    <w:r>
      <w:rPr>
        <w:noProof/>
      </w:rPr>
      <w:fldChar w:fldCharType="end"/>
    </w:r>
  </w:p>
  <w:p w14:paraId="3926593D" w14:textId="77777777" w:rsidR="00A465EF" w:rsidRDefault="00A465E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EF34310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B8A5E12"/>
    <w:multiLevelType w:val="hybridMultilevel"/>
    <w:tmpl w:val="5FC453A2"/>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1B27B5E"/>
    <w:multiLevelType w:val="hybridMultilevel"/>
    <w:tmpl w:val="677C7A42"/>
    <w:lvl w:ilvl="0" w:tplc="AB7C3D54">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8E00145"/>
    <w:multiLevelType w:val="hybridMultilevel"/>
    <w:tmpl w:val="CDDA98F2"/>
    <w:lvl w:ilvl="0" w:tplc="FB2A1814">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F291CF1"/>
    <w:multiLevelType w:val="hybridMultilevel"/>
    <w:tmpl w:val="0E02C492"/>
    <w:lvl w:ilvl="0" w:tplc="11BCB52C">
      <w:start w:val="20"/>
      <w:numFmt w:val="bullet"/>
      <w:lvlText w:val="-"/>
      <w:lvlJc w:val="left"/>
      <w:pPr>
        <w:ind w:left="1080" w:hanging="360"/>
      </w:pPr>
      <w:rPr>
        <w:rFonts w:ascii="Times New Roman" w:eastAsia="Times New Roman" w:hAnsi="Times New Roman" w:cs="Times New Roman" w:hint="default"/>
        <w:color w:val="auto"/>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5" w15:restartNumberingAfterBreak="0">
    <w:nsid w:val="24F50DE3"/>
    <w:multiLevelType w:val="hybridMultilevel"/>
    <w:tmpl w:val="C428A89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26DC717A"/>
    <w:multiLevelType w:val="hybridMultilevel"/>
    <w:tmpl w:val="68DAEA2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2D415C7F"/>
    <w:multiLevelType w:val="hybridMultilevel"/>
    <w:tmpl w:val="A7AE362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384604E8"/>
    <w:multiLevelType w:val="hybridMultilevel"/>
    <w:tmpl w:val="11BC9790"/>
    <w:lvl w:ilvl="0" w:tplc="FB2A1814">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5B602D4B"/>
    <w:multiLevelType w:val="hybridMultilevel"/>
    <w:tmpl w:val="7A3CD250"/>
    <w:lvl w:ilvl="0" w:tplc="E088724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5C736F24"/>
    <w:multiLevelType w:val="hybridMultilevel"/>
    <w:tmpl w:val="2130AA16"/>
    <w:lvl w:ilvl="0" w:tplc="11BCB52C">
      <w:start w:val="20"/>
      <w:numFmt w:val="bullet"/>
      <w:lvlText w:val="-"/>
      <w:lvlJc w:val="left"/>
      <w:pPr>
        <w:ind w:left="7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A9C42A4"/>
    <w:multiLevelType w:val="hybridMultilevel"/>
    <w:tmpl w:val="939C49C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
  </w:num>
  <w:num w:numId="2">
    <w:abstractNumId w:val="0"/>
  </w:num>
  <w:num w:numId="3">
    <w:abstractNumId w:val="10"/>
  </w:num>
  <w:num w:numId="4">
    <w:abstractNumId w:val="7"/>
  </w:num>
  <w:num w:numId="5">
    <w:abstractNumId w:val="6"/>
  </w:num>
  <w:num w:numId="6">
    <w:abstractNumId w:val="5"/>
  </w:num>
  <w:num w:numId="7">
    <w:abstractNumId w:val="9"/>
  </w:num>
  <w:num w:numId="8">
    <w:abstractNumId w:val="11"/>
  </w:num>
  <w:num w:numId="9">
    <w:abstractNumId w:val="8"/>
  </w:num>
  <w:num w:numId="10">
    <w:abstractNumId w:val="3"/>
  </w:num>
  <w:num w:numId="11">
    <w:abstractNumId w:val="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Formatting/>
  <w:defaultTabStop w:val="720"/>
  <w:drawingGridHorizontalSpacing w:val="14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89F"/>
    <w:rsid w:val="000033BD"/>
    <w:rsid w:val="00003B5C"/>
    <w:rsid w:val="00004BF5"/>
    <w:rsid w:val="000069D4"/>
    <w:rsid w:val="00006C7A"/>
    <w:rsid w:val="00014265"/>
    <w:rsid w:val="00015C0B"/>
    <w:rsid w:val="000178BB"/>
    <w:rsid w:val="00027DD1"/>
    <w:rsid w:val="000302D6"/>
    <w:rsid w:val="00033B6B"/>
    <w:rsid w:val="00033EC3"/>
    <w:rsid w:val="00036124"/>
    <w:rsid w:val="00036B80"/>
    <w:rsid w:val="0004524B"/>
    <w:rsid w:val="000458EF"/>
    <w:rsid w:val="00047D4B"/>
    <w:rsid w:val="00047F63"/>
    <w:rsid w:val="00047F96"/>
    <w:rsid w:val="000521E1"/>
    <w:rsid w:val="000632E5"/>
    <w:rsid w:val="00065F0D"/>
    <w:rsid w:val="00065F70"/>
    <w:rsid w:val="000705F9"/>
    <w:rsid w:val="000707F9"/>
    <w:rsid w:val="0007484E"/>
    <w:rsid w:val="000750A1"/>
    <w:rsid w:val="00075A09"/>
    <w:rsid w:val="000811EA"/>
    <w:rsid w:val="0008727B"/>
    <w:rsid w:val="00087CAD"/>
    <w:rsid w:val="00090E1C"/>
    <w:rsid w:val="000913E6"/>
    <w:rsid w:val="00091BD0"/>
    <w:rsid w:val="00091C3F"/>
    <w:rsid w:val="000939DC"/>
    <w:rsid w:val="00094458"/>
    <w:rsid w:val="000A011C"/>
    <w:rsid w:val="000A12A9"/>
    <w:rsid w:val="000A4924"/>
    <w:rsid w:val="000A4F47"/>
    <w:rsid w:val="000A686F"/>
    <w:rsid w:val="000A6A60"/>
    <w:rsid w:val="000B14AA"/>
    <w:rsid w:val="000B1A80"/>
    <w:rsid w:val="000B4549"/>
    <w:rsid w:val="000B668F"/>
    <w:rsid w:val="000B7137"/>
    <w:rsid w:val="000B72A9"/>
    <w:rsid w:val="000C1F60"/>
    <w:rsid w:val="000C2562"/>
    <w:rsid w:val="000C473E"/>
    <w:rsid w:val="000C7472"/>
    <w:rsid w:val="000D110D"/>
    <w:rsid w:val="000D2193"/>
    <w:rsid w:val="000D2A0E"/>
    <w:rsid w:val="000E373A"/>
    <w:rsid w:val="000E6137"/>
    <w:rsid w:val="000F0585"/>
    <w:rsid w:val="000F3FA3"/>
    <w:rsid w:val="0010040F"/>
    <w:rsid w:val="00101270"/>
    <w:rsid w:val="0010146F"/>
    <w:rsid w:val="00103B16"/>
    <w:rsid w:val="00104D16"/>
    <w:rsid w:val="0011209F"/>
    <w:rsid w:val="001135DB"/>
    <w:rsid w:val="00115520"/>
    <w:rsid w:val="001178BD"/>
    <w:rsid w:val="001245D2"/>
    <w:rsid w:val="00130327"/>
    <w:rsid w:val="00132549"/>
    <w:rsid w:val="0013313E"/>
    <w:rsid w:val="00134861"/>
    <w:rsid w:val="001434C4"/>
    <w:rsid w:val="00167AB5"/>
    <w:rsid w:val="00167D64"/>
    <w:rsid w:val="0017032D"/>
    <w:rsid w:val="001705E9"/>
    <w:rsid w:val="00176309"/>
    <w:rsid w:val="0017730B"/>
    <w:rsid w:val="001807CC"/>
    <w:rsid w:val="001830E8"/>
    <w:rsid w:val="001844CC"/>
    <w:rsid w:val="00184941"/>
    <w:rsid w:val="00190DD9"/>
    <w:rsid w:val="001917FF"/>
    <w:rsid w:val="00194040"/>
    <w:rsid w:val="001B1840"/>
    <w:rsid w:val="001B184E"/>
    <w:rsid w:val="001B2B88"/>
    <w:rsid w:val="001B3002"/>
    <w:rsid w:val="001B46BB"/>
    <w:rsid w:val="001B7485"/>
    <w:rsid w:val="001B75EE"/>
    <w:rsid w:val="001B7B5A"/>
    <w:rsid w:val="001C0C97"/>
    <w:rsid w:val="001C0D5F"/>
    <w:rsid w:val="001C24C0"/>
    <w:rsid w:val="001C4553"/>
    <w:rsid w:val="001C78F1"/>
    <w:rsid w:val="001D017B"/>
    <w:rsid w:val="001D231F"/>
    <w:rsid w:val="001D35B7"/>
    <w:rsid w:val="001D462C"/>
    <w:rsid w:val="001E02DC"/>
    <w:rsid w:val="001E4AFD"/>
    <w:rsid w:val="001E685A"/>
    <w:rsid w:val="001E6C25"/>
    <w:rsid w:val="001E6D57"/>
    <w:rsid w:val="001F0571"/>
    <w:rsid w:val="001F05A3"/>
    <w:rsid w:val="001F22F5"/>
    <w:rsid w:val="001F684F"/>
    <w:rsid w:val="001F701C"/>
    <w:rsid w:val="00200D00"/>
    <w:rsid w:val="00202187"/>
    <w:rsid w:val="00202EEF"/>
    <w:rsid w:val="002040FE"/>
    <w:rsid w:val="0020589F"/>
    <w:rsid w:val="002059D4"/>
    <w:rsid w:val="00206DCB"/>
    <w:rsid w:val="00207AE0"/>
    <w:rsid w:val="002159EC"/>
    <w:rsid w:val="0021689D"/>
    <w:rsid w:val="002172E0"/>
    <w:rsid w:val="00221504"/>
    <w:rsid w:val="00222114"/>
    <w:rsid w:val="002242B0"/>
    <w:rsid w:val="002267D1"/>
    <w:rsid w:val="00226FB4"/>
    <w:rsid w:val="00227D24"/>
    <w:rsid w:val="002308E6"/>
    <w:rsid w:val="0023282D"/>
    <w:rsid w:val="002333FB"/>
    <w:rsid w:val="002338F3"/>
    <w:rsid w:val="002431F8"/>
    <w:rsid w:val="00245706"/>
    <w:rsid w:val="00247149"/>
    <w:rsid w:val="00251678"/>
    <w:rsid w:val="00254AAA"/>
    <w:rsid w:val="00254E6C"/>
    <w:rsid w:val="002630E5"/>
    <w:rsid w:val="0027189F"/>
    <w:rsid w:val="00272828"/>
    <w:rsid w:val="002747E2"/>
    <w:rsid w:val="00276887"/>
    <w:rsid w:val="00286873"/>
    <w:rsid w:val="00287F35"/>
    <w:rsid w:val="00290476"/>
    <w:rsid w:val="00290E22"/>
    <w:rsid w:val="0029649F"/>
    <w:rsid w:val="0029669F"/>
    <w:rsid w:val="00297E6D"/>
    <w:rsid w:val="002A2DD8"/>
    <w:rsid w:val="002A469E"/>
    <w:rsid w:val="002A7C34"/>
    <w:rsid w:val="002B2DA9"/>
    <w:rsid w:val="002B3CE7"/>
    <w:rsid w:val="002C009C"/>
    <w:rsid w:val="002C04A6"/>
    <w:rsid w:val="002C1B56"/>
    <w:rsid w:val="002C54FD"/>
    <w:rsid w:val="002C5EB8"/>
    <w:rsid w:val="002D0708"/>
    <w:rsid w:val="002D680D"/>
    <w:rsid w:val="002D728B"/>
    <w:rsid w:val="002E034E"/>
    <w:rsid w:val="002E0C50"/>
    <w:rsid w:val="002E251E"/>
    <w:rsid w:val="002E5DE6"/>
    <w:rsid w:val="002E61AA"/>
    <w:rsid w:val="002F07D2"/>
    <w:rsid w:val="002F6DC1"/>
    <w:rsid w:val="00304890"/>
    <w:rsid w:val="00311820"/>
    <w:rsid w:val="003118A2"/>
    <w:rsid w:val="00313E47"/>
    <w:rsid w:val="003143C8"/>
    <w:rsid w:val="00315420"/>
    <w:rsid w:val="0031675F"/>
    <w:rsid w:val="00324A3B"/>
    <w:rsid w:val="00332EBB"/>
    <w:rsid w:val="00334E1B"/>
    <w:rsid w:val="00335A71"/>
    <w:rsid w:val="00344E79"/>
    <w:rsid w:val="0034658D"/>
    <w:rsid w:val="00346FC0"/>
    <w:rsid w:val="00347B28"/>
    <w:rsid w:val="003524F4"/>
    <w:rsid w:val="00352B8E"/>
    <w:rsid w:val="00354129"/>
    <w:rsid w:val="0035418E"/>
    <w:rsid w:val="0035438C"/>
    <w:rsid w:val="0035658B"/>
    <w:rsid w:val="0036007C"/>
    <w:rsid w:val="00360490"/>
    <w:rsid w:val="00360ACE"/>
    <w:rsid w:val="00362CAF"/>
    <w:rsid w:val="003651B8"/>
    <w:rsid w:val="00366581"/>
    <w:rsid w:val="00370CD2"/>
    <w:rsid w:val="00375D6A"/>
    <w:rsid w:val="003762F4"/>
    <w:rsid w:val="003777D2"/>
    <w:rsid w:val="00380395"/>
    <w:rsid w:val="00382122"/>
    <w:rsid w:val="0038326D"/>
    <w:rsid w:val="00384ADD"/>
    <w:rsid w:val="00390811"/>
    <w:rsid w:val="00391F18"/>
    <w:rsid w:val="003A031D"/>
    <w:rsid w:val="003A10AD"/>
    <w:rsid w:val="003A2702"/>
    <w:rsid w:val="003A42E9"/>
    <w:rsid w:val="003B1EA8"/>
    <w:rsid w:val="003B3844"/>
    <w:rsid w:val="003B4E2E"/>
    <w:rsid w:val="003C0252"/>
    <w:rsid w:val="003C5652"/>
    <w:rsid w:val="003D3377"/>
    <w:rsid w:val="003D4FBF"/>
    <w:rsid w:val="003D50B2"/>
    <w:rsid w:val="003D68DA"/>
    <w:rsid w:val="003E08B6"/>
    <w:rsid w:val="003E2465"/>
    <w:rsid w:val="003E76D4"/>
    <w:rsid w:val="003E7BFA"/>
    <w:rsid w:val="003F2393"/>
    <w:rsid w:val="003F3E49"/>
    <w:rsid w:val="003F75EC"/>
    <w:rsid w:val="00400DBA"/>
    <w:rsid w:val="00404514"/>
    <w:rsid w:val="0040553D"/>
    <w:rsid w:val="0040631E"/>
    <w:rsid w:val="00410D4D"/>
    <w:rsid w:val="00413347"/>
    <w:rsid w:val="00413D64"/>
    <w:rsid w:val="004144BE"/>
    <w:rsid w:val="00415BF6"/>
    <w:rsid w:val="00416B05"/>
    <w:rsid w:val="00421A23"/>
    <w:rsid w:val="0042256C"/>
    <w:rsid w:val="0042467D"/>
    <w:rsid w:val="00424ED2"/>
    <w:rsid w:val="00426BBB"/>
    <w:rsid w:val="00426E6E"/>
    <w:rsid w:val="00430129"/>
    <w:rsid w:val="00431630"/>
    <w:rsid w:val="00433D54"/>
    <w:rsid w:val="0043532D"/>
    <w:rsid w:val="00440491"/>
    <w:rsid w:val="004420C1"/>
    <w:rsid w:val="00442423"/>
    <w:rsid w:val="0044507A"/>
    <w:rsid w:val="00446E79"/>
    <w:rsid w:val="00447361"/>
    <w:rsid w:val="00452513"/>
    <w:rsid w:val="00453A32"/>
    <w:rsid w:val="00454938"/>
    <w:rsid w:val="0045570C"/>
    <w:rsid w:val="00464E27"/>
    <w:rsid w:val="00465D7F"/>
    <w:rsid w:val="004670D2"/>
    <w:rsid w:val="00467608"/>
    <w:rsid w:val="00467D32"/>
    <w:rsid w:val="004704DD"/>
    <w:rsid w:val="004724FD"/>
    <w:rsid w:val="0047322B"/>
    <w:rsid w:val="00475E21"/>
    <w:rsid w:val="00477B7E"/>
    <w:rsid w:val="00486A39"/>
    <w:rsid w:val="00486D56"/>
    <w:rsid w:val="004871FD"/>
    <w:rsid w:val="00487855"/>
    <w:rsid w:val="00493D25"/>
    <w:rsid w:val="0049499C"/>
    <w:rsid w:val="00494DCB"/>
    <w:rsid w:val="0049568D"/>
    <w:rsid w:val="00496281"/>
    <w:rsid w:val="00496BA6"/>
    <w:rsid w:val="00497897"/>
    <w:rsid w:val="004A2D39"/>
    <w:rsid w:val="004A4ADE"/>
    <w:rsid w:val="004A60C5"/>
    <w:rsid w:val="004A6684"/>
    <w:rsid w:val="004B14CA"/>
    <w:rsid w:val="004B1F09"/>
    <w:rsid w:val="004B31D0"/>
    <w:rsid w:val="004B64A6"/>
    <w:rsid w:val="004C1FE2"/>
    <w:rsid w:val="004C2278"/>
    <w:rsid w:val="004C3DEA"/>
    <w:rsid w:val="004C51E9"/>
    <w:rsid w:val="004C72EE"/>
    <w:rsid w:val="004D7D18"/>
    <w:rsid w:val="004E3C61"/>
    <w:rsid w:val="004E3CA3"/>
    <w:rsid w:val="004E6E1E"/>
    <w:rsid w:val="004F148E"/>
    <w:rsid w:val="004F2418"/>
    <w:rsid w:val="004F4EAC"/>
    <w:rsid w:val="004F6EC1"/>
    <w:rsid w:val="00500C6B"/>
    <w:rsid w:val="0051000B"/>
    <w:rsid w:val="00516425"/>
    <w:rsid w:val="00517927"/>
    <w:rsid w:val="005179DF"/>
    <w:rsid w:val="00522578"/>
    <w:rsid w:val="005246F5"/>
    <w:rsid w:val="00527F6B"/>
    <w:rsid w:val="0053287F"/>
    <w:rsid w:val="005355F6"/>
    <w:rsid w:val="00536A82"/>
    <w:rsid w:val="00536DFD"/>
    <w:rsid w:val="0054160B"/>
    <w:rsid w:val="0054212E"/>
    <w:rsid w:val="00543032"/>
    <w:rsid w:val="005448D6"/>
    <w:rsid w:val="00545FE7"/>
    <w:rsid w:val="0055473A"/>
    <w:rsid w:val="005553BE"/>
    <w:rsid w:val="00556218"/>
    <w:rsid w:val="00562D17"/>
    <w:rsid w:val="00566322"/>
    <w:rsid w:val="005666E0"/>
    <w:rsid w:val="00567A26"/>
    <w:rsid w:val="00570C68"/>
    <w:rsid w:val="00570E53"/>
    <w:rsid w:val="005747F4"/>
    <w:rsid w:val="00575A95"/>
    <w:rsid w:val="00577AFF"/>
    <w:rsid w:val="00577BF7"/>
    <w:rsid w:val="005832C8"/>
    <w:rsid w:val="00585852"/>
    <w:rsid w:val="005877E1"/>
    <w:rsid w:val="005957A9"/>
    <w:rsid w:val="005A0159"/>
    <w:rsid w:val="005A0227"/>
    <w:rsid w:val="005A1E99"/>
    <w:rsid w:val="005A2565"/>
    <w:rsid w:val="005A32C9"/>
    <w:rsid w:val="005B5168"/>
    <w:rsid w:val="005C17BB"/>
    <w:rsid w:val="005D0C0B"/>
    <w:rsid w:val="005D31D6"/>
    <w:rsid w:val="005D52FF"/>
    <w:rsid w:val="005D55CF"/>
    <w:rsid w:val="005E4BEA"/>
    <w:rsid w:val="005F09D3"/>
    <w:rsid w:val="005F1738"/>
    <w:rsid w:val="005F7070"/>
    <w:rsid w:val="00600B25"/>
    <w:rsid w:val="0060264C"/>
    <w:rsid w:val="00606ADF"/>
    <w:rsid w:val="0060734C"/>
    <w:rsid w:val="00611C7E"/>
    <w:rsid w:val="00620A49"/>
    <w:rsid w:val="006216E3"/>
    <w:rsid w:val="0062482A"/>
    <w:rsid w:val="00651E10"/>
    <w:rsid w:val="00654B07"/>
    <w:rsid w:val="00655093"/>
    <w:rsid w:val="00655313"/>
    <w:rsid w:val="0065770B"/>
    <w:rsid w:val="00662479"/>
    <w:rsid w:val="00662E24"/>
    <w:rsid w:val="0066319E"/>
    <w:rsid w:val="00664B97"/>
    <w:rsid w:val="00664D98"/>
    <w:rsid w:val="00665AB8"/>
    <w:rsid w:val="00671A60"/>
    <w:rsid w:val="00671B23"/>
    <w:rsid w:val="00677CA0"/>
    <w:rsid w:val="00680403"/>
    <w:rsid w:val="006807AF"/>
    <w:rsid w:val="00681A6F"/>
    <w:rsid w:val="00684EA3"/>
    <w:rsid w:val="00690C83"/>
    <w:rsid w:val="00691740"/>
    <w:rsid w:val="006917EE"/>
    <w:rsid w:val="0069642A"/>
    <w:rsid w:val="006A3049"/>
    <w:rsid w:val="006A30A3"/>
    <w:rsid w:val="006B27C2"/>
    <w:rsid w:val="006B63E0"/>
    <w:rsid w:val="006B70C5"/>
    <w:rsid w:val="006C3E65"/>
    <w:rsid w:val="006C407E"/>
    <w:rsid w:val="006C5E9F"/>
    <w:rsid w:val="006D092F"/>
    <w:rsid w:val="006D0F04"/>
    <w:rsid w:val="006D14C2"/>
    <w:rsid w:val="006D1F11"/>
    <w:rsid w:val="006D210F"/>
    <w:rsid w:val="006D731E"/>
    <w:rsid w:val="006E0766"/>
    <w:rsid w:val="006E22E6"/>
    <w:rsid w:val="006E4D7A"/>
    <w:rsid w:val="006E5AAE"/>
    <w:rsid w:val="006F0C91"/>
    <w:rsid w:val="006F2FEB"/>
    <w:rsid w:val="006F6E32"/>
    <w:rsid w:val="0070004F"/>
    <w:rsid w:val="00701A8D"/>
    <w:rsid w:val="00705120"/>
    <w:rsid w:val="00706EE0"/>
    <w:rsid w:val="00710A4F"/>
    <w:rsid w:val="00716144"/>
    <w:rsid w:val="00716594"/>
    <w:rsid w:val="00721B24"/>
    <w:rsid w:val="00722184"/>
    <w:rsid w:val="00722A32"/>
    <w:rsid w:val="00723B5B"/>
    <w:rsid w:val="00725837"/>
    <w:rsid w:val="00730C8D"/>
    <w:rsid w:val="00730FCA"/>
    <w:rsid w:val="0073167E"/>
    <w:rsid w:val="007323E8"/>
    <w:rsid w:val="00732DB3"/>
    <w:rsid w:val="0074626F"/>
    <w:rsid w:val="00747612"/>
    <w:rsid w:val="00747849"/>
    <w:rsid w:val="00747F28"/>
    <w:rsid w:val="00752546"/>
    <w:rsid w:val="007545D4"/>
    <w:rsid w:val="00754707"/>
    <w:rsid w:val="00755EFB"/>
    <w:rsid w:val="00756087"/>
    <w:rsid w:val="00757000"/>
    <w:rsid w:val="0076092C"/>
    <w:rsid w:val="00761BBB"/>
    <w:rsid w:val="00767A00"/>
    <w:rsid w:val="00771355"/>
    <w:rsid w:val="00771C21"/>
    <w:rsid w:val="0077223A"/>
    <w:rsid w:val="007749B3"/>
    <w:rsid w:val="00776A44"/>
    <w:rsid w:val="00783C86"/>
    <w:rsid w:val="00785522"/>
    <w:rsid w:val="00787BB0"/>
    <w:rsid w:val="00790A91"/>
    <w:rsid w:val="00797412"/>
    <w:rsid w:val="007A3A6B"/>
    <w:rsid w:val="007A5416"/>
    <w:rsid w:val="007A5EC4"/>
    <w:rsid w:val="007A6F87"/>
    <w:rsid w:val="007A704E"/>
    <w:rsid w:val="007C54AA"/>
    <w:rsid w:val="007C60A2"/>
    <w:rsid w:val="007D3584"/>
    <w:rsid w:val="007D6C45"/>
    <w:rsid w:val="007E1A03"/>
    <w:rsid w:val="007E2069"/>
    <w:rsid w:val="007E2E5A"/>
    <w:rsid w:val="007E31F4"/>
    <w:rsid w:val="007E42C0"/>
    <w:rsid w:val="007E4B38"/>
    <w:rsid w:val="007F0326"/>
    <w:rsid w:val="007F7F96"/>
    <w:rsid w:val="0080047B"/>
    <w:rsid w:val="008008F9"/>
    <w:rsid w:val="00803F2C"/>
    <w:rsid w:val="008057EB"/>
    <w:rsid w:val="008162B2"/>
    <w:rsid w:val="00822BAE"/>
    <w:rsid w:val="00832881"/>
    <w:rsid w:val="00832F43"/>
    <w:rsid w:val="00833364"/>
    <w:rsid w:val="00844ADD"/>
    <w:rsid w:val="00852D5C"/>
    <w:rsid w:val="00856A4F"/>
    <w:rsid w:val="008572FC"/>
    <w:rsid w:val="00857AE8"/>
    <w:rsid w:val="00857CFC"/>
    <w:rsid w:val="0086408A"/>
    <w:rsid w:val="008655A1"/>
    <w:rsid w:val="00867877"/>
    <w:rsid w:val="00871E90"/>
    <w:rsid w:val="00872C34"/>
    <w:rsid w:val="00874033"/>
    <w:rsid w:val="00877DE9"/>
    <w:rsid w:val="00881A46"/>
    <w:rsid w:val="008826E0"/>
    <w:rsid w:val="0089232A"/>
    <w:rsid w:val="008A0923"/>
    <w:rsid w:val="008A1D87"/>
    <w:rsid w:val="008A2C45"/>
    <w:rsid w:val="008A37C7"/>
    <w:rsid w:val="008A4766"/>
    <w:rsid w:val="008A55E3"/>
    <w:rsid w:val="008A7B16"/>
    <w:rsid w:val="008B0183"/>
    <w:rsid w:val="008B2650"/>
    <w:rsid w:val="008B455A"/>
    <w:rsid w:val="008C2DF1"/>
    <w:rsid w:val="008D1CC5"/>
    <w:rsid w:val="008D42FF"/>
    <w:rsid w:val="008D53C4"/>
    <w:rsid w:val="008D5646"/>
    <w:rsid w:val="008D6D3A"/>
    <w:rsid w:val="008D79BC"/>
    <w:rsid w:val="008E4149"/>
    <w:rsid w:val="008E4E9E"/>
    <w:rsid w:val="008F01EE"/>
    <w:rsid w:val="008F1CA5"/>
    <w:rsid w:val="008F2613"/>
    <w:rsid w:val="008F6254"/>
    <w:rsid w:val="0090061C"/>
    <w:rsid w:val="0090093A"/>
    <w:rsid w:val="00900C76"/>
    <w:rsid w:val="00900E23"/>
    <w:rsid w:val="00902794"/>
    <w:rsid w:val="00903C74"/>
    <w:rsid w:val="00904CBE"/>
    <w:rsid w:val="009063E2"/>
    <w:rsid w:val="00906DB5"/>
    <w:rsid w:val="009106B5"/>
    <w:rsid w:val="00914C88"/>
    <w:rsid w:val="0091519C"/>
    <w:rsid w:val="009212E4"/>
    <w:rsid w:val="00921A00"/>
    <w:rsid w:val="0092380E"/>
    <w:rsid w:val="00923A82"/>
    <w:rsid w:val="00924E34"/>
    <w:rsid w:val="00930B12"/>
    <w:rsid w:val="009334C4"/>
    <w:rsid w:val="00936949"/>
    <w:rsid w:val="00937C0D"/>
    <w:rsid w:val="00940540"/>
    <w:rsid w:val="00942F97"/>
    <w:rsid w:val="0094393A"/>
    <w:rsid w:val="00943C46"/>
    <w:rsid w:val="00944B13"/>
    <w:rsid w:val="009465F2"/>
    <w:rsid w:val="00953250"/>
    <w:rsid w:val="00953587"/>
    <w:rsid w:val="009539F9"/>
    <w:rsid w:val="009604F5"/>
    <w:rsid w:val="00963D59"/>
    <w:rsid w:val="00964457"/>
    <w:rsid w:val="00966AB8"/>
    <w:rsid w:val="00971051"/>
    <w:rsid w:val="00974550"/>
    <w:rsid w:val="009747E7"/>
    <w:rsid w:val="00981286"/>
    <w:rsid w:val="0098264B"/>
    <w:rsid w:val="00982781"/>
    <w:rsid w:val="009828AE"/>
    <w:rsid w:val="00986FAE"/>
    <w:rsid w:val="009919ED"/>
    <w:rsid w:val="00992C6C"/>
    <w:rsid w:val="0099573D"/>
    <w:rsid w:val="00997F93"/>
    <w:rsid w:val="009A1AF6"/>
    <w:rsid w:val="009A1F1E"/>
    <w:rsid w:val="009A2AF6"/>
    <w:rsid w:val="009A4A0B"/>
    <w:rsid w:val="009A4FF7"/>
    <w:rsid w:val="009A778F"/>
    <w:rsid w:val="009B049A"/>
    <w:rsid w:val="009B07C6"/>
    <w:rsid w:val="009B1318"/>
    <w:rsid w:val="009B5CA1"/>
    <w:rsid w:val="009B67BC"/>
    <w:rsid w:val="009C1B2C"/>
    <w:rsid w:val="009C7AE2"/>
    <w:rsid w:val="009D3618"/>
    <w:rsid w:val="009D3984"/>
    <w:rsid w:val="009D46CC"/>
    <w:rsid w:val="009D5C19"/>
    <w:rsid w:val="009D6F45"/>
    <w:rsid w:val="009E1629"/>
    <w:rsid w:val="009E3D75"/>
    <w:rsid w:val="009F51C1"/>
    <w:rsid w:val="00A025FD"/>
    <w:rsid w:val="00A05F81"/>
    <w:rsid w:val="00A1287D"/>
    <w:rsid w:val="00A12D47"/>
    <w:rsid w:val="00A136AC"/>
    <w:rsid w:val="00A138AD"/>
    <w:rsid w:val="00A13E82"/>
    <w:rsid w:val="00A141DE"/>
    <w:rsid w:val="00A166AC"/>
    <w:rsid w:val="00A1688E"/>
    <w:rsid w:val="00A16CB8"/>
    <w:rsid w:val="00A16DFE"/>
    <w:rsid w:val="00A20525"/>
    <w:rsid w:val="00A2114A"/>
    <w:rsid w:val="00A24F5C"/>
    <w:rsid w:val="00A27612"/>
    <w:rsid w:val="00A35A4E"/>
    <w:rsid w:val="00A35BA5"/>
    <w:rsid w:val="00A36CDE"/>
    <w:rsid w:val="00A42A7F"/>
    <w:rsid w:val="00A45DAC"/>
    <w:rsid w:val="00A46416"/>
    <w:rsid w:val="00A465EF"/>
    <w:rsid w:val="00A46EBC"/>
    <w:rsid w:val="00A52ACA"/>
    <w:rsid w:val="00A548DE"/>
    <w:rsid w:val="00A55632"/>
    <w:rsid w:val="00A55E62"/>
    <w:rsid w:val="00A56445"/>
    <w:rsid w:val="00A608D8"/>
    <w:rsid w:val="00A61B9E"/>
    <w:rsid w:val="00A624ED"/>
    <w:rsid w:val="00A63D0B"/>
    <w:rsid w:val="00A648BD"/>
    <w:rsid w:val="00A65B62"/>
    <w:rsid w:val="00A71848"/>
    <w:rsid w:val="00A71C25"/>
    <w:rsid w:val="00A7750F"/>
    <w:rsid w:val="00A812E8"/>
    <w:rsid w:val="00A826BE"/>
    <w:rsid w:val="00A8322B"/>
    <w:rsid w:val="00AA1647"/>
    <w:rsid w:val="00AA2CB5"/>
    <w:rsid w:val="00AA7A95"/>
    <w:rsid w:val="00AB0ED4"/>
    <w:rsid w:val="00AB2C6F"/>
    <w:rsid w:val="00AB40A7"/>
    <w:rsid w:val="00AB7DD4"/>
    <w:rsid w:val="00AC1735"/>
    <w:rsid w:val="00AC2EB8"/>
    <w:rsid w:val="00AC657E"/>
    <w:rsid w:val="00AC6969"/>
    <w:rsid w:val="00AC75BC"/>
    <w:rsid w:val="00AC7895"/>
    <w:rsid w:val="00AD0620"/>
    <w:rsid w:val="00AD2947"/>
    <w:rsid w:val="00AD7DA8"/>
    <w:rsid w:val="00AE2FE2"/>
    <w:rsid w:val="00AE3BC9"/>
    <w:rsid w:val="00AE4B66"/>
    <w:rsid w:val="00AE568A"/>
    <w:rsid w:val="00AF1A3A"/>
    <w:rsid w:val="00AF3B4F"/>
    <w:rsid w:val="00B035C8"/>
    <w:rsid w:val="00B065D0"/>
    <w:rsid w:val="00B11114"/>
    <w:rsid w:val="00B12C02"/>
    <w:rsid w:val="00B13B12"/>
    <w:rsid w:val="00B14BBD"/>
    <w:rsid w:val="00B218AB"/>
    <w:rsid w:val="00B24296"/>
    <w:rsid w:val="00B25883"/>
    <w:rsid w:val="00B26571"/>
    <w:rsid w:val="00B307B7"/>
    <w:rsid w:val="00B30FC5"/>
    <w:rsid w:val="00B310CA"/>
    <w:rsid w:val="00B364FF"/>
    <w:rsid w:val="00B416B4"/>
    <w:rsid w:val="00B44D57"/>
    <w:rsid w:val="00B52C02"/>
    <w:rsid w:val="00B53001"/>
    <w:rsid w:val="00B57A7B"/>
    <w:rsid w:val="00B6124A"/>
    <w:rsid w:val="00B62739"/>
    <w:rsid w:val="00B67BE9"/>
    <w:rsid w:val="00B716E4"/>
    <w:rsid w:val="00B71C57"/>
    <w:rsid w:val="00B7345C"/>
    <w:rsid w:val="00B73C21"/>
    <w:rsid w:val="00B80797"/>
    <w:rsid w:val="00B81219"/>
    <w:rsid w:val="00B8170D"/>
    <w:rsid w:val="00B8240C"/>
    <w:rsid w:val="00B83531"/>
    <w:rsid w:val="00B91243"/>
    <w:rsid w:val="00B94DED"/>
    <w:rsid w:val="00B96C9D"/>
    <w:rsid w:val="00BA136F"/>
    <w:rsid w:val="00BA5032"/>
    <w:rsid w:val="00BB2E27"/>
    <w:rsid w:val="00BB634E"/>
    <w:rsid w:val="00BB643E"/>
    <w:rsid w:val="00BC49C9"/>
    <w:rsid w:val="00BD0E49"/>
    <w:rsid w:val="00BD0FE7"/>
    <w:rsid w:val="00BD22BE"/>
    <w:rsid w:val="00BD4495"/>
    <w:rsid w:val="00BD5E92"/>
    <w:rsid w:val="00BD615C"/>
    <w:rsid w:val="00BD6A59"/>
    <w:rsid w:val="00BD7481"/>
    <w:rsid w:val="00BE0F1F"/>
    <w:rsid w:val="00BE2A09"/>
    <w:rsid w:val="00BF0288"/>
    <w:rsid w:val="00BF1B88"/>
    <w:rsid w:val="00BF290B"/>
    <w:rsid w:val="00BF6EB8"/>
    <w:rsid w:val="00BF7600"/>
    <w:rsid w:val="00BF7837"/>
    <w:rsid w:val="00C00E5B"/>
    <w:rsid w:val="00C01904"/>
    <w:rsid w:val="00C04136"/>
    <w:rsid w:val="00C10AE8"/>
    <w:rsid w:val="00C12E85"/>
    <w:rsid w:val="00C1785E"/>
    <w:rsid w:val="00C17C30"/>
    <w:rsid w:val="00C17EEB"/>
    <w:rsid w:val="00C21B53"/>
    <w:rsid w:val="00C224BF"/>
    <w:rsid w:val="00C23DE7"/>
    <w:rsid w:val="00C25EDD"/>
    <w:rsid w:val="00C26A3B"/>
    <w:rsid w:val="00C371A7"/>
    <w:rsid w:val="00C432D3"/>
    <w:rsid w:val="00C44EA2"/>
    <w:rsid w:val="00C4543C"/>
    <w:rsid w:val="00C455BA"/>
    <w:rsid w:val="00C53107"/>
    <w:rsid w:val="00C53ECB"/>
    <w:rsid w:val="00C577FD"/>
    <w:rsid w:val="00C610A5"/>
    <w:rsid w:val="00C616EC"/>
    <w:rsid w:val="00C61A76"/>
    <w:rsid w:val="00C63589"/>
    <w:rsid w:val="00C637DF"/>
    <w:rsid w:val="00C66FB8"/>
    <w:rsid w:val="00C70895"/>
    <w:rsid w:val="00C708B2"/>
    <w:rsid w:val="00C708B6"/>
    <w:rsid w:val="00C736B1"/>
    <w:rsid w:val="00C7402F"/>
    <w:rsid w:val="00C74117"/>
    <w:rsid w:val="00C81E24"/>
    <w:rsid w:val="00C8224A"/>
    <w:rsid w:val="00C84CA4"/>
    <w:rsid w:val="00C86B2E"/>
    <w:rsid w:val="00C90C6B"/>
    <w:rsid w:val="00C9202C"/>
    <w:rsid w:val="00C93324"/>
    <w:rsid w:val="00C9413E"/>
    <w:rsid w:val="00C96A7D"/>
    <w:rsid w:val="00CA04F7"/>
    <w:rsid w:val="00CA11A7"/>
    <w:rsid w:val="00CA1E38"/>
    <w:rsid w:val="00CA5204"/>
    <w:rsid w:val="00CB145B"/>
    <w:rsid w:val="00CB4DED"/>
    <w:rsid w:val="00CB6C5D"/>
    <w:rsid w:val="00CC171D"/>
    <w:rsid w:val="00CC1A72"/>
    <w:rsid w:val="00CC2A9F"/>
    <w:rsid w:val="00CC49CE"/>
    <w:rsid w:val="00CD23C3"/>
    <w:rsid w:val="00CD2C0F"/>
    <w:rsid w:val="00CD566D"/>
    <w:rsid w:val="00CD6B26"/>
    <w:rsid w:val="00CE3764"/>
    <w:rsid w:val="00CF40A0"/>
    <w:rsid w:val="00CF40D0"/>
    <w:rsid w:val="00CF4CCF"/>
    <w:rsid w:val="00CF4D94"/>
    <w:rsid w:val="00CF56A5"/>
    <w:rsid w:val="00CF721C"/>
    <w:rsid w:val="00D050D2"/>
    <w:rsid w:val="00D1195B"/>
    <w:rsid w:val="00D12520"/>
    <w:rsid w:val="00D1579B"/>
    <w:rsid w:val="00D16216"/>
    <w:rsid w:val="00D2096A"/>
    <w:rsid w:val="00D2107D"/>
    <w:rsid w:val="00D21956"/>
    <w:rsid w:val="00D24A2F"/>
    <w:rsid w:val="00D253C0"/>
    <w:rsid w:val="00D253CC"/>
    <w:rsid w:val="00D258E1"/>
    <w:rsid w:val="00D25B68"/>
    <w:rsid w:val="00D332B2"/>
    <w:rsid w:val="00D33E56"/>
    <w:rsid w:val="00D34C98"/>
    <w:rsid w:val="00D35056"/>
    <w:rsid w:val="00D3546C"/>
    <w:rsid w:val="00D36651"/>
    <w:rsid w:val="00D45813"/>
    <w:rsid w:val="00D47490"/>
    <w:rsid w:val="00D529C4"/>
    <w:rsid w:val="00D56FCA"/>
    <w:rsid w:val="00D5797B"/>
    <w:rsid w:val="00D57F65"/>
    <w:rsid w:val="00D601CC"/>
    <w:rsid w:val="00D60A7A"/>
    <w:rsid w:val="00D60C92"/>
    <w:rsid w:val="00D63B5D"/>
    <w:rsid w:val="00D66415"/>
    <w:rsid w:val="00D7739C"/>
    <w:rsid w:val="00D77607"/>
    <w:rsid w:val="00D83664"/>
    <w:rsid w:val="00D8445B"/>
    <w:rsid w:val="00D87160"/>
    <w:rsid w:val="00D87C95"/>
    <w:rsid w:val="00D92789"/>
    <w:rsid w:val="00DA3307"/>
    <w:rsid w:val="00DA3EEC"/>
    <w:rsid w:val="00DA4EF5"/>
    <w:rsid w:val="00DB0110"/>
    <w:rsid w:val="00DB2C90"/>
    <w:rsid w:val="00DB3D94"/>
    <w:rsid w:val="00DB4847"/>
    <w:rsid w:val="00DB7D47"/>
    <w:rsid w:val="00DC0BAA"/>
    <w:rsid w:val="00DC2F9A"/>
    <w:rsid w:val="00DD020E"/>
    <w:rsid w:val="00DD188E"/>
    <w:rsid w:val="00DD34A1"/>
    <w:rsid w:val="00DD4186"/>
    <w:rsid w:val="00DD7291"/>
    <w:rsid w:val="00DD7816"/>
    <w:rsid w:val="00DE2752"/>
    <w:rsid w:val="00DE471B"/>
    <w:rsid w:val="00DE4A48"/>
    <w:rsid w:val="00DE4DF2"/>
    <w:rsid w:val="00DE6125"/>
    <w:rsid w:val="00DF2AF5"/>
    <w:rsid w:val="00DF5296"/>
    <w:rsid w:val="00DF78FD"/>
    <w:rsid w:val="00E03081"/>
    <w:rsid w:val="00E045AD"/>
    <w:rsid w:val="00E05842"/>
    <w:rsid w:val="00E1118B"/>
    <w:rsid w:val="00E11543"/>
    <w:rsid w:val="00E11725"/>
    <w:rsid w:val="00E135D7"/>
    <w:rsid w:val="00E213EF"/>
    <w:rsid w:val="00E23AAF"/>
    <w:rsid w:val="00E272EC"/>
    <w:rsid w:val="00E27B3D"/>
    <w:rsid w:val="00E30F17"/>
    <w:rsid w:val="00E3124E"/>
    <w:rsid w:val="00E3286D"/>
    <w:rsid w:val="00E3446E"/>
    <w:rsid w:val="00E35600"/>
    <w:rsid w:val="00E36F44"/>
    <w:rsid w:val="00E40C6E"/>
    <w:rsid w:val="00E444BF"/>
    <w:rsid w:val="00E44525"/>
    <w:rsid w:val="00E46E8B"/>
    <w:rsid w:val="00E53CE2"/>
    <w:rsid w:val="00E56240"/>
    <w:rsid w:val="00E570CE"/>
    <w:rsid w:val="00E603C2"/>
    <w:rsid w:val="00E639B0"/>
    <w:rsid w:val="00E658B7"/>
    <w:rsid w:val="00E65C5D"/>
    <w:rsid w:val="00E65F54"/>
    <w:rsid w:val="00E6644A"/>
    <w:rsid w:val="00E70B99"/>
    <w:rsid w:val="00E72B1D"/>
    <w:rsid w:val="00E743E9"/>
    <w:rsid w:val="00E76369"/>
    <w:rsid w:val="00E9219C"/>
    <w:rsid w:val="00E92647"/>
    <w:rsid w:val="00E93554"/>
    <w:rsid w:val="00E94EEB"/>
    <w:rsid w:val="00EA22F3"/>
    <w:rsid w:val="00EA65AF"/>
    <w:rsid w:val="00EB0C72"/>
    <w:rsid w:val="00EB317B"/>
    <w:rsid w:val="00EC1C76"/>
    <w:rsid w:val="00EC20CA"/>
    <w:rsid w:val="00EC593D"/>
    <w:rsid w:val="00EC7C72"/>
    <w:rsid w:val="00ED79FA"/>
    <w:rsid w:val="00ED7F9B"/>
    <w:rsid w:val="00EE0845"/>
    <w:rsid w:val="00EE0D7C"/>
    <w:rsid w:val="00EE2AC7"/>
    <w:rsid w:val="00EE413C"/>
    <w:rsid w:val="00EE7A03"/>
    <w:rsid w:val="00EF08C4"/>
    <w:rsid w:val="00EF0AF7"/>
    <w:rsid w:val="00EF1B68"/>
    <w:rsid w:val="00EF2AD8"/>
    <w:rsid w:val="00EF55C2"/>
    <w:rsid w:val="00EF7A31"/>
    <w:rsid w:val="00F0219F"/>
    <w:rsid w:val="00F0477A"/>
    <w:rsid w:val="00F06D1E"/>
    <w:rsid w:val="00F11636"/>
    <w:rsid w:val="00F1660A"/>
    <w:rsid w:val="00F166F2"/>
    <w:rsid w:val="00F172BC"/>
    <w:rsid w:val="00F20B9C"/>
    <w:rsid w:val="00F215A6"/>
    <w:rsid w:val="00F2412F"/>
    <w:rsid w:val="00F26999"/>
    <w:rsid w:val="00F40ECD"/>
    <w:rsid w:val="00F45BE8"/>
    <w:rsid w:val="00F50CD8"/>
    <w:rsid w:val="00F50F1E"/>
    <w:rsid w:val="00F51AE0"/>
    <w:rsid w:val="00F51F60"/>
    <w:rsid w:val="00F570A2"/>
    <w:rsid w:val="00F6260D"/>
    <w:rsid w:val="00F75D66"/>
    <w:rsid w:val="00F77785"/>
    <w:rsid w:val="00F8209A"/>
    <w:rsid w:val="00F906CE"/>
    <w:rsid w:val="00FA09F1"/>
    <w:rsid w:val="00FA42A5"/>
    <w:rsid w:val="00FA5938"/>
    <w:rsid w:val="00FA5BB3"/>
    <w:rsid w:val="00FA721A"/>
    <w:rsid w:val="00FB719A"/>
    <w:rsid w:val="00FB77E7"/>
    <w:rsid w:val="00FB7DE0"/>
    <w:rsid w:val="00FC2928"/>
    <w:rsid w:val="00FC387F"/>
    <w:rsid w:val="00FC39E5"/>
    <w:rsid w:val="00FC58C2"/>
    <w:rsid w:val="00FD0165"/>
    <w:rsid w:val="00FD02AC"/>
    <w:rsid w:val="00FD0D3B"/>
    <w:rsid w:val="00FD0F89"/>
    <w:rsid w:val="00FD5892"/>
    <w:rsid w:val="00FE0DC1"/>
    <w:rsid w:val="00FE2CD5"/>
    <w:rsid w:val="00FE7D9F"/>
    <w:rsid w:val="00FF093A"/>
    <w:rsid w:val="00FF4D31"/>
    <w:rsid w:val="00FF51B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B41B88E"/>
  <w15:docId w15:val="{5DA5CFEE-783B-40E5-BD14-B52703FBE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20CA"/>
    <w:pPr>
      <w:spacing w:line="276" w:lineRule="auto"/>
      <w:ind w:firstLine="720"/>
      <w:jc w:val="both"/>
    </w:pPr>
    <w:rPr>
      <w:sz w:val="28"/>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nod">
    <w:name w:val="naisnod"/>
    <w:basedOn w:val="Normal"/>
    <w:rsid w:val="0027189F"/>
    <w:pPr>
      <w:spacing w:before="100" w:beforeAutospacing="1" w:after="100" w:afterAutospacing="1" w:line="240" w:lineRule="auto"/>
      <w:ind w:firstLine="0"/>
      <w:jc w:val="left"/>
    </w:pPr>
    <w:rPr>
      <w:rFonts w:eastAsia="Times New Roman"/>
      <w:sz w:val="24"/>
      <w:szCs w:val="24"/>
      <w:lang w:eastAsia="lv-LV"/>
    </w:rPr>
  </w:style>
  <w:style w:type="paragraph" w:customStyle="1" w:styleId="naisc">
    <w:name w:val="naisc"/>
    <w:basedOn w:val="Normal"/>
    <w:rsid w:val="0027189F"/>
    <w:pPr>
      <w:spacing w:before="100" w:beforeAutospacing="1" w:after="100" w:afterAutospacing="1" w:line="240" w:lineRule="auto"/>
      <w:ind w:firstLine="0"/>
      <w:jc w:val="left"/>
    </w:pPr>
    <w:rPr>
      <w:rFonts w:eastAsia="Times New Roman"/>
      <w:sz w:val="24"/>
      <w:szCs w:val="24"/>
      <w:lang w:eastAsia="lv-LV"/>
    </w:rPr>
  </w:style>
  <w:style w:type="paragraph" w:customStyle="1" w:styleId="naiskr">
    <w:name w:val="naiskr"/>
    <w:basedOn w:val="Normal"/>
    <w:rsid w:val="0027189F"/>
    <w:pPr>
      <w:spacing w:before="100" w:beforeAutospacing="1" w:after="100" w:afterAutospacing="1" w:line="240" w:lineRule="auto"/>
      <w:ind w:firstLine="0"/>
      <w:jc w:val="left"/>
    </w:pPr>
    <w:rPr>
      <w:rFonts w:eastAsia="Times New Roman"/>
      <w:sz w:val="24"/>
      <w:szCs w:val="24"/>
      <w:lang w:eastAsia="lv-LV"/>
    </w:rPr>
  </w:style>
  <w:style w:type="paragraph" w:customStyle="1" w:styleId="naislab">
    <w:name w:val="naislab"/>
    <w:basedOn w:val="Normal"/>
    <w:rsid w:val="0027189F"/>
    <w:pPr>
      <w:spacing w:before="100" w:beforeAutospacing="1" w:after="100" w:afterAutospacing="1" w:line="240" w:lineRule="auto"/>
      <w:ind w:firstLine="0"/>
      <w:jc w:val="left"/>
    </w:pPr>
    <w:rPr>
      <w:rFonts w:eastAsia="Times New Roman"/>
      <w:sz w:val="24"/>
      <w:szCs w:val="24"/>
      <w:lang w:eastAsia="lv-LV"/>
    </w:rPr>
  </w:style>
  <w:style w:type="paragraph" w:customStyle="1" w:styleId="naisf">
    <w:name w:val="naisf"/>
    <w:basedOn w:val="Normal"/>
    <w:rsid w:val="0027189F"/>
    <w:pPr>
      <w:spacing w:before="100" w:beforeAutospacing="1" w:after="100" w:afterAutospacing="1" w:line="240" w:lineRule="auto"/>
      <w:ind w:firstLine="0"/>
      <w:jc w:val="left"/>
    </w:pPr>
    <w:rPr>
      <w:rFonts w:eastAsia="Times New Roman"/>
      <w:sz w:val="24"/>
      <w:szCs w:val="24"/>
      <w:lang w:eastAsia="lv-LV"/>
    </w:rPr>
  </w:style>
  <w:style w:type="paragraph" w:styleId="Header">
    <w:name w:val="header"/>
    <w:basedOn w:val="Normal"/>
    <w:link w:val="HeaderChar"/>
    <w:uiPriority w:val="99"/>
    <w:unhideWhenUsed/>
    <w:rsid w:val="003B3844"/>
    <w:pPr>
      <w:tabs>
        <w:tab w:val="center" w:pos="4153"/>
        <w:tab w:val="right" w:pos="8306"/>
      </w:tabs>
    </w:pPr>
    <w:rPr>
      <w:lang w:val="x-none"/>
    </w:rPr>
  </w:style>
  <w:style w:type="character" w:customStyle="1" w:styleId="HeaderChar">
    <w:name w:val="Header Char"/>
    <w:link w:val="Header"/>
    <w:uiPriority w:val="99"/>
    <w:rsid w:val="003B3844"/>
    <w:rPr>
      <w:sz w:val="28"/>
      <w:szCs w:val="22"/>
      <w:lang w:eastAsia="en-US"/>
    </w:rPr>
  </w:style>
  <w:style w:type="paragraph" w:styleId="Footer">
    <w:name w:val="footer"/>
    <w:basedOn w:val="Normal"/>
    <w:link w:val="FooterChar"/>
    <w:uiPriority w:val="99"/>
    <w:unhideWhenUsed/>
    <w:rsid w:val="00E65F54"/>
    <w:pPr>
      <w:tabs>
        <w:tab w:val="center" w:pos="4153"/>
        <w:tab w:val="right" w:pos="8306"/>
      </w:tabs>
    </w:pPr>
    <w:rPr>
      <w:lang w:val="x-none"/>
    </w:rPr>
  </w:style>
  <w:style w:type="character" w:customStyle="1" w:styleId="FooterChar">
    <w:name w:val="Footer Char"/>
    <w:link w:val="Footer"/>
    <w:uiPriority w:val="99"/>
    <w:rsid w:val="00E65F54"/>
    <w:rPr>
      <w:sz w:val="28"/>
      <w:szCs w:val="22"/>
      <w:lang w:eastAsia="en-US"/>
    </w:rPr>
  </w:style>
  <w:style w:type="paragraph" w:styleId="BalloonText">
    <w:name w:val="Balloon Text"/>
    <w:basedOn w:val="Normal"/>
    <w:link w:val="BalloonTextChar"/>
    <w:uiPriority w:val="99"/>
    <w:semiHidden/>
    <w:unhideWhenUsed/>
    <w:rsid w:val="00E65F54"/>
    <w:pPr>
      <w:spacing w:line="240" w:lineRule="auto"/>
    </w:pPr>
    <w:rPr>
      <w:rFonts w:ascii="Tahoma" w:hAnsi="Tahoma"/>
      <w:sz w:val="16"/>
      <w:szCs w:val="16"/>
      <w:lang w:val="x-none"/>
    </w:rPr>
  </w:style>
  <w:style w:type="character" w:customStyle="1" w:styleId="BalloonTextChar">
    <w:name w:val="Balloon Text Char"/>
    <w:link w:val="BalloonText"/>
    <w:uiPriority w:val="99"/>
    <w:semiHidden/>
    <w:rsid w:val="00E65F54"/>
    <w:rPr>
      <w:rFonts w:ascii="Tahoma" w:hAnsi="Tahoma" w:cs="Tahoma"/>
      <w:sz w:val="16"/>
      <w:szCs w:val="16"/>
      <w:lang w:eastAsia="en-US"/>
    </w:rPr>
  </w:style>
  <w:style w:type="character" w:styleId="Strong">
    <w:name w:val="Strong"/>
    <w:uiPriority w:val="22"/>
    <w:qFormat/>
    <w:rsid w:val="00E213EF"/>
    <w:rPr>
      <w:b/>
      <w:bCs/>
    </w:rPr>
  </w:style>
  <w:style w:type="character" w:styleId="Hyperlink">
    <w:name w:val="Hyperlink"/>
    <w:unhideWhenUsed/>
    <w:rsid w:val="00E213EF"/>
    <w:rPr>
      <w:color w:val="0000FF"/>
      <w:u w:val="single"/>
    </w:rPr>
  </w:style>
  <w:style w:type="paragraph" w:customStyle="1" w:styleId="tvhtmlmktable">
    <w:name w:val="tv_html mk_table"/>
    <w:basedOn w:val="Normal"/>
    <w:rsid w:val="00852D5C"/>
    <w:pPr>
      <w:spacing w:before="100" w:beforeAutospacing="1" w:after="100" w:afterAutospacing="1" w:line="240" w:lineRule="auto"/>
      <w:ind w:firstLine="0"/>
      <w:jc w:val="left"/>
    </w:pPr>
    <w:rPr>
      <w:rFonts w:ascii="Verdana" w:eastAsia="Times New Roman" w:hAnsi="Verdana"/>
      <w:sz w:val="18"/>
      <w:szCs w:val="18"/>
      <w:lang w:eastAsia="lv-LV"/>
    </w:rPr>
  </w:style>
  <w:style w:type="paragraph" w:customStyle="1" w:styleId="MediumGrid21">
    <w:name w:val="Medium Grid 21"/>
    <w:uiPriority w:val="1"/>
    <w:qFormat/>
    <w:rsid w:val="001E6D57"/>
    <w:pPr>
      <w:ind w:firstLine="720"/>
      <w:jc w:val="both"/>
    </w:pPr>
    <w:rPr>
      <w:sz w:val="28"/>
      <w:szCs w:val="22"/>
      <w:lang w:eastAsia="en-US"/>
    </w:rPr>
  </w:style>
  <w:style w:type="character" w:styleId="CommentReference">
    <w:name w:val="annotation reference"/>
    <w:semiHidden/>
    <w:rsid w:val="00287F35"/>
    <w:rPr>
      <w:sz w:val="16"/>
      <w:szCs w:val="16"/>
    </w:rPr>
  </w:style>
  <w:style w:type="paragraph" w:styleId="CommentText">
    <w:name w:val="annotation text"/>
    <w:basedOn w:val="Normal"/>
    <w:semiHidden/>
    <w:rsid w:val="00287F35"/>
    <w:rPr>
      <w:sz w:val="20"/>
      <w:szCs w:val="20"/>
    </w:rPr>
  </w:style>
  <w:style w:type="paragraph" w:styleId="CommentSubject">
    <w:name w:val="annotation subject"/>
    <w:basedOn w:val="CommentText"/>
    <w:next w:val="CommentText"/>
    <w:semiHidden/>
    <w:rsid w:val="00287F35"/>
    <w:rPr>
      <w:b/>
      <w:bCs/>
    </w:rPr>
  </w:style>
  <w:style w:type="character" w:customStyle="1" w:styleId="apple-style-span">
    <w:name w:val="apple-style-span"/>
    <w:rsid w:val="003524F4"/>
  </w:style>
  <w:style w:type="paragraph" w:customStyle="1" w:styleId="Default">
    <w:name w:val="Default"/>
    <w:rsid w:val="00EF7A31"/>
    <w:pPr>
      <w:autoSpaceDE w:val="0"/>
      <w:autoSpaceDN w:val="0"/>
      <w:adjustRightInd w:val="0"/>
    </w:pPr>
    <w:rPr>
      <w:rFonts w:ascii="EUAlbertina" w:hAnsi="EUAlbertina" w:cs="EUAlbertina"/>
      <w:color w:val="000000"/>
      <w:sz w:val="24"/>
      <w:szCs w:val="24"/>
    </w:rPr>
  </w:style>
  <w:style w:type="paragraph" w:customStyle="1" w:styleId="CM1">
    <w:name w:val="CM1"/>
    <w:basedOn w:val="Default"/>
    <w:next w:val="Default"/>
    <w:uiPriority w:val="99"/>
    <w:rsid w:val="00EF7A31"/>
    <w:rPr>
      <w:rFonts w:cs="Times New Roman"/>
      <w:color w:val="auto"/>
    </w:rPr>
  </w:style>
  <w:style w:type="paragraph" w:customStyle="1" w:styleId="CM4">
    <w:name w:val="CM4"/>
    <w:basedOn w:val="Default"/>
    <w:next w:val="Default"/>
    <w:uiPriority w:val="99"/>
    <w:rsid w:val="00EF7A31"/>
    <w:rPr>
      <w:rFonts w:cs="Times New Roman"/>
      <w:color w:val="auto"/>
    </w:rPr>
  </w:style>
  <w:style w:type="paragraph" w:customStyle="1" w:styleId="Parastais1">
    <w:name w:val="Parastais1"/>
    <w:qFormat/>
    <w:rsid w:val="00FB77E7"/>
    <w:rPr>
      <w:rFonts w:eastAsia="Times New Roman"/>
      <w:sz w:val="24"/>
      <w:szCs w:val="24"/>
    </w:rPr>
  </w:style>
  <w:style w:type="paragraph" w:customStyle="1" w:styleId="ParastaisWeb1">
    <w:name w:val="Parastais (Web)1"/>
    <w:basedOn w:val="Parastais1"/>
    <w:rsid w:val="00FB77E7"/>
    <w:pPr>
      <w:spacing w:before="100" w:beforeAutospacing="1" w:after="100" w:afterAutospacing="1"/>
      <w:jc w:val="both"/>
    </w:pPr>
    <w:rPr>
      <w:color w:val="000000"/>
      <w:sz w:val="20"/>
      <w:szCs w:val="20"/>
    </w:rPr>
  </w:style>
  <w:style w:type="paragraph" w:styleId="NoSpacing">
    <w:name w:val="No Spacing"/>
    <w:uiPriority w:val="1"/>
    <w:qFormat/>
    <w:rsid w:val="00FB77E7"/>
    <w:rPr>
      <w:rFonts w:ascii="Calibri" w:hAnsi="Calibri"/>
      <w:sz w:val="22"/>
      <w:szCs w:val="22"/>
      <w:lang w:eastAsia="en-US"/>
    </w:rPr>
  </w:style>
  <w:style w:type="paragraph" w:styleId="NormalWeb">
    <w:name w:val="Normal (Web)"/>
    <w:basedOn w:val="Normal"/>
    <w:uiPriority w:val="99"/>
    <w:semiHidden/>
    <w:unhideWhenUsed/>
    <w:rsid w:val="00091BD0"/>
    <w:pPr>
      <w:spacing w:before="100" w:beforeAutospacing="1" w:after="100" w:afterAutospacing="1" w:line="240" w:lineRule="auto"/>
      <w:ind w:firstLine="0"/>
      <w:jc w:val="left"/>
    </w:pPr>
    <w:rPr>
      <w:rFonts w:eastAsia="Times New Roman"/>
      <w:sz w:val="24"/>
      <w:szCs w:val="24"/>
      <w:lang w:val="en-US"/>
    </w:rPr>
  </w:style>
  <w:style w:type="paragraph" w:styleId="Revision">
    <w:name w:val="Revision"/>
    <w:hidden/>
    <w:uiPriority w:val="99"/>
    <w:semiHidden/>
    <w:rsid w:val="000F0585"/>
    <w:rPr>
      <w:sz w:val="28"/>
      <w:szCs w:val="22"/>
      <w:lang w:eastAsia="en-US"/>
    </w:rPr>
  </w:style>
  <w:style w:type="table" w:styleId="TableGrid">
    <w:name w:val="Table Grid"/>
    <w:basedOn w:val="TableNormal"/>
    <w:uiPriority w:val="59"/>
    <w:rsid w:val="00C708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uiPriority w:val="99"/>
    <w:semiHidden/>
    <w:unhideWhenUsed/>
    <w:rsid w:val="00E44525"/>
    <w:rPr>
      <w:color w:val="808080"/>
      <w:shd w:val="clear" w:color="auto" w:fill="E6E6E6"/>
    </w:rPr>
  </w:style>
  <w:style w:type="paragraph" w:styleId="BodyText">
    <w:name w:val="Body Text"/>
    <w:basedOn w:val="Normal"/>
    <w:link w:val="BodyTextChar"/>
    <w:uiPriority w:val="99"/>
    <w:semiHidden/>
    <w:unhideWhenUsed/>
    <w:rsid w:val="00AC75BC"/>
    <w:pPr>
      <w:spacing w:after="120"/>
    </w:pPr>
  </w:style>
  <w:style w:type="character" w:customStyle="1" w:styleId="BodyTextChar">
    <w:name w:val="Body Text Char"/>
    <w:link w:val="BodyText"/>
    <w:uiPriority w:val="99"/>
    <w:semiHidden/>
    <w:rsid w:val="00AC75BC"/>
    <w:rPr>
      <w:sz w:val="28"/>
      <w:szCs w:val="22"/>
      <w:lang w:eastAsia="en-US"/>
    </w:rPr>
  </w:style>
  <w:style w:type="character" w:customStyle="1" w:styleId="UnresolvedMention">
    <w:name w:val="Unresolved Mention"/>
    <w:uiPriority w:val="99"/>
    <w:semiHidden/>
    <w:unhideWhenUsed/>
    <w:rsid w:val="00FE0DC1"/>
    <w:rPr>
      <w:color w:val="808080"/>
      <w:shd w:val="clear" w:color="auto" w:fill="E6E6E6"/>
    </w:rPr>
  </w:style>
  <w:style w:type="paragraph" w:customStyle="1" w:styleId="tv2132">
    <w:name w:val="tv2132"/>
    <w:basedOn w:val="Normal"/>
    <w:rsid w:val="00FE2CD5"/>
    <w:pPr>
      <w:spacing w:line="360" w:lineRule="auto"/>
      <w:ind w:firstLine="300"/>
      <w:jc w:val="left"/>
    </w:pPr>
    <w:rPr>
      <w:rFonts w:eastAsia="Times New Roman"/>
      <w:color w:val="414142"/>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12852">
      <w:bodyDiv w:val="1"/>
      <w:marLeft w:val="0"/>
      <w:marRight w:val="0"/>
      <w:marTop w:val="0"/>
      <w:marBottom w:val="0"/>
      <w:divBdr>
        <w:top w:val="none" w:sz="0" w:space="0" w:color="auto"/>
        <w:left w:val="none" w:sz="0" w:space="0" w:color="auto"/>
        <w:bottom w:val="none" w:sz="0" w:space="0" w:color="auto"/>
        <w:right w:val="none" w:sz="0" w:space="0" w:color="auto"/>
      </w:divBdr>
    </w:div>
    <w:div w:id="155850417">
      <w:bodyDiv w:val="1"/>
      <w:marLeft w:val="0"/>
      <w:marRight w:val="0"/>
      <w:marTop w:val="0"/>
      <w:marBottom w:val="0"/>
      <w:divBdr>
        <w:top w:val="none" w:sz="0" w:space="0" w:color="auto"/>
        <w:left w:val="none" w:sz="0" w:space="0" w:color="auto"/>
        <w:bottom w:val="none" w:sz="0" w:space="0" w:color="auto"/>
        <w:right w:val="none" w:sz="0" w:space="0" w:color="auto"/>
      </w:divBdr>
    </w:div>
    <w:div w:id="349378038">
      <w:bodyDiv w:val="1"/>
      <w:marLeft w:val="0"/>
      <w:marRight w:val="0"/>
      <w:marTop w:val="0"/>
      <w:marBottom w:val="0"/>
      <w:divBdr>
        <w:top w:val="none" w:sz="0" w:space="0" w:color="auto"/>
        <w:left w:val="none" w:sz="0" w:space="0" w:color="auto"/>
        <w:bottom w:val="none" w:sz="0" w:space="0" w:color="auto"/>
        <w:right w:val="none" w:sz="0" w:space="0" w:color="auto"/>
      </w:divBdr>
    </w:div>
    <w:div w:id="515582405">
      <w:bodyDiv w:val="1"/>
      <w:marLeft w:val="0"/>
      <w:marRight w:val="0"/>
      <w:marTop w:val="0"/>
      <w:marBottom w:val="0"/>
      <w:divBdr>
        <w:top w:val="none" w:sz="0" w:space="0" w:color="auto"/>
        <w:left w:val="none" w:sz="0" w:space="0" w:color="auto"/>
        <w:bottom w:val="none" w:sz="0" w:space="0" w:color="auto"/>
        <w:right w:val="none" w:sz="0" w:space="0" w:color="auto"/>
      </w:divBdr>
      <w:divsChild>
        <w:div w:id="1898661026">
          <w:marLeft w:val="0"/>
          <w:marRight w:val="0"/>
          <w:marTop w:val="0"/>
          <w:marBottom w:val="0"/>
          <w:divBdr>
            <w:top w:val="none" w:sz="0" w:space="0" w:color="auto"/>
            <w:left w:val="none" w:sz="0" w:space="0" w:color="auto"/>
            <w:bottom w:val="none" w:sz="0" w:space="0" w:color="auto"/>
            <w:right w:val="none" w:sz="0" w:space="0" w:color="auto"/>
          </w:divBdr>
        </w:div>
      </w:divsChild>
    </w:div>
    <w:div w:id="606011501">
      <w:bodyDiv w:val="1"/>
      <w:marLeft w:val="0"/>
      <w:marRight w:val="0"/>
      <w:marTop w:val="0"/>
      <w:marBottom w:val="0"/>
      <w:divBdr>
        <w:top w:val="none" w:sz="0" w:space="0" w:color="auto"/>
        <w:left w:val="none" w:sz="0" w:space="0" w:color="auto"/>
        <w:bottom w:val="none" w:sz="0" w:space="0" w:color="auto"/>
        <w:right w:val="none" w:sz="0" w:space="0" w:color="auto"/>
      </w:divBdr>
      <w:divsChild>
        <w:div w:id="315494008">
          <w:marLeft w:val="0"/>
          <w:marRight w:val="0"/>
          <w:marTop w:val="0"/>
          <w:marBottom w:val="0"/>
          <w:divBdr>
            <w:top w:val="none" w:sz="0" w:space="0" w:color="auto"/>
            <w:left w:val="none" w:sz="0" w:space="0" w:color="auto"/>
            <w:bottom w:val="none" w:sz="0" w:space="0" w:color="auto"/>
            <w:right w:val="none" w:sz="0" w:space="0" w:color="auto"/>
          </w:divBdr>
          <w:divsChild>
            <w:div w:id="1168979462">
              <w:marLeft w:val="0"/>
              <w:marRight w:val="0"/>
              <w:marTop w:val="0"/>
              <w:marBottom w:val="0"/>
              <w:divBdr>
                <w:top w:val="none" w:sz="0" w:space="0" w:color="auto"/>
                <w:left w:val="none" w:sz="0" w:space="0" w:color="auto"/>
                <w:bottom w:val="none" w:sz="0" w:space="0" w:color="auto"/>
                <w:right w:val="none" w:sz="0" w:space="0" w:color="auto"/>
              </w:divBdr>
              <w:divsChild>
                <w:div w:id="1887832376">
                  <w:marLeft w:val="0"/>
                  <w:marRight w:val="0"/>
                  <w:marTop w:val="0"/>
                  <w:marBottom w:val="0"/>
                  <w:divBdr>
                    <w:top w:val="none" w:sz="0" w:space="0" w:color="auto"/>
                    <w:left w:val="none" w:sz="0" w:space="0" w:color="auto"/>
                    <w:bottom w:val="none" w:sz="0" w:space="0" w:color="auto"/>
                    <w:right w:val="none" w:sz="0" w:space="0" w:color="auto"/>
                  </w:divBdr>
                  <w:divsChild>
                    <w:div w:id="1321695790">
                      <w:marLeft w:val="0"/>
                      <w:marRight w:val="0"/>
                      <w:marTop w:val="0"/>
                      <w:marBottom w:val="0"/>
                      <w:divBdr>
                        <w:top w:val="none" w:sz="0" w:space="0" w:color="auto"/>
                        <w:left w:val="none" w:sz="0" w:space="0" w:color="auto"/>
                        <w:bottom w:val="none" w:sz="0" w:space="0" w:color="auto"/>
                        <w:right w:val="none" w:sz="0" w:space="0" w:color="auto"/>
                      </w:divBdr>
                      <w:divsChild>
                        <w:div w:id="1527138794">
                          <w:marLeft w:val="0"/>
                          <w:marRight w:val="0"/>
                          <w:marTop w:val="0"/>
                          <w:marBottom w:val="0"/>
                          <w:divBdr>
                            <w:top w:val="none" w:sz="0" w:space="0" w:color="auto"/>
                            <w:left w:val="none" w:sz="0" w:space="0" w:color="auto"/>
                            <w:bottom w:val="none" w:sz="0" w:space="0" w:color="auto"/>
                            <w:right w:val="none" w:sz="0" w:space="0" w:color="auto"/>
                          </w:divBdr>
                          <w:divsChild>
                            <w:div w:id="123759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9052345">
      <w:bodyDiv w:val="1"/>
      <w:marLeft w:val="0"/>
      <w:marRight w:val="0"/>
      <w:marTop w:val="0"/>
      <w:marBottom w:val="0"/>
      <w:divBdr>
        <w:top w:val="none" w:sz="0" w:space="0" w:color="auto"/>
        <w:left w:val="none" w:sz="0" w:space="0" w:color="auto"/>
        <w:bottom w:val="none" w:sz="0" w:space="0" w:color="auto"/>
        <w:right w:val="none" w:sz="0" w:space="0" w:color="auto"/>
      </w:divBdr>
      <w:divsChild>
        <w:div w:id="1084767235">
          <w:marLeft w:val="0"/>
          <w:marRight w:val="0"/>
          <w:marTop w:val="0"/>
          <w:marBottom w:val="0"/>
          <w:divBdr>
            <w:top w:val="none" w:sz="0" w:space="0" w:color="auto"/>
            <w:left w:val="none" w:sz="0" w:space="0" w:color="auto"/>
            <w:bottom w:val="none" w:sz="0" w:space="0" w:color="auto"/>
            <w:right w:val="none" w:sz="0" w:space="0" w:color="auto"/>
          </w:divBdr>
        </w:div>
      </w:divsChild>
    </w:div>
    <w:div w:id="1245381791">
      <w:bodyDiv w:val="1"/>
      <w:marLeft w:val="0"/>
      <w:marRight w:val="0"/>
      <w:marTop w:val="0"/>
      <w:marBottom w:val="0"/>
      <w:divBdr>
        <w:top w:val="none" w:sz="0" w:space="0" w:color="auto"/>
        <w:left w:val="none" w:sz="0" w:space="0" w:color="auto"/>
        <w:bottom w:val="none" w:sz="0" w:space="0" w:color="auto"/>
        <w:right w:val="none" w:sz="0" w:space="0" w:color="auto"/>
      </w:divBdr>
    </w:div>
    <w:div w:id="1502349314">
      <w:bodyDiv w:val="1"/>
      <w:marLeft w:val="0"/>
      <w:marRight w:val="0"/>
      <w:marTop w:val="0"/>
      <w:marBottom w:val="0"/>
      <w:divBdr>
        <w:top w:val="none" w:sz="0" w:space="0" w:color="auto"/>
        <w:left w:val="none" w:sz="0" w:space="0" w:color="auto"/>
        <w:bottom w:val="none" w:sz="0" w:space="0" w:color="auto"/>
        <w:right w:val="none" w:sz="0" w:space="0" w:color="auto"/>
      </w:divBdr>
    </w:div>
    <w:div w:id="1565485133">
      <w:bodyDiv w:val="1"/>
      <w:marLeft w:val="0"/>
      <w:marRight w:val="0"/>
      <w:marTop w:val="0"/>
      <w:marBottom w:val="0"/>
      <w:divBdr>
        <w:top w:val="none" w:sz="0" w:space="0" w:color="auto"/>
        <w:left w:val="none" w:sz="0" w:space="0" w:color="auto"/>
        <w:bottom w:val="none" w:sz="0" w:space="0" w:color="auto"/>
        <w:right w:val="none" w:sz="0" w:space="0" w:color="auto"/>
      </w:divBdr>
    </w:div>
    <w:div w:id="1634288875">
      <w:bodyDiv w:val="1"/>
      <w:marLeft w:val="0"/>
      <w:marRight w:val="0"/>
      <w:marTop w:val="0"/>
      <w:marBottom w:val="0"/>
      <w:divBdr>
        <w:top w:val="none" w:sz="0" w:space="0" w:color="auto"/>
        <w:left w:val="none" w:sz="0" w:space="0" w:color="auto"/>
        <w:bottom w:val="none" w:sz="0" w:space="0" w:color="auto"/>
        <w:right w:val="none" w:sz="0" w:space="0" w:color="auto"/>
      </w:divBdr>
    </w:div>
    <w:div w:id="1702391755">
      <w:bodyDiv w:val="1"/>
      <w:marLeft w:val="0"/>
      <w:marRight w:val="0"/>
      <w:marTop w:val="0"/>
      <w:marBottom w:val="0"/>
      <w:divBdr>
        <w:top w:val="none" w:sz="0" w:space="0" w:color="auto"/>
        <w:left w:val="none" w:sz="0" w:space="0" w:color="auto"/>
        <w:bottom w:val="none" w:sz="0" w:space="0" w:color="auto"/>
        <w:right w:val="none" w:sz="0" w:space="0" w:color="auto"/>
      </w:divBdr>
    </w:div>
    <w:div w:id="2033408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CCBD2C-77F8-463C-B9A8-48596E43E0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8</Pages>
  <Words>11743</Words>
  <Characters>6694</Characters>
  <Application>Microsoft Office Word</Application>
  <DocSecurity>0</DocSecurity>
  <Lines>55</Lines>
  <Paragraphs>36</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2004.gada 17.augusta noteikumos Nr.725 „Transportlīdzekļu pārbūves noteikumi”” sākotnējās ietekmes novērtējuma ziņojums (anotācija)</vt:lpstr>
    </vt:vector>
  </TitlesOfParts>
  <Company>Satiksmes ministrija</Company>
  <LinksUpToDate>false</LinksUpToDate>
  <CharactersWithSpaces>18401</CharactersWithSpaces>
  <SharedDoc>false</SharedDoc>
  <HLinks>
    <vt:vector size="6" baseType="variant">
      <vt:variant>
        <vt:i4>37</vt:i4>
      </vt:variant>
      <vt:variant>
        <vt:i4>0</vt:i4>
      </vt:variant>
      <vt:variant>
        <vt:i4>0</vt:i4>
      </vt:variant>
      <vt:variant>
        <vt:i4>5</vt:i4>
      </vt:variant>
      <vt:variant>
        <vt:lpwstr>mailto:kristaps.abolins@csdd.gov.lv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2017.gada 30.maija noteikumos Nr.295 “Noteikumi par transportlīdzekļu valsts tehnisko apskati un tehnisko kontroli uz ceļa”” sākotnējās ietekmes novērtējuma ziņojums (anotācija)</dc:title>
  <dc:subject>anotācija</dc:subject>
  <dc:creator>Juris Dreimanis</dc:creator>
  <cp:keywords/>
  <dc:description>juris.dreimanis@csdd.gov.lv
67025735</dc:description>
  <cp:lastModifiedBy>Jānis Kalniņš</cp:lastModifiedBy>
  <cp:revision>27</cp:revision>
  <cp:lastPrinted>2018-06-26T06:46:00Z</cp:lastPrinted>
  <dcterms:created xsi:type="dcterms:W3CDTF">2018-06-12T08:32:00Z</dcterms:created>
  <dcterms:modified xsi:type="dcterms:W3CDTF">2018-06-27T13:36:00Z</dcterms:modified>
</cp:coreProperties>
</file>