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27E79" w14:textId="77777777" w:rsidR="008B366B" w:rsidRDefault="008B366B" w:rsidP="008B366B">
      <w:pPr>
        <w:spacing w:after="0" w:line="240" w:lineRule="auto"/>
        <w:ind w:firstLine="300"/>
        <w:jc w:val="center"/>
        <w:rPr>
          <w:rFonts w:ascii="Times New Roman" w:eastAsia="Times New Roman" w:hAnsi="Times New Roman" w:cs="Times New Roman"/>
          <w:b/>
          <w:bCs/>
          <w:sz w:val="24"/>
          <w:szCs w:val="24"/>
          <w:lang w:eastAsia="lv-LV"/>
        </w:rPr>
      </w:pPr>
      <w:r w:rsidRPr="00941AED">
        <w:rPr>
          <w:rFonts w:ascii="Times New Roman" w:eastAsia="Times New Roman" w:hAnsi="Times New Roman" w:cs="Times New Roman"/>
          <w:b/>
          <w:bCs/>
          <w:sz w:val="24"/>
          <w:szCs w:val="24"/>
          <w:lang w:eastAsia="lv-LV"/>
        </w:rPr>
        <w:t>Ministru kabineta rīkojuma projekta „Par atklāta konkursa uz Eiropas Savienības Vispārējās tiesas tiesneša amatu izsludināšanu” 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8B366B" w:rsidRPr="002D7166" w14:paraId="47F047DD" w14:textId="77777777" w:rsidTr="00E9181C">
        <w:trPr>
          <w:cantSplit/>
        </w:trPr>
        <w:tc>
          <w:tcPr>
            <w:tcW w:w="2830" w:type="dxa"/>
            <w:shd w:val="clear" w:color="auto" w:fill="FFFFFF"/>
            <w:hideMark/>
          </w:tcPr>
          <w:p w14:paraId="3C58940B" w14:textId="77777777" w:rsidR="008B366B" w:rsidRPr="00A1552F" w:rsidRDefault="008B366B" w:rsidP="008B366B">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691D802E" w:rsidR="008B366B" w:rsidRPr="00A1552F" w:rsidRDefault="008B366B" w:rsidP="008B366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mērķis ir līdz 2018. gada 1. oktobrim Eiropas Savienības Padomei iesniegt Latvijas Republikas kandidātus uz Eiropas Savienības Vispārējās tiesas tiesneša amata vietu. Mērķis tiks sasniegts izsludinot atklātu konkursu un</w:t>
            </w:r>
            <w:proofErr w:type="gramStart"/>
            <w:r>
              <w:rPr>
                <w:rFonts w:ascii="Times New Roman" w:eastAsia="Times New Roman" w:hAnsi="Times New Roman" w:cs="Times New Roman"/>
                <w:sz w:val="24"/>
                <w:szCs w:val="24"/>
                <w:lang w:eastAsia="lv-LV"/>
              </w:rPr>
              <w:t xml:space="preserve"> izveidojot atlases</w:t>
            </w:r>
            <w:proofErr w:type="gramEnd"/>
            <w:r>
              <w:rPr>
                <w:rFonts w:ascii="Times New Roman" w:eastAsia="Times New Roman" w:hAnsi="Times New Roman" w:cs="Times New Roman"/>
                <w:sz w:val="24"/>
                <w:szCs w:val="24"/>
                <w:lang w:eastAsia="lv-LV"/>
              </w:rPr>
              <w:t xml:space="preserve"> komisiju, kura atlasīs divus kandidātus, sarindojot tos hronoloģiski pēc punktu skaita un pa vienam sūtot uz Eiropas Savienības Padomes rīkotajiem tiesnešu kandidātu pārbaudījumiem. </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16B2EA38" w14:textId="77777777" w:rsidR="008B366B" w:rsidRDefault="008B366B" w:rsidP="008B366B">
            <w:pPr>
              <w:spacing w:after="0" w:line="240" w:lineRule="auto"/>
              <w:jc w:val="both"/>
              <w:rPr>
                <w:rFonts w:ascii="Times New Roman" w:hAnsi="Times New Roman" w:cs="Times New Roman"/>
                <w:sz w:val="24"/>
                <w:szCs w:val="28"/>
              </w:rPr>
            </w:pPr>
            <w:bookmarkStart w:id="0" w:name="_Hlk517879035"/>
            <w:r w:rsidRPr="000931B1">
              <w:rPr>
                <w:rFonts w:ascii="Times New Roman" w:hAnsi="Times New Roman" w:cs="Times New Roman"/>
                <w:sz w:val="24"/>
                <w:szCs w:val="28"/>
              </w:rPr>
              <w:t>2019. gada 31. augustā 23 Eiropas Savienības Vispārējās tiesas (turpmāk – Vispārējā tiesa) tiesnešiem, tai skaitā divām Latvijas Republikas amata vietām, bei</w:t>
            </w:r>
            <w:r>
              <w:rPr>
                <w:rFonts w:ascii="Times New Roman" w:hAnsi="Times New Roman" w:cs="Times New Roman"/>
                <w:sz w:val="24"/>
                <w:szCs w:val="28"/>
              </w:rPr>
              <w:t>dzas</w:t>
            </w:r>
            <w:r w:rsidRPr="000931B1">
              <w:rPr>
                <w:rFonts w:ascii="Times New Roman" w:hAnsi="Times New Roman" w:cs="Times New Roman"/>
                <w:sz w:val="24"/>
                <w:szCs w:val="28"/>
              </w:rPr>
              <w:t xml:space="preserve"> amata pilnvaru termiņš, Eiropas Savienības Padome 2018. gada 20. marta vēstulē lūdza dalībvalstis laicīgi uzsākt pretendentu atlasi, izsludināt atklātu konkursu un līdz 2018. gada 1. oktobrim iesniegt kandidātu priekšlikumus. </w:t>
            </w:r>
            <w:bookmarkEnd w:id="0"/>
          </w:p>
          <w:p w14:paraId="0A3EB312" w14:textId="68D02881" w:rsidR="004D15A9" w:rsidRPr="00BC2633" w:rsidRDefault="008B366B" w:rsidP="008B366B">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Uz</w:t>
            </w:r>
            <w:r>
              <w:rPr>
                <w:rFonts w:ascii="Times New Roman" w:eastAsia="Times New Roman" w:hAnsi="Times New Roman" w:cs="Times New Roman"/>
                <w:sz w:val="24"/>
                <w:szCs w:val="24"/>
                <w:lang w:eastAsia="lv-LV"/>
              </w:rPr>
              <w:t xml:space="preserve"> </w:t>
            </w:r>
            <w:r w:rsidRPr="00941AED">
              <w:rPr>
                <w:rFonts w:ascii="Times New Roman" w:eastAsia="Times New Roman" w:hAnsi="Times New Roman" w:cs="Times New Roman"/>
                <w:sz w:val="24"/>
                <w:szCs w:val="24"/>
                <w:lang w:eastAsia="lv-LV"/>
              </w:rPr>
              <w:t>Latvijas pārstāvim atvēlēto Tiesas tiesneša amata vietu ir nepieciešams izsludināt atklātu konkursu un izveidot pretendentu atlases komisiju (turpmāk – konkursa komisija), kas izvēlēsies divus atbilstošākos kandidātus, sarindojot tos iegūtā vērtējuma secībā.</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w:t>
            </w:r>
            <w:bookmarkStart w:id="1" w:name="_GoBack"/>
            <w:bookmarkEnd w:id="1"/>
            <w:r w:rsidRPr="00BC2633">
              <w:rPr>
                <w:rFonts w:ascii="Times New Roman" w:eastAsia="Times New Roman" w:hAnsi="Times New Roman" w:cs="Times New Roman"/>
                <w:sz w:val="24"/>
                <w:szCs w:val="24"/>
                <w:lang w:eastAsia="lv-LV"/>
              </w:rPr>
              <w:t>ba</w:t>
            </w:r>
          </w:p>
        </w:tc>
        <w:tc>
          <w:tcPr>
            <w:tcW w:w="3199" w:type="pct"/>
            <w:tcBorders>
              <w:top w:val="outset" w:sz="6" w:space="0" w:color="414142"/>
              <w:left w:val="outset" w:sz="6" w:space="0" w:color="414142"/>
              <w:bottom w:val="outset" w:sz="6" w:space="0" w:color="414142"/>
              <w:right w:val="outset" w:sz="6" w:space="0" w:color="414142"/>
            </w:tcBorders>
            <w:hideMark/>
          </w:tcPr>
          <w:p w14:paraId="1ADE2D66" w14:textId="77777777" w:rsidR="008B366B" w:rsidRPr="00941AED" w:rsidRDefault="008B366B" w:rsidP="008B366B">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Saskaņā ar Līguma par Eiropas Savienības darbību (turpmāk – LESD) 254. pantu Tiesas locekļus uz sešiem gadiem amatā ieceļ Eiropas Savienības dalībvalstu valdības, savstarpēji vienojoties, pēc apspriešanās ar LESD 255. pantā paredzēto komiteju (turpmāk – 255. panta komiteja).</w:t>
            </w:r>
          </w:p>
          <w:p w14:paraId="58805D52" w14:textId="77777777" w:rsidR="008B366B" w:rsidRPr="00941AED" w:rsidRDefault="008B366B" w:rsidP="008B366B">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Ievērojot tiesnešu iecelšanas kārtību Tiesā, pēc pretendentu atbilstības Tiesas tiesneša amatam izvērtēšanas Latvijā un pēc tam, kad Eiropas Savienības likumdevējs būs pieņēmis Eiropas Savienības Tiesas statūtu grozījumus, kas paredz Tiesas tiesnešu skaita dubultošanu, atbilstošākā pretendenta kandidatūra tiks nosūtīta LESD 255. panta komitejai konfidenciāla viedokļa sniegšanai. Pamatojoties uz šo viedokli, Eiropas Savienības dalībvalstu valdību pārstāvji lems par tiesneša iecelšanu.</w:t>
            </w:r>
          </w:p>
          <w:p w14:paraId="4F8906A1" w14:textId="77777777" w:rsidR="008B366B" w:rsidRPr="00941AED" w:rsidRDefault="008B366B" w:rsidP="008B366B">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 xml:space="preserve">Ar Ministru kabineta rīkojumu tiks izsludināts konkurss uz Tiesas tiesneša amatu. Vienlaikus ar rīkojumu par konkursa izsludināšanu tiks apstiprināts konkursa sludinājuma teksts, pievienojot sludinājumam 255. panta komitejas izstrādāto un apstiprināto </w:t>
            </w:r>
            <w:proofErr w:type="spellStart"/>
            <w:r w:rsidRPr="00941AED">
              <w:rPr>
                <w:rFonts w:ascii="Times New Roman" w:eastAsia="Times New Roman" w:hAnsi="Times New Roman" w:cs="Times New Roman"/>
                <w:i/>
                <w:sz w:val="24"/>
                <w:szCs w:val="24"/>
                <w:lang w:eastAsia="lv-LV"/>
              </w:rPr>
              <w:t>curriculum</w:t>
            </w:r>
            <w:proofErr w:type="spellEnd"/>
            <w:r w:rsidRPr="00941AED">
              <w:rPr>
                <w:rFonts w:ascii="Times New Roman" w:eastAsia="Times New Roman" w:hAnsi="Times New Roman" w:cs="Times New Roman"/>
                <w:i/>
                <w:sz w:val="24"/>
                <w:szCs w:val="24"/>
                <w:lang w:eastAsia="lv-LV"/>
              </w:rPr>
              <w:t xml:space="preserve"> </w:t>
            </w:r>
            <w:proofErr w:type="spellStart"/>
            <w:r w:rsidRPr="00941AED">
              <w:rPr>
                <w:rFonts w:ascii="Times New Roman" w:eastAsia="Times New Roman" w:hAnsi="Times New Roman" w:cs="Times New Roman"/>
                <w:i/>
                <w:sz w:val="24"/>
                <w:szCs w:val="24"/>
                <w:lang w:eastAsia="lv-LV"/>
              </w:rPr>
              <w:t>vitae</w:t>
            </w:r>
            <w:proofErr w:type="spellEnd"/>
            <w:r w:rsidRPr="00941AED">
              <w:rPr>
                <w:rFonts w:ascii="Times New Roman" w:eastAsia="Times New Roman" w:hAnsi="Times New Roman" w:cs="Times New Roman"/>
                <w:sz w:val="24"/>
                <w:szCs w:val="24"/>
                <w:lang w:eastAsia="lv-LV"/>
              </w:rPr>
              <w:t xml:space="preserve"> paraugu angļu un franču valodā, uzdodot Tieslietu ministrijai publicēt sludinājumu par konkursu oficiālajā izdevumā „Latvijas Vēstnesis”, </w:t>
            </w:r>
            <w:r w:rsidRPr="00941AED">
              <w:rPr>
                <w:rFonts w:ascii="Times New Roman" w:eastAsia="Times New Roman" w:hAnsi="Times New Roman" w:cs="Times New Roman"/>
                <w:sz w:val="24"/>
                <w:szCs w:val="24"/>
                <w:lang w:eastAsia="lv-LV"/>
              </w:rPr>
              <w:lastRenderedPageBreak/>
              <w:t>Ministru kabineta, Tieslietu ministrijas un Latvijas tiesu portāla tīmekļa vietnēs. Papildus Tieslietu ministrijai tiks uzdots izstrādāt Tiesas tiesneša amata pretendentu atklātā konkursa nolikuma projektu, kas regulēs konkursa komisijas darba organizatoriskos jautājumus. Par konkursa komisijas sastāvu, pamatojoties uz Tieslietu ministra ieteikumu, tiks izdots Ministru prezidenta rīkojums.</w:t>
            </w:r>
          </w:p>
          <w:p w14:paraId="56D02148" w14:textId="77777777" w:rsidR="008B366B" w:rsidRPr="00941AED" w:rsidRDefault="008B366B" w:rsidP="008B366B">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Tāpat rīkojumā noteiktas konkursa komisijas priekšsēdētāja tiesības, ja nepieciešams, pieaicināt konkursa darbā ekspertus.</w:t>
            </w:r>
          </w:p>
          <w:p w14:paraId="0999BC59" w14:textId="77777777" w:rsidR="008B366B" w:rsidRPr="00941AED" w:rsidRDefault="008B366B" w:rsidP="008B366B">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Saskaņā ar rīkojumu konkursa komisijai jāizvēlas divi atbilstošākie tiesneša amata kandidāti un tie jāsarindo secībā pēc iegūtā vērtējuma.</w:t>
            </w:r>
          </w:p>
          <w:p w14:paraId="30C06537" w14:textId="69DB591A" w:rsidR="004D15A9" w:rsidRPr="00BC2633" w:rsidRDefault="008B366B" w:rsidP="008B366B">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Pretendenta ar visaugstāko iegūto vērtējumu kandidatūra tiks nosūtīta 255. panta komitejai konfidenciāla viedokļa par kandidāta atbilstību sniegšanai. Tikai gadījumā, ja šis viedoklis ir negatīvs, 255. panta komitejai tiktu nosūtīta kandidatūra, kas ieguvusi otru augstāko vērtējumu. Kopš LESD stāšanās spēkā pastāv prakse, ka 255. panta komitejas negatīva viedokļa gadījumā attiecīgā Eiropas Savienības dalībvalsts parasti atsauc šo kandidatūru un piedāvā citu.</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78F0A9ED" w:rsidR="004D15A9" w:rsidRPr="00BC2633" w:rsidRDefault="008B366B" w:rsidP="001C5969">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Tieslietu ministrija.</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3009F4C0" w:rsidR="004D15A9" w:rsidRPr="00BC2633" w:rsidRDefault="008B366B"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C2306" w:rsidRPr="00BC2633" w14:paraId="2C9F3255" w14:textId="77777777" w:rsidTr="00AC2306">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14:paraId="674A68B1" w14:textId="27555C79" w:rsidR="00AC2306" w:rsidRPr="00BC2633" w:rsidRDefault="00AC2306" w:rsidP="00AC230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w:t>
            </w:r>
            <w:r w:rsidR="00F316F2">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projekts šo jomu neskar.</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8B366B" w:rsidRPr="00A1552F" w14:paraId="714A9782" w14:textId="77777777" w:rsidTr="008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5000" w:type="pct"/>
            <w:gridSpan w:val="3"/>
            <w:shd w:val="clear" w:color="auto" w:fill="auto"/>
            <w:hideMark/>
          </w:tcPr>
          <w:p w14:paraId="76C4A714" w14:textId="19831014" w:rsidR="008B366B" w:rsidRPr="00A1552F" w:rsidRDefault="008B366B" w:rsidP="008B36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w:t>
            </w:r>
            <w:r w:rsidR="00F316F2">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projekts šo jomu neskar.</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8B366B" w:rsidRPr="00BC2633" w14:paraId="1BB29304" w14:textId="77777777" w:rsidTr="008B366B">
        <w:tc>
          <w:tcPr>
            <w:tcW w:w="5000" w:type="pct"/>
            <w:tcBorders>
              <w:top w:val="outset" w:sz="6" w:space="0" w:color="414142"/>
              <w:left w:val="outset" w:sz="6" w:space="0" w:color="414142"/>
              <w:bottom w:val="outset" w:sz="6" w:space="0" w:color="414142"/>
              <w:right w:val="outset" w:sz="6" w:space="0" w:color="414142"/>
            </w:tcBorders>
            <w:hideMark/>
          </w:tcPr>
          <w:p w14:paraId="7EE11369" w14:textId="7F5C808E" w:rsidR="008B366B" w:rsidRPr="00BC2633" w:rsidRDefault="008B366B" w:rsidP="008B36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w:t>
            </w:r>
            <w:r w:rsidR="00F316F2">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projekts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1A9252AF" w14:textId="77777777" w:rsidR="00AC2306" w:rsidRPr="00941AED" w:rsidRDefault="00AC2306" w:rsidP="00AC230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 xml:space="preserve">Saskaņā ar Līguma par Eiropas Savienību 19. pantu Tiesas sastāvā ir vismaz pa vienam tiesnesim no katras dalībvalsts, kurus izvēlas no personām, par kuru neatkarību nav šaubu un kuras atbilst LESD 254. pantā paredzētajiem nosacījumiem. Savstarpēji vienojoties, viņus uz sešiem gadiem ieceļ dalībvalstu valdības. </w:t>
            </w:r>
          </w:p>
          <w:p w14:paraId="46F4ED3F" w14:textId="7A7ABB2B" w:rsidR="004D15A9" w:rsidRPr="00BC2633" w:rsidRDefault="00AC2306" w:rsidP="00AC2306">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Saskaņā ar LESD 254. pantu Tiesas locekļus uz sešiem gadiem amatā ieceļ Eiropas Savienības dalībvalstu valdības, savstarpēji vienojoties, pēc apspriešanās ar 255. panta komiteju.</w:t>
            </w:r>
          </w:p>
        </w:tc>
      </w:tr>
      <w:tr w:rsidR="00BC2633" w:rsidRPr="00BC2633"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roofErr w:type="gramStart"/>
            <w:r w:rsidRPr="00BC2633">
              <w:rPr>
                <w:rFonts w:ascii="Times New Roman" w:eastAsia="Times New Roman" w:hAnsi="Times New Roman" w:cs="Times New Roman"/>
                <w:sz w:val="24"/>
                <w:szCs w:val="24"/>
                <w:lang w:eastAsia="lv-LV"/>
              </w:rPr>
              <w:t>Citas starptautiskās saistības</w:t>
            </w:r>
            <w:proofErr w:type="gramEnd"/>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2D2D516E" w:rsidR="004D15A9" w:rsidRPr="00BC2633" w:rsidRDefault="00AC2306" w:rsidP="00964E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4D15A9" w:rsidRPr="00BC2633"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574ADFB1" w:rsidR="004D15A9" w:rsidRPr="00BC2633" w:rsidRDefault="00AC2306"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28BF07B0" w14:textId="77777777"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AC2306" w:rsidRPr="00BC2633" w14:paraId="7B1FA7B2" w14:textId="77777777" w:rsidTr="00AC2306">
        <w:trPr>
          <w:trHeight w:val="540"/>
        </w:trPr>
        <w:tc>
          <w:tcPr>
            <w:tcW w:w="5000" w:type="pct"/>
            <w:tcBorders>
              <w:top w:val="outset" w:sz="6" w:space="0" w:color="414142"/>
              <w:left w:val="outset" w:sz="6" w:space="0" w:color="414142"/>
              <w:bottom w:val="outset" w:sz="6" w:space="0" w:color="414142"/>
              <w:right w:val="outset" w:sz="6" w:space="0" w:color="414142"/>
            </w:tcBorders>
            <w:hideMark/>
          </w:tcPr>
          <w:p w14:paraId="298F5795" w14:textId="54B43FE0" w:rsidR="00AC2306" w:rsidRPr="001C5969" w:rsidRDefault="00AC2306" w:rsidP="00AC230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Rīkojum</w:t>
            </w:r>
            <w:r w:rsidR="00F316F2">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projekts šo jomu neskar.</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7958D3BA" w:rsidR="004D15A9" w:rsidRPr="00BC2633" w:rsidRDefault="00AC2306" w:rsidP="0073730D">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Projekta izpildi nodrošinās Tieslietu ministrija sadarbībā ar atbildīgajām institūcijām.</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50012824" w:rsidR="004D15A9" w:rsidRPr="00BC2633" w:rsidRDefault="00AC2306" w:rsidP="0073730D">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Rīkojuma projektā noteiktās funkcijas tiks īstenotas institūciju esošo kompetenču ietvaros.</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B22AEDF" w:rsidR="004D15A9" w:rsidRPr="00BC2633" w:rsidRDefault="00AC2306" w:rsidP="0073730D">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Tiesneša amata konkursa izsludināšana, atlase un vērtēšanas komisijas darbs tiks nodrošināts Tieslietu ministrijai piešķirto budžeta līdzekļu ietvaros.</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14976ACE" w:rsidR="004D15A9" w:rsidRDefault="004D15A9" w:rsidP="00DA596D">
      <w:pPr>
        <w:pStyle w:val="StyleRight"/>
        <w:spacing w:after="0"/>
        <w:ind w:firstLine="0"/>
        <w:jc w:val="both"/>
        <w:rPr>
          <w:sz w:val="24"/>
          <w:szCs w:val="24"/>
        </w:rPr>
      </w:pPr>
      <w:r w:rsidRPr="00BC2633">
        <w:rPr>
          <w:sz w:val="24"/>
          <w:szCs w:val="24"/>
        </w:rPr>
        <w:t>Iesniedzējs:</w:t>
      </w:r>
    </w:p>
    <w:p w14:paraId="0FE912AB" w14:textId="77777777" w:rsidR="00AC2306" w:rsidRPr="00BC2633" w:rsidRDefault="00AC2306" w:rsidP="00DA596D">
      <w:pPr>
        <w:pStyle w:val="StyleRight"/>
        <w:spacing w:after="0"/>
        <w:ind w:firstLine="0"/>
        <w:jc w:val="both"/>
        <w:rPr>
          <w:sz w:val="24"/>
          <w:szCs w:val="24"/>
        </w:rPr>
      </w:pPr>
    </w:p>
    <w:p w14:paraId="6B0E09B6" w14:textId="77777777" w:rsidR="00AC2306" w:rsidRPr="004D15A9" w:rsidRDefault="00AC2306" w:rsidP="00AC2306">
      <w:pPr>
        <w:pStyle w:val="StyleRight"/>
        <w:spacing w:after="0"/>
        <w:ind w:firstLine="0"/>
        <w:jc w:val="both"/>
        <w:rPr>
          <w:color w:val="000000"/>
          <w:sz w:val="24"/>
          <w:szCs w:val="24"/>
        </w:rPr>
      </w:pPr>
      <w:r>
        <w:rPr>
          <w:color w:val="000000"/>
          <w:sz w:val="24"/>
          <w:szCs w:val="24"/>
        </w:rPr>
        <w:t>Tieslietu ministrs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Dzintars Rasnačs</w:t>
      </w:r>
    </w:p>
    <w:p w14:paraId="2AD6EF98" w14:textId="3D0AD788" w:rsidR="004D15A9" w:rsidRDefault="004D15A9" w:rsidP="00DA596D">
      <w:pPr>
        <w:pStyle w:val="StyleRight"/>
        <w:spacing w:after="0"/>
        <w:ind w:firstLine="0"/>
        <w:jc w:val="both"/>
        <w:rPr>
          <w:sz w:val="24"/>
          <w:szCs w:val="24"/>
        </w:rPr>
      </w:pPr>
    </w:p>
    <w:p w14:paraId="63071606" w14:textId="77777777" w:rsidR="004D15A9" w:rsidRPr="00220682" w:rsidRDefault="004D15A9" w:rsidP="00DA596D">
      <w:pPr>
        <w:pStyle w:val="StyleRight"/>
        <w:spacing w:after="0"/>
        <w:ind w:firstLine="0"/>
        <w:jc w:val="both"/>
        <w:rPr>
          <w:sz w:val="22"/>
          <w:szCs w:val="22"/>
        </w:rPr>
      </w:pPr>
    </w:p>
    <w:p w14:paraId="639C0679" w14:textId="2DE53FF1" w:rsidR="00BC2633" w:rsidRPr="00220682" w:rsidRDefault="00AC2306" w:rsidP="00BC2633">
      <w:pPr>
        <w:spacing w:after="0" w:line="240" w:lineRule="auto"/>
        <w:rPr>
          <w:rFonts w:ascii="Times New Roman" w:hAnsi="Times New Roman" w:cs="Times New Roman"/>
        </w:rPr>
      </w:pPr>
      <w:r>
        <w:rPr>
          <w:rFonts w:ascii="Times New Roman" w:hAnsi="Times New Roman" w:cs="Times New Roman"/>
        </w:rPr>
        <w:t>Petrocka-Petrovska,</w:t>
      </w:r>
      <w:r w:rsidR="00BC2633" w:rsidRPr="00220682">
        <w:rPr>
          <w:rFonts w:ascii="Times New Roman" w:hAnsi="Times New Roman" w:cs="Times New Roman"/>
        </w:rPr>
        <w:t xml:space="preserve"> 67036</w:t>
      </w:r>
      <w:r>
        <w:rPr>
          <w:rFonts w:ascii="Times New Roman" w:hAnsi="Times New Roman" w:cs="Times New Roman"/>
        </w:rPr>
        <w:t>963</w:t>
      </w:r>
    </w:p>
    <w:p w14:paraId="73B1345C" w14:textId="6748EF07" w:rsidR="00BC2633" w:rsidRPr="00220682" w:rsidRDefault="00AC2306" w:rsidP="00BC2633">
      <w:pPr>
        <w:spacing w:after="0" w:line="240" w:lineRule="auto"/>
        <w:rPr>
          <w:rFonts w:ascii="Times New Roman" w:hAnsi="Times New Roman" w:cs="Times New Roman"/>
        </w:rPr>
      </w:pPr>
      <w:r>
        <w:rPr>
          <w:rFonts w:ascii="Times New Roman" w:hAnsi="Times New Roman" w:cs="Times New Roman"/>
        </w:rPr>
        <w:t>Eliza.Petrocka-Petrovska</w:t>
      </w:r>
      <w:r w:rsidR="00BC2633" w:rsidRPr="00220682">
        <w:rPr>
          <w:rFonts w:ascii="Times New Roman" w:hAnsi="Times New Roman" w:cs="Times New Roman"/>
        </w:rPr>
        <w:t>@tm.gov.lv</w:t>
      </w:r>
    </w:p>
    <w:p w14:paraId="24827D7D" w14:textId="77777777" w:rsidR="007C66CC" w:rsidRPr="00220682" w:rsidRDefault="007C66CC" w:rsidP="00DA596D">
      <w:pPr>
        <w:spacing w:after="0" w:line="240" w:lineRule="auto"/>
        <w:rPr>
          <w:rFonts w:ascii="Times New Roman" w:hAnsi="Times New Roman" w:cs="Times New Roman"/>
          <w:color w:val="404040" w:themeColor="text1" w:themeTint="BF"/>
        </w:rPr>
      </w:pPr>
    </w:p>
    <w:p w14:paraId="0F203E35" w14:textId="77777777" w:rsidR="007C66CC" w:rsidRPr="005C0266" w:rsidRDefault="007C66CC" w:rsidP="007C66CC">
      <w:pPr>
        <w:pStyle w:val="Sarakstarindkopa"/>
        <w:spacing w:after="0" w:line="240" w:lineRule="auto"/>
        <w:rPr>
          <w:rFonts w:ascii="Times New Roman" w:hAnsi="Times New Roman" w:cs="Times New Roman"/>
          <w:color w:val="C00000"/>
        </w:rPr>
      </w:pPr>
    </w:p>
    <w:p w14:paraId="200A39B9" w14:textId="77777777" w:rsidR="00AB6562" w:rsidRPr="005C0266" w:rsidRDefault="00AB6562" w:rsidP="00AB6562">
      <w:pPr>
        <w:pStyle w:val="Sarakstarindkopa"/>
        <w:spacing w:after="0" w:line="240" w:lineRule="auto"/>
        <w:rPr>
          <w:rFonts w:ascii="Times New Roman" w:hAnsi="Times New Roman" w:cs="Times New Roman"/>
          <w:color w:val="C00000"/>
        </w:rPr>
      </w:pPr>
    </w:p>
    <w:p w14:paraId="330D8145" w14:textId="77777777" w:rsidR="00AB6562" w:rsidRPr="005C0266" w:rsidRDefault="00AB6562" w:rsidP="00AB6562">
      <w:pPr>
        <w:spacing w:after="0" w:line="240" w:lineRule="auto"/>
        <w:rPr>
          <w:rFonts w:ascii="Times New Roman" w:hAnsi="Times New Roman" w:cs="Times New Roman"/>
          <w:color w:val="C00000"/>
        </w:rPr>
      </w:pPr>
    </w:p>
    <w:p w14:paraId="2FBD4432" w14:textId="513C814D" w:rsidR="00BF327D" w:rsidRPr="005C0266" w:rsidRDefault="00BF327D" w:rsidP="0073730D">
      <w:pPr>
        <w:spacing w:after="0" w:line="240" w:lineRule="auto"/>
        <w:jc w:val="both"/>
        <w:rPr>
          <w:rFonts w:ascii="Times New Roman" w:hAnsi="Times New Roman" w:cs="Times New Roman"/>
          <w:b/>
          <w:color w:val="C00000"/>
        </w:rPr>
      </w:pPr>
    </w:p>
    <w:sectPr w:rsidR="00BF327D" w:rsidRPr="005C0266" w:rsidSect="004D15A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4D15A9" w:rsidRDefault="004D15A9" w:rsidP="004D15A9">
      <w:pPr>
        <w:spacing w:after="0" w:line="240" w:lineRule="auto"/>
      </w:pPr>
      <w:r>
        <w:separator/>
      </w:r>
    </w:p>
  </w:endnote>
  <w:endnote w:type="continuationSeparator" w:id="0">
    <w:p w14:paraId="455CECB7" w14:textId="77777777"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0E09" w14:textId="77777777" w:rsidR="004E3917" w:rsidRDefault="004E391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0DAC6D7F" w:rsidR="004D15A9" w:rsidRPr="0042645D" w:rsidRDefault="00AC2306" w:rsidP="0042645D">
    <w:pPr>
      <w:pStyle w:val="Kjene"/>
    </w:pPr>
    <w:r>
      <w:rPr>
        <w:rFonts w:ascii="Times New Roman" w:hAnsi="Times New Roman" w:cs="Times New Roman"/>
        <w:sz w:val="20"/>
        <w:szCs w:val="20"/>
      </w:rPr>
      <w:t>TMAnot_</w:t>
    </w:r>
    <w:r w:rsidR="004E3917">
      <w:rPr>
        <w:rFonts w:ascii="Times New Roman" w:hAnsi="Times New Roman" w:cs="Times New Roman"/>
        <w:sz w:val="20"/>
        <w:szCs w:val="20"/>
      </w:rPr>
      <w:t>160</w:t>
    </w:r>
    <w:r>
      <w:rPr>
        <w:rFonts w:ascii="Times New Roman" w:hAnsi="Times New Roman" w:cs="Times New Roman"/>
        <w:sz w:val="20"/>
        <w:szCs w:val="20"/>
      </w:rPr>
      <w:t>718_VTkonkurss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2AA2" w14:textId="5A8726D6" w:rsidR="00AC2306" w:rsidRPr="0042645D" w:rsidRDefault="00AC2306" w:rsidP="00AC2306">
    <w:pPr>
      <w:pStyle w:val="Kjene"/>
    </w:pPr>
    <w:r>
      <w:rPr>
        <w:rFonts w:ascii="Times New Roman" w:hAnsi="Times New Roman" w:cs="Times New Roman"/>
        <w:sz w:val="20"/>
        <w:szCs w:val="20"/>
      </w:rPr>
      <w:t>TMAnot_1</w:t>
    </w:r>
    <w:r w:rsidR="004E3917">
      <w:rPr>
        <w:rFonts w:ascii="Times New Roman" w:hAnsi="Times New Roman" w:cs="Times New Roman"/>
        <w:sz w:val="20"/>
        <w:szCs w:val="20"/>
      </w:rPr>
      <w:t>6</w:t>
    </w:r>
    <w:r>
      <w:rPr>
        <w:rFonts w:ascii="Times New Roman" w:hAnsi="Times New Roman" w:cs="Times New Roman"/>
        <w:sz w:val="20"/>
        <w:szCs w:val="20"/>
      </w:rPr>
      <w:t>0718_VTkonkurss</w:t>
    </w:r>
  </w:p>
  <w:p w14:paraId="0854F658" w14:textId="7127A26D" w:rsidR="004D15A9" w:rsidRPr="00AC2306" w:rsidRDefault="004D15A9" w:rsidP="00AC23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4D15A9" w:rsidRDefault="004D15A9" w:rsidP="004D15A9">
      <w:pPr>
        <w:spacing w:after="0" w:line="240" w:lineRule="auto"/>
      </w:pPr>
      <w:r>
        <w:separator/>
      </w:r>
    </w:p>
  </w:footnote>
  <w:footnote w:type="continuationSeparator" w:id="0">
    <w:p w14:paraId="0F12C137" w14:textId="77777777"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092F" w14:textId="77777777" w:rsidR="004E3917" w:rsidRDefault="004E391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4D15A9" w:rsidRDefault="004D15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CE729" w14:textId="77777777" w:rsidR="004E3917" w:rsidRDefault="004E391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84207"/>
    <w:rsid w:val="000E3461"/>
    <w:rsid w:val="000E42FD"/>
    <w:rsid w:val="00101CD5"/>
    <w:rsid w:val="001C5969"/>
    <w:rsid w:val="001F68D7"/>
    <w:rsid w:val="00220682"/>
    <w:rsid w:val="003803BC"/>
    <w:rsid w:val="003922B0"/>
    <w:rsid w:val="003A2A0B"/>
    <w:rsid w:val="003E76C7"/>
    <w:rsid w:val="0042645D"/>
    <w:rsid w:val="0043541A"/>
    <w:rsid w:val="00461275"/>
    <w:rsid w:val="004C3B12"/>
    <w:rsid w:val="004D15A9"/>
    <w:rsid w:val="004E3917"/>
    <w:rsid w:val="00515CEE"/>
    <w:rsid w:val="0056459F"/>
    <w:rsid w:val="0059057E"/>
    <w:rsid w:val="005C0266"/>
    <w:rsid w:val="005D4E8A"/>
    <w:rsid w:val="00612A92"/>
    <w:rsid w:val="006641E1"/>
    <w:rsid w:val="007047F3"/>
    <w:rsid w:val="0073730D"/>
    <w:rsid w:val="007C66CC"/>
    <w:rsid w:val="007C76FD"/>
    <w:rsid w:val="0081203F"/>
    <w:rsid w:val="00841836"/>
    <w:rsid w:val="008826E9"/>
    <w:rsid w:val="008B366B"/>
    <w:rsid w:val="008E4E93"/>
    <w:rsid w:val="008E78B2"/>
    <w:rsid w:val="00964EA7"/>
    <w:rsid w:val="0097690A"/>
    <w:rsid w:val="00997954"/>
    <w:rsid w:val="00A1552F"/>
    <w:rsid w:val="00AB6562"/>
    <w:rsid w:val="00AC2306"/>
    <w:rsid w:val="00B81C6E"/>
    <w:rsid w:val="00B83C87"/>
    <w:rsid w:val="00BB1F46"/>
    <w:rsid w:val="00BC2633"/>
    <w:rsid w:val="00BF327D"/>
    <w:rsid w:val="00BF3A34"/>
    <w:rsid w:val="00D1107A"/>
    <w:rsid w:val="00D313D5"/>
    <w:rsid w:val="00DA326E"/>
    <w:rsid w:val="00DA52AC"/>
    <w:rsid w:val="00DA596D"/>
    <w:rsid w:val="00DE78C6"/>
    <w:rsid w:val="00E44C94"/>
    <w:rsid w:val="00E557CC"/>
    <w:rsid w:val="00E5586E"/>
    <w:rsid w:val="00E9181C"/>
    <w:rsid w:val="00ED573E"/>
    <w:rsid w:val="00F316F2"/>
    <w:rsid w:val="00F91583"/>
    <w:rsid w:val="00FB2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4C44-4355-4686-AFAC-4A1734E2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3805</Words>
  <Characters>2170</Characters>
  <Application>Microsoft Office Word</Application>
  <DocSecurity>4</DocSecurity>
  <Lines>18</Lines>
  <Paragraphs>11</Paragraphs>
  <ScaleCrop>false</ScaleCrop>
  <HeadingPairs>
    <vt:vector size="2" baseType="variant">
      <vt:variant>
        <vt:lpstr>Nosaukums</vt:lpstr>
      </vt:variant>
      <vt:variant>
        <vt:i4>1</vt:i4>
      </vt:variant>
    </vt:vector>
  </HeadingPairs>
  <TitlesOfParts>
    <vt:vector size="1" baseType="lpstr">
      <vt:lpstr>Ministru kabineta rīkojuma projekta „Par atklāta konkursa uz Eiropas Savienības Vispārējās tiesas tiesneša amatu izsludināšanu” sākotnējās ietekmes novērtējuma ziņojums (anotācija)</vt:lpstr>
    </vt:vector>
  </TitlesOfParts>
  <Company>Tieslietu ministrija</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atklāta konkursa uz Eiropas Savienības Vispārējās tiesas tiesneša amatu izsludināšanu” sākotnējās ietekmes novērtējuma ziņojums (anotācija)</dc:title>
  <dc:subject>Anotācija</dc:subject>
  <dc:creator>Vārds Uzvārds</dc:creator>
  <cp:keywords>Petrocka, 67036963</cp:keywords>
  <dc:description>Sagatavotāja tālrunis un e-pasta adrese</dc:description>
  <cp:lastModifiedBy>Līga Kokare-Zviedre</cp:lastModifiedBy>
  <cp:revision>2</cp:revision>
  <cp:lastPrinted>2018-07-19T08:49:00Z</cp:lastPrinted>
  <dcterms:created xsi:type="dcterms:W3CDTF">2018-07-19T08:51:00Z</dcterms:created>
  <dcterms:modified xsi:type="dcterms:W3CDTF">2018-07-19T08:51:00Z</dcterms:modified>
</cp:coreProperties>
</file>