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CED96" w14:textId="77777777" w:rsidR="00127B12" w:rsidRPr="000B2DD8" w:rsidRDefault="00127B12" w:rsidP="001C5B4E">
      <w:pPr>
        <w:jc w:val="center"/>
        <w:rPr>
          <w:b/>
          <w:bCs/>
        </w:rPr>
      </w:pPr>
      <w:bookmarkStart w:id="0" w:name="_Hlk514660510"/>
      <w:bookmarkStart w:id="1" w:name="_GoBack"/>
      <w:bookmarkEnd w:id="1"/>
      <w:r w:rsidRPr="000B2DD8">
        <w:rPr>
          <w:b/>
        </w:rPr>
        <w:t xml:space="preserve">Norvēģijas finanšu instrumenta līdzfinansētās programmas </w:t>
      </w:r>
      <w:r w:rsidR="00097012" w:rsidRPr="000B2DD8">
        <w:rPr>
          <w:b/>
        </w:rPr>
        <w:t>"</w:t>
      </w:r>
      <w:r w:rsidRPr="000B2DD8">
        <w:rPr>
          <w:b/>
        </w:rPr>
        <w:t>Korekcijas dienesti</w:t>
      </w:r>
      <w:r w:rsidR="00097012" w:rsidRPr="000B2DD8">
        <w:rPr>
          <w:b/>
        </w:rPr>
        <w:t>"</w:t>
      </w:r>
      <w:r w:rsidRPr="000B2DD8">
        <w:rPr>
          <w:b/>
        </w:rPr>
        <w:t xml:space="preserve"> koncepcijas projekta</w:t>
      </w:r>
      <w:r w:rsidR="00CD06A8">
        <w:rPr>
          <w:b/>
          <w:bCs/>
        </w:rPr>
        <w:t xml:space="preserve"> </w:t>
      </w:r>
      <w:r w:rsidRPr="000B2DD8">
        <w:rPr>
          <w:b/>
          <w:bCs/>
        </w:rPr>
        <w:t>sākotnējās ietekmes novērtējuma ziņojums (anotācija)</w:t>
      </w:r>
    </w:p>
    <w:p w14:paraId="0F436C96" w14:textId="77777777" w:rsidR="00BD5588" w:rsidRPr="008F2421" w:rsidRDefault="00BD5588" w:rsidP="000B2DD8">
      <w:pPr>
        <w:pStyle w:val="Nosaukums"/>
        <w:ind w:firstLine="539"/>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7"/>
        <w:gridCol w:w="5953"/>
      </w:tblGrid>
      <w:tr w:rsidR="008F2421" w:rsidRPr="008F2421" w14:paraId="062802B6" w14:textId="77777777" w:rsidTr="001F3FBF">
        <w:trPr>
          <w:cantSplit/>
        </w:trPr>
        <w:tc>
          <w:tcPr>
            <w:tcW w:w="9209" w:type="dxa"/>
            <w:gridSpan w:val="2"/>
            <w:shd w:val="clear" w:color="auto" w:fill="FFFFFF"/>
            <w:vAlign w:val="center"/>
            <w:hideMark/>
          </w:tcPr>
          <w:p w14:paraId="28A968D9" w14:textId="77777777" w:rsidR="00BD5588" w:rsidRPr="008F2421" w:rsidRDefault="00BD5588" w:rsidP="008F2421">
            <w:pPr>
              <w:jc w:val="center"/>
              <w:rPr>
                <w:b/>
                <w:iCs/>
                <w:lang w:eastAsia="en-US"/>
              </w:rPr>
            </w:pPr>
            <w:r w:rsidRPr="008F2421">
              <w:rPr>
                <w:b/>
                <w:iCs/>
                <w:lang w:eastAsia="en-US"/>
              </w:rPr>
              <w:t>Tiesību akta projekta anotācijas kopsavilkums</w:t>
            </w:r>
          </w:p>
        </w:tc>
      </w:tr>
      <w:tr w:rsidR="008F2421" w:rsidRPr="008F2421" w14:paraId="2C974401" w14:textId="77777777" w:rsidTr="001F3FBF">
        <w:trPr>
          <w:cantSplit/>
        </w:trPr>
        <w:tc>
          <w:tcPr>
            <w:tcW w:w="3257" w:type="dxa"/>
            <w:shd w:val="clear" w:color="auto" w:fill="FFFFFF"/>
            <w:hideMark/>
          </w:tcPr>
          <w:p w14:paraId="47FCA43C" w14:textId="77777777" w:rsidR="00BD5588" w:rsidRPr="008F2421" w:rsidRDefault="00BD5588" w:rsidP="008F2421">
            <w:pPr>
              <w:rPr>
                <w:iCs/>
                <w:lang w:eastAsia="en-US"/>
              </w:rPr>
            </w:pPr>
            <w:r w:rsidRPr="008F2421">
              <w:rPr>
                <w:iCs/>
                <w:lang w:eastAsia="en-US"/>
              </w:rPr>
              <w:t>Mērķis, risinājums un projekta spēkā stāšanās laiks (500 zīmes bez atstarpēm)</w:t>
            </w:r>
          </w:p>
        </w:tc>
        <w:tc>
          <w:tcPr>
            <w:tcW w:w="5952" w:type="dxa"/>
            <w:shd w:val="clear" w:color="auto" w:fill="FFFFFF"/>
            <w:hideMark/>
          </w:tcPr>
          <w:p w14:paraId="42355A67" w14:textId="77777777" w:rsidR="008C5BF2" w:rsidRDefault="00127B12" w:rsidP="008F2421">
            <w:pPr>
              <w:jc w:val="both"/>
              <w:rPr>
                <w:iCs/>
                <w:lang w:eastAsia="en-US"/>
              </w:rPr>
            </w:pPr>
            <w:r w:rsidRPr="008F2421">
              <w:rPr>
                <w:iCs/>
                <w:lang w:eastAsia="en-US"/>
              </w:rPr>
              <w:t xml:space="preserve">Nodrošināt atbilstošu infrastruktūru Ieslodzījuma vietu pārvaldes un Valsts probācijas dienesta personāla apmācībām un praksei. Lai nodrošinātu iepriekš minēto, tiks būvēts jauns Mācību centrs un </w:t>
            </w:r>
            <w:r w:rsidRPr="008F2421">
              <w:t xml:space="preserve">atklātā režīma cietuma </w:t>
            </w:r>
            <w:proofErr w:type="spellStart"/>
            <w:r w:rsidRPr="008F2421">
              <w:t>paraugkorpusi</w:t>
            </w:r>
            <w:proofErr w:type="spellEnd"/>
            <w:r w:rsidRPr="008F2421">
              <w:rPr>
                <w:iCs/>
                <w:lang w:eastAsia="en-US"/>
              </w:rPr>
              <w:t xml:space="preserve"> Olaines cietuma teritorijā.</w:t>
            </w:r>
          </w:p>
          <w:p w14:paraId="13D9FBA2" w14:textId="340B6B54" w:rsidR="00BD5588" w:rsidRPr="008F2421" w:rsidRDefault="002C4F2E" w:rsidP="008F2421">
            <w:pPr>
              <w:jc w:val="both"/>
              <w:rPr>
                <w:i/>
                <w:iCs/>
                <w:lang w:eastAsia="en-US"/>
              </w:rPr>
            </w:pPr>
            <w:r>
              <w:rPr>
                <w:iCs/>
                <w:lang w:eastAsia="en-US"/>
              </w:rPr>
              <w:t xml:space="preserve">Ministru kabineta rīkojums </w:t>
            </w:r>
            <w:r w:rsidR="008C5BF2" w:rsidRPr="008C5BF2">
              <w:rPr>
                <w:iCs/>
                <w:lang w:eastAsia="en-US"/>
              </w:rPr>
              <w:t>stājas spēkā</w:t>
            </w:r>
            <w:r w:rsidR="00F779E1">
              <w:rPr>
                <w:iCs/>
                <w:lang w:eastAsia="en-US"/>
              </w:rPr>
              <w:t xml:space="preserve"> atbilstoši </w:t>
            </w:r>
            <w:r w:rsidR="00F779E1" w:rsidRPr="00F779E1">
              <w:rPr>
                <w:iCs/>
                <w:lang w:eastAsia="en-US"/>
              </w:rPr>
              <w:t>Oficiālo publikāciju un tiesiskās informācijas likum</w:t>
            </w:r>
            <w:r w:rsidR="00F779E1">
              <w:rPr>
                <w:iCs/>
                <w:lang w:eastAsia="en-US"/>
              </w:rPr>
              <w:t xml:space="preserve">a 7. pantam. </w:t>
            </w:r>
            <w:r w:rsidR="008C5BF2" w:rsidRPr="008C5BF2">
              <w:rPr>
                <w:iCs/>
                <w:lang w:eastAsia="en-US"/>
              </w:rPr>
              <w:t xml:space="preserve"> </w:t>
            </w:r>
          </w:p>
        </w:tc>
      </w:tr>
    </w:tbl>
    <w:p w14:paraId="42189F26" w14:textId="77777777" w:rsidR="00DE2CC3" w:rsidRPr="008F2421" w:rsidRDefault="00DE2CC3" w:rsidP="000B2DD8">
      <w:pPr>
        <w:pStyle w:val="Nosaukums"/>
        <w:ind w:firstLine="539"/>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966"/>
      </w:tblGrid>
      <w:tr w:rsidR="008F2421" w:rsidRPr="008F2421" w14:paraId="458957A3" w14:textId="77777777" w:rsidTr="001F3FBF">
        <w:trPr>
          <w:cantSplit/>
        </w:trPr>
        <w:tc>
          <w:tcPr>
            <w:tcW w:w="5000" w:type="pct"/>
            <w:gridSpan w:val="3"/>
            <w:vAlign w:val="center"/>
            <w:hideMark/>
          </w:tcPr>
          <w:p w14:paraId="459E44E7" w14:textId="77777777" w:rsidR="00097012" w:rsidRPr="008F2421" w:rsidRDefault="00BD5588" w:rsidP="000B2DD8">
            <w:pPr>
              <w:jc w:val="center"/>
            </w:pPr>
            <w:r w:rsidRPr="008F2421">
              <w:rPr>
                <w:b/>
                <w:bCs/>
              </w:rPr>
              <w:t>I. Tiesību akta projekta izstrādes nepieciešamība</w:t>
            </w:r>
          </w:p>
          <w:p w14:paraId="63C6326C" w14:textId="77777777" w:rsidR="00BD5588" w:rsidRPr="000B2DD8" w:rsidRDefault="00BD5588" w:rsidP="000B2DD8"/>
        </w:tc>
      </w:tr>
      <w:tr w:rsidR="008F2421" w:rsidRPr="008F2421" w14:paraId="3C25C0A0" w14:textId="77777777" w:rsidTr="001F3FBF">
        <w:tc>
          <w:tcPr>
            <w:tcW w:w="306" w:type="pct"/>
            <w:hideMark/>
          </w:tcPr>
          <w:p w14:paraId="40F3F277" w14:textId="77777777" w:rsidR="00BD5588" w:rsidRPr="008F2421" w:rsidRDefault="00BD5588" w:rsidP="008F2421">
            <w:pPr>
              <w:jc w:val="center"/>
            </w:pPr>
            <w:r w:rsidRPr="008F2421">
              <w:t>1.</w:t>
            </w:r>
          </w:p>
        </w:tc>
        <w:tc>
          <w:tcPr>
            <w:tcW w:w="1455" w:type="pct"/>
            <w:hideMark/>
          </w:tcPr>
          <w:p w14:paraId="69A9886F" w14:textId="77777777" w:rsidR="00DE2CC3" w:rsidRPr="008F2421" w:rsidRDefault="00BD5588" w:rsidP="008F2421">
            <w:r w:rsidRPr="008F2421">
              <w:t>Pamatojums</w:t>
            </w:r>
          </w:p>
          <w:p w14:paraId="27E3F5EC" w14:textId="77777777" w:rsidR="00BD5588" w:rsidRPr="008F2421" w:rsidRDefault="00BD5588"/>
        </w:tc>
        <w:tc>
          <w:tcPr>
            <w:tcW w:w="3239" w:type="pct"/>
            <w:hideMark/>
          </w:tcPr>
          <w:p w14:paraId="6F5E3247" w14:textId="77777777" w:rsidR="00CA1C11" w:rsidRPr="008F2421" w:rsidRDefault="00CA1C11">
            <w:pPr>
              <w:jc w:val="both"/>
            </w:pPr>
            <w:r w:rsidRPr="008F2421">
              <w:t xml:space="preserve">Saskaņā ar 2017. gada 14. decembra Saprašanās memoranda par Norvēģijas finanšu instrumenta ieviešanu 2014.–2021. gadā starp Norvēģijas </w:t>
            </w:r>
            <w:r w:rsidR="00B913AC">
              <w:t>K</w:t>
            </w:r>
            <w:r w:rsidRPr="008F2421">
              <w:t>aralisti un Latvijas Republiku B pielikuma</w:t>
            </w:r>
            <w:r w:rsidR="00D32333">
              <w:t xml:space="preserve"> 3. daļas</w:t>
            </w:r>
            <w:r w:rsidRPr="008F2421">
              <w:t xml:space="preserve"> D punktu Tieslietu ministrija ir noteikta par Norvēģijas finanšu instrumenta</w:t>
            </w:r>
            <w:r w:rsidR="00F61967">
              <w:t xml:space="preserve"> </w:t>
            </w:r>
            <w:r w:rsidR="00F61967" w:rsidRPr="00123600">
              <w:t>(turpmāk – NFI)</w:t>
            </w:r>
            <w:r w:rsidRPr="008F2421">
              <w:t xml:space="preserve"> līdzfinansētās programmas </w:t>
            </w:r>
            <w:r w:rsidR="00097012" w:rsidRPr="008F2421">
              <w:t>"</w:t>
            </w:r>
            <w:r w:rsidRPr="008F2421">
              <w:t>Korekcijas dienesti</w:t>
            </w:r>
            <w:r w:rsidR="00097012" w:rsidRPr="008F2421">
              <w:t>"</w:t>
            </w:r>
            <w:r w:rsidRPr="008F2421">
              <w:t xml:space="preserve"> apsaimniekotāju</w:t>
            </w:r>
            <w:r w:rsidR="00426DDD">
              <w:t xml:space="preserve"> (turpmāk – programmas apsaimniekotājs)</w:t>
            </w:r>
            <w:r w:rsidRPr="008F2421">
              <w:t>.</w:t>
            </w:r>
          </w:p>
          <w:p w14:paraId="0BBBBBF1" w14:textId="77777777" w:rsidR="00BD5588" w:rsidRPr="008F2421" w:rsidRDefault="00CA1C11">
            <w:pPr>
              <w:jc w:val="both"/>
            </w:pPr>
            <w:r w:rsidRPr="008F2421">
              <w:t xml:space="preserve">Ņemot vērā minēto, </w:t>
            </w:r>
            <w:r w:rsidR="00426DDD">
              <w:t>programmas apsaimniekotājs</w:t>
            </w:r>
            <w:r w:rsidRPr="008F2421">
              <w:t xml:space="preserve"> sadarbībā ar Norvēģijas Korekcijas dienestu direktorātu</w:t>
            </w:r>
            <w:r w:rsidR="00426DDD">
              <w:t xml:space="preserve"> kā </w:t>
            </w:r>
            <w:r w:rsidR="0050583F">
              <w:t>donoru programmas partneri</w:t>
            </w:r>
            <w:r w:rsidRPr="008F2421">
              <w:t xml:space="preserve"> ir sagatavoji</w:t>
            </w:r>
            <w:r w:rsidR="00974679">
              <w:t>s</w:t>
            </w:r>
            <w:r w:rsidRPr="008F2421">
              <w:t xml:space="preserve"> </w:t>
            </w:r>
            <w:r w:rsidR="00F61967">
              <w:t>NFI</w:t>
            </w:r>
            <w:r w:rsidRPr="008F2421">
              <w:t xml:space="preserve"> līdzfinansētās programmas </w:t>
            </w:r>
            <w:r w:rsidR="00097012" w:rsidRPr="008F2421">
              <w:t>"</w:t>
            </w:r>
            <w:r w:rsidRPr="008F2421">
              <w:t>Korekcijas dienesti</w:t>
            </w:r>
            <w:r w:rsidR="00097012" w:rsidRPr="008F2421">
              <w:t>"</w:t>
            </w:r>
            <w:r w:rsidR="00B913AC">
              <w:t xml:space="preserve"> (turpmāk – programma)</w:t>
            </w:r>
            <w:r w:rsidR="00097012" w:rsidRPr="008F2421">
              <w:t xml:space="preserve"> </w:t>
            </w:r>
            <w:r w:rsidRPr="008F2421">
              <w:t>koncepcijas projektu, ko atbilstoši Ministru kabineta 2017.</w:t>
            </w:r>
            <w:r w:rsidR="00097012" w:rsidRPr="008F2421">
              <w:t> </w:t>
            </w:r>
            <w:r w:rsidRPr="008F2421">
              <w:t>gada 5. decembra sēdes protokola Nr.</w:t>
            </w:r>
            <w:r w:rsidR="00097012" w:rsidRPr="008F2421">
              <w:t> </w:t>
            </w:r>
            <w:r w:rsidRPr="008F2421">
              <w:t>60 24.</w:t>
            </w:r>
            <w:r w:rsidR="00097012" w:rsidRPr="008F2421">
              <w:t> </w:t>
            </w:r>
            <w:r w:rsidRPr="008F2421">
              <w:t>§ 4.1. </w:t>
            </w:r>
            <w:r w:rsidR="00097012" w:rsidRPr="008F2421">
              <w:t>apakš</w:t>
            </w:r>
            <w:r w:rsidRPr="008F2421">
              <w:t xml:space="preserve">punktā noteiktajam, nepieciešams iesniegt atbalstīšanai Ministru kabinetā, vienlaikus to iesniedzot Finanšu ministrijā kā </w:t>
            </w:r>
            <w:r w:rsidR="00F61967">
              <w:t>NFI</w:t>
            </w:r>
            <w:r w:rsidRPr="008F2421">
              <w:t xml:space="preserve"> vadošajā iestādē. Pēc programmas koncepcijas projekta atbalstīšanas Ministru kabinetā Finanšu ministrija nodrošinās programmas koncepcijas iesniegšanu apstiprināšanai Norvēģijas Ārlietu ministrijā.</w:t>
            </w:r>
          </w:p>
        </w:tc>
      </w:tr>
      <w:tr w:rsidR="008F2421" w:rsidRPr="008F2421" w14:paraId="3C939961" w14:textId="77777777" w:rsidTr="001F3FBF">
        <w:tc>
          <w:tcPr>
            <w:tcW w:w="306" w:type="pct"/>
            <w:hideMark/>
          </w:tcPr>
          <w:p w14:paraId="0F5B9D2F" w14:textId="77777777" w:rsidR="00BD5588" w:rsidRPr="008F2421" w:rsidRDefault="00BD5588" w:rsidP="008F2421">
            <w:pPr>
              <w:jc w:val="center"/>
            </w:pPr>
            <w:r w:rsidRPr="008F2421">
              <w:t>2.</w:t>
            </w:r>
          </w:p>
        </w:tc>
        <w:tc>
          <w:tcPr>
            <w:tcW w:w="1455" w:type="pct"/>
            <w:hideMark/>
          </w:tcPr>
          <w:p w14:paraId="48A9CC7F" w14:textId="77777777" w:rsidR="00BD5588" w:rsidRPr="008F2421" w:rsidRDefault="00BD5588" w:rsidP="008F2421">
            <w:r w:rsidRPr="008F2421">
              <w:t>Pašreizējā situācija un problēmas, kuru risināšanai tiesību akta projekts izstrādāts, tiesiskā regulējuma mērķis un būtība</w:t>
            </w:r>
          </w:p>
        </w:tc>
        <w:tc>
          <w:tcPr>
            <w:tcW w:w="3239" w:type="pct"/>
            <w:hideMark/>
          </w:tcPr>
          <w:p w14:paraId="3516F55C" w14:textId="77777777" w:rsidR="00CA1C11" w:rsidRPr="008F2421" w:rsidRDefault="00CA1C11">
            <w:pPr>
              <w:jc w:val="both"/>
            </w:pPr>
            <w:r w:rsidRPr="008F2421">
              <w:t>Latvijā šobrīd ir 10 ieslodzījuma vietas, un 2018.</w:t>
            </w:r>
            <w:r w:rsidR="00097012" w:rsidRPr="008F2421">
              <w:t> </w:t>
            </w:r>
            <w:r w:rsidRPr="008F2421">
              <w:t>gada 5.</w:t>
            </w:r>
            <w:r w:rsidR="00097012" w:rsidRPr="008F2421">
              <w:t> </w:t>
            </w:r>
            <w:r w:rsidRPr="008F2421">
              <w:t xml:space="preserve">februārī tajās atradās 3748 </w:t>
            </w:r>
            <w:r w:rsidRPr="005F03C6">
              <w:t>ieslodzītie, no kuriem 1034 bija pirmstiesas apcietinājumā. Ieslodzījuma vietu pārvaldē</w:t>
            </w:r>
            <w:r w:rsidRPr="008F2421">
              <w:t xml:space="preserve"> (turpmāk – IeVP) nodarbināti aptuveni 2800 cilvēki, tai skaitā amatpersonas ar speciālām pakāpēm un darbinieki. Valsts probācijas dienesta (turpmāk </w:t>
            </w:r>
            <w:r w:rsidR="00097012" w:rsidRPr="008F2421">
              <w:t>–</w:t>
            </w:r>
            <w:r w:rsidRPr="008F2421">
              <w:t> VPD) pārziņā 2016.</w:t>
            </w:r>
            <w:r w:rsidR="00097012" w:rsidRPr="008F2421">
              <w:t> </w:t>
            </w:r>
            <w:r w:rsidRPr="008F2421">
              <w:t>gadā bija vairāk nekā 17</w:t>
            </w:r>
            <w:r w:rsidR="00CD06A8">
              <w:t> </w:t>
            </w:r>
            <w:r w:rsidRPr="008F2421">
              <w:t xml:space="preserve">000 klientu, kam piemērota dažāda veida uzraudzība. VPD nodarbināti 383 cilvēki </w:t>
            </w:r>
            <w:r w:rsidR="00097012" w:rsidRPr="008F2421">
              <w:t>–</w:t>
            </w:r>
            <w:r w:rsidRPr="008F2421">
              <w:t xml:space="preserve"> gan ierēdņi, gan darbinieki. </w:t>
            </w:r>
          </w:p>
          <w:p w14:paraId="4CCFA05D" w14:textId="77777777" w:rsidR="00CA1C11" w:rsidRPr="008F2421" w:rsidRDefault="00CA1C11">
            <w:pPr>
              <w:jc w:val="both"/>
            </w:pPr>
            <w:r w:rsidRPr="008F2421">
              <w:t xml:space="preserve">Pēdējos desmit gados veikto likumdošanas izmaiņu rezultātā ieslodzījumā atrodas tikai tās personas, kas paveikušas īpaši smagus noziegumus. Personas, kas paveikušas mazāk bīstamus noziegumus, tiek nodotas probācijas uzraudzībā vai notiesātas ar piespiedu darbu. Tā rezultātā ir radusies nepieciešamība pēc jaunām darba metodēm – ir jāmaina ieslodzījuma vietu personāla izpratne, darba stils, kā arī personāla apmācības un izglītošanas process kopumā. </w:t>
            </w:r>
          </w:p>
          <w:p w14:paraId="5447F6BC" w14:textId="77777777" w:rsidR="00CA1C11" w:rsidRPr="008F2421" w:rsidRDefault="00CA1C11">
            <w:pPr>
              <w:jc w:val="both"/>
            </w:pPr>
            <w:r w:rsidRPr="008F2421">
              <w:lastRenderedPageBreak/>
              <w:t xml:space="preserve">Šobrīd esošā IeVP personāla apmācību sistēma Latvijā var nodrošināt tikai izglītības pamatprasības ieslodzījuma vietu apsargiem (apsargā ieslodzījuma vietas perimetru). Nav iespējams nodrošināt atbilstošu apmācību visām citām ieslodzījuma vietu personāla grupām, lai nodrošinātu nepieciešamo profesionalitāti un prasmes. VPD personāla apmācību sistēma nodrošina plašākas personāla izglītošanās iespējas, tostarp e-mācības, tomēr arī VPD nav pieejama atbilstoša infrastruktūra. Tāpat abām iestādēm trūkst atbilstošas infrastruktūras, kur organizēt dažāda </w:t>
            </w:r>
            <w:r w:rsidR="00974679">
              <w:t>termiņa</w:t>
            </w:r>
            <w:r w:rsidRPr="008F2421">
              <w:t xml:space="preserve"> apmācības, diskusijas, seminārus, starptautiskas apmācības un konferences.</w:t>
            </w:r>
          </w:p>
          <w:p w14:paraId="67D17A2A" w14:textId="77777777" w:rsidR="00CA1C11" w:rsidRPr="008F2421" w:rsidRDefault="00F5531A">
            <w:pPr>
              <w:jc w:val="both"/>
            </w:pPr>
            <w:r w:rsidRPr="008F2421">
              <w:t>Š</w:t>
            </w:r>
            <w:r w:rsidR="00CA1C11" w:rsidRPr="008F2421">
              <w:t xml:space="preserve">obrīd IeVP personāla apmācību sistēmā nav iespējams nodrošināt praktiskās pieredzes apguvi. Topošais darbinieks nevar praktizēties reālajā cietuma vidē </w:t>
            </w:r>
            <w:r w:rsidR="00097012" w:rsidRPr="008F2421">
              <w:t>–</w:t>
            </w:r>
            <w:r w:rsidR="00CA1C11" w:rsidRPr="008F2421">
              <w:t xml:space="preserve"> ieslodzījuma vietās, kas nodrošinātu ievērojami labāku mācību rezultātu un darbinieka sagatavotību turpmākajam darba procesam. Tāpat nozīmīgs faktors ir praktizēšanās jaunās, modernās telpās, kas atbilstoši pielāgotas jaunajām darba metodēm un programmām. Šāda pieredze sniedz iespēju darbiniekam nostiprināt teorētiskās zināšanas un veicināt mūsdienīgas pieejas izplatīšanu soda izciešanā arī citās ieslodzījuma vietās. Šobrīd vispiemērotākā vieta šādām apmācībām ir Olaines cietums. </w:t>
            </w:r>
            <w:r w:rsidR="00F61967">
              <w:t>NFI</w:t>
            </w:r>
            <w:r w:rsidR="00CA1C11" w:rsidRPr="008F2421">
              <w:t xml:space="preserve"> 2009.–2014. gada periodā Olaines cietuma teritorijā tika uzbūvēts Atkarīgo centrs (turpmāk – AC). Olaines cietumā izvietoti visu režīmu ieslodzītie, tostarp sievietes atklātā cietuma nodaļā un ieslodzītie ar atkarības problēmām.</w:t>
            </w:r>
          </w:p>
          <w:p w14:paraId="6A487E5D" w14:textId="77777777" w:rsidR="00435838" w:rsidRPr="00974679" w:rsidRDefault="00CA1C11">
            <w:pPr>
              <w:jc w:val="both"/>
            </w:pPr>
            <w:r w:rsidRPr="008F2421">
              <w:t xml:space="preserve">Lai nodrošinātu visām IeVP un VPD personāla grupām atbilstošu apmācību infrastruktūru un apmācību iespējas, tā rezultātā veicinot ieslodzīto integrēšanos sabiedrībā un recidīvisma samazināšanos, kā arī, lai nodrošinātu kvalitatīvas un augstvērtīgas praktiskās pieredzes gūšanas iespējas, </w:t>
            </w:r>
            <w:r w:rsidR="00F61967">
              <w:t>NFI</w:t>
            </w:r>
            <w:r w:rsidRPr="008F2421">
              <w:t xml:space="preserve"> programmas </w:t>
            </w:r>
            <w:r w:rsidR="00AD5F28" w:rsidRPr="008F2421">
              <w:t xml:space="preserve">iepriekš noteiktā projekta </w:t>
            </w:r>
            <w:r w:rsidR="008F2421" w:rsidRPr="008F2421">
              <w:t>"</w:t>
            </w:r>
            <w:r w:rsidR="00AD5F28" w:rsidRPr="008F2421">
              <w:t xml:space="preserve">Mācību centra infrastruktūras un apmācībai paredzēta ieslodzījuma vietas </w:t>
            </w:r>
            <w:proofErr w:type="spellStart"/>
            <w:r w:rsidR="00AD5F28" w:rsidRPr="008F2421">
              <w:t>paraugkorpusa</w:t>
            </w:r>
            <w:proofErr w:type="spellEnd"/>
            <w:r w:rsidR="00AD5F28" w:rsidRPr="008F2421">
              <w:t xml:space="preserve"> izveide Olaines cietuma teritorijā</w:t>
            </w:r>
            <w:r w:rsidR="008F2421" w:rsidRPr="008F2421">
              <w:t xml:space="preserve">" </w:t>
            </w:r>
            <w:r w:rsidR="00AD5F28" w:rsidRPr="008F2421">
              <w:t>(turpmāk – iepriekš noteiktais projekts)</w:t>
            </w:r>
            <w:r w:rsidRPr="008F2421">
              <w:t xml:space="preserve"> ietvaros nepieciešams būvēt korekcijas dienestu darbinieku Mācību centru un atklātā režīma cietuma </w:t>
            </w:r>
            <w:proofErr w:type="spellStart"/>
            <w:r w:rsidRPr="008F2421">
              <w:t>paraugkorpusus</w:t>
            </w:r>
            <w:proofErr w:type="spellEnd"/>
            <w:r w:rsidRPr="008F2421">
              <w:t xml:space="preserve"> Olaines cietuma teritorijā.</w:t>
            </w:r>
            <w:r w:rsidR="00435838">
              <w:t xml:space="preserve"> </w:t>
            </w:r>
            <w:r w:rsidR="00435838" w:rsidRPr="00974679">
              <w:t xml:space="preserve">Plānots, ka Mācību centra saturs tiks </w:t>
            </w:r>
            <w:r w:rsidR="000126F7" w:rsidRPr="00974679">
              <w:t>izstrādāts</w:t>
            </w:r>
            <w:r w:rsidR="00435838" w:rsidRPr="00974679">
              <w:t xml:space="preserve"> </w:t>
            </w:r>
            <w:r w:rsidR="000126F7" w:rsidRPr="00974679">
              <w:t>D</w:t>
            </w:r>
            <w:r w:rsidR="00435838" w:rsidRPr="00974679">
              <w:t xml:space="preserve">arbības programmas "Izaugsme un nodarbinātība" prioritārā virziena "Sociālā iekļaušana un nabadzības apkarošana" 9.1.3. specifiskā atbalsta mērķa "Paaugstināt resocializācijas sistēmas efektivitāti" projekta </w:t>
            </w:r>
            <w:bookmarkStart w:id="2" w:name="_Hlk517785526"/>
            <w:r w:rsidR="007F29A6" w:rsidRPr="00974679">
              <w:rPr>
                <w:bCs/>
                <w:spacing w:val="-2"/>
              </w:rPr>
              <w:t>Nr.</w:t>
            </w:r>
            <w:r w:rsidR="007F29A6" w:rsidRPr="00974679">
              <w:t> </w:t>
            </w:r>
            <w:r w:rsidR="007F29A6" w:rsidRPr="00974679">
              <w:rPr>
                <w:bCs/>
                <w:spacing w:val="-2"/>
              </w:rPr>
              <w:t xml:space="preserve">9.1.3.0/16/I/001 </w:t>
            </w:r>
            <w:r w:rsidR="00435838" w:rsidRPr="00974679">
              <w:t>"</w:t>
            </w:r>
            <w:r w:rsidR="00435838" w:rsidRPr="00974679">
              <w:rPr>
                <w:bCs/>
                <w:spacing w:val="-2"/>
              </w:rPr>
              <w:t>Resocializācijas sistēmas efektivitātes paaugstināšana</w:t>
            </w:r>
            <w:r w:rsidR="00435838" w:rsidRPr="00974679">
              <w:t>"</w:t>
            </w:r>
            <w:r w:rsidR="00435838" w:rsidRPr="00974679">
              <w:rPr>
                <w:bCs/>
                <w:spacing w:val="-2"/>
              </w:rPr>
              <w:t xml:space="preserve"> </w:t>
            </w:r>
            <w:bookmarkEnd w:id="2"/>
            <w:r w:rsidR="00435838" w:rsidRPr="00974679">
              <w:rPr>
                <w:bCs/>
                <w:spacing w:val="-2"/>
              </w:rPr>
              <w:t xml:space="preserve">ietvaros. </w:t>
            </w:r>
            <w:r w:rsidR="000126F7" w:rsidRPr="00974679">
              <w:t>S</w:t>
            </w:r>
            <w:r w:rsidR="00662D97" w:rsidRPr="00974679">
              <w:t>pecifiskā atbalsta mērķa 9.1.3. uzdevums ir paaugstināt resocializācijas sistēmas efektivitāti</w:t>
            </w:r>
            <w:r w:rsidR="000126F7" w:rsidRPr="00974679">
              <w:t>, t.sk., stiprinot korekcijas dienestu amatpersonu kapacitāti un paredzot jaunas apmācību sistēmas izstrādi (ieskaitot jaunu apmācību programmu izstrādi)</w:t>
            </w:r>
            <w:r w:rsidR="00662D97" w:rsidRPr="00974679">
              <w:t xml:space="preserve">. </w:t>
            </w:r>
          </w:p>
          <w:p w14:paraId="7A249F35" w14:textId="77777777" w:rsidR="00D4137B" w:rsidRDefault="00CA1C11" w:rsidP="000B2DD8">
            <w:pPr>
              <w:jc w:val="both"/>
            </w:pPr>
            <w:r w:rsidRPr="008F2421">
              <w:lastRenderedPageBreak/>
              <w:t>Programmas kopējais finansējums ir 15 294 118 </w:t>
            </w:r>
            <w:proofErr w:type="spellStart"/>
            <w:r w:rsidRPr="008F2421">
              <w:rPr>
                <w:i/>
              </w:rPr>
              <w:t>euro</w:t>
            </w:r>
            <w:proofErr w:type="spellEnd"/>
            <w:r w:rsidRPr="008F2421">
              <w:t>. No tiem granta daļa 85</w:t>
            </w:r>
            <w:r w:rsidR="00F50223">
              <w:t> </w:t>
            </w:r>
            <w:r w:rsidRPr="008F2421">
              <w:t>% jeb 13 000 000 </w:t>
            </w:r>
            <w:proofErr w:type="spellStart"/>
            <w:r w:rsidRPr="008F2421">
              <w:rPr>
                <w:i/>
              </w:rPr>
              <w:t>euro</w:t>
            </w:r>
            <w:proofErr w:type="spellEnd"/>
            <w:r w:rsidRPr="008F2421">
              <w:t xml:space="preserve"> un valsts budžeta daļa 15</w:t>
            </w:r>
            <w:r w:rsidR="00F50223">
              <w:t> </w:t>
            </w:r>
            <w:r w:rsidRPr="008F2421">
              <w:t>%</w:t>
            </w:r>
            <w:r w:rsidR="008F2421" w:rsidRPr="008F2421">
              <w:t xml:space="preserve"> </w:t>
            </w:r>
            <w:r w:rsidRPr="008F2421">
              <w:t>jeb 2 294 118 </w:t>
            </w:r>
            <w:proofErr w:type="spellStart"/>
            <w:r w:rsidRPr="008F2421">
              <w:rPr>
                <w:i/>
              </w:rPr>
              <w:t>euro</w:t>
            </w:r>
            <w:proofErr w:type="spellEnd"/>
            <w:r w:rsidRPr="008F2421">
              <w:t>.</w:t>
            </w:r>
          </w:p>
          <w:p w14:paraId="69FCA3E5" w14:textId="4E02CB1F" w:rsidR="00BC5750" w:rsidRDefault="0050583F" w:rsidP="000B2DD8">
            <w:pPr>
              <w:jc w:val="both"/>
            </w:pPr>
            <w:r>
              <w:t>P</w:t>
            </w:r>
            <w:r w:rsidR="00BC5750">
              <w:t>rogrammas</w:t>
            </w:r>
            <w:r>
              <w:t xml:space="preserve"> apsaimniekotājs</w:t>
            </w:r>
            <w:r w:rsidR="00BC5750">
              <w:t xml:space="preserve"> koncepcijā ir iekļāvi</w:t>
            </w:r>
            <w:r>
              <w:t>s</w:t>
            </w:r>
            <w:r w:rsidR="00BC5750">
              <w:t xml:space="preserve"> šād</w:t>
            </w:r>
            <w:r w:rsidR="000B2F93">
              <w:t>a</w:t>
            </w:r>
            <w:r w:rsidR="00BC5750">
              <w:t xml:space="preserve">s rezultātu un </w:t>
            </w:r>
            <w:r w:rsidR="000B2F93">
              <w:t>iznākumu</w:t>
            </w:r>
            <w:r w:rsidR="00BC5750">
              <w:t xml:space="preserve"> </w:t>
            </w:r>
            <w:r w:rsidR="000B2F93">
              <w:t xml:space="preserve">rādītāju </w:t>
            </w:r>
            <w:r w:rsidR="00BC5750">
              <w:t>mērķa vērtības saskaņā ar izsvērtu analīzi:</w:t>
            </w:r>
          </w:p>
          <w:p w14:paraId="1C287AE9" w14:textId="77777777" w:rsidR="00BC5750" w:rsidRDefault="006F1751" w:rsidP="006F1751">
            <w:pPr>
              <w:pStyle w:val="Sarakstarindkopa"/>
              <w:numPr>
                <w:ilvl w:val="0"/>
                <w:numId w:val="2"/>
              </w:numPr>
              <w:jc w:val="both"/>
            </w:pPr>
            <w:r w:rsidRPr="008F2421">
              <w:t>"</w:t>
            </w:r>
            <w:r w:rsidRPr="00414B2F">
              <w:rPr>
                <w:color w:val="000000"/>
                <w:u w:val="single"/>
              </w:rPr>
              <w:t>Sagatavoto likumu/papildināto (koriģēto) normatīvo aktu skaits</w:t>
            </w:r>
            <w:r w:rsidRPr="008F2421">
              <w:t>"</w:t>
            </w:r>
            <w:r>
              <w:t xml:space="preserve">, </w:t>
            </w:r>
            <w:r w:rsidRPr="003665C4">
              <w:rPr>
                <w:i/>
              </w:rPr>
              <w:t xml:space="preserve">vērtība </w:t>
            </w:r>
            <w:r w:rsidR="00CD14D7" w:rsidRPr="00CD14D7">
              <w:rPr>
                <w:i/>
              </w:rPr>
              <w:t>"</w:t>
            </w:r>
            <w:r w:rsidRPr="003665C4">
              <w:rPr>
                <w:i/>
              </w:rPr>
              <w:t>3</w:t>
            </w:r>
            <w:r w:rsidR="00CD14D7" w:rsidRPr="00CD14D7">
              <w:rPr>
                <w:i/>
              </w:rPr>
              <w:t>"</w:t>
            </w:r>
            <w:r>
              <w:t xml:space="preserve"> – tiks sagatavoti</w:t>
            </w:r>
            <w:r w:rsidR="000126F7">
              <w:t xml:space="preserve"> grozījumi Ieslodzījuma vietu pārvaldes likumā, Iekšlietu ministrijas sistēmas iestāžu un Ieslodzījuma vietu pārvaldes amatpersonu ar speciālajām dienesta pakāpēm dienesta gaitas likumā un Valsts probācijas dienesta likumā attiecībā uz ieslodzījuma vietu amatpersonām izvirzāmajām izglītības prasībām un kriminālsodu izpildes iestāžu darbinieku apmācību modeli</w:t>
            </w:r>
            <w:r>
              <w:t>;</w:t>
            </w:r>
          </w:p>
          <w:p w14:paraId="57FFF3A4" w14:textId="77777777" w:rsidR="006F1751" w:rsidRDefault="006F1751" w:rsidP="006F1751">
            <w:pPr>
              <w:pStyle w:val="Sarakstarindkopa"/>
              <w:numPr>
                <w:ilvl w:val="0"/>
                <w:numId w:val="2"/>
              </w:numPr>
              <w:jc w:val="both"/>
            </w:pPr>
            <w:r>
              <w:t xml:space="preserve"> </w:t>
            </w:r>
            <w:r w:rsidRPr="008F2421">
              <w:t>"</w:t>
            </w:r>
            <w:r w:rsidRPr="00414B2F">
              <w:rPr>
                <w:color w:val="000000"/>
                <w:u w:val="single"/>
              </w:rPr>
              <w:t>Personāla procentuālais īpatsvars, kuri norāda, ka uzlabotā infrastruktūra ir nozīmīgs faktors mācību procesā</w:t>
            </w:r>
            <w:r w:rsidRPr="008F2421">
              <w:t>"</w:t>
            </w:r>
            <w:r>
              <w:t xml:space="preserve">, </w:t>
            </w:r>
            <w:r w:rsidRPr="003665C4">
              <w:rPr>
                <w:i/>
              </w:rPr>
              <w:t xml:space="preserve">vērtība </w:t>
            </w:r>
            <w:r w:rsidR="00CD14D7" w:rsidRPr="00CD14D7">
              <w:rPr>
                <w:i/>
              </w:rPr>
              <w:t>"</w:t>
            </w:r>
            <w:r w:rsidRPr="003665C4">
              <w:rPr>
                <w:i/>
              </w:rPr>
              <w:t>80%</w:t>
            </w:r>
            <w:r w:rsidR="00CD14D7" w:rsidRPr="00CD14D7">
              <w:rPr>
                <w:i/>
              </w:rPr>
              <w:t>"</w:t>
            </w:r>
            <w:r>
              <w:t xml:space="preserve"> - </w:t>
            </w:r>
            <w:r w:rsidR="00080B0F">
              <w:t xml:space="preserve">iepriekš noteiktā </w:t>
            </w:r>
            <w:r w:rsidR="00B23BA0">
              <w:t>projekta sākuma posmā (2019. gada vidus, otra puse) tiks veikta</w:t>
            </w:r>
            <w:r w:rsidR="00964E5D">
              <w:t xml:space="preserve"> līdzšinējā Mācību centra apmācību programmās iesaistītā</w:t>
            </w:r>
            <w:r w:rsidR="00B23BA0">
              <w:t xml:space="preserve"> </w:t>
            </w:r>
            <w:r w:rsidR="00964E5D">
              <w:t>personāla</w:t>
            </w:r>
            <w:r w:rsidR="00B23BA0">
              <w:t xml:space="preserve"> viedokļ</w:t>
            </w:r>
            <w:r w:rsidR="00964E5D">
              <w:t>u</w:t>
            </w:r>
            <w:r w:rsidR="00B23BA0">
              <w:t xml:space="preserve"> analīze (aptauja) par iespējām esošajā infrastruktūrā iegūt kvalitatīvu izglītību un veikt apmācības. </w:t>
            </w:r>
            <w:r w:rsidR="00080B0F">
              <w:t>Iepriekš noteiktā p</w:t>
            </w:r>
            <w:r w:rsidR="00B23BA0">
              <w:t xml:space="preserve">rojekta noslēguma posmā (2023. gads) tiks veikta </w:t>
            </w:r>
            <w:r w:rsidR="00964E5D">
              <w:t xml:space="preserve">jaunā Mācību centra apmācību programmās iesaistītā personāla </w:t>
            </w:r>
            <w:r w:rsidR="00B23BA0">
              <w:t>viedokļ</w:t>
            </w:r>
            <w:r w:rsidR="00964E5D">
              <w:t>u</w:t>
            </w:r>
            <w:r w:rsidR="00B23BA0">
              <w:t xml:space="preserve"> analīze (aptauja) par iespējām jaunajā infrastruktūrā iegūt kvalitatīvu izglītību un veikt apmācības. Abu aptauju viedokļi tiks salīdzināti. Prognozēts, ka pozitīvam viedoklim par uzlabojumiem būtu jāsasniedz vismaz 80% no visām mērķgrupas atbildēm</w:t>
            </w:r>
            <w:r w:rsidR="00C127EF">
              <w:t>;</w:t>
            </w:r>
          </w:p>
          <w:p w14:paraId="1132C0DC" w14:textId="77777777" w:rsidR="00C127EF" w:rsidRDefault="00F32A02" w:rsidP="001052C2">
            <w:pPr>
              <w:pStyle w:val="Sarakstarindkopa"/>
              <w:numPr>
                <w:ilvl w:val="0"/>
                <w:numId w:val="2"/>
              </w:numPr>
              <w:jc w:val="both"/>
            </w:pPr>
            <w:r w:rsidRPr="001052C2">
              <w:t>"</w:t>
            </w:r>
            <w:r w:rsidRPr="002A649B">
              <w:rPr>
                <w:color w:val="000000"/>
                <w:u w:val="single"/>
              </w:rPr>
              <w:t>Personāla procentuālais īpatsvars, kuri ziņo par kompetenču uzlabojumu</w:t>
            </w:r>
            <w:r w:rsidRPr="001052C2">
              <w:t xml:space="preserve">", </w:t>
            </w:r>
            <w:r w:rsidRPr="003665C4">
              <w:rPr>
                <w:i/>
              </w:rPr>
              <w:t xml:space="preserve">vērtība </w:t>
            </w:r>
            <w:r w:rsidR="00CD14D7" w:rsidRPr="00CD14D7">
              <w:rPr>
                <w:i/>
              </w:rPr>
              <w:t>"</w:t>
            </w:r>
            <w:r w:rsidRPr="003665C4">
              <w:rPr>
                <w:i/>
              </w:rPr>
              <w:t>80%</w:t>
            </w:r>
            <w:r w:rsidR="00CD14D7" w:rsidRPr="00CD14D7">
              <w:rPr>
                <w:i/>
              </w:rPr>
              <w:t>"</w:t>
            </w:r>
            <w:r w:rsidRPr="001052C2">
              <w:t xml:space="preserve"> - </w:t>
            </w:r>
            <w:r w:rsidR="00080B0F">
              <w:t xml:space="preserve">iepriekš noteiktā </w:t>
            </w:r>
            <w:r w:rsidRPr="001052C2">
              <w:t>projekta sākuma posmā (2019. gada vidus, otra puse) tiks veikta apmācību programmās iesaistītā personāla viedokļ</w:t>
            </w:r>
            <w:r w:rsidRPr="00414B2F">
              <w:t>u analīze (aptauja) par</w:t>
            </w:r>
            <w:r w:rsidRPr="002A649B">
              <w:t xml:space="preserve"> iespējām</w:t>
            </w:r>
            <w:r w:rsidR="001052C2">
              <w:t xml:space="preserve"> līdzšinējā Mācību centrā</w:t>
            </w:r>
            <w:r w:rsidRPr="001052C2">
              <w:t xml:space="preserve"> iegūt </w:t>
            </w:r>
            <w:r w:rsidR="001052C2" w:rsidRPr="001052C2">
              <w:t>kvalitatīvu izglītību, kas nodrošinātu pilnvērtīgu kompetenci darbā ar speciālām ieslodzīto personu un probācijas klientu grupām,</w:t>
            </w:r>
            <w:r w:rsidR="00CC5230">
              <w:t xml:space="preserve"> kā arī</w:t>
            </w:r>
            <w:r w:rsidR="001052C2" w:rsidRPr="001052C2">
              <w:t xml:space="preserve"> ļaut</w:t>
            </w:r>
            <w:r w:rsidR="00CC5230">
              <w:t>u</w:t>
            </w:r>
            <w:r w:rsidR="001052C2" w:rsidRPr="001052C2">
              <w:t xml:space="preserve"> apgūt jaunas darba metodes un </w:t>
            </w:r>
            <w:r w:rsidR="00CC5230">
              <w:t xml:space="preserve">nodrošināt </w:t>
            </w:r>
            <w:r w:rsidR="001052C2" w:rsidRPr="001052C2">
              <w:t>atbilstošu kvalifikāciju darbam korekcijas dienestos.</w:t>
            </w:r>
            <w:r w:rsidR="001052C2">
              <w:t xml:space="preserve"> </w:t>
            </w:r>
            <w:r w:rsidR="00080B0F">
              <w:t>Iepriekš noteiktā p</w:t>
            </w:r>
            <w:r w:rsidR="001052C2">
              <w:t xml:space="preserve">rojekta noslēguma posmā (2023. gads) tiks veikta </w:t>
            </w:r>
            <w:r w:rsidR="001052C2" w:rsidRPr="00C73354">
              <w:t>apmācību programmās iesaistītā personāla viedokļu analīze (aptauja) par iespējām</w:t>
            </w:r>
            <w:r w:rsidR="001052C2">
              <w:t xml:space="preserve"> jaunajā Mācību centrā</w:t>
            </w:r>
            <w:r w:rsidR="001052C2" w:rsidRPr="001052C2">
              <w:t xml:space="preserve"> iegūt kvalitatīvu izglītību, kas nodrošinātu pilnvērtīgu kompetenci darbā ar speciālām ieslodzīto personu un probācijas klientu grupām, ļautu apgūt jaunas darba metodes un atbilstošu kvalifikāciju darbam korekcijas dienestos.</w:t>
            </w:r>
            <w:r w:rsidR="001052C2">
              <w:t xml:space="preserve"> Abu aptauju viedokļi tiks salīdzināti. Prognozēts, ka </w:t>
            </w:r>
            <w:r w:rsidR="001052C2">
              <w:lastRenderedPageBreak/>
              <w:t>pozitīvam viedoklim par uzlabojumiem būtu jāsasniedz vismaz 80% no visām mērķgrupas atbildēm;</w:t>
            </w:r>
          </w:p>
          <w:p w14:paraId="631D6913" w14:textId="77777777" w:rsidR="001052C2" w:rsidRPr="003665C4" w:rsidRDefault="002A649B" w:rsidP="001052C2">
            <w:pPr>
              <w:pStyle w:val="Sarakstarindkopa"/>
              <w:numPr>
                <w:ilvl w:val="0"/>
                <w:numId w:val="2"/>
              </w:numPr>
              <w:jc w:val="both"/>
            </w:pPr>
            <w:r w:rsidRPr="001052C2">
              <w:t>"</w:t>
            </w:r>
            <w:r w:rsidRPr="003665C4">
              <w:rPr>
                <w:color w:val="000000"/>
                <w:u w:val="single"/>
              </w:rPr>
              <w:t>Uzcelts valstiskas nozīmes Mācību centrs</w:t>
            </w:r>
            <w:r w:rsidRPr="001052C2">
              <w:t>"</w:t>
            </w:r>
            <w:r w:rsidR="00636393">
              <w:t>, vērtība</w:t>
            </w:r>
            <w:r w:rsidR="003665C4">
              <w:t xml:space="preserve"> </w:t>
            </w:r>
            <w:r w:rsidR="00CD14D7" w:rsidRPr="00CD14D7">
              <w:rPr>
                <w:i/>
              </w:rPr>
              <w:t>"</w:t>
            </w:r>
            <w:r w:rsidR="003665C4">
              <w:rPr>
                <w:i/>
              </w:rPr>
              <w:t>Jā</w:t>
            </w:r>
            <w:r w:rsidR="00CD14D7" w:rsidRPr="00CD14D7">
              <w:rPr>
                <w:i/>
              </w:rPr>
              <w:t>"</w:t>
            </w:r>
            <w:r w:rsidR="003665C4">
              <w:rPr>
                <w:i/>
              </w:rPr>
              <w:t> </w:t>
            </w:r>
            <w:r w:rsidR="003665C4">
              <w:t>– </w:t>
            </w:r>
            <w:r w:rsidR="00080B0F">
              <w:t xml:space="preserve">iepriekš noteiktā </w:t>
            </w:r>
            <w:r w:rsidR="003665C4">
              <w:t>projekta ietvaros tiks uzbūvēts</w:t>
            </w:r>
            <w:r w:rsidR="003665C4" w:rsidRPr="002A649B">
              <w:rPr>
                <w:color w:val="000000"/>
                <w:u w:val="single"/>
              </w:rPr>
              <w:t xml:space="preserve"> valstiskas nozīmes Mācību centrs</w:t>
            </w:r>
            <w:r w:rsidR="003665C4">
              <w:rPr>
                <w:color w:val="000000"/>
                <w:u w:val="single"/>
              </w:rPr>
              <w:t xml:space="preserve"> </w:t>
            </w:r>
            <w:r w:rsidR="00FB27C9">
              <w:rPr>
                <w:color w:val="000000"/>
                <w:u w:val="single"/>
              </w:rPr>
              <w:t xml:space="preserve">(infrastruktūra) </w:t>
            </w:r>
            <w:r w:rsidR="003665C4">
              <w:rPr>
                <w:color w:val="000000"/>
                <w:u w:val="single"/>
              </w:rPr>
              <w:t>korekcijas dienestu darbiniekiem;</w:t>
            </w:r>
          </w:p>
          <w:p w14:paraId="7A54DDBB" w14:textId="77777777" w:rsidR="003665C4" w:rsidRDefault="003665C4" w:rsidP="001052C2">
            <w:pPr>
              <w:pStyle w:val="Sarakstarindkopa"/>
              <w:numPr>
                <w:ilvl w:val="0"/>
                <w:numId w:val="2"/>
              </w:numPr>
              <w:jc w:val="both"/>
            </w:pPr>
            <w:r w:rsidRPr="001052C2">
              <w:t>"</w:t>
            </w:r>
            <w:r w:rsidRPr="003665C4">
              <w:rPr>
                <w:color w:val="000000"/>
                <w:u w:val="single"/>
              </w:rPr>
              <w:t xml:space="preserve">Izveidots ieslodzījuma vietas </w:t>
            </w:r>
            <w:proofErr w:type="spellStart"/>
            <w:r w:rsidRPr="003665C4">
              <w:rPr>
                <w:color w:val="000000"/>
                <w:u w:val="single"/>
              </w:rPr>
              <w:t>paraugkorpuss</w:t>
            </w:r>
            <w:proofErr w:type="spellEnd"/>
            <w:r w:rsidRPr="001052C2">
              <w:t>"</w:t>
            </w:r>
            <w:r>
              <w:t xml:space="preserve"> vērtība </w:t>
            </w:r>
            <w:r w:rsidR="00CD14D7" w:rsidRPr="00CD14D7">
              <w:rPr>
                <w:i/>
              </w:rPr>
              <w:t>"</w:t>
            </w:r>
            <w:r w:rsidRPr="001D37C9">
              <w:rPr>
                <w:i/>
              </w:rPr>
              <w:t>Jā</w:t>
            </w:r>
            <w:r w:rsidR="00CD14D7" w:rsidRPr="00CD14D7">
              <w:rPr>
                <w:i/>
              </w:rPr>
              <w:t>"</w:t>
            </w:r>
            <w:r w:rsidRPr="001D37C9">
              <w:rPr>
                <w:i/>
              </w:rPr>
              <w:t> </w:t>
            </w:r>
            <w:r w:rsidRPr="001D37C9">
              <w:t>– </w:t>
            </w:r>
            <w:r w:rsidR="00080B0F">
              <w:t xml:space="preserve">iepriekš noteiktā </w:t>
            </w:r>
            <w:r w:rsidRPr="001D37C9">
              <w:t xml:space="preserve">projekta ietvaros tiks uzbūvēts atklātā cietuma </w:t>
            </w:r>
            <w:proofErr w:type="spellStart"/>
            <w:r w:rsidR="001D37C9" w:rsidRPr="001D37C9">
              <w:t>paraugkorpuss</w:t>
            </w:r>
            <w:proofErr w:type="spellEnd"/>
            <w:r w:rsidRPr="001D37C9">
              <w:t>;</w:t>
            </w:r>
          </w:p>
          <w:p w14:paraId="24CB5B5A" w14:textId="77777777" w:rsidR="001D37C9" w:rsidRPr="00D94EBE" w:rsidRDefault="001D37C9" w:rsidP="001052C2">
            <w:pPr>
              <w:pStyle w:val="Sarakstarindkopa"/>
              <w:numPr>
                <w:ilvl w:val="0"/>
                <w:numId w:val="2"/>
              </w:numPr>
              <w:jc w:val="both"/>
            </w:pPr>
            <w:r w:rsidRPr="001052C2">
              <w:t>"</w:t>
            </w:r>
            <w:r w:rsidRPr="001D37C9">
              <w:rPr>
                <w:color w:val="000000"/>
                <w:u w:val="single"/>
              </w:rPr>
              <w:t>Aprobēto apmācību programmu skaits</w:t>
            </w:r>
            <w:r w:rsidRPr="001052C2">
              <w:t>"</w:t>
            </w:r>
            <w:r>
              <w:t xml:space="preserve">, vērtība </w:t>
            </w:r>
            <w:r w:rsidR="00CD14D7" w:rsidRPr="00CD14D7">
              <w:rPr>
                <w:i/>
              </w:rPr>
              <w:t>"</w:t>
            </w:r>
            <w:r w:rsidRPr="00D94EBE">
              <w:rPr>
                <w:i/>
                <w:color w:val="000000"/>
              </w:rPr>
              <w:t>5</w:t>
            </w:r>
            <w:r w:rsidR="00CD14D7" w:rsidRPr="00CD14D7">
              <w:rPr>
                <w:i/>
              </w:rPr>
              <w:t>"</w:t>
            </w:r>
            <w:r>
              <w:rPr>
                <w:color w:val="000000"/>
              </w:rPr>
              <w:t xml:space="preserve"> – jaunajā Mācību centrā līdz </w:t>
            </w:r>
            <w:r w:rsidR="00080B0F">
              <w:rPr>
                <w:color w:val="000000"/>
              </w:rPr>
              <w:t xml:space="preserve">iepriekš noteiktā </w:t>
            </w:r>
            <w:r>
              <w:rPr>
                <w:color w:val="000000"/>
              </w:rPr>
              <w:t xml:space="preserve">projekta noslēgumam 2024. gada aprīlī tiks aprobētas </w:t>
            </w:r>
            <w:bookmarkStart w:id="3" w:name="_Hlk517942893"/>
            <w:r w:rsidR="00FB27C9" w:rsidRPr="00726E62">
              <w:rPr>
                <w:color w:val="000000"/>
              </w:rPr>
              <w:t>D</w:t>
            </w:r>
            <w:r w:rsidR="007F29A6" w:rsidRPr="00726E62">
              <w:t xml:space="preserve">arbības programmas "Izaugsme un nodarbinātība" prioritārā virziena "Sociālā iekļaušana un nabadzības apkarošana" 9.1.3. specifiskā atbalsta mērķa "Paaugstināt resocializācijas sistēmas efektivitāti" projekta </w:t>
            </w:r>
            <w:r w:rsidR="007F29A6" w:rsidRPr="00726E62">
              <w:rPr>
                <w:bCs/>
                <w:color w:val="000000"/>
                <w:spacing w:val="-2"/>
              </w:rPr>
              <w:t>Nr.</w:t>
            </w:r>
            <w:r w:rsidR="007F29A6" w:rsidRPr="00726E62">
              <w:rPr>
                <w:color w:val="000000"/>
              </w:rPr>
              <w:t> </w:t>
            </w:r>
            <w:r w:rsidR="007F29A6" w:rsidRPr="00726E62">
              <w:rPr>
                <w:bCs/>
                <w:color w:val="000000"/>
                <w:spacing w:val="-2"/>
              </w:rPr>
              <w:t xml:space="preserve">9.1.3.0/16/I/001 </w:t>
            </w:r>
            <w:r w:rsidR="007F29A6" w:rsidRPr="00726E62">
              <w:t>"</w:t>
            </w:r>
            <w:r w:rsidR="007F29A6" w:rsidRPr="00726E62">
              <w:rPr>
                <w:bCs/>
                <w:color w:val="000000"/>
                <w:spacing w:val="-2"/>
              </w:rPr>
              <w:t>Resocializācijas sistēmas efektivitātes paaugstināšana</w:t>
            </w:r>
            <w:r w:rsidR="007F29A6" w:rsidRPr="00726E62">
              <w:t>"</w:t>
            </w:r>
            <w:r w:rsidR="00FB27C9" w:rsidRPr="00726E62">
              <w:t xml:space="preserve"> </w:t>
            </w:r>
            <w:bookmarkEnd w:id="3"/>
            <w:r w:rsidR="007F29A6" w:rsidRPr="00726E62">
              <w:rPr>
                <w:color w:val="000000"/>
              </w:rPr>
              <w:t>ietvaros izstrādātās darbinieku apmācību</w:t>
            </w:r>
            <w:r w:rsidRPr="00B06594">
              <w:rPr>
                <w:color w:val="000000"/>
              </w:rPr>
              <w:t xml:space="preserve"> programmas</w:t>
            </w:r>
            <w:r w:rsidR="00FB27C9">
              <w:rPr>
                <w:color w:val="000000"/>
              </w:rPr>
              <w:t>. Plānots, ka tiks aprobētas 5 programmas, no kurām trīs</w:t>
            </w:r>
            <w:r w:rsidR="00726E62">
              <w:rPr>
                <w:color w:val="000000"/>
              </w:rPr>
              <w:t> </w:t>
            </w:r>
            <w:r w:rsidR="00FB27C9">
              <w:rPr>
                <w:color w:val="000000"/>
              </w:rPr>
              <w:t>– no jauna izstrādātas programmas, bet divas – projekta ietvaros pilnveidotas programmas</w:t>
            </w:r>
            <w:r>
              <w:rPr>
                <w:color w:val="000000"/>
              </w:rPr>
              <w:t>;</w:t>
            </w:r>
          </w:p>
          <w:p w14:paraId="287C4E75" w14:textId="0DFF7F47" w:rsidR="001D37C9" w:rsidRPr="00967B32" w:rsidRDefault="00D94EBE" w:rsidP="001052C2">
            <w:pPr>
              <w:pStyle w:val="Sarakstarindkopa"/>
              <w:numPr>
                <w:ilvl w:val="0"/>
                <w:numId w:val="2"/>
              </w:numPr>
              <w:jc w:val="both"/>
            </w:pPr>
            <w:r w:rsidRPr="001052C2">
              <w:t>"</w:t>
            </w:r>
            <w:r w:rsidRPr="00D94EBE">
              <w:rPr>
                <w:color w:val="000000"/>
                <w:u w:val="single"/>
              </w:rPr>
              <w:t>Ieslodzījuma vietu un probācijas darbinieku skaits, kurus iespējams apmācīt Mācību centrā vienlaicīgi</w:t>
            </w:r>
            <w:r w:rsidRPr="001052C2">
              <w:t>"</w:t>
            </w:r>
            <w:r>
              <w:t xml:space="preserve">, vērtība </w:t>
            </w:r>
            <w:r w:rsidR="00CD14D7" w:rsidRPr="00CD14D7">
              <w:rPr>
                <w:i/>
              </w:rPr>
              <w:t>"</w:t>
            </w:r>
            <w:r w:rsidRPr="00D94EBE">
              <w:rPr>
                <w:i/>
              </w:rPr>
              <w:t>1</w:t>
            </w:r>
            <w:r w:rsidRPr="00D94EBE">
              <w:rPr>
                <w:i/>
                <w:color w:val="000000"/>
              </w:rPr>
              <w:t>50</w:t>
            </w:r>
            <w:r w:rsidR="00CD14D7" w:rsidRPr="00CD14D7">
              <w:rPr>
                <w:i/>
              </w:rPr>
              <w:t>"</w:t>
            </w:r>
            <w:r>
              <w:rPr>
                <w:color w:val="000000"/>
              </w:rPr>
              <w:t> – </w:t>
            </w:r>
            <w:r w:rsidR="00FB27C9">
              <w:rPr>
                <w:color w:val="000000"/>
              </w:rPr>
              <w:t xml:space="preserve"> </w:t>
            </w:r>
            <w:r>
              <w:rPr>
                <w:color w:val="000000"/>
              </w:rPr>
              <w:t xml:space="preserve">Latvijā ieslodzījuma vietās </w:t>
            </w:r>
            <w:r w:rsidR="00FB27C9">
              <w:rPr>
                <w:color w:val="000000"/>
              </w:rPr>
              <w:t>joprojām</w:t>
            </w:r>
            <w:r w:rsidR="00717AD0">
              <w:rPr>
                <w:color w:val="000000"/>
              </w:rPr>
              <w:t xml:space="preserve"> ir salīdzinoši </w:t>
            </w:r>
            <w:r w:rsidR="00FB27C9">
              <w:rPr>
                <w:color w:val="000000"/>
              </w:rPr>
              <w:t>l</w:t>
            </w:r>
            <w:r w:rsidR="00717AD0">
              <w:rPr>
                <w:color w:val="000000"/>
              </w:rPr>
              <w:t>iela personāla mainība</w:t>
            </w:r>
            <w:r w:rsidR="00CC5230">
              <w:rPr>
                <w:color w:val="000000"/>
              </w:rPr>
              <w:t>,</w:t>
            </w:r>
            <w:r w:rsidR="00717AD0">
              <w:rPr>
                <w:color w:val="000000"/>
              </w:rPr>
              <w:t xml:space="preserve"> </w:t>
            </w:r>
            <w:r w:rsidR="00FB27C9">
              <w:rPr>
                <w:color w:val="000000"/>
              </w:rPr>
              <w:t>(lai gan tā pēdējos gados ir samazinājusies)</w:t>
            </w:r>
            <w:r w:rsidR="00AC4E5D">
              <w:rPr>
                <w:color w:val="000000"/>
              </w:rPr>
              <w:t>, tāpēc</w:t>
            </w:r>
            <w:r w:rsidR="00717AD0">
              <w:rPr>
                <w:color w:val="000000"/>
              </w:rPr>
              <w:t xml:space="preserve"> </w:t>
            </w:r>
            <w:r w:rsidR="00FB27C9">
              <w:rPr>
                <w:color w:val="000000"/>
              </w:rPr>
              <w:t xml:space="preserve">ir nepieciešama jauno darbinieku apmācība. Tāpat arī esošajiem darbiniekiem ir nepieciešams </w:t>
            </w:r>
            <w:r w:rsidR="00AC4E5D">
              <w:rPr>
                <w:color w:val="000000"/>
              </w:rPr>
              <w:t>regulāri pilnveidot</w:t>
            </w:r>
            <w:r w:rsidR="00FB27C9">
              <w:rPr>
                <w:color w:val="000000"/>
              </w:rPr>
              <w:t xml:space="preserve"> zināšanas, tomēr ieslodzījuma vietu darbības specifika nepieļauj liela darbinieku </w:t>
            </w:r>
            <w:r w:rsidR="00417892">
              <w:rPr>
                <w:color w:val="000000"/>
              </w:rPr>
              <w:t xml:space="preserve">skaita </w:t>
            </w:r>
            <w:r w:rsidR="00FB27C9">
              <w:rPr>
                <w:color w:val="000000"/>
              </w:rPr>
              <w:t xml:space="preserve">vienlaicīgu "atraušanu" no darba pienākumu veikšanas, tāpēc plānojot Mācību centra </w:t>
            </w:r>
            <w:r w:rsidR="00CC5230">
              <w:rPr>
                <w:color w:val="000000"/>
              </w:rPr>
              <w:t>izmēru</w:t>
            </w:r>
            <w:r w:rsidR="00FB27C9">
              <w:rPr>
                <w:color w:val="000000"/>
              </w:rPr>
              <w:t xml:space="preserve"> minētais ir jāņem vērā. 150 vietas paredzētas, lai nodrošinātu gan ilgtermiņa apmācību programmas, gan īstermiņa (1 – 2 dienas) programmas, tād</w:t>
            </w:r>
            <w:r w:rsidR="00C35950">
              <w:rPr>
                <w:color w:val="000000"/>
              </w:rPr>
              <w:t>ē</w:t>
            </w:r>
            <w:r w:rsidR="00FB27C9">
              <w:rPr>
                <w:color w:val="000000"/>
              </w:rPr>
              <w:t>jādi paredzot ļoti dinamisku centra infrastruktūras noslogojumu.</w:t>
            </w:r>
            <w:r w:rsidR="00717AD0">
              <w:rPr>
                <w:color w:val="000000"/>
              </w:rPr>
              <w:t xml:space="preserve"> Līdz ar to aprēķināts, lai veiksmīgi notiktu ieslodzījuma vietu speciālistu</w:t>
            </w:r>
            <w:r w:rsidR="00284E15">
              <w:rPr>
                <w:color w:val="000000"/>
              </w:rPr>
              <w:t xml:space="preserve"> nodrošināšana un atjaunošanās,</w:t>
            </w:r>
            <w:r w:rsidR="00717AD0">
              <w:rPr>
                <w:color w:val="000000"/>
              </w:rPr>
              <w:t xml:space="preserve"> vienlaicīgi gada ietvaros Mācību centram būtu jāuzņem līdz 150 cilvēkiem</w:t>
            </w:r>
            <w:r w:rsidR="00FB27C9">
              <w:rPr>
                <w:color w:val="000000"/>
              </w:rPr>
              <w:t>. Minētais lielums būs pietiekams, lai organizētu arī nacionālas un starptautiskas konferences un seminārus</w:t>
            </w:r>
            <w:r w:rsidR="00AC4E5D">
              <w:rPr>
                <w:color w:val="000000"/>
              </w:rPr>
              <w:t>. 150 vietu ietvaros ir paredzēts organizēt arī VPD darbinieku apmācībām nepieciešamās mācības</w:t>
            </w:r>
            <w:r w:rsidR="00967B32">
              <w:rPr>
                <w:color w:val="000000"/>
              </w:rPr>
              <w:t>;</w:t>
            </w:r>
          </w:p>
          <w:p w14:paraId="43DAB246" w14:textId="77777777" w:rsidR="00967B32" w:rsidRDefault="00967B32" w:rsidP="001052C2">
            <w:pPr>
              <w:pStyle w:val="Sarakstarindkopa"/>
              <w:numPr>
                <w:ilvl w:val="0"/>
                <w:numId w:val="2"/>
              </w:numPr>
              <w:jc w:val="both"/>
            </w:pPr>
            <w:r w:rsidRPr="001052C2">
              <w:t>"</w:t>
            </w:r>
            <w:r w:rsidRPr="00967B32">
              <w:rPr>
                <w:rFonts w:eastAsia="Calibri"/>
                <w:color w:val="000000"/>
                <w:u w:val="single"/>
              </w:rPr>
              <w:t>Ieslodzījuma vietu un probācijas dienesta darbinieku skaits, kas apmācīti Mācību centrā</w:t>
            </w:r>
            <w:r w:rsidRPr="001052C2">
              <w:t>"</w:t>
            </w:r>
            <w:r>
              <w:t xml:space="preserve">, vērtība </w:t>
            </w:r>
            <w:r w:rsidR="00CD14D7" w:rsidRPr="00CD14D7">
              <w:rPr>
                <w:i/>
              </w:rPr>
              <w:t>"</w:t>
            </w:r>
            <w:r>
              <w:rPr>
                <w:i/>
              </w:rPr>
              <w:t>50</w:t>
            </w:r>
            <w:r w:rsidR="00CD14D7" w:rsidRPr="00CD14D7">
              <w:rPr>
                <w:i/>
              </w:rPr>
              <w:t>"</w:t>
            </w:r>
            <w:r>
              <w:t xml:space="preserve"> – plānots, ka līdz </w:t>
            </w:r>
            <w:r w:rsidR="00080B0F">
              <w:t xml:space="preserve">iepriekš noteiktā </w:t>
            </w:r>
            <w:r>
              <w:t xml:space="preserve">projekta noslēgumam 2024. gada aprīlī jaunajā Mācību centrā būs </w:t>
            </w:r>
            <w:r w:rsidR="00AC4E5D">
              <w:t>apmācīti</w:t>
            </w:r>
            <w:r>
              <w:t xml:space="preserve"> 50 </w:t>
            </w:r>
            <w:r w:rsidR="00CC5230">
              <w:t>korekcijas</w:t>
            </w:r>
            <w:r>
              <w:t xml:space="preserve"> dienestu darbinieki;</w:t>
            </w:r>
          </w:p>
          <w:p w14:paraId="37F6041E" w14:textId="06A29704" w:rsidR="00856D7C" w:rsidRDefault="00967B32" w:rsidP="00281E72">
            <w:pPr>
              <w:pStyle w:val="Sarakstarindkopa"/>
              <w:numPr>
                <w:ilvl w:val="0"/>
                <w:numId w:val="2"/>
              </w:numPr>
              <w:jc w:val="both"/>
            </w:pPr>
            <w:r w:rsidRPr="001052C2">
              <w:lastRenderedPageBreak/>
              <w:t>"</w:t>
            </w:r>
            <w:r w:rsidRPr="00967B32">
              <w:rPr>
                <w:rFonts w:eastAsia="Calibri"/>
                <w:color w:val="000000"/>
                <w:u w:val="single"/>
              </w:rPr>
              <w:t>Pieredzes apmaiņas vizīšu/ ārvalstu ekspertu konsultāciju skaits</w:t>
            </w:r>
            <w:r w:rsidRPr="001052C2">
              <w:t>"</w:t>
            </w:r>
            <w:r>
              <w:t xml:space="preserve">, vērtība </w:t>
            </w:r>
            <w:r w:rsidR="00CD14D7" w:rsidRPr="00CD14D7">
              <w:rPr>
                <w:i/>
              </w:rPr>
              <w:t>"</w:t>
            </w:r>
            <w:r w:rsidRPr="00A07FA7">
              <w:rPr>
                <w:i/>
              </w:rPr>
              <w:t>6</w:t>
            </w:r>
            <w:r w:rsidR="00CD14D7" w:rsidRPr="00CD14D7">
              <w:rPr>
                <w:i/>
              </w:rPr>
              <w:t>"</w:t>
            </w:r>
            <w:r w:rsidR="00B35C83">
              <w:t> </w:t>
            </w:r>
            <w:r w:rsidR="0096630A">
              <w:t>–</w:t>
            </w:r>
            <w:r w:rsidR="00B35C83">
              <w:t> </w:t>
            </w:r>
            <w:r w:rsidR="00281E72" w:rsidRPr="00281E72">
              <w:t xml:space="preserve">aprēķināts, lai nodrošinātu nepieciešamo likumdošanas izmaiņu sagatavošanu, tiek plānots organizēt vismaz sešas speciālistu pieredzes apmaiņas vizītes. Pieredzes apmaiņas vizītēs plānots iesaistīt gan speciālistus no Latvijas Korekcijas dienestiem, gan arī speciālistus no Norvēģijas Korekcijas dienestu akadēmijas un </w:t>
            </w:r>
            <w:proofErr w:type="spellStart"/>
            <w:r w:rsidR="00281E72" w:rsidRPr="00281E72">
              <w:t>Ullersmo</w:t>
            </w:r>
            <w:proofErr w:type="spellEnd"/>
            <w:r w:rsidR="00281E72" w:rsidRPr="00281E72">
              <w:t xml:space="preserve"> cietuma, kā donoru projekta partnerus;</w:t>
            </w:r>
          </w:p>
          <w:p w14:paraId="7408C0D2" w14:textId="77777777" w:rsidR="00AC397F" w:rsidRPr="00AC397F" w:rsidRDefault="00AC397F" w:rsidP="001052C2">
            <w:pPr>
              <w:pStyle w:val="Sarakstarindkopa"/>
              <w:numPr>
                <w:ilvl w:val="0"/>
                <w:numId w:val="2"/>
              </w:numPr>
              <w:jc w:val="both"/>
            </w:pPr>
            <w:r w:rsidRPr="001052C2">
              <w:t>"</w:t>
            </w:r>
            <w:r w:rsidRPr="00AC397F">
              <w:rPr>
                <w:rFonts w:eastAsia="Calibri"/>
                <w:color w:val="000000"/>
                <w:u w:val="single"/>
              </w:rPr>
              <w:t>Veikts novērtējums par nepieciešamajām izmaiņām likumdošanā</w:t>
            </w:r>
            <w:r w:rsidRPr="001052C2">
              <w:t>"</w:t>
            </w:r>
            <w:r>
              <w:t xml:space="preserve">, vērtība </w:t>
            </w:r>
            <w:r w:rsidR="00CD14D7" w:rsidRPr="00CD14D7">
              <w:rPr>
                <w:i/>
              </w:rPr>
              <w:t>"</w:t>
            </w:r>
            <w:r w:rsidR="00A07FA7" w:rsidRPr="00A07FA7">
              <w:rPr>
                <w:i/>
              </w:rPr>
              <w:t>Jā</w:t>
            </w:r>
            <w:r w:rsidR="00CD14D7" w:rsidRPr="00CD14D7">
              <w:rPr>
                <w:i/>
              </w:rPr>
              <w:t>"</w:t>
            </w:r>
            <w:r>
              <w:rPr>
                <w:color w:val="000000"/>
              </w:rPr>
              <w:t> – </w:t>
            </w:r>
            <w:r w:rsidR="00AC4E5D">
              <w:rPr>
                <w:color w:val="000000"/>
              </w:rPr>
              <w:t xml:space="preserve">minētais izvērtējums tiks ietverts </w:t>
            </w:r>
            <w:r w:rsidR="00726E62">
              <w:rPr>
                <w:color w:val="000000"/>
              </w:rPr>
              <w:t>iepriekš</w:t>
            </w:r>
            <w:r w:rsidR="00AC4E5D">
              <w:rPr>
                <w:color w:val="000000"/>
              </w:rPr>
              <w:t xml:space="preserve"> minēto likumu grozījumu anotācijās, paredzot gan esošās situācijas analīzi, gan konstatēto problēmu aprakstu, kā arī jauno normu skaidrojumus</w:t>
            </w:r>
            <w:r>
              <w:rPr>
                <w:color w:val="000000"/>
              </w:rPr>
              <w:t>;</w:t>
            </w:r>
          </w:p>
          <w:p w14:paraId="0EDA34E6" w14:textId="77777777" w:rsidR="00166261" w:rsidRDefault="00AC397F" w:rsidP="001052C2">
            <w:pPr>
              <w:pStyle w:val="Sarakstarindkopa"/>
              <w:numPr>
                <w:ilvl w:val="0"/>
                <w:numId w:val="2"/>
              </w:numPr>
              <w:jc w:val="both"/>
            </w:pPr>
            <w:r w:rsidRPr="001052C2">
              <w:t>"</w:t>
            </w:r>
            <w:r w:rsidRPr="00AC397F">
              <w:rPr>
                <w:color w:val="000000"/>
                <w:u w:val="single"/>
              </w:rPr>
              <w:t>Uzticamības līmenis starp sadarbības institūcijām saņēmējvalstīs un donorvalstīs (skalā 1-7)</w:t>
            </w:r>
            <w:r w:rsidRPr="001052C2">
              <w:t>"</w:t>
            </w:r>
            <w:r>
              <w:t xml:space="preserve">, vērtība </w:t>
            </w:r>
            <w:r w:rsidR="00CD14D7" w:rsidRPr="00CD14D7">
              <w:rPr>
                <w:i/>
              </w:rPr>
              <w:t>"</w:t>
            </w:r>
            <w:r w:rsidR="00A07FA7">
              <w:rPr>
                <w:i/>
              </w:rPr>
              <w:t>6</w:t>
            </w:r>
            <w:r w:rsidR="00CD14D7" w:rsidRPr="00CD14D7">
              <w:rPr>
                <w:i/>
              </w:rPr>
              <w:t>"</w:t>
            </w:r>
            <w:r>
              <w:t> </w:t>
            </w:r>
            <w:r w:rsidR="00A4314B">
              <w:t>–</w:t>
            </w:r>
            <w:r>
              <w:t> </w:t>
            </w:r>
            <w:r w:rsidR="00A4314B">
              <w:t>Norvēģijas finanšu instrumenta 2009.-2014. gada periodā programmas apsaimniekotājs un IeVP ir izveidojuši ciešu</w:t>
            </w:r>
            <w:r w:rsidR="00166261">
              <w:t>,</w:t>
            </w:r>
            <w:r w:rsidR="00A4314B">
              <w:t xml:space="preserve"> produktīvu</w:t>
            </w:r>
            <w:r w:rsidR="00166261">
              <w:t xml:space="preserve"> un ilgtspējīgu </w:t>
            </w:r>
            <w:r w:rsidR="00A4314B">
              <w:t>sadarbību ar donor</w:t>
            </w:r>
            <w:r w:rsidR="0050583F">
              <w:t>u</w:t>
            </w:r>
            <w:r w:rsidR="00A4314B">
              <w:t xml:space="preserve"> programmas partneri</w:t>
            </w:r>
            <w:r w:rsidR="00166261">
              <w:t>, ko vairākkārt apliecinājušas Latvijas un Norvēģijas puses. Balstoties uz to, programmas apsaimniekotājs prognozē arī 2014.-2021.</w:t>
            </w:r>
            <w:r w:rsidR="00C525EB">
              <w:t> gada</w:t>
            </w:r>
            <w:r w:rsidR="00166261">
              <w:t xml:space="preserve"> periodā veicināt augsta uzticamības līmeņa saglabāšanu starp iesaistītajām pusēm. Lai to nodrošinātu, programmas apsaimniekotājs un IeVP jau organizējuši pieredzes apmaiņas vizītes </w:t>
            </w:r>
            <w:r w:rsidR="00A4314B">
              <w:t xml:space="preserve"> </w:t>
            </w:r>
            <w:r w:rsidR="00166261">
              <w:t xml:space="preserve">Norvēģijas Korekcijas dienestu akadēmijas un </w:t>
            </w:r>
            <w:proofErr w:type="spellStart"/>
            <w:r w:rsidR="00166261">
              <w:t>Ullersmo</w:t>
            </w:r>
            <w:proofErr w:type="spellEnd"/>
            <w:r w:rsidR="00166261">
              <w:t xml:space="preserve"> cietuma pārstāvjiem Latvijā ar mērķi iepazīstināt </w:t>
            </w:r>
            <w:r w:rsidR="0050583F">
              <w:t xml:space="preserve">donoru </w:t>
            </w:r>
            <w:r w:rsidR="00166261" w:rsidRPr="0050583F">
              <w:t>projekta partnerus</w:t>
            </w:r>
            <w:r w:rsidR="00166261">
              <w:t xml:space="preserve"> ar plānotajām iecerēm</w:t>
            </w:r>
            <w:r w:rsidR="00A07FA7">
              <w:t>. Papildus, šim rādītājam mērķa sākotnējo vērtību ar aptaujas palīdzību noteiks Finanšu instrumenta birojs</w:t>
            </w:r>
            <w:r w:rsidR="00166261">
              <w:t>;</w:t>
            </w:r>
          </w:p>
          <w:p w14:paraId="642C11BA" w14:textId="77777777" w:rsidR="0093391A" w:rsidRDefault="0093391A" w:rsidP="001052C2">
            <w:pPr>
              <w:pStyle w:val="Sarakstarindkopa"/>
              <w:numPr>
                <w:ilvl w:val="0"/>
                <w:numId w:val="2"/>
              </w:numPr>
              <w:jc w:val="both"/>
            </w:pPr>
            <w:r w:rsidRPr="001052C2">
              <w:t>"</w:t>
            </w:r>
            <w:r w:rsidRPr="0084036E">
              <w:rPr>
                <w:color w:val="000000"/>
              </w:rPr>
              <w:t>Apmierinātības līmenis ar partnerībām (skalā 1-7)</w:t>
            </w:r>
            <w:r w:rsidRPr="001052C2">
              <w:t>"</w:t>
            </w:r>
            <w:r>
              <w:t xml:space="preserve"> vērtība </w:t>
            </w:r>
            <w:r w:rsidR="00CD14D7" w:rsidRPr="00CD14D7">
              <w:rPr>
                <w:i/>
              </w:rPr>
              <w:t>"</w:t>
            </w:r>
            <w:r>
              <w:rPr>
                <w:i/>
              </w:rPr>
              <w:t>6</w:t>
            </w:r>
            <w:r w:rsidR="00CD14D7" w:rsidRPr="00CD14D7">
              <w:rPr>
                <w:i/>
              </w:rPr>
              <w:t>"</w:t>
            </w:r>
            <w:r>
              <w:t> – skatīt 11. punktu;</w:t>
            </w:r>
          </w:p>
          <w:p w14:paraId="09B0F2ED" w14:textId="77777777" w:rsidR="003E1197" w:rsidRPr="003E1197" w:rsidRDefault="0093391A" w:rsidP="003E1197">
            <w:pPr>
              <w:pStyle w:val="Sarakstarindkopa"/>
              <w:numPr>
                <w:ilvl w:val="0"/>
                <w:numId w:val="2"/>
              </w:numPr>
              <w:jc w:val="both"/>
            </w:pPr>
            <w:r w:rsidRPr="001052C2">
              <w:t>"</w:t>
            </w:r>
            <w:r w:rsidRPr="0093391A">
              <w:rPr>
                <w:u w:val="single"/>
              </w:rPr>
              <w:t>Personu īpatsvars, kas sadarbības procesā izmanto bilaterālās sadarbības laikā iegūtās zināšanas</w:t>
            </w:r>
            <w:r w:rsidRPr="001052C2">
              <w:t>"</w:t>
            </w:r>
            <w:r>
              <w:t xml:space="preserve">, vērtība </w:t>
            </w:r>
            <w:r w:rsidR="00CD14D7" w:rsidRPr="00CD14D7">
              <w:rPr>
                <w:i/>
              </w:rPr>
              <w:t>"</w:t>
            </w:r>
            <w:r w:rsidRPr="0093391A">
              <w:rPr>
                <w:i/>
              </w:rPr>
              <w:t>50%</w:t>
            </w:r>
            <w:r w:rsidR="00CD14D7" w:rsidRPr="00CD14D7">
              <w:rPr>
                <w:i/>
              </w:rPr>
              <w:t>"</w:t>
            </w:r>
            <w:r>
              <w:t> - </w:t>
            </w:r>
            <w:r w:rsidR="0096630A">
              <w:t xml:space="preserve"> </w:t>
            </w:r>
            <w:r>
              <w:t xml:space="preserve">lai nodrošinātu programmas un </w:t>
            </w:r>
            <w:r w:rsidR="00080B0F">
              <w:t xml:space="preserve">iepriekš noteiktā </w:t>
            </w:r>
            <w:r>
              <w:t xml:space="preserve">projekta pilnvērtīgu ieviešanu, nepieciešama </w:t>
            </w:r>
            <w:r w:rsidR="007E0F96">
              <w:t>pieredzes</w:t>
            </w:r>
            <w:r>
              <w:t xml:space="preserve"> apmaiņa starp Latvijas un Norvēģijas pusēm. Plānots, ka programmā un </w:t>
            </w:r>
            <w:r w:rsidR="00080B0F">
              <w:t xml:space="preserve">iepriekš noteiktā </w:t>
            </w:r>
            <w:r>
              <w:t>projektā iesaistītais personāls būs ciešā saskarē ar Norvēģijas pusi un regulā</w:t>
            </w:r>
            <w:r w:rsidR="003E1197">
              <w:t>r</w:t>
            </w:r>
            <w:r>
              <w:t>i varēs pārņemt zināšanas no donorvalsts</w:t>
            </w:r>
            <w:r w:rsidR="003E1197">
              <w:t>, tādā veidā nodrošinot, ka vismaz puse</w:t>
            </w:r>
            <w:r w:rsidR="0096630A">
              <w:t xml:space="preserve"> </w:t>
            </w:r>
            <w:r w:rsidR="003E1197">
              <w:t xml:space="preserve">darbinieku spēs uzkrāt un vēlāk izmantot </w:t>
            </w:r>
            <w:r w:rsidR="003E1197" w:rsidRPr="0093391A">
              <w:rPr>
                <w:u w:val="single"/>
              </w:rPr>
              <w:t>bilaterālās sadarbības laikā iegūtās zināšanas</w:t>
            </w:r>
            <w:r w:rsidR="00B06594">
              <w:rPr>
                <w:u w:val="single"/>
              </w:rPr>
              <w:t>;</w:t>
            </w:r>
          </w:p>
          <w:p w14:paraId="64642638" w14:textId="77777777" w:rsidR="003E1197" w:rsidRDefault="003E1197" w:rsidP="003E1197">
            <w:pPr>
              <w:pStyle w:val="Sarakstarindkopa"/>
              <w:numPr>
                <w:ilvl w:val="0"/>
                <w:numId w:val="2"/>
              </w:numPr>
              <w:jc w:val="both"/>
            </w:pPr>
            <w:r w:rsidRPr="001052C2">
              <w:t>"</w:t>
            </w:r>
            <w:r w:rsidRPr="0084036E">
              <w:rPr>
                <w:color w:val="000000"/>
              </w:rPr>
              <w:t>Kopīgo iniciatīvu skaits saņēmējvalstī vai donorvalstī ārpus programmas darbības jomas</w:t>
            </w:r>
            <w:r w:rsidRPr="001052C2">
              <w:t>"</w:t>
            </w:r>
            <w:r>
              <w:t xml:space="preserve">, vērtība </w:t>
            </w:r>
            <w:r w:rsidR="00CD14D7" w:rsidRPr="00CD14D7">
              <w:rPr>
                <w:i/>
              </w:rPr>
              <w:t>"</w:t>
            </w:r>
            <w:r>
              <w:rPr>
                <w:i/>
              </w:rPr>
              <w:t>2</w:t>
            </w:r>
            <w:r w:rsidR="00CD14D7" w:rsidRPr="00CD14D7">
              <w:rPr>
                <w:i/>
              </w:rPr>
              <w:t>"</w:t>
            </w:r>
            <w:r>
              <w:t> – lai paplašinātu redzesloku un nodrošinātu izpratni par jautājumiem ārpus programmas darbības jomas, plānots, ka saņēmējvalsts un donorvalsts organizēs divas kopīgas iniciatīvas;</w:t>
            </w:r>
          </w:p>
          <w:p w14:paraId="711B0E0E" w14:textId="5DBB2F04" w:rsidR="003E1197" w:rsidRDefault="003E1197" w:rsidP="003E1197">
            <w:pPr>
              <w:pStyle w:val="Sarakstarindkopa"/>
              <w:numPr>
                <w:ilvl w:val="0"/>
                <w:numId w:val="2"/>
              </w:numPr>
              <w:jc w:val="both"/>
            </w:pPr>
            <w:r w:rsidRPr="001052C2">
              <w:lastRenderedPageBreak/>
              <w:t>"</w:t>
            </w:r>
            <w:r w:rsidRPr="003E1197">
              <w:rPr>
                <w:color w:val="000000"/>
                <w:u w:val="single"/>
              </w:rPr>
              <w:t>Donorvalsts un saņēmējvalsts iestāžu kopīgi organizēto apmācību skaits</w:t>
            </w:r>
            <w:r w:rsidRPr="001052C2">
              <w:t>"</w:t>
            </w:r>
            <w:r>
              <w:t xml:space="preserve">, vērtība </w:t>
            </w:r>
            <w:r w:rsidR="00CD14D7" w:rsidRPr="00CD14D7">
              <w:rPr>
                <w:i/>
              </w:rPr>
              <w:t>"</w:t>
            </w:r>
            <w:r w:rsidRPr="003E1197">
              <w:rPr>
                <w:i/>
              </w:rPr>
              <w:t>4</w:t>
            </w:r>
            <w:r w:rsidR="00CD14D7" w:rsidRPr="00CD14D7">
              <w:rPr>
                <w:i/>
              </w:rPr>
              <w:t>"</w:t>
            </w:r>
            <w:r>
              <w:t xml:space="preserve"> – lai nodrošinātu korekcijas dienestu speciālistiem </w:t>
            </w:r>
            <w:r w:rsidR="009154C7">
              <w:t>nepieciešamās apmācības par</w:t>
            </w:r>
            <w:r w:rsidR="00AC4E5D">
              <w:t xml:space="preserve"> </w:t>
            </w:r>
            <w:r w:rsidR="0052081A">
              <w:t>jautājumiem</w:t>
            </w:r>
            <w:r w:rsidR="00AC4E5D">
              <w:t xml:space="preserve">, kas </w:t>
            </w:r>
            <w:r w:rsidR="0052081A">
              <w:t>nepieciešami</w:t>
            </w:r>
            <w:r w:rsidR="00AC4E5D">
              <w:t xml:space="preserve"> </w:t>
            </w:r>
            <w:r w:rsidR="0052081A">
              <w:t>projekta</w:t>
            </w:r>
            <w:r w:rsidR="00AC4E5D">
              <w:t xml:space="preserve"> </w:t>
            </w:r>
            <w:r w:rsidR="0052081A">
              <w:t>veiksmīgas</w:t>
            </w:r>
            <w:r w:rsidR="00AC4E5D">
              <w:t xml:space="preserve"> norises nodrošināšanai</w:t>
            </w:r>
            <w:r w:rsidR="0052081A">
              <w:t xml:space="preserve"> (plašā nozīmē, ieskaitot donorvalsts ekspertu vadītas apmācības par specifiskiem jautājumiem, kā arī apmācības dažādām mērķauditorijām, piemēram, </w:t>
            </w:r>
            <w:r w:rsidR="00FA7A22">
              <w:t xml:space="preserve">nevalstiskajām organizācijām (turpmāk – </w:t>
            </w:r>
            <w:r w:rsidR="0052081A">
              <w:t>NVO</w:t>
            </w:r>
            <w:r w:rsidR="00FA7A22">
              <w:t>)</w:t>
            </w:r>
            <w:r w:rsidR="0052081A">
              <w:t xml:space="preserve"> par dažādiem jautājumiem (piemēram, labo praksi, kā ar ieslodzītajiem un bijušajiem ieslodzītajiem strādā donorvalsts un citu ārvalstīs))</w:t>
            </w:r>
            <w:r w:rsidR="009154C7">
              <w:t>, tiks rīkotas vismaz 4 apmācības Latvijā;</w:t>
            </w:r>
          </w:p>
          <w:p w14:paraId="35F71584" w14:textId="77777777" w:rsidR="009154C7" w:rsidRDefault="009154C7" w:rsidP="003E1197">
            <w:pPr>
              <w:pStyle w:val="Sarakstarindkopa"/>
              <w:numPr>
                <w:ilvl w:val="0"/>
                <w:numId w:val="2"/>
              </w:numPr>
              <w:jc w:val="both"/>
            </w:pPr>
            <w:r w:rsidRPr="001052C2">
              <w:t>"</w:t>
            </w:r>
            <w:r w:rsidRPr="009154C7">
              <w:rPr>
                <w:color w:val="000000"/>
                <w:u w:val="single"/>
              </w:rPr>
              <w:t>Dalībnieku skaits, kas piedalījušies pieredzes apmaiņas vizītēs no saņēmējvalsts (pēc dzimuma)</w:t>
            </w:r>
            <w:r w:rsidRPr="001052C2">
              <w:t>"</w:t>
            </w:r>
            <w:r>
              <w:t xml:space="preserve">, vērtība </w:t>
            </w:r>
            <w:r w:rsidR="00CD14D7" w:rsidRPr="00CD14D7">
              <w:rPr>
                <w:i/>
              </w:rPr>
              <w:t>"</w:t>
            </w:r>
            <w:r>
              <w:rPr>
                <w:i/>
              </w:rPr>
              <w:t>50</w:t>
            </w:r>
            <w:r w:rsidR="00CD14D7" w:rsidRPr="00CD14D7">
              <w:rPr>
                <w:i/>
              </w:rPr>
              <w:t>"</w:t>
            </w:r>
            <w:r>
              <w:t xml:space="preserve"> – plānots, ka uz donorvalsti pieredzes apmaiņas vizītē programmas un </w:t>
            </w:r>
            <w:r w:rsidR="00080B0F">
              <w:t xml:space="preserve">iepriekš noteiktā </w:t>
            </w:r>
            <w:r>
              <w:t xml:space="preserve">projekta īstenošanas laikā dosies vismaz piecdesmit Latvijas korekcijas dienestu pārstāvji, kas vairumā būs saistīti ar Mācību centra un atklātā cietuma </w:t>
            </w:r>
            <w:proofErr w:type="spellStart"/>
            <w:r>
              <w:t>paraugkorpusa</w:t>
            </w:r>
            <w:proofErr w:type="spellEnd"/>
            <w:r>
              <w:t xml:space="preserve"> saturisko un tehnisko funkciju nodrošināšanu</w:t>
            </w:r>
            <w:r w:rsidR="0050583F">
              <w:t>. Programmas apsaimniekotājs, atbilstoši donorvalsts prasībām, veiks dalībnieku dzimuma uzskaiti</w:t>
            </w:r>
            <w:r>
              <w:t>;</w:t>
            </w:r>
          </w:p>
          <w:p w14:paraId="6301281E" w14:textId="77777777" w:rsidR="003E01B8" w:rsidRDefault="0078197B" w:rsidP="003E1197">
            <w:pPr>
              <w:pStyle w:val="Sarakstarindkopa"/>
              <w:numPr>
                <w:ilvl w:val="0"/>
                <w:numId w:val="2"/>
              </w:numPr>
              <w:jc w:val="both"/>
            </w:pPr>
            <w:r w:rsidRPr="001052C2">
              <w:t>"</w:t>
            </w:r>
            <w:r w:rsidRPr="0078197B">
              <w:rPr>
                <w:color w:val="000000"/>
                <w:u w:val="single"/>
              </w:rPr>
              <w:t>Dalībnieku skaits, kas piedalījušies pieredzes apmaiņas vizītēs no donorvalsts (pēc dzimuma)</w:t>
            </w:r>
            <w:r w:rsidRPr="001052C2">
              <w:t>"</w:t>
            </w:r>
            <w:r w:rsidR="00080B0F">
              <w:t>,</w:t>
            </w:r>
            <w:r w:rsidR="009154C7">
              <w:t xml:space="preserve"> </w:t>
            </w:r>
            <w:r>
              <w:t xml:space="preserve">vērtība </w:t>
            </w:r>
            <w:r w:rsidR="00CD14D7" w:rsidRPr="00CD14D7">
              <w:rPr>
                <w:i/>
              </w:rPr>
              <w:t>"</w:t>
            </w:r>
            <w:r>
              <w:rPr>
                <w:i/>
              </w:rPr>
              <w:t>30</w:t>
            </w:r>
            <w:r w:rsidR="00CD14D7" w:rsidRPr="00CD14D7">
              <w:rPr>
                <w:i/>
              </w:rPr>
              <w:t>"</w:t>
            </w:r>
            <w:r>
              <w:t xml:space="preserve"> – plānots, ka uz saņēmējvalsti pieredzes apmaiņas vizītē programmas un </w:t>
            </w:r>
            <w:r w:rsidR="00080B0F">
              <w:t xml:space="preserve">iepriekš noteiktā </w:t>
            </w:r>
            <w:r>
              <w:t xml:space="preserve">projekta īstenošanas laikā dosies vismaz 30 Norvēģijas korekcijas dienestu pārstāvji (pārsvarā no </w:t>
            </w:r>
            <w:r w:rsidR="00080B0F">
              <w:t xml:space="preserve">iepriekš noteiktā </w:t>
            </w:r>
            <w:r>
              <w:t>projekta partnerorganizācijām)</w:t>
            </w:r>
            <w:r w:rsidR="003E01B8">
              <w:t xml:space="preserve"> un tie būs saistīti ar Mācību centra un atklātā cietuma </w:t>
            </w:r>
            <w:proofErr w:type="spellStart"/>
            <w:r w:rsidR="003E01B8">
              <w:t>paraugkorpusa</w:t>
            </w:r>
            <w:proofErr w:type="spellEnd"/>
            <w:r w:rsidR="003E01B8">
              <w:t xml:space="preserve"> saturisko un tehnisko funkciju nodrošināšanu</w:t>
            </w:r>
            <w:r w:rsidR="0050583F">
              <w:t>. Programmas apsaimniekotājs, atbilstoši donorvalsts prasībām, veiks dalībnieku dzimuma uzskaiti</w:t>
            </w:r>
            <w:r w:rsidR="003E01B8">
              <w:t>;</w:t>
            </w:r>
          </w:p>
          <w:p w14:paraId="3E6CE575" w14:textId="77777777" w:rsidR="003665C4" w:rsidRDefault="00080B0F" w:rsidP="00080B0F">
            <w:pPr>
              <w:pStyle w:val="Sarakstarindkopa"/>
              <w:numPr>
                <w:ilvl w:val="0"/>
                <w:numId w:val="2"/>
              </w:numPr>
              <w:jc w:val="both"/>
            </w:pPr>
            <w:r w:rsidRPr="001052C2">
              <w:t>"</w:t>
            </w:r>
            <w:r w:rsidRPr="00080B0F">
              <w:rPr>
                <w:color w:val="000000"/>
                <w:u w:val="single"/>
              </w:rPr>
              <w:t>Projektu skaits, kuros notiks sadarbība ar donorvalsts projekta partneriem</w:t>
            </w:r>
            <w:r w:rsidRPr="001052C2">
              <w:t>"</w:t>
            </w:r>
            <w:r>
              <w:t xml:space="preserve">, vērtība </w:t>
            </w:r>
            <w:r w:rsidR="00CD14D7" w:rsidRPr="00CD14D7">
              <w:rPr>
                <w:i/>
              </w:rPr>
              <w:t>"</w:t>
            </w:r>
            <w:r w:rsidRPr="00080B0F">
              <w:rPr>
                <w:i/>
              </w:rPr>
              <w:t>1</w:t>
            </w:r>
            <w:r w:rsidR="00CD14D7" w:rsidRPr="00CD14D7">
              <w:rPr>
                <w:i/>
              </w:rPr>
              <w:t>"</w:t>
            </w:r>
            <w:r>
              <w:t xml:space="preserve"> – sarunās starp Latvijas un Norvēģijas pusēm panākts un Sadarbības memorandā iekļauts, ka programmas </w:t>
            </w:r>
            <w:r w:rsidRPr="001052C2">
              <w:t>"</w:t>
            </w:r>
            <w:r>
              <w:t>Korekcijas dienesti</w:t>
            </w:r>
            <w:r w:rsidRPr="001052C2">
              <w:t>"</w:t>
            </w:r>
            <w:r>
              <w:t xml:space="preserve"> ietvaros tiks īstenots viens iepriekš noteiktais projekts </w:t>
            </w:r>
            <w:r w:rsidRPr="001052C2">
              <w:t>"</w:t>
            </w:r>
            <w:r w:rsidRPr="008F2421">
              <w:t xml:space="preserve">Mācību centra infrastruktūras un apmācībai paredzēta ieslodzījuma vietas </w:t>
            </w:r>
            <w:proofErr w:type="spellStart"/>
            <w:r w:rsidRPr="008F2421">
              <w:t>paraugkorpusa</w:t>
            </w:r>
            <w:proofErr w:type="spellEnd"/>
            <w:r w:rsidRPr="008F2421">
              <w:t xml:space="preserve"> izveide Olaines cietuma teritorijā</w:t>
            </w:r>
            <w:r w:rsidRPr="001052C2">
              <w:t>"</w:t>
            </w:r>
            <w:r>
              <w:t xml:space="preserve"> un tā īstenotājs būs IeVP.</w:t>
            </w:r>
          </w:p>
          <w:p w14:paraId="72AB9C2F" w14:textId="77777777" w:rsidR="001052C2" w:rsidRPr="000B2DD8" w:rsidRDefault="003665C4" w:rsidP="002A649B">
            <w:pPr>
              <w:jc w:val="both"/>
            </w:pPr>
            <w:r>
              <w:t xml:space="preserve">Mērķa vērtību formulējums (procentuālais, skaitliskais, vai ar vārdiem) ir definēts saskaņā ar Finanšu instrumenta biroja </w:t>
            </w:r>
            <w:r w:rsidR="00E36B44">
              <w:t xml:space="preserve">Rezultātu izvērtēšanas </w:t>
            </w:r>
            <w:r w:rsidRPr="00CD14D7">
              <w:t>vadlīnijām</w:t>
            </w:r>
            <w:r w:rsidR="00E36B44">
              <w:t xml:space="preserve"> un Programmu indikatoru vadlīnijām NFI 2014.–2021. gada periodam</w:t>
            </w:r>
            <w:r w:rsidRPr="00CD14D7">
              <w:t>.</w:t>
            </w:r>
            <w:r>
              <w:t xml:space="preserve"> Mērķa vērtības noteiktas, saskaņojot ar Finanšu instrumenta biroju un donor</w:t>
            </w:r>
            <w:r w:rsidR="0050583F">
              <w:t>u</w:t>
            </w:r>
            <w:r>
              <w:t xml:space="preserve"> programmas partneri.</w:t>
            </w:r>
          </w:p>
        </w:tc>
      </w:tr>
      <w:tr w:rsidR="008F2421" w:rsidRPr="008F2421" w14:paraId="2E947E11" w14:textId="77777777" w:rsidTr="001F3FBF">
        <w:trPr>
          <w:cantSplit/>
        </w:trPr>
        <w:tc>
          <w:tcPr>
            <w:tcW w:w="306" w:type="pct"/>
            <w:hideMark/>
          </w:tcPr>
          <w:p w14:paraId="05700412" w14:textId="77777777" w:rsidR="00BD5588" w:rsidRPr="008F2421" w:rsidRDefault="00BD5588" w:rsidP="008F2421">
            <w:pPr>
              <w:jc w:val="center"/>
            </w:pPr>
            <w:r w:rsidRPr="008F2421">
              <w:lastRenderedPageBreak/>
              <w:t>3.</w:t>
            </w:r>
          </w:p>
        </w:tc>
        <w:tc>
          <w:tcPr>
            <w:tcW w:w="1455" w:type="pct"/>
            <w:hideMark/>
          </w:tcPr>
          <w:p w14:paraId="3558D43F" w14:textId="77777777" w:rsidR="008D2576" w:rsidRDefault="00BD5588" w:rsidP="008F2421">
            <w:r w:rsidRPr="008F2421">
              <w:t>Projekta izstrādē iesaistītās institūcijas un publiskas personas kapitālsabiedrības</w:t>
            </w:r>
          </w:p>
          <w:p w14:paraId="2BD34716" w14:textId="77777777" w:rsidR="00BD5588" w:rsidRPr="008D2576" w:rsidRDefault="00BD5588" w:rsidP="008D2576"/>
        </w:tc>
        <w:tc>
          <w:tcPr>
            <w:tcW w:w="3239" w:type="pct"/>
            <w:hideMark/>
          </w:tcPr>
          <w:p w14:paraId="635AD46E" w14:textId="541A3FE8" w:rsidR="008111AB" w:rsidRPr="00F45147" w:rsidRDefault="00CA1C11" w:rsidP="008111AB">
            <w:pPr>
              <w:jc w:val="both"/>
            </w:pPr>
            <w:r w:rsidRPr="008F2421">
              <w:t xml:space="preserve">Tieslietu ministrija, </w:t>
            </w:r>
            <w:r w:rsidR="008F2421" w:rsidRPr="008F2421">
              <w:t>IeVP</w:t>
            </w:r>
            <w:r w:rsidRPr="008F2421">
              <w:t xml:space="preserve">, </w:t>
            </w:r>
            <w:r w:rsidR="008F2421" w:rsidRPr="008F2421">
              <w:t>VPD</w:t>
            </w:r>
            <w:r w:rsidRPr="008F2421">
              <w:t xml:space="preserve">, Norvēģijas Korekcijas dienestu direktorāts, Finanšu instrumenta birojs, </w:t>
            </w:r>
            <w:r w:rsidR="00FA7A22">
              <w:t>NVO</w:t>
            </w:r>
            <w:r w:rsidRPr="00F779E1">
              <w:t>.</w:t>
            </w:r>
          </w:p>
        </w:tc>
      </w:tr>
      <w:tr w:rsidR="008F2421" w:rsidRPr="008F2421" w14:paraId="6818F5D8" w14:textId="77777777" w:rsidTr="001F3FBF">
        <w:trPr>
          <w:cantSplit/>
        </w:trPr>
        <w:tc>
          <w:tcPr>
            <w:tcW w:w="306" w:type="pct"/>
            <w:hideMark/>
          </w:tcPr>
          <w:p w14:paraId="11B5208E" w14:textId="77777777" w:rsidR="00BD5588" w:rsidRPr="008F2421" w:rsidRDefault="00BD5588" w:rsidP="008F2421">
            <w:pPr>
              <w:jc w:val="center"/>
            </w:pPr>
            <w:r w:rsidRPr="008F2421">
              <w:t>4.</w:t>
            </w:r>
          </w:p>
        </w:tc>
        <w:tc>
          <w:tcPr>
            <w:tcW w:w="1455" w:type="pct"/>
            <w:hideMark/>
          </w:tcPr>
          <w:p w14:paraId="6CAE9AE9" w14:textId="77777777" w:rsidR="00BD5588" w:rsidRPr="008F2421" w:rsidRDefault="00BD5588" w:rsidP="008F2421">
            <w:r w:rsidRPr="008F2421">
              <w:t>Cita informācija</w:t>
            </w:r>
          </w:p>
        </w:tc>
        <w:tc>
          <w:tcPr>
            <w:tcW w:w="3239" w:type="pct"/>
            <w:hideMark/>
          </w:tcPr>
          <w:p w14:paraId="0179C6BF" w14:textId="77777777" w:rsidR="00CA1C11" w:rsidRPr="008F2421" w:rsidRDefault="00CA1C11">
            <w:pPr>
              <w:jc w:val="both"/>
            </w:pPr>
            <w:r w:rsidRPr="008F2421">
              <w:t xml:space="preserve">Korekcijas dienestu darbinieku Mācību centrs, ko paredzēts būvēt programmas ietvaros, būs valstiskas nozīmes apmācību iestāde. Tajā mācīsies korekcijas dienestu darbinieki no visiem Latvijas reģioniem. Jaunā Mācību centra ietvaros būs iespējams nodrošināt nakšņošanas iespējas studentiem no attālākiem Latvijas reģioniem, tādā veidā papildus uzlabojot apmācību pieejamību. </w:t>
            </w:r>
          </w:p>
          <w:p w14:paraId="37CA48A8" w14:textId="77777777" w:rsidR="0052081A" w:rsidRDefault="00CA1C11">
            <w:pPr>
              <w:jc w:val="both"/>
            </w:pPr>
            <w:r w:rsidRPr="008F2421">
              <w:t xml:space="preserve">2018. gada 7. martā </w:t>
            </w:r>
            <w:r w:rsidR="00E874FB">
              <w:t>programmas apsaimniekotājs</w:t>
            </w:r>
            <w:r w:rsidRPr="008F2421">
              <w:t xml:space="preserve"> atbilstoši Finanšu instrumenta biroja norādēm organizēja iesaistīto pušu sanāksmi, kurā aicināja piedalīties arī pārstāvjus no NVO Latvijā. Līdz ar to programmas koncepcijas izstrādes laikā tika nodrošināta NVO sektora iesaiste un pārstāvniecība no tām NVO, kas bija ieinteresētas sniegt savu ieguldījumu programmas koncepcijas sagatavošanā. Programmas īstenošanā piedalīsies NVO no donorvalsts "Norvēģijas Sarkanais Krusts" kā iepriekš noteiktā projekta partneris, un tiks piedāvāta sadarbība kādai no Latvijas NVO</w:t>
            </w:r>
            <w:r w:rsidRPr="003366CA">
              <w:t>.</w:t>
            </w:r>
          </w:p>
          <w:p w14:paraId="66522282" w14:textId="77777777" w:rsidR="00C56CC6" w:rsidRDefault="003F4EB3">
            <w:pPr>
              <w:jc w:val="both"/>
            </w:pPr>
            <w:r>
              <w:t xml:space="preserve">Jau šobrīd notiek </w:t>
            </w:r>
            <w:r w:rsidR="0052081A">
              <w:t xml:space="preserve">Latvijas korekcijas dienestu </w:t>
            </w:r>
            <w:r>
              <w:t>sadarbība ar dažādām NVO, kas sniedz atbalstu ieslodzītajiem</w:t>
            </w:r>
            <w:r w:rsidR="0052081A">
              <w:t xml:space="preserve"> un bijušajiem ieslodzītajiem</w:t>
            </w:r>
            <w:r>
              <w:t xml:space="preserve">. Tomēr, visai bieži palīdzības apjoms </w:t>
            </w:r>
            <w:r w:rsidR="00B06F79">
              <w:t>tiek sniegts</w:t>
            </w:r>
            <w:r>
              <w:t xml:space="preserve"> šaurā profilā, tas nav visaptverošs un pilnīgs, tādēļ programmas īstenošanā tiks aicinātas </w:t>
            </w:r>
            <w:r w:rsidR="00C56CC6">
              <w:t xml:space="preserve">piedalīties </w:t>
            </w:r>
            <w:r>
              <w:t>NVO, ka</w:t>
            </w:r>
            <w:r w:rsidR="0052081A">
              <w:t>m ir pieredze darbā ar attiecīgo mērķa grupu</w:t>
            </w:r>
            <w:r>
              <w:t>.</w:t>
            </w:r>
            <w:r w:rsidR="0052081A">
              <w:t xml:space="preserve"> </w:t>
            </w:r>
            <w:r>
              <w:t xml:space="preserve">Šīs NVO nebūs projekta partneri atšķirībā no </w:t>
            </w:r>
            <w:r w:rsidRPr="008F2421">
              <w:t>"Norvēģijas Sarkan</w:t>
            </w:r>
            <w:r>
              <w:t>ā</w:t>
            </w:r>
            <w:r w:rsidRPr="008F2421">
              <w:t xml:space="preserve"> Krust</w:t>
            </w:r>
            <w:r>
              <w:t>a</w:t>
            </w:r>
            <w:r w:rsidRPr="008F2421">
              <w:t>"</w:t>
            </w:r>
            <w:r w:rsidR="0052081A">
              <w:t>, kur</w:t>
            </w:r>
            <w:r w:rsidR="00C56CC6">
              <w:t>am</w:t>
            </w:r>
            <w:r w:rsidR="0052081A">
              <w:t xml:space="preserve"> </w:t>
            </w:r>
            <w:r w:rsidR="00C56CC6">
              <w:t>ir</w:t>
            </w:r>
            <w:r w:rsidR="0052081A">
              <w:t xml:space="preserve"> </w:t>
            </w:r>
            <w:r w:rsidR="00C56CC6">
              <w:t>ilgtermiņa</w:t>
            </w:r>
            <w:r w:rsidR="0052081A">
              <w:t xml:space="preserve"> pieredze ar attiecīgo mērķa grupu</w:t>
            </w:r>
            <w:r w:rsidR="00C56CC6">
              <w:t xml:space="preserve"> un labā prakse, kas var izrādīties interesanta Latvijas NVO</w:t>
            </w:r>
            <w:r w:rsidR="00A80418">
              <w:t xml:space="preserve">. </w:t>
            </w:r>
            <w:r w:rsidR="00C56CC6" w:rsidRPr="003366CA">
              <w:t>Konkrētāk</w:t>
            </w:r>
            <w:r w:rsidR="00C56CC6">
              <w:t>s</w:t>
            </w:r>
            <w:r w:rsidR="00C56CC6" w:rsidRPr="003366CA">
              <w:t xml:space="preserve"> sadarbības </w:t>
            </w:r>
            <w:r w:rsidR="00C56CC6">
              <w:t xml:space="preserve">saturs, </w:t>
            </w:r>
            <w:r w:rsidR="00C56CC6" w:rsidRPr="003366CA">
              <w:t xml:space="preserve">virzieni un formas ar NVO tiks apspriesti pēc projekta līguma noslēgšanas (provizoriski 2019. gada vidū). </w:t>
            </w:r>
          </w:p>
          <w:p w14:paraId="7802B37C" w14:textId="77777777" w:rsidR="00BD5588" w:rsidRDefault="00CB03DD">
            <w:pPr>
              <w:jc w:val="both"/>
            </w:pPr>
            <w:r>
              <w:t xml:space="preserve">NVO projektā un pēc tā noslēgšanās veiktās darbības nebūs uzskatāmas par </w:t>
            </w:r>
            <w:r w:rsidRPr="00CC7B1A">
              <w:t>saimniecisko darbību, NVO pārstāvji projekta laikā negūs atlīdzību</w:t>
            </w:r>
            <w:r w:rsidR="00B06F79" w:rsidRPr="00CC7B1A">
              <w:t>, kā arī</w:t>
            </w:r>
            <w:r w:rsidRPr="00CC7B1A">
              <w:t xml:space="preserve"> projektā iegūtās zināšanas </w:t>
            </w:r>
            <w:r w:rsidR="00C56CC6" w:rsidRPr="00CC7B1A">
              <w:t xml:space="preserve">neradīs NVO pārstāvjiem iespēju gūt atlīdzību </w:t>
            </w:r>
            <w:r w:rsidRPr="00CC7B1A">
              <w:t>pēc projekta beigām</w:t>
            </w:r>
            <w:r w:rsidR="00CC7B1A" w:rsidRPr="00CC7B1A">
              <w:t>, jo tiesības turpināt strādāt</w:t>
            </w:r>
            <w:r w:rsidR="00CC7B1A" w:rsidRPr="001275AC">
              <w:t xml:space="preserve"> ar projektā sagatavoto apmācību saturu un to izplatīt paliks tikai IeVP kompetencē un piekritībā. </w:t>
            </w:r>
          </w:p>
          <w:p w14:paraId="1AAC8938" w14:textId="77777777" w:rsidR="00E874FB" w:rsidRPr="008F2421" w:rsidRDefault="00F45147">
            <w:pPr>
              <w:jc w:val="both"/>
            </w:pPr>
            <w:r w:rsidRPr="00F45147">
              <w:t xml:space="preserve">Programmas apsaimniekotājs sagatavojis programmas koncepciju </w:t>
            </w:r>
            <w:r w:rsidRPr="00C525EB">
              <w:t>saskaņā ar Ministru kabineta 2018. gada 13. marta protokollēmuma Nr.15 30.</w:t>
            </w:r>
            <w:bookmarkStart w:id="4" w:name="30"/>
            <w:r w:rsidRPr="00C525EB">
              <w:t>§</w:t>
            </w:r>
            <w:bookmarkEnd w:id="4"/>
            <w:r w:rsidRPr="00C525EB">
              <w:t xml:space="preserve"> 7.1.apakšpunktā ietvertā uzdevuma </w:t>
            </w:r>
            <w:r w:rsidRPr="004F2A66">
              <w:t xml:space="preserve">izpildi, kas paredz, izstrādājot Eiropas Ekonomikas zonas finanšu instrumenta un Norvēģijas </w:t>
            </w:r>
            <w:r w:rsidRPr="00FA7A22">
              <w:t>finanšu instrumenta 2014.–2021. gada perioda programmu koncepciju projektus, iekļaut analīzi un priekšlikumus</w:t>
            </w:r>
            <w:r w:rsidR="00C525EB" w:rsidRPr="00FA7A22">
              <w:t xml:space="preserve"> par</w:t>
            </w:r>
            <w:r w:rsidRPr="00FA7A22">
              <w:t xml:space="preserve"> nevalstisko organizāciju iespējām iesaistīties un</w:t>
            </w:r>
            <w:r w:rsidR="00C525EB" w:rsidRPr="00FA7A22">
              <w:t xml:space="preserve"> par</w:t>
            </w:r>
            <w:r w:rsidRPr="00FA7A22">
              <w:t xml:space="preserve"> finansējuma pieejamīb</w:t>
            </w:r>
            <w:r w:rsidR="00C525EB" w:rsidRPr="00FA7A22">
              <w:t>u</w:t>
            </w:r>
            <w:r w:rsidRPr="00FA7A22">
              <w:t xml:space="preserve"> programmu īstenošanas posmā, kā arī par programmu reģionālo tvērumu.</w:t>
            </w:r>
          </w:p>
        </w:tc>
      </w:tr>
    </w:tbl>
    <w:p w14:paraId="209C4AC5" w14:textId="77777777" w:rsidR="00BD5588" w:rsidRPr="008F2421" w:rsidRDefault="00BD5588" w:rsidP="000B2DD8">
      <w:pPr>
        <w:pStyle w:val="Nosaukums"/>
        <w:ind w:firstLine="539"/>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966"/>
      </w:tblGrid>
      <w:tr w:rsidR="008F2421" w:rsidRPr="008F2421" w14:paraId="71D43F6C" w14:textId="77777777" w:rsidTr="001F3FBF">
        <w:trPr>
          <w:cantSplit/>
        </w:trPr>
        <w:tc>
          <w:tcPr>
            <w:tcW w:w="5000" w:type="pct"/>
            <w:gridSpan w:val="3"/>
            <w:vAlign w:val="center"/>
            <w:hideMark/>
          </w:tcPr>
          <w:p w14:paraId="26ED1F3D" w14:textId="77777777" w:rsidR="00BD5588" w:rsidRPr="008F2421" w:rsidRDefault="00BD5588" w:rsidP="008F2421">
            <w:pPr>
              <w:jc w:val="center"/>
              <w:rPr>
                <w:b/>
                <w:bCs/>
              </w:rPr>
            </w:pPr>
            <w:r w:rsidRPr="008F2421">
              <w:rPr>
                <w:b/>
                <w:bCs/>
              </w:rPr>
              <w:t>II. Tiesību akta projekta ietekme uz sabiedrību, tautsaimniecības attīstību un administratīvo slogu</w:t>
            </w:r>
          </w:p>
        </w:tc>
      </w:tr>
      <w:tr w:rsidR="008F2421" w:rsidRPr="008F2421" w14:paraId="77DBFEB5" w14:textId="77777777" w:rsidTr="001F3FBF">
        <w:trPr>
          <w:cantSplit/>
        </w:trPr>
        <w:tc>
          <w:tcPr>
            <w:tcW w:w="306" w:type="pct"/>
            <w:hideMark/>
          </w:tcPr>
          <w:p w14:paraId="76921162" w14:textId="77777777" w:rsidR="00BD5588" w:rsidRPr="008F2421" w:rsidRDefault="00BD5588" w:rsidP="008F2421">
            <w:r w:rsidRPr="008F2421">
              <w:t>1.</w:t>
            </w:r>
          </w:p>
        </w:tc>
        <w:tc>
          <w:tcPr>
            <w:tcW w:w="1455" w:type="pct"/>
            <w:hideMark/>
          </w:tcPr>
          <w:p w14:paraId="5CB1E63E" w14:textId="77777777" w:rsidR="00BD5588" w:rsidRPr="008F2421" w:rsidRDefault="00BD5588" w:rsidP="008F2421">
            <w:r w:rsidRPr="008F2421">
              <w:t>Sabiedrības mērķgrupas, kuras tiesiskais regulējums ietekmē vai varētu ietekmēt</w:t>
            </w:r>
          </w:p>
        </w:tc>
        <w:tc>
          <w:tcPr>
            <w:tcW w:w="3239" w:type="pct"/>
            <w:hideMark/>
          </w:tcPr>
          <w:p w14:paraId="2FDACC4A" w14:textId="77777777" w:rsidR="00BD5588" w:rsidRPr="008F2421" w:rsidRDefault="00CA1C11">
            <w:pPr>
              <w:jc w:val="both"/>
            </w:pPr>
            <w:r w:rsidRPr="008F2421">
              <w:t xml:space="preserve">Finansējuma saņēmējs, </w:t>
            </w:r>
            <w:r w:rsidR="008F2421" w:rsidRPr="008F2421">
              <w:t>IeVP</w:t>
            </w:r>
            <w:r w:rsidR="000B2DD8">
              <w:t xml:space="preserve"> </w:t>
            </w:r>
            <w:r w:rsidRPr="008F2421">
              <w:t xml:space="preserve">un </w:t>
            </w:r>
            <w:r w:rsidR="008F2421" w:rsidRPr="008F2421">
              <w:t>VPD</w:t>
            </w:r>
            <w:r w:rsidRPr="008F2421">
              <w:t xml:space="preserve"> speciālisti, ieslodzījuma vietu un probācijas klienti.</w:t>
            </w:r>
          </w:p>
        </w:tc>
      </w:tr>
      <w:tr w:rsidR="008F2421" w:rsidRPr="008F2421" w14:paraId="668238C5" w14:textId="77777777" w:rsidTr="001F3FBF">
        <w:trPr>
          <w:cantSplit/>
        </w:trPr>
        <w:tc>
          <w:tcPr>
            <w:tcW w:w="306" w:type="pct"/>
            <w:hideMark/>
          </w:tcPr>
          <w:p w14:paraId="4DC75F10" w14:textId="77777777" w:rsidR="00BD5588" w:rsidRPr="008F2421" w:rsidRDefault="00BD5588" w:rsidP="008F2421">
            <w:r w:rsidRPr="008F2421">
              <w:t>2.</w:t>
            </w:r>
          </w:p>
        </w:tc>
        <w:tc>
          <w:tcPr>
            <w:tcW w:w="1455" w:type="pct"/>
            <w:hideMark/>
          </w:tcPr>
          <w:p w14:paraId="7496C5A5" w14:textId="77777777" w:rsidR="00BD5588" w:rsidRPr="008F2421" w:rsidRDefault="00BD5588" w:rsidP="008F2421">
            <w:r w:rsidRPr="008F2421">
              <w:t>Tiesiskā regulējuma ietekme uz tautsaimniecību un administratīvo slogu</w:t>
            </w:r>
          </w:p>
        </w:tc>
        <w:tc>
          <w:tcPr>
            <w:tcW w:w="3239" w:type="pct"/>
            <w:hideMark/>
          </w:tcPr>
          <w:p w14:paraId="57294D2A" w14:textId="77777777" w:rsidR="00BD5588" w:rsidRPr="008F2421" w:rsidRDefault="00CA1C11">
            <w:pPr>
              <w:jc w:val="both"/>
            </w:pPr>
            <w:r w:rsidRPr="008F2421">
              <w:t>Kopumā sabiedrības grupām un institūcijām projekta tiesiskais regulējums nemaina tiesības un pienākumus, kā arī veicamās darbības.</w:t>
            </w:r>
          </w:p>
        </w:tc>
      </w:tr>
      <w:tr w:rsidR="008F2421" w:rsidRPr="008F2421" w14:paraId="09F66F79" w14:textId="77777777" w:rsidTr="001F3FBF">
        <w:trPr>
          <w:cantSplit/>
        </w:trPr>
        <w:tc>
          <w:tcPr>
            <w:tcW w:w="306" w:type="pct"/>
            <w:hideMark/>
          </w:tcPr>
          <w:p w14:paraId="2CC8C8B7" w14:textId="77777777" w:rsidR="00BD5588" w:rsidRPr="008F2421" w:rsidRDefault="00BD5588" w:rsidP="008F2421">
            <w:r w:rsidRPr="008F2421">
              <w:t>3.</w:t>
            </w:r>
          </w:p>
        </w:tc>
        <w:tc>
          <w:tcPr>
            <w:tcW w:w="1455" w:type="pct"/>
            <w:hideMark/>
          </w:tcPr>
          <w:p w14:paraId="2DC8E495" w14:textId="77777777" w:rsidR="00BD5588" w:rsidRPr="008F2421" w:rsidRDefault="00BD5588" w:rsidP="008F2421">
            <w:r w:rsidRPr="008F2421">
              <w:t>Administratīvo izmaksu monetārs novērtējums</w:t>
            </w:r>
          </w:p>
        </w:tc>
        <w:tc>
          <w:tcPr>
            <w:tcW w:w="3239" w:type="pct"/>
            <w:hideMark/>
          </w:tcPr>
          <w:p w14:paraId="0EF5E247" w14:textId="77777777" w:rsidR="00BD5588" w:rsidRPr="00B37E66" w:rsidRDefault="00B37E66" w:rsidP="00B37E66">
            <w:pPr>
              <w:jc w:val="both"/>
            </w:pPr>
            <w:r w:rsidRPr="008A6DE4">
              <w:t>No projektā ietvertā regulējuma jaunas administratīvās izmaksas neveidosies.</w:t>
            </w:r>
          </w:p>
        </w:tc>
      </w:tr>
      <w:tr w:rsidR="008F2421" w:rsidRPr="008F2421" w14:paraId="0E255A2D" w14:textId="77777777" w:rsidTr="001F3FBF">
        <w:trPr>
          <w:cantSplit/>
        </w:trPr>
        <w:tc>
          <w:tcPr>
            <w:tcW w:w="306" w:type="pct"/>
            <w:hideMark/>
          </w:tcPr>
          <w:p w14:paraId="4E1F38D7" w14:textId="77777777" w:rsidR="00BD5588" w:rsidRPr="008F2421" w:rsidRDefault="00BD5588" w:rsidP="008F2421">
            <w:r w:rsidRPr="008F2421">
              <w:t>4.</w:t>
            </w:r>
          </w:p>
        </w:tc>
        <w:tc>
          <w:tcPr>
            <w:tcW w:w="1455" w:type="pct"/>
            <w:hideMark/>
          </w:tcPr>
          <w:p w14:paraId="1ED47FAD" w14:textId="77777777" w:rsidR="00BD5588" w:rsidRPr="008F2421" w:rsidRDefault="00BD5588" w:rsidP="008F2421">
            <w:r w:rsidRPr="008F2421">
              <w:t>Atbilstības izmaksu monetārs novērtējums</w:t>
            </w:r>
          </w:p>
        </w:tc>
        <w:tc>
          <w:tcPr>
            <w:tcW w:w="3239" w:type="pct"/>
            <w:hideMark/>
          </w:tcPr>
          <w:p w14:paraId="5932D515" w14:textId="77777777" w:rsidR="00BD5588" w:rsidRPr="00B37E66" w:rsidRDefault="00B37E66" w:rsidP="00B37E66">
            <w:pPr>
              <w:jc w:val="both"/>
            </w:pPr>
            <w:r w:rsidRPr="008A6DE4">
              <w:t xml:space="preserve">No projektā ietvertā regulējuma jaunas </w:t>
            </w:r>
            <w:r>
              <w:t>atbilstības</w:t>
            </w:r>
            <w:r w:rsidRPr="008A6DE4">
              <w:t xml:space="preserve"> izmaksas neveidosies.</w:t>
            </w:r>
          </w:p>
        </w:tc>
      </w:tr>
      <w:tr w:rsidR="008F2421" w:rsidRPr="008F2421" w14:paraId="14E1ADAD" w14:textId="77777777" w:rsidTr="001F3FBF">
        <w:trPr>
          <w:cantSplit/>
        </w:trPr>
        <w:tc>
          <w:tcPr>
            <w:tcW w:w="306" w:type="pct"/>
            <w:hideMark/>
          </w:tcPr>
          <w:p w14:paraId="4A013821" w14:textId="77777777" w:rsidR="00BD5588" w:rsidRPr="008F2421" w:rsidRDefault="00BD5588" w:rsidP="008F2421">
            <w:r w:rsidRPr="008F2421">
              <w:t>5.</w:t>
            </w:r>
          </w:p>
        </w:tc>
        <w:tc>
          <w:tcPr>
            <w:tcW w:w="1455" w:type="pct"/>
            <w:hideMark/>
          </w:tcPr>
          <w:p w14:paraId="2BD32447" w14:textId="77777777" w:rsidR="00BD5588" w:rsidRPr="008F2421" w:rsidRDefault="00BD5588" w:rsidP="008F2421">
            <w:r w:rsidRPr="008F2421">
              <w:t>Cita informācija</w:t>
            </w:r>
          </w:p>
        </w:tc>
        <w:tc>
          <w:tcPr>
            <w:tcW w:w="3239" w:type="pct"/>
            <w:hideMark/>
          </w:tcPr>
          <w:p w14:paraId="5E238CE9" w14:textId="77777777" w:rsidR="00BD5588" w:rsidRPr="008F2421" w:rsidRDefault="00CA1C11">
            <w:pPr>
              <w:jc w:val="both"/>
            </w:pPr>
            <w:r w:rsidRPr="008F2421">
              <w:t>Nav.</w:t>
            </w:r>
          </w:p>
        </w:tc>
      </w:tr>
    </w:tbl>
    <w:p w14:paraId="30D06FF5" w14:textId="77777777" w:rsidR="00BD5588" w:rsidRPr="008F2421" w:rsidRDefault="00BD5588" w:rsidP="000B2DD8">
      <w:pPr>
        <w:pStyle w:val="Nosaukums"/>
        <w:ind w:firstLine="539"/>
        <w:jc w:val="left"/>
        <w:rPr>
          <w:sz w:val="24"/>
          <w:szCs w:val="24"/>
        </w:rPr>
      </w:pPr>
    </w:p>
    <w:tbl>
      <w:tblPr>
        <w:tblW w:w="508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5"/>
        <w:gridCol w:w="928"/>
        <w:gridCol w:w="1239"/>
        <w:gridCol w:w="774"/>
        <w:gridCol w:w="1085"/>
        <w:gridCol w:w="773"/>
        <w:gridCol w:w="1239"/>
        <w:gridCol w:w="1008"/>
      </w:tblGrid>
      <w:tr w:rsidR="008F2421" w:rsidRPr="008F2421" w14:paraId="5EA161B5" w14:textId="77777777" w:rsidTr="00C525EB">
        <w:tc>
          <w:tcPr>
            <w:tcW w:w="9211" w:type="dxa"/>
            <w:gridSpan w:val="8"/>
            <w:shd w:val="clear" w:color="auto" w:fill="auto"/>
            <w:vAlign w:val="center"/>
            <w:hideMark/>
          </w:tcPr>
          <w:p w14:paraId="4763E6FD" w14:textId="77777777" w:rsidR="00AD5F28" w:rsidRPr="008F2421" w:rsidRDefault="00AD5F28" w:rsidP="008F2421">
            <w:pPr>
              <w:jc w:val="center"/>
              <w:rPr>
                <w:b/>
                <w:bCs/>
                <w:lang w:eastAsia="en-US"/>
              </w:rPr>
            </w:pPr>
            <w:bookmarkStart w:id="5" w:name="_Hlk514177966"/>
            <w:r w:rsidRPr="008F2421">
              <w:rPr>
                <w:b/>
                <w:bCs/>
                <w:lang w:eastAsia="en-US"/>
              </w:rPr>
              <w:t>III. Tiesību akta projekta ietekme uz valsts budžetu un pašvaldību budžetiem</w:t>
            </w:r>
          </w:p>
        </w:tc>
      </w:tr>
      <w:tr w:rsidR="008F2421" w:rsidRPr="008F2421" w14:paraId="49567C22" w14:textId="77777777" w:rsidTr="00C525EB">
        <w:tc>
          <w:tcPr>
            <w:tcW w:w="2165" w:type="dxa"/>
            <w:vMerge w:val="restart"/>
            <w:shd w:val="clear" w:color="auto" w:fill="FFFFFF"/>
            <w:vAlign w:val="center"/>
          </w:tcPr>
          <w:p w14:paraId="702E48DF" w14:textId="77777777" w:rsidR="00AD5F28" w:rsidRPr="008F2421" w:rsidRDefault="00AD5F28" w:rsidP="008F2421">
            <w:pPr>
              <w:jc w:val="center"/>
              <w:rPr>
                <w:bCs/>
                <w:lang w:eastAsia="en-US"/>
              </w:rPr>
            </w:pPr>
            <w:r w:rsidRPr="008F2421">
              <w:rPr>
                <w:bCs/>
                <w:lang w:eastAsia="en-US"/>
              </w:rPr>
              <w:t>Rādītāji</w:t>
            </w:r>
          </w:p>
          <w:p w14:paraId="3AAE9756" w14:textId="77777777" w:rsidR="00B37E66" w:rsidRDefault="00B37E66" w:rsidP="008F2421">
            <w:pPr>
              <w:jc w:val="center"/>
              <w:rPr>
                <w:bCs/>
                <w:lang w:eastAsia="en-US"/>
              </w:rPr>
            </w:pPr>
          </w:p>
          <w:p w14:paraId="56F08FB0" w14:textId="77777777" w:rsidR="00B37E66" w:rsidRPr="00B37E66" w:rsidRDefault="00B37E66" w:rsidP="000B2DD8">
            <w:pPr>
              <w:rPr>
                <w:lang w:eastAsia="en-US"/>
              </w:rPr>
            </w:pPr>
          </w:p>
          <w:p w14:paraId="65C53DC9" w14:textId="77777777" w:rsidR="00B37E66" w:rsidRPr="0047762C" w:rsidRDefault="00B37E66" w:rsidP="000B2DD8">
            <w:pPr>
              <w:rPr>
                <w:lang w:eastAsia="en-US"/>
              </w:rPr>
            </w:pPr>
          </w:p>
          <w:p w14:paraId="5AE0229B" w14:textId="77777777" w:rsidR="00B37E66" w:rsidRPr="0047762C" w:rsidRDefault="00B37E66" w:rsidP="000B2DD8">
            <w:pPr>
              <w:rPr>
                <w:lang w:eastAsia="en-US"/>
              </w:rPr>
            </w:pPr>
          </w:p>
          <w:p w14:paraId="639C854C" w14:textId="77777777" w:rsidR="00B37E66" w:rsidRPr="0047762C" w:rsidRDefault="00B37E66" w:rsidP="000B2DD8">
            <w:pPr>
              <w:rPr>
                <w:lang w:eastAsia="en-US"/>
              </w:rPr>
            </w:pPr>
          </w:p>
          <w:p w14:paraId="06B2B185" w14:textId="77777777" w:rsidR="00B37E66" w:rsidRPr="00001410" w:rsidRDefault="00B37E66" w:rsidP="000B2DD8">
            <w:pPr>
              <w:rPr>
                <w:lang w:eastAsia="en-US"/>
              </w:rPr>
            </w:pPr>
          </w:p>
          <w:p w14:paraId="1050E6EE" w14:textId="77777777" w:rsidR="00B37E66" w:rsidRPr="00B37E66" w:rsidRDefault="00B37E66" w:rsidP="000B2DD8">
            <w:pPr>
              <w:rPr>
                <w:lang w:eastAsia="en-US"/>
              </w:rPr>
            </w:pPr>
          </w:p>
          <w:p w14:paraId="0AB7E100" w14:textId="77777777" w:rsidR="00B37E66" w:rsidRPr="0047762C" w:rsidRDefault="00B37E66" w:rsidP="000B2DD8">
            <w:pPr>
              <w:rPr>
                <w:lang w:eastAsia="en-US"/>
              </w:rPr>
            </w:pPr>
          </w:p>
          <w:p w14:paraId="4B3F7ABE" w14:textId="77777777" w:rsidR="00B37E66" w:rsidRPr="0047762C" w:rsidRDefault="00B37E66" w:rsidP="000B2DD8">
            <w:pPr>
              <w:rPr>
                <w:lang w:eastAsia="en-US"/>
              </w:rPr>
            </w:pPr>
          </w:p>
          <w:p w14:paraId="5D549846" w14:textId="77777777" w:rsidR="00B37E66" w:rsidRPr="0047762C" w:rsidRDefault="00B37E66" w:rsidP="000B2DD8">
            <w:pPr>
              <w:rPr>
                <w:lang w:eastAsia="en-US"/>
              </w:rPr>
            </w:pPr>
          </w:p>
          <w:p w14:paraId="116299B0" w14:textId="77777777" w:rsidR="00AD5F28" w:rsidRPr="00001410" w:rsidRDefault="00AD5F28" w:rsidP="000B2DD8">
            <w:pPr>
              <w:rPr>
                <w:lang w:eastAsia="en-US"/>
              </w:rPr>
            </w:pPr>
          </w:p>
        </w:tc>
        <w:tc>
          <w:tcPr>
            <w:tcW w:w="2167" w:type="dxa"/>
            <w:gridSpan w:val="2"/>
            <w:vMerge w:val="restart"/>
            <w:shd w:val="clear" w:color="auto" w:fill="FFFFFF"/>
            <w:vAlign w:val="center"/>
            <w:hideMark/>
          </w:tcPr>
          <w:p w14:paraId="0EAEA9C4" w14:textId="77777777" w:rsidR="00AD5F28" w:rsidRPr="008F2421" w:rsidRDefault="00AD5F28" w:rsidP="008F2421">
            <w:pPr>
              <w:jc w:val="center"/>
              <w:rPr>
                <w:bCs/>
                <w:lang w:eastAsia="en-US"/>
              </w:rPr>
            </w:pPr>
            <w:r w:rsidRPr="008F2421">
              <w:rPr>
                <w:bCs/>
                <w:lang w:eastAsia="en-US"/>
              </w:rPr>
              <w:t>2018. gads</w:t>
            </w:r>
          </w:p>
        </w:tc>
        <w:tc>
          <w:tcPr>
            <w:tcW w:w="4879" w:type="dxa"/>
            <w:gridSpan w:val="5"/>
            <w:shd w:val="clear" w:color="auto" w:fill="FFFFFF"/>
            <w:vAlign w:val="center"/>
            <w:hideMark/>
          </w:tcPr>
          <w:p w14:paraId="5DB379DA" w14:textId="77777777" w:rsidR="00AD5F28" w:rsidRPr="008F2421" w:rsidRDefault="00AD5F28" w:rsidP="008F2421">
            <w:pPr>
              <w:jc w:val="center"/>
              <w:rPr>
                <w:lang w:eastAsia="en-US"/>
              </w:rPr>
            </w:pPr>
            <w:r w:rsidRPr="008F2421">
              <w:rPr>
                <w:lang w:eastAsia="en-US"/>
              </w:rPr>
              <w:t>Turpmākie trīs gadi (</w:t>
            </w:r>
            <w:proofErr w:type="spellStart"/>
            <w:r w:rsidRPr="008F2421">
              <w:rPr>
                <w:i/>
                <w:iCs/>
                <w:lang w:eastAsia="en-US"/>
              </w:rPr>
              <w:t>euro</w:t>
            </w:r>
            <w:proofErr w:type="spellEnd"/>
            <w:r w:rsidRPr="008F2421">
              <w:rPr>
                <w:lang w:eastAsia="en-US"/>
              </w:rPr>
              <w:t>)</w:t>
            </w:r>
          </w:p>
        </w:tc>
      </w:tr>
      <w:tr w:rsidR="008F2421" w:rsidRPr="008F2421" w14:paraId="215E4774" w14:textId="77777777" w:rsidTr="00C525EB">
        <w:tc>
          <w:tcPr>
            <w:tcW w:w="2165" w:type="dxa"/>
            <w:vMerge/>
            <w:shd w:val="clear" w:color="auto" w:fill="auto"/>
            <w:vAlign w:val="center"/>
            <w:hideMark/>
          </w:tcPr>
          <w:p w14:paraId="15E4F953" w14:textId="77777777" w:rsidR="00AD5F28" w:rsidRPr="008F2421" w:rsidRDefault="00AD5F28">
            <w:pPr>
              <w:jc w:val="center"/>
              <w:rPr>
                <w:bCs/>
                <w:lang w:eastAsia="en-US"/>
              </w:rPr>
            </w:pPr>
          </w:p>
        </w:tc>
        <w:tc>
          <w:tcPr>
            <w:tcW w:w="2167" w:type="dxa"/>
            <w:gridSpan w:val="2"/>
            <w:vMerge/>
            <w:shd w:val="clear" w:color="auto" w:fill="auto"/>
            <w:vAlign w:val="center"/>
            <w:hideMark/>
          </w:tcPr>
          <w:p w14:paraId="0C3D97E2" w14:textId="77777777" w:rsidR="00AD5F28" w:rsidRPr="008F2421" w:rsidRDefault="00AD5F28">
            <w:pPr>
              <w:jc w:val="center"/>
              <w:rPr>
                <w:bCs/>
                <w:lang w:eastAsia="en-US"/>
              </w:rPr>
            </w:pPr>
          </w:p>
        </w:tc>
        <w:tc>
          <w:tcPr>
            <w:tcW w:w="1859" w:type="dxa"/>
            <w:gridSpan w:val="2"/>
            <w:shd w:val="clear" w:color="auto" w:fill="FFFFFF"/>
            <w:vAlign w:val="center"/>
            <w:hideMark/>
          </w:tcPr>
          <w:p w14:paraId="31F86B74" w14:textId="77777777" w:rsidR="00AD5F28" w:rsidRPr="008F2421" w:rsidRDefault="00AD5F28">
            <w:pPr>
              <w:jc w:val="center"/>
              <w:rPr>
                <w:bCs/>
                <w:lang w:eastAsia="en-US"/>
              </w:rPr>
            </w:pPr>
            <w:r w:rsidRPr="008F2421">
              <w:rPr>
                <w:bCs/>
                <w:lang w:eastAsia="en-US"/>
              </w:rPr>
              <w:t>2019</w:t>
            </w:r>
          </w:p>
        </w:tc>
        <w:tc>
          <w:tcPr>
            <w:tcW w:w="2012" w:type="dxa"/>
            <w:gridSpan w:val="2"/>
            <w:shd w:val="clear" w:color="auto" w:fill="FFFFFF"/>
            <w:vAlign w:val="center"/>
            <w:hideMark/>
          </w:tcPr>
          <w:p w14:paraId="223F1D61" w14:textId="77777777" w:rsidR="00AD5F28" w:rsidRPr="008F2421" w:rsidRDefault="00AD5F28">
            <w:pPr>
              <w:jc w:val="center"/>
              <w:rPr>
                <w:bCs/>
                <w:lang w:eastAsia="en-US"/>
              </w:rPr>
            </w:pPr>
            <w:r w:rsidRPr="008F2421">
              <w:rPr>
                <w:bCs/>
                <w:lang w:eastAsia="en-US"/>
              </w:rPr>
              <w:t>2020</w:t>
            </w:r>
          </w:p>
        </w:tc>
        <w:tc>
          <w:tcPr>
            <w:tcW w:w="1008" w:type="dxa"/>
            <w:shd w:val="clear" w:color="auto" w:fill="FFFFFF"/>
            <w:vAlign w:val="center"/>
            <w:hideMark/>
          </w:tcPr>
          <w:p w14:paraId="6A56DCB7" w14:textId="77777777" w:rsidR="00AD5F28" w:rsidRPr="008F2421" w:rsidRDefault="00AD5F28">
            <w:pPr>
              <w:jc w:val="center"/>
              <w:rPr>
                <w:bCs/>
                <w:lang w:eastAsia="en-US"/>
              </w:rPr>
            </w:pPr>
            <w:r w:rsidRPr="008F2421">
              <w:rPr>
                <w:bCs/>
                <w:lang w:eastAsia="en-US"/>
              </w:rPr>
              <w:t>2021</w:t>
            </w:r>
          </w:p>
        </w:tc>
      </w:tr>
      <w:tr w:rsidR="008F2421" w:rsidRPr="008F2421" w14:paraId="1022D4C9" w14:textId="77777777" w:rsidTr="00C525EB">
        <w:tc>
          <w:tcPr>
            <w:tcW w:w="2165" w:type="dxa"/>
            <w:vMerge/>
            <w:shd w:val="clear" w:color="auto" w:fill="auto"/>
            <w:vAlign w:val="center"/>
            <w:hideMark/>
          </w:tcPr>
          <w:p w14:paraId="38E7E0FE" w14:textId="77777777" w:rsidR="00AD5F28" w:rsidRPr="008F2421" w:rsidRDefault="00AD5F28">
            <w:pPr>
              <w:jc w:val="center"/>
              <w:rPr>
                <w:b/>
                <w:bCs/>
                <w:lang w:eastAsia="en-US"/>
              </w:rPr>
            </w:pPr>
          </w:p>
        </w:tc>
        <w:tc>
          <w:tcPr>
            <w:tcW w:w="928" w:type="dxa"/>
            <w:shd w:val="clear" w:color="auto" w:fill="FFFFFF"/>
            <w:vAlign w:val="center"/>
            <w:hideMark/>
          </w:tcPr>
          <w:p w14:paraId="32AF3E6D" w14:textId="77777777" w:rsidR="00AD5F28" w:rsidRPr="008F2421" w:rsidRDefault="00AD5F28">
            <w:pPr>
              <w:jc w:val="center"/>
              <w:rPr>
                <w:lang w:eastAsia="en-US"/>
              </w:rPr>
            </w:pPr>
            <w:r w:rsidRPr="008F2421">
              <w:rPr>
                <w:lang w:eastAsia="en-US"/>
              </w:rPr>
              <w:t>saskaņā ar valsts budžetu kārtējam gadam</w:t>
            </w:r>
          </w:p>
        </w:tc>
        <w:tc>
          <w:tcPr>
            <w:tcW w:w="1239" w:type="dxa"/>
            <w:shd w:val="clear" w:color="auto" w:fill="FFFFFF"/>
            <w:vAlign w:val="center"/>
            <w:hideMark/>
          </w:tcPr>
          <w:p w14:paraId="07FAA063" w14:textId="77777777" w:rsidR="00AD5F28" w:rsidRPr="008F2421" w:rsidRDefault="00AD5F28">
            <w:pPr>
              <w:jc w:val="center"/>
              <w:rPr>
                <w:lang w:eastAsia="en-US"/>
              </w:rPr>
            </w:pPr>
            <w:r w:rsidRPr="008F2421">
              <w:rPr>
                <w:lang w:eastAsia="en-US"/>
              </w:rPr>
              <w:t>izmaiņas kārtējā gadā, salīdzinot ar valsts budžetu kārtējam gadam</w:t>
            </w:r>
          </w:p>
        </w:tc>
        <w:tc>
          <w:tcPr>
            <w:tcW w:w="774" w:type="dxa"/>
            <w:shd w:val="clear" w:color="auto" w:fill="FFFFFF"/>
            <w:vAlign w:val="center"/>
            <w:hideMark/>
          </w:tcPr>
          <w:p w14:paraId="34E79FB3" w14:textId="77777777" w:rsidR="00AD5F28" w:rsidRPr="008F2421" w:rsidRDefault="00AD5F28">
            <w:pPr>
              <w:jc w:val="center"/>
              <w:rPr>
                <w:lang w:eastAsia="en-US"/>
              </w:rPr>
            </w:pPr>
            <w:r w:rsidRPr="008F2421">
              <w:rPr>
                <w:lang w:eastAsia="en-US"/>
              </w:rPr>
              <w:t>saskaņā ar vidēja termiņa budžeta ietvaru</w:t>
            </w:r>
          </w:p>
        </w:tc>
        <w:tc>
          <w:tcPr>
            <w:tcW w:w="1085" w:type="dxa"/>
            <w:shd w:val="clear" w:color="auto" w:fill="FFFFFF"/>
            <w:vAlign w:val="center"/>
            <w:hideMark/>
          </w:tcPr>
          <w:p w14:paraId="34E67689" w14:textId="77777777" w:rsidR="00AD5F28" w:rsidRPr="008F2421" w:rsidRDefault="00AD5F28">
            <w:pPr>
              <w:jc w:val="center"/>
              <w:rPr>
                <w:lang w:eastAsia="en-US"/>
              </w:rPr>
            </w:pPr>
            <w:r w:rsidRPr="008F2421">
              <w:rPr>
                <w:lang w:eastAsia="en-US"/>
              </w:rPr>
              <w:t>izmaiņas, salīdzinot ar vidēja termiņa budžeta ietvaru 2019. gadam</w:t>
            </w:r>
          </w:p>
        </w:tc>
        <w:tc>
          <w:tcPr>
            <w:tcW w:w="773" w:type="dxa"/>
            <w:shd w:val="clear" w:color="auto" w:fill="FFFFFF"/>
            <w:vAlign w:val="center"/>
            <w:hideMark/>
          </w:tcPr>
          <w:p w14:paraId="085E3DD0" w14:textId="77777777" w:rsidR="00AD5F28" w:rsidRPr="008F2421" w:rsidRDefault="00AD5F28">
            <w:pPr>
              <w:jc w:val="center"/>
              <w:rPr>
                <w:lang w:eastAsia="en-US"/>
              </w:rPr>
            </w:pPr>
            <w:r w:rsidRPr="008F2421">
              <w:rPr>
                <w:lang w:eastAsia="en-US"/>
              </w:rPr>
              <w:t>saskaņā ar vidēja termiņa budžeta ietvaru</w:t>
            </w:r>
          </w:p>
        </w:tc>
        <w:tc>
          <w:tcPr>
            <w:tcW w:w="1239" w:type="dxa"/>
            <w:shd w:val="clear" w:color="auto" w:fill="FFFFFF"/>
            <w:vAlign w:val="center"/>
            <w:hideMark/>
          </w:tcPr>
          <w:p w14:paraId="22761873" w14:textId="77777777" w:rsidR="00AD5F28" w:rsidRPr="008F2421" w:rsidRDefault="00AD5F28">
            <w:pPr>
              <w:jc w:val="center"/>
              <w:rPr>
                <w:lang w:eastAsia="en-US"/>
              </w:rPr>
            </w:pPr>
            <w:r w:rsidRPr="008F2421">
              <w:rPr>
                <w:lang w:eastAsia="en-US"/>
              </w:rPr>
              <w:t>izmaiņas, salīdzinot ar vidēja termiņa budžeta ietvaru 2020. gadam</w:t>
            </w:r>
          </w:p>
        </w:tc>
        <w:tc>
          <w:tcPr>
            <w:tcW w:w="1008" w:type="dxa"/>
            <w:shd w:val="clear" w:color="auto" w:fill="FFFFFF"/>
            <w:vAlign w:val="center"/>
            <w:hideMark/>
          </w:tcPr>
          <w:p w14:paraId="2794BCFC" w14:textId="77777777" w:rsidR="00AD5F28" w:rsidRPr="008F2421" w:rsidRDefault="00AD5F28">
            <w:pPr>
              <w:jc w:val="center"/>
              <w:rPr>
                <w:lang w:eastAsia="en-US"/>
              </w:rPr>
            </w:pPr>
            <w:r w:rsidRPr="008F2421">
              <w:rPr>
                <w:lang w:eastAsia="en-US"/>
              </w:rPr>
              <w:t xml:space="preserve">izmaiņas, salīdzinot ar vidēja termiņa budžeta ietvaru </w:t>
            </w:r>
            <w:r w:rsidRPr="008F2421">
              <w:rPr>
                <w:lang w:eastAsia="en-US"/>
              </w:rPr>
              <w:br/>
              <w:t>2021. gadam</w:t>
            </w:r>
          </w:p>
        </w:tc>
      </w:tr>
      <w:tr w:rsidR="008F2421" w:rsidRPr="008F2421" w14:paraId="3DAE3F0F" w14:textId="77777777" w:rsidTr="00C525EB">
        <w:tc>
          <w:tcPr>
            <w:tcW w:w="2165" w:type="dxa"/>
            <w:shd w:val="clear" w:color="auto" w:fill="FFFFFF"/>
            <w:vAlign w:val="center"/>
            <w:hideMark/>
          </w:tcPr>
          <w:p w14:paraId="2349D034" w14:textId="77777777" w:rsidR="00AD5F28" w:rsidRPr="008F2421" w:rsidRDefault="00AD5F28" w:rsidP="008F2421">
            <w:pPr>
              <w:jc w:val="center"/>
              <w:rPr>
                <w:lang w:eastAsia="en-US"/>
              </w:rPr>
            </w:pPr>
            <w:r w:rsidRPr="008F2421">
              <w:rPr>
                <w:lang w:eastAsia="en-US"/>
              </w:rPr>
              <w:t>1</w:t>
            </w:r>
          </w:p>
        </w:tc>
        <w:tc>
          <w:tcPr>
            <w:tcW w:w="928" w:type="dxa"/>
            <w:shd w:val="clear" w:color="auto" w:fill="FFFFFF"/>
            <w:vAlign w:val="center"/>
            <w:hideMark/>
          </w:tcPr>
          <w:p w14:paraId="61C522AC" w14:textId="77777777" w:rsidR="00AD5F28" w:rsidRPr="008F2421" w:rsidRDefault="00AD5F28" w:rsidP="008F2421">
            <w:pPr>
              <w:jc w:val="center"/>
              <w:rPr>
                <w:lang w:eastAsia="en-US"/>
              </w:rPr>
            </w:pPr>
            <w:r w:rsidRPr="008F2421">
              <w:rPr>
                <w:lang w:eastAsia="en-US"/>
              </w:rPr>
              <w:t>2</w:t>
            </w:r>
          </w:p>
        </w:tc>
        <w:tc>
          <w:tcPr>
            <w:tcW w:w="1239" w:type="dxa"/>
            <w:shd w:val="clear" w:color="auto" w:fill="FFFFFF"/>
            <w:vAlign w:val="center"/>
            <w:hideMark/>
          </w:tcPr>
          <w:p w14:paraId="62CFFAC5" w14:textId="77777777" w:rsidR="00AD5F28" w:rsidRPr="008F2421" w:rsidRDefault="00AD5F28" w:rsidP="008F2421">
            <w:pPr>
              <w:jc w:val="center"/>
              <w:rPr>
                <w:lang w:eastAsia="en-US"/>
              </w:rPr>
            </w:pPr>
            <w:r w:rsidRPr="008F2421">
              <w:rPr>
                <w:lang w:eastAsia="en-US"/>
              </w:rPr>
              <w:t>3</w:t>
            </w:r>
          </w:p>
        </w:tc>
        <w:tc>
          <w:tcPr>
            <w:tcW w:w="774" w:type="dxa"/>
            <w:shd w:val="clear" w:color="auto" w:fill="FFFFFF"/>
            <w:vAlign w:val="center"/>
            <w:hideMark/>
          </w:tcPr>
          <w:p w14:paraId="5FD4530C" w14:textId="77777777" w:rsidR="00AD5F28" w:rsidRPr="008F2421" w:rsidRDefault="00AD5F28" w:rsidP="008F2421">
            <w:pPr>
              <w:jc w:val="center"/>
              <w:rPr>
                <w:lang w:eastAsia="en-US"/>
              </w:rPr>
            </w:pPr>
            <w:r w:rsidRPr="008F2421">
              <w:rPr>
                <w:lang w:eastAsia="en-US"/>
              </w:rPr>
              <w:t>4</w:t>
            </w:r>
          </w:p>
        </w:tc>
        <w:tc>
          <w:tcPr>
            <w:tcW w:w="1085" w:type="dxa"/>
            <w:shd w:val="clear" w:color="auto" w:fill="FFFFFF"/>
            <w:vAlign w:val="center"/>
            <w:hideMark/>
          </w:tcPr>
          <w:p w14:paraId="6F82DA62" w14:textId="77777777" w:rsidR="00AD5F28" w:rsidRPr="008F2421" w:rsidRDefault="00AD5F28">
            <w:pPr>
              <w:jc w:val="center"/>
              <w:rPr>
                <w:lang w:eastAsia="en-US"/>
              </w:rPr>
            </w:pPr>
            <w:r w:rsidRPr="008F2421">
              <w:rPr>
                <w:lang w:eastAsia="en-US"/>
              </w:rPr>
              <w:t>5</w:t>
            </w:r>
          </w:p>
        </w:tc>
        <w:tc>
          <w:tcPr>
            <w:tcW w:w="773" w:type="dxa"/>
            <w:shd w:val="clear" w:color="auto" w:fill="FFFFFF"/>
            <w:vAlign w:val="center"/>
            <w:hideMark/>
          </w:tcPr>
          <w:p w14:paraId="0A00D871" w14:textId="77777777" w:rsidR="00AD5F28" w:rsidRPr="008F2421" w:rsidRDefault="00AD5F28">
            <w:pPr>
              <w:jc w:val="center"/>
              <w:rPr>
                <w:lang w:eastAsia="en-US"/>
              </w:rPr>
            </w:pPr>
            <w:r w:rsidRPr="008F2421">
              <w:rPr>
                <w:lang w:eastAsia="en-US"/>
              </w:rPr>
              <w:t>6</w:t>
            </w:r>
          </w:p>
        </w:tc>
        <w:tc>
          <w:tcPr>
            <w:tcW w:w="1239" w:type="dxa"/>
            <w:shd w:val="clear" w:color="auto" w:fill="FFFFFF"/>
            <w:vAlign w:val="center"/>
            <w:hideMark/>
          </w:tcPr>
          <w:p w14:paraId="5D7C1DD2" w14:textId="77777777" w:rsidR="00AD5F28" w:rsidRPr="008F2421" w:rsidRDefault="00AD5F28">
            <w:pPr>
              <w:jc w:val="center"/>
              <w:rPr>
                <w:lang w:eastAsia="en-US"/>
              </w:rPr>
            </w:pPr>
            <w:r w:rsidRPr="008F2421">
              <w:rPr>
                <w:lang w:eastAsia="en-US"/>
              </w:rPr>
              <w:t>7</w:t>
            </w:r>
          </w:p>
        </w:tc>
        <w:tc>
          <w:tcPr>
            <w:tcW w:w="1008" w:type="dxa"/>
            <w:shd w:val="clear" w:color="auto" w:fill="FFFFFF"/>
            <w:vAlign w:val="center"/>
            <w:hideMark/>
          </w:tcPr>
          <w:p w14:paraId="7D90F905" w14:textId="77777777" w:rsidR="00AD5F28" w:rsidRPr="008F2421" w:rsidRDefault="00AD5F28">
            <w:pPr>
              <w:jc w:val="center"/>
              <w:rPr>
                <w:lang w:eastAsia="en-US"/>
              </w:rPr>
            </w:pPr>
            <w:r w:rsidRPr="008F2421">
              <w:rPr>
                <w:lang w:eastAsia="en-US"/>
              </w:rPr>
              <w:t>8</w:t>
            </w:r>
          </w:p>
        </w:tc>
      </w:tr>
      <w:tr w:rsidR="000B2DD8" w:rsidRPr="008F2421" w14:paraId="410CFD7E" w14:textId="77777777" w:rsidTr="00C525EB">
        <w:tc>
          <w:tcPr>
            <w:tcW w:w="2165" w:type="dxa"/>
            <w:shd w:val="clear" w:color="auto" w:fill="FFFFFF"/>
            <w:hideMark/>
          </w:tcPr>
          <w:p w14:paraId="60B6013B" w14:textId="77777777" w:rsidR="000B2DD8" w:rsidRPr="008F2421" w:rsidRDefault="000B2DD8" w:rsidP="000B2DD8">
            <w:pPr>
              <w:rPr>
                <w:lang w:eastAsia="en-US"/>
              </w:rPr>
            </w:pPr>
            <w:r w:rsidRPr="008F2421">
              <w:rPr>
                <w:lang w:eastAsia="en-US"/>
              </w:rPr>
              <w:t>1. Budžeta ieņēmumi</w:t>
            </w:r>
          </w:p>
        </w:tc>
        <w:tc>
          <w:tcPr>
            <w:tcW w:w="928" w:type="dxa"/>
            <w:shd w:val="clear" w:color="auto" w:fill="FFFFFF"/>
            <w:vAlign w:val="center"/>
            <w:hideMark/>
          </w:tcPr>
          <w:p w14:paraId="415A2C05" w14:textId="77777777" w:rsidR="000B2DD8" w:rsidRPr="008F2421" w:rsidRDefault="000B2DD8" w:rsidP="000B2DD8">
            <w:pPr>
              <w:jc w:val="center"/>
              <w:rPr>
                <w:lang w:eastAsia="en-US"/>
              </w:rPr>
            </w:pPr>
            <w:r w:rsidRPr="00792FEB">
              <w:rPr>
                <w:lang w:eastAsia="en-US"/>
              </w:rPr>
              <w:t>0</w:t>
            </w:r>
          </w:p>
        </w:tc>
        <w:tc>
          <w:tcPr>
            <w:tcW w:w="1239" w:type="dxa"/>
            <w:shd w:val="clear" w:color="auto" w:fill="FFFFFF"/>
            <w:vAlign w:val="center"/>
            <w:hideMark/>
          </w:tcPr>
          <w:p w14:paraId="3B5791C3" w14:textId="77777777" w:rsidR="000B2DD8" w:rsidRPr="00D514C8" w:rsidRDefault="00D514C8" w:rsidP="000B2DD8">
            <w:pPr>
              <w:jc w:val="center"/>
              <w:rPr>
                <w:lang w:eastAsia="en-US"/>
              </w:rPr>
            </w:pPr>
            <w:r w:rsidRPr="00D514C8">
              <w:rPr>
                <w:lang w:eastAsia="en-US"/>
              </w:rPr>
              <w:t>147034</w:t>
            </w:r>
          </w:p>
        </w:tc>
        <w:tc>
          <w:tcPr>
            <w:tcW w:w="774" w:type="dxa"/>
            <w:shd w:val="clear" w:color="auto" w:fill="FFFFFF"/>
            <w:vAlign w:val="center"/>
            <w:hideMark/>
          </w:tcPr>
          <w:p w14:paraId="297FA66E" w14:textId="77777777" w:rsidR="000B2DD8" w:rsidRPr="008F2421" w:rsidRDefault="000B2DD8" w:rsidP="000B2DD8">
            <w:pPr>
              <w:jc w:val="center"/>
              <w:rPr>
                <w:lang w:eastAsia="en-US"/>
              </w:rPr>
            </w:pPr>
            <w:r w:rsidRPr="00792FEB">
              <w:rPr>
                <w:lang w:eastAsia="en-US"/>
              </w:rPr>
              <w:t>0</w:t>
            </w:r>
          </w:p>
        </w:tc>
        <w:tc>
          <w:tcPr>
            <w:tcW w:w="1085" w:type="dxa"/>
            <w:shd w:val="clear" w:color="auto" w:fill="FFFFFF"/>
            <w:vAlign w:val="center"/>
            <w:hideMark/>
          </w:tcPr>
          <w:p w14:paraId="21209378" w14:textId="77777777" w:rsidR="000B2DD8" w:rsidRPr="008F2421" w:rsidRDefault="000B2DD8" w:rsidP="000B2DD8">
            <w:pPr>
              <w:jc w:val="center"/>
              <w:rPr>
                <w:lang w:eastAsia="en-US"/>
              </w:rPr>
            </w:pPr>
            <w:r w:rsidRPr="00792FEB">
              <w:rPr>
                <w:lang w:eastAsia="en-US"/>
              </w:rPr>
              <w:t>229687</w:t>
            </w:r>
          </w:p>
        </w:tc>
        <w:tc>
          <w:tcPr>
            <w:tcW w:w="773" w:type="dxa"/>
            <w:shd w:val="clear" w:color="auto" w:fill="FFFFFF"/>
            <w:vAlign w:val="center"/>
            <w:hideMark/>
          </w:tcPr>
          <w:p w14:paraId="79C61D56" w14:textId="77777777" w:rsidR="000B2DD8" w:rsidRPr="008F2421" w:rsidRDefault="000B2DD8" w:rsidP="000B2DD8">
            <w:pPr>
              <w:jc w:val="center"/>
              <w:rPr>
                <w:lang w:eastAsia="en-US"/>
              </w:rPr>
            </w:pPr>
            <w:r w:rsidRPr="00792FEB">
              <w:rPr>
                <w:lang w:eastAsia="en-US"/>
              </w:rPr>
              <w:t>0</w:t>
            </w:r>
          </w:p>
        </w:tc>
        <w:tc>
          <w:tcPr>
            <w:tcW w:w="1239" w:type="dxa"/>
            <w:shd w:val="clear" w:color="auto" w:fill="FFFFFF"/>
            <w:vAlign w:val="center"/>
            <w:hideMark/>
          </w:tcPr>
          <w:p w14:paraId="406055AB" w14:textId="77777777" w:rsidR="000B2DD8" w:rsidRPr="008F2421" w:rsidRDefault="000B2DD8" w:rsidP="000B2DD8">
            <w:pPr>
              <w:jc w:val="center"/>
              <w:rPr>
                <w:lang w:eastAsia="en-US"/>
              </w:rPr>
            </w:pPr>
            <w:r w:rsidRPr="00792FEB">
              <w:rPr>
                <w:lang w:eastAsia="en-US"/>
              </w:rPr>
              <w:t>1249958</w:t>
            </w:r>
          </w:p>
        </w:tc>
        <w:tc>
          <w:tcPr>
            <w:tcW w:w="1008" w:type="dxa"/>
            <w:shd w:val="clear" w:color="auto" w:fill="FFFFFF"/>
            <w:vAlign w:val="center"/>
            <w:hideMark/>
          </w:tcPr>
          <w:p w14:paraId="4AC34A7A" w14:textId="77777777" w:rsidR="000B2DD8" w:rsidRPr="008F2421" w:rsidRDefault="000B2DD8" w:rsidP="000B2DD8">
            <w:pPr>
              <w:jc w:val="center"/>
              <w:rPr>
                <w:lang w:eastAsia="en-US"/>
              </w:rPr>
            </w:pPr>
            <w:r w:rsidRPr="00792FEB">
              <w:rPr>
                <w:lang w:eastAsia="en-US"/>
              </w:rPr>
              <w:t>4028545</w:t>
            </w:r>
          </w:p>
        </w:tc>
      </w:tr>
      <w:tr w:rsidR="008F2421" w:rsidRPr="008F2421" w14:paraId="2F4C4D20" w14:textId="77777777" w:rsidTr="00C525EB">
        <w:tc>
          <w:tcPr>
            <w:tcW w:w="2165" w:type="dxa"/>
            <w:shd w:val="clear" w:color="auto" w:fill="auto"/>
            <w:hideMark/>
          </w:tcPr>
          <w:p w14:paraId="2A659614" w14:textId="77777777" w:rsidR="00AD5F28" w:rsidRPr="008F2421" w:rsidRDefault="00AD5F28" w:rsidP="008F2421">
            <w:pPr>
              <w:rPr>
                <w:lang w:eastAsia="en-US"/>
              </w:rPr>
            </w:pPr>
            <w:r w:rsidRPr="008F2421">
              <w:rPr>
                <w:lang w:eastAsia="en-US"/>
              </w:rPr>
              <w:t>1.1. valsts pamatbudžets, tai skaitā ieņēmumi no maksas pakalpojumiem un citi pašu ieņēmumi</w:t>
            </w:r>
          </w:p>
        </w:tc>
        <w:tc>
          <w:tcPr>
            <w:tcW w:w="928" w:type="dxa"/>
            <w:shd w:val="clear" w:color="auto" w:fill="auto"/>
            <w:vAlign w:val="center"/>
            <w:hideMark/>
          </w:tcPr>
          <w:p w14:paraId="163B45CD" w14:textId="77777777" w:rsidR="00AD5F28" w:rsidRPr="008F2421" w:rsidRDefault="00AD5F28" w:rsidP="008F2421">
            <w:pPr>
              <w:jc w:val="center"/>
              <w:rPr>
                <w:lang w:eastAsia="en-US"/>
              </w:rPr>
            </w:pPr>
            <w:r w:rsidRPr="008F2421">
              <w:rPr>
                <w:lang w:eastAsia="en-US"/>
              </w:rPr>
              <w:t>0</w:t>
            </w:r>
          </w:p>
        </w:tc>
        <w:tc>
          <w:tcPr>
            <w:tcW w:w="1239" w:type="dxa"/>
            <w:shd w:val="clear" w:color="auto" w:fill="auto"/>
            <w:vAlign w:val="center"/>
            <w:hideMark/>
          </w:tcPr>
          <w:p w14:paraId="7AF1765A" w14:textId="77777777" w:rsidR="00AD5F28" w:rsidRPr="00D514C8" w:rsidRDefault="00AD5F28" w:rsidP="008F2421">
            <w:pPr>
              <w:jc w:val="center"/>
              <w:rPr>
                <w:lang w:eastAsia="en-US"/>
              </w:rPr>
            </w:pPr>
            <w:r w:rsidRPr="00D514C8">
              <w:rPr>
                <w:lang w:eastAsia="en-US"/>
              </w:rPr>
              <w:t>0</w:t>
            </w:r>
          </w:p>
        </w:tc>
        <w:tc>
          <w:tcPr>
            <w:tcW w:w="774" w:type="dxa"/>
            <w:shd w:val="clear" w:color="auto" w:fill="auto"/>
            <w:vAlign w:val="center"/>
            <w:hideMark/>
          </w:tcPr>
          <w:p w14:paraId="1C565355" w14:textId="77777777" w:rsidR="00AD5F28" w:rsidRPr="008F2421" w:rsidRDefault="00AD5F28" w:rsidP="008F2421">
            <w:pPr>
              <w:jc w:val="center"/>
              <w:rPr>
                <w:lang w:eastAsia="en-US"/>
              </w:rPr>
            </w:pPr>
            <w:r w:rsidRPr="008F2421">
              <w:rPr>
                <w:lang w:eastAsia="en-US"/>
              </w:rPr>
              <w:t>0</w:t>
            </w:r>
          </w:p>
        </w:tc>
        <w:tc>
          <w:tcPr>
            <w:tcW w:w="1085" w:type="dxa"/>
            <w:shd w:val="clear" w:color="auto" w:fill="auto"/>
            <w:vAlign w:val="center"/>
            <w:hideMark/>
          </w:tcPr>
          <w:p w14:paraId="36C7A870" w14:textId="77777777" w:rsidR="00AD5F28" w:rsidRPr="008F2421" w:rsidRDefault="00AD5F28">
            <w:pPr>
              <w:jc w:val="center"/>
              <w:rPr>
                <w:lang w:eastAsia="en-US"/>
              </w:rPr>
            </w:pPr>
            <w:r w:rsidRPr="008F2421">
              <w:rPr>
                <w:lang w:eastAsia="en-US"/>
              </w:rPr>
              <w:t>0</w:t>
            </w:r>
          </w:p>
        </w:tc>
        <w:tc>
          <w:tcPr>
            <w:tcW w:w="773" w:type="dxa"/>
            <w:shd w:val="clear" w:color="auto" w:fill="auto"/>
            <w:vAlign w:val="center"/>
            <w:hideMark/>
          </w:tcPr>
          <w:p w14:paraId="2495B23F" w14:textId="77777777" w:rsidR="00AD5F28" w:rsidRPr="008F2421" w:rsidRDefault="00AD5F28">
            <w:pPr>
              <w:jc w:val="center"/>
              <w:rPr>
                <w:lang w:eastAsia="en-US"/>
              </w:rPr>
            </w:pPr>
            <w:r w:rsidRPr="008F2421">
              <w:rPr>
                <w:lang w:eastAsia="en-US"/>
              </w:rPr>
              <w:t>0</w:t>
            </w:r>
          </w:p>
        </w:tc>
        <w:tc>
          <w:tcPr>
            <w:tcW w:w="1239" w:type="dxa"/>
            <w:shd w:val="clear" w:color="auto" w:fill="auto"/>
            <w:vAlign w:val="center"/>
            <w:hideMark/>
          </w:tcPr>
          <w:p w14:paraId="1DE3E166" w14:textId="77777777" w:rsidR="00AD5F28" w:rsidRPr="008F2421" w:rsidRDefault="00AD5F28">
            <w:pPr>
              <w:jc w:val="center"/>
              <w:rPr>
                <w:lang w:eastAsia="en-US"/>
              </w:rPr>
            </w:pPr>
            <w:r w:rsidRPr="008F2421">
              <w:rPr>
                <w:lang w:eastAsia="en-US"/>
              </w:rPr>
              <w:t>0</w:t>
            </w:r>
          </w:p>
        </w:tc>
        <w:tc>
          <w:tcPr>
            <w:tcW w:w="1008" w:type="dxa"/>
            <w:shd w:val="clear" w:color="auto" w:fill="auto"/>
            <w:vAlign w:val="center"/>
            <w:hideMark/>
          </w:tcPr>
          <w:p w14:paraId="4A4AB69C" w14:textId="77777777" w:rsidR="00AD5F28" w:rsidRPr="008F2421" w:rsidRDefault="00AD5F28">
            <w:pPr>
              <w:jc w:val="center"/>
              <w:rPr>
                <w:lang w:eastAsia="en-US"/>
              </w:rPr>
            </w:pPr>
            <w:r w:rsidRPr="008F2421">
              <w:rPr>
                <w:lang w:eastAsia="en-US"/>
              </w:rPr>
              <w:t>0</w:t>
            </w:r>
          </w:p>
        </w:tc>
      </w:tr>
      <w:tr w:rsidR="008F2421" w:rsidRPr="008F2421" w14:paraId="2B52EC74" w14:textId="77777777" w:rsidTr="00C525EB">
        <w:tc>
          <w:tcPr>
            <w:tcW w:w="2165" w:type="dxa"/>
            <w:shd w:val="clear" w:color="auto" w:fill="auto"/>
            <w:hideMark/>
          </w:tcPr>
          <w:p w14:paraId="1D377EEC" w14:textId="77777777" w:rsidR="00AD5F28" w:rsidRPr="008F2421" w:rsidRDefault="00AD5F28" w:rsidP="008F2421">
            <w:pPr>
              <w:rPr>
                <w:lang w:eastAsia="en-US"/>
              </w:rPr>
            </w:pPr>
            <w:r w:rsidRPr="008F2421">
              <w:rPr>
                <w:lang w:eastAsia="en-US"/>
              </w:rPr>
              <w:t>1.2. valsts speciālais budžets</w:t>
            </w:r>
          </w:p>
        </w:tc>
        <w:tc>
          <w:tcPr>
            <w:tcW w:w="928" w:type="dxa"/>
            <w:shd w:val="clear" w:color="auto" w:fill="auto"/>
            <w:vAlign w:val="center"/>
            <w:hideMark/>
          </w:tcPr>
          <w:p w14:paraId="750CE358" w14:textId="77777777" w:rsidR="00AD5F28" w:rsidRPr="008F2421" w:rsidRDefault="00AD5F28" w:rsidP="008F2421">
            <w:pPr>
              <w:jc w:val="center"/>
              <w:rPr>
                <w:lang w:eastAsia="en-US"/>
              </w:rPr>
            </w:pPr>
            <w:r w:rsidRPr="008F2421">
              <w:rPr>
                <w:lang w:eastAsia="en-US"/>
              </w:rPr>
              <w:t>0</w:t>
            </w:r>
          </w:p>
        </w:tc>
        <w:tc>
          <w:tcPr>
            <w:tcW w:w="1239" w:type="dxa"/>
            <w:shd w:val="clear" w:color="auto" w:fill="auto"/>
            <w:vAlign w:val="center"/>
            <w:hideMark/>
          </w:tcPr>
          <w:p w14:paraId="0A7AAF58" w14:textId="77777777" w:rsidR="00AD5F28" w:rsidRPr="00D514C8" w:rsidRDefault="00AD5F28" w:rsidP="008F2421">
            <w:pPr>
              <w:jc w:val="center"/>
              <w:rPr>
                <w:lang w:eastAsia="en-US"/>
              </w:rPr>
            </w:pPr>
            <w:r w:rsidRPr="00D514C8">
              <w:rPr>
                <w:lang w:eastAsia="en-US"/>
              </w:rPr>
              <w:t>0</w:t>
            </w:r>
          </w:p>
        </w:tc>
        <w:tc>
          <w:tcPr>
            <w:tcW w:w="774" w:type="dxa"/>
            <w:shd w:val="clear" w:color="auto" w:fill="auto"/>
            <w:vAlign w:val="center"/>
            <w:hideMark/>
          </w:tcPr>
          <w:p w14:paraId="1FA56690" w14:textId="77777777" w:rsidR="00AD5F28" w:rsidRPr="008F2421" w:rsidRDefault="00AD5F28" w:rsidP="008F2421">
            <w:pPr>
              <w:jc w:val="center"/>
              <w:rPr>
                <w:lang w:eastAsia="en-US"/>
              </w:rPr>
            </w:pPr>
            <w:r w:rsidRPr="008F2421">
              <w:rPr>
                <w:lang w:eastAsia="en-US"/>
              </w:rPr>
              <w:t>0</w:t>
            </w:r>
          </w:p>
        </w:tc>
        <w:tc>
          <w:tcPr>
            <w:tcW w:w="1085" w:type="dxa"/>
            <w:shd w:val="clear" w:color="auto" w:fill="auto"/>
            <w:vAlign w:val="center"/>
            <w:hideMark/>
          </w:tcPr>
          <w:p w14:paraId="275C6081" w14:textId="77777777" w:rsidR="00AD5F28" w:rsidRPr="008F2421" w:rsidRDefault="00AD5F28">
            <w:pPr>
              <w:jc w:val="center"/>
              <w:rPr>
                <w:lang w:eastAsia="en-US"/>
              </w:rPr>
            </w:pPr>
            <w:r w:rsidRPr="008F2421">
              <w:rPr>
                <w:lang w:eastAsia="en-US"/>
              </w:rPr>
              <w:t>0</w:t>
            </w:r>
          </w:p>
        </w:tc>
        <w:tc>
          <w:tcPr>
            <w:tcW w:w="773" w:type="dxa"/>
            <w:shd w:val="clear" w:color="auto" w:fill="auto"/>
            <w:vAlign w:val="center"/>
            <w:hideMark/>
          </w:tcPr>
          <w:p w14:paraId="1DEF0590" w14:textId="77777777" w:rsidR="00AD5F28" w:rsidRPr="008F2421" w:rsidRDefault="00AD5F28">
            <w:pPr>
              <w:jc w:val="center"/>
              <w:rPr>
                <w:lang w:eastAsia="en-US"/>
              </w:rPr>
            </w:pPr>
            <w:r w:rsidRPr="008F2421">
              <w:rPr>
                <w:lang w:eastAsia="en-US"/>
              </w:rPr>
              <w:t>0</w:t>
            </w:r>
          </w:p>
        </w:tc>
        <w:tc>
          <w:tcPr>
            <w:tcW w:w="1239" w:type="dxa"/>
            <w:shd w:val="clear" w:color="auto" w:fill="auto"/>
            <w:vAlign w:val="center"/>
            <w:hideMark/>
          </w:tcPr>
          <w:p w14:paraId="75B530D6" w14:textId="77777777" w:rsidR="00AD5F28" w:rsidRPr="008F2421" w:rsidRDefault="00AD5F28">
            <w:pPr>
              <w:jc w:val="center"/>
              <w:rPr>
                <w:lang w:eastAsia="en-US"/>
              </w:rPr>
            </w:pPr>
            <w:r w:rsidRPr="008F2421">
              <w:rPr>
                <w:lang w:eastAsia="en-US"/>
              </w:rPr>
              <w:t>0</w:t>
            </w:r>
          </w:p>
        </w:tc>
        <w:tc>
          <w:tcPr>
            <w:tcW w:w="1008" w:type="dxa"/>
            <w:shd w:val="clear" w:color="auto" w:fill="auto"/>
            <w:vAlign w:val="center"/>
            <w:hideMark/>
          </w:tcPr>
          <w:p w14:paraId="431F858B" w14:textId="77777777" w:rsidR="00AD5F28" w:rsidRPr="008F2421" w:rsidRDefault="00AD5F28">
            <w:pPr>
              <w:jc w:val="center"/>
              <w:rPr>
                <w:lang w:eastAsia="en-US"/>
              </w:rPr>
            </w:pPr>
            <w:r w:rsidRPr="008F2421">
              <w:rPr>
                <w:lang w:eastAsia="en-US"/>
              </w:rPr>
              <w:t>0</w:t>
            </w:r>
          </w:p>
        </w:tc>
      </w:tr>
      <w:tr w:rsidR="008F2421" w:rsidRPr="008F2421" w14:paraId="20BBE51D" w14:textId="77777777" w:rsidTr="00C525EB">
        <w:tc>
          <w:tcPr>
            <w:tcW w:w="2165" w:type="dxa"/>
            <w:shd w:val="clear" w:color="auto" w:fill="auto"/>
            <w:hideMark/>
          </w:tcPr>
          <w:p w14:paraId="2745F882" w14:textId="77777777" w:rsidR="00AD5F28" w:rsidRPr="008F2421" w:rsidRDefault="00AD5F28" w:rsidP="008F2421">
            <w:pPr>
              <w:rPr>
                <w:lang w:eastAsia="en-US"/>
              </w:rPr>
            </w:pPr>
            <w:r w:rsidRPr="008F2421">
              <w:rPr>
                <w:lang w:eastAsia="en-US"/>
              </w:rPr>
              <w:t>1.3. pašvaldību budžets</w:t>
            </w:r>
          </w:p>
        </w:tc>
        <w:tc>
          <w:tcPr>
            <w:tcW w:w="928" w:type="dxa"/>
            <w:shd w:val="clear" w:color="auto" w:fill="auto"/>
            <w:vAlign w:val="center"/>
            <w:hideMark/>
          </w:tcPr>
          <w:p w14:paraId="425B48F3" w14:textId="77777777" w:rsidR="00AD5F28" w:rsidRPr="008F2421" w:rsidRDefault="00AD5F28" w:rsidP="008F2421">
            <w:pPr>
              <w:jc w:val="center"/>
              <w:rPr>
                <w:lang w:eastAsia="en-US"/>
              </w:rPr>
            </w:pPr>
            <w:r w:rsidRPr="008F2421">
              <w:rPr>
                <w:lang w:eastAsia="en-US"/>
              </w:rPr>
              <w:t>0</w:t>
            </w:r>
          </w:p>
        </w:tc>
        <w:tc>
          <w:tcPr>
            <w:tcW w:w="1239" w:type="dxa"/>
            <w:shd w:val="clear" w:color="auto" w:fill="auto"/>
            <w:vAlign w:val="center"/>
            <w:hideMark/>
          </w:tcPr>
          <w:p w14:paraId="430A752F" w14:textId="77777777" w:rsidR="00AD5F28" w:rsidRPr="00D514C8" w:rsidRDefault="00AD5F28" w:rsidP="008F2421">
            <w:pPr>
              <w:jc w:val="center"/>
              <w:rPr>
                <w:lang w:eastAsia="en-US"/>
              </w:rPr>
            </w:pPr>
            <w:r w:rsidRPr="00D514C8">
              <w:rPr>
                <w:lang w:eastAsia="en-US"/>
              </w:rPr>
              <w:t>0</w:t>
            </w:r>
          </w:p>
        </w:tc>
        <w:tc>
          <w:tcPr>
            <w:tcW w:w="774" w:type="dxa"/>
            <w:shd w:val="clear" w:color="auto" w:fill="auto"/>
            <w:vAlign w:val="center"/>
            <w:hideMark/>
          </w:tcPr>
          <w:p w14:paraId="033E5CED" w14:textId="77777777" w:rsidR="00AD5F28" w:rsidRPr="008F2421" w:rsidRDefault="00AD5F28" w:rsidP="008F2421">
            <w:pPr>
              <w:jc w:val="center"/>
              <w:rPr>
                <w:lang w:eastAsia="en-US"/>
              </w:rPr>
            </w:pPr>
            <w:r w:rsidRPr="008F2421">
              <w:rPr>
                <w:lang w:eastAsia="en-US"/>
              </w:rPr>
              <w:t>0</w:t>
            </w:r>
          </w:p>
        </w:tc>
        <w:tc>
          <w:tcPr>
            <w:tcW w:w="1085" w:type="dxa"/>
            <w:shd w:val="clear" w:color="auto" w:fill="auto"/>
            <w:vAlign w:val="center"/>
            <w:hideMark/>
          </w:tcPr>
          <w:p w14:paraId="0A7FA334" w14:textId="77777777" w:rsidR="00AD5F28" w:rsidRPr="008F2421" w:rsidRDefault="00AD5F28">
            <w:pPr>
              <w:jc w:val="center"/>
              <w:rPr>
                <w:lang w:eastAsia="en-US"/>
              </w:rPr>
            </w:pPr>
            <w:r w:rsidRPr="008F2421">
              <w:rPr>
                <w:lang w:eastAsia="en-US"/>
              </w:rPr>
              <w:t>0</w:t>
            </w:r>
          </w:p>
        </w:tc>
        <w:tc>
          <w:tcPr>
            <w:tcW w:w="773" w:type="dxa"/>
            <w:shd w:val="clear" w:color="auto" w:fill="auto"/>
            <w:vAlign w:val="center"/>
            <w:hideMark/>
          </w:tcPr>
          <w:p w14:paraId="5DA4B0B9" w14:textId="77777777" w:rsidR="00AD5F28" w:rsidRPr="008F2421" w:rsidRDefault="00AD5F28">
            <w:pPr>
              <w:jc w:val="center"/>
              <w:rPr>
                <w:lang w:eastAsia="en-US"/>
              </w:rPr>
            </w:pPr>
            <w:r w:rsidRPr="008F2421">
              <w:rPr>
                <w:lang w:eastAsia="en-US"/>
              </w:rPr>
              <w:t>0</w:t>
            </w:r>
          </w:p>
        </w:tc>
        <w:tc>
          <w:tcPr>
            <w:tcW w:w="1239" w:type="dxa"/>
            <w:shd w:val="clear" w:color="auto" w:fill="auto"/>
            <w:vAlign w:val="center"/>
            <w:hideMark/>
          </w:tcPr>
          <w:p w14:paraId="121C87D6" w14:textId="77777777" w:rsidR="00AD5F28" w:rsidRPr="008F2421" w:rsidRDefault="00AD5F28">
            <w:pPr>
              <w:jc w:val="center"/>
              <w:rPr>
                <w:lang w:eastAsia="en-US"/>
              </w:rPr>
            </w:pPr>
            <w:r w:rsidRPr="008F2421">
              <w:rPr>
                <w:lang w:eastAsia="en-US"/>
              </w:rPr>
              <w:t>0</w:t>
            </w:r>
          </w:p>
        </w:tc>
        <w:tc>
          <w:tcPr>
            <w:tcW w:w="1008" w:type="dxa"/>
            <w:shd w:val="clear" w:color="auto" w:fill="auto"/>
            <w:vAlign w:val="center"/>
            <w:hideMark/>
          </w:tcPr>
          <w:p w14:paraId="6B93D0BD" w14:textId="77777777" w:rsidR="00AD5F28" w:rsidRPr="008F2421" w:rsidRDefault="00AD5F28">
            <w:pPr>
              <w:jc w:val="center"/>
              <w:rPr>
                <w:lang w:eastAsia="en-US"/>
              </w:rPr>
            </w:pPr>
            <w:r w:rsidRPr="008F2421">
              <w:rPr>
                <w:lang w:eastAsia="en-US"/>
              </w:rPr>
              <w:t>0</w:t>
            </w:r>
          </w:p>
        </w:tc>
      </w:tr>
      <w:tr w:rsidR="000B2DD8" w:rsidRPr="008F2421" w14:paraId="08BBB152" w14:textId="77777777" w:rsidTr="00C525EB">
        <w:tc>
          <w:tcPr>
            <w:tcW w:w="2165" w:type="dxa"/>
            <w:shd w:val="clear" w:color="auto" w:fill="auto"/>
            <w:hideMark/>
          </w:tcPr>
          <w:p w14:paraId="63514626" w14:textId="77777777" w:rsidR="000B2DD8" w:rsidRPr="008F2421" w:rsidRDefault="000B2DD8" w:rsidP="000B2DD8">
            <w:pPr>
              <w:rPr>
                <w:lang w:eastAsia="en-US"/>
              </w:rPr>
            </w:pPr>
            <w:r w:rsidRPr="008F2421">
              <w:rPr>
                <w:lang w:eastAsia="en-US"/>
              </w:rPr>
              <w:t>2. Budžeta izdevumi</w:t>
            </w:r>
          </w:p>
        </w:tc>
        <w:tc>
          <w:tcPr>
            <w:tcW w:w="928" w:type="dxa"/>
            <w:shd w:val="clear" w:color="auto" w:fill="auto"/>
            <w:vAlign w:val="center"/>
            <w:hideMark/>
          </w:tcPr>
          <w:p w14:paraId="3FFD1DFC" w14:textId="77777777" w:rsidR="000B2DD8" w:rsidRPr="008F2421" w:rsidRDefault="000B2DD8" w:rsidP="000B2DD8">
            <w:pPr>
              <w:jc w:val="center"/>
              <w:rPr>
                <w:lang w:eastAsia="en-US"/>
              </w:rPr>
            </w:pPr>
            <w:r w:rsidRPr="00792FEB">
              <w:rPr>
                <w:lang w:eastAsia="en-US"/>
              </w:rPr>
              <w:t>0</w:t>
            </w:r>
          </w:p>
        </w:tc>
        <w:tc>
          <w:tcPr>
            <w:tcW w:w="1239" w:type="dxa"/>
            <w:shd w:val="clear" w:color="auto" w:fill="auto"/>
            <w:vAlign w:val="center"/>
            <w:hideMark/>
          </w:tcPr>
          <w:p w14:paraId="6C7421E3" w14:textId="77777777" w:rsidR="000B2DD8" w:rsidRPr="00D514C8" w:rsidRDefault="000B2DD8" w:rsidP="000B2DD8">
            <w:pPr>
              <w:jc w:val="center"/>
              <w:rPr>
                <w:lang w:eastAsia="en-US"/>
              </w:rPr>
            </w:pPr>
            <w:r w:rsidRPr="00D514C8">
              <w:rPr>
                <w:lang w:eastAsia="en-US"/>
              </w:rPr>
              <w:t>167120</w:t>
            </w:r>
          </w:p>
        </w:tc>
        <w:tc>
          <w:tcPr>
            <w:tcW w:w="774" w:type="dxa"/>
            <w:shd w:val="clear" w:color="auto" w:fill="auto"/>
            <w:vAlign w:val="center"/>
            <w:hideMark/>
          </w:tcPr>
          <w:p w14:paraId="3E44FD66" w14:textId="77777777" w:rsidR="000B2DD8" w:rsidRPr="008F2421" w:rsidRDefault="000B2DD8" w:rsidP="000B2DD8">
            <w:pPr>
              <w:jc w:val="center"/>
              <w:rPr>
                <w:lang w:eastAsia="en-US"/>
              </w:rPr>
            </w:pPr>
          </w:p>
        </w:tc>
        <w:tc>
          <w:tcPr>
            <w:tcW w:w="1085" w:type="dxa"/>
            <w:shd w:val="clear" w:color="auto" w:fill="auto"/>
            <w:vAlign w:val="center"/>
            <w:hideMark/>
          </w:tcPr>
          <w:p w14:paraId="77B9F650" w14:textId="77777777" w:rsidR="000B2DD8" w:rsidRPr="008F2421" w:rsidRDefault="000B2DD8" w:rsidP="000B2DD8">
            <w:pPr>
              <w:jc w:val="center"/>
              <w:rPr>
                <w:lang w:eastAsia="en-US"/>
              </w:rPr>
            </w:pPr>
            <w:r w:rsidRPr="00792FEB">
              <w:rPr>
                <w:lang w:eastAsia="en-US"/>
              </w:rPr>
              <w:t>267155</w:t>
            </w:r>
          </w:p>
        </w:tc>
        <w:tc>
          <w:tcPr>
            <w:tcW w:w="773" w:type="dxa"/>
            <w:shd w:val="clear" w:color="auto" w:fill="auto"/>
            <w:vAlign w:val="center"/>
            <w:hideMark/>
          </w:tcPr>
          <w:p w14:paraId="342B471C" w14:textId="77777777" w:rsidR="000B2DD8" w:rsidRPr="008F2421" w:rsidRDefault="000B2DD8" w:rsidP="000B2DD8">
            <w:pPr>
              <w:jc w:val="center"/>
              <w:rPr>
                <w:lang w:eastAsia="en-US"/>
              </w:rPr>
            </w:pPr>
          </w:p>
        </w:tc>
        <w:tc>
          <w:tcPr>
            <w:tcW w:w="1239" w:type="dxa"/>
            <w:shd w:val="clear" w:color="auto" w:fill="auto"/>
            <w:vAlign w:val="center"/>
            <w:hideMark/>
          </w:tcPr>
          <w:p w14:paraId="7B53D44F" w14:textId="77777777" w:rsidR="000B2DD8" w:rsidRPr="008F2421" w:rsidRDefault="000B2DD8" w:rsidP="000B2DD8">
            <w:pPr>
              <w:jc w:val="center"/>
              <w:rPr>
                <w:lang w:eastAsia="en-US"/>
              </w:rPr>
            </w:pPr>
            <w:r w:rsidRPr="00792FEB">
              <w:rPr>
                <w:lang w:eastAsia="en-US"/>
              </w:rPr>
              <w:t>1468898</w:t>
            </w:r>
          </w:p>
        </w:tc>
        <w:tc>
          <w:tcPr>
            <w:tcW w:w="1008" w:type="dxa"/>
            <w:shd w:val="clear" w:color="auto" w:fill="auto"/>
            <w:vAlign w:val="center"/>
            <w:hideMark/>
          </w:tcPr>
          <w:p w14:paraId="5A04E46B" w14:textId="77777777" w:rsidR="000B2DD8" w:rsidRPr="008F2421" w:rsidRDefault="000B2DD8" w:rsidP="000B2DD8">
            <w:pPr>
              <w:jc w:val="center"/>
              <w:rPr>
                <w:lang w:eastAsia="en-US"/>
              </w:rPr>
            </w:pPr>
            <w:r w:rsidRPr="00792FEB">
              <w:t>4736583</w:t>
            </w:r>
          </w:p>
        </w:tc>
      </w:tr>
      <w:tr w:rsidR="008F2421" w:rsidRPr="008F2421" w14:paraId="38C31950" w14:textId="77777777" w:rsidTr="00C525EB">
        <w:tc>
          <w:tcPr>
            <w:tcW w:w="2165" w:type="dxa"/>
            <w:shd w:val="clear" w:color="auto" w:fill="auto"/>
            <w:hideMark/>
          </w:tcPr>
          <w:p w14:paraId="238E3F1A" w14:textId="77777777" w:rsidR="00AD5F28" w:rsidRPr="008F2421" w:rsidRDefault="00AD5F28" w:rsidP="008F2421">
            <w:pPr>
              <w:rPr>
                <w:lang w:eastAsia="en-US"/>
              </w:rPr>
            </w:pPr>
            <w:r w:rsidRPr="008F2421">
              <w:rPr>
                <w:lang w:eastAsia="en-US"/>
              </w:rPr>
              <w:t>2.1. valsts pamatbudžets</w:t>
            </w:r>
          </w:p>
        </w:tc>
        <w:tc>
          <w:tcPr>
            <w:tcW w:w="928" w:type="dxa"/>
            <w:shd w:val="clear" w:color="auto" w:fill="auto"/>
            <w:vAlign w:val="center"/>
            <w:hideMark/>
          </w:tcPr>
          <w:p w14:paraId="231797A6" w14:textId="77777777" w:rsidR="00AD5F28" w:rsidRPr="008F2421" w:rsidRDefault="00AD5F28" w:rsidP="008F2421">
            <w:pPr>
              <w:jc w:val="center"/>
              <w:rPr>
                <w:lang w:eastAsia="en-US"/>
              </w:rPr>
            </w:pPr>
            <w:r w:rsidRPr="008F2421">
              <w:rPr>
                <w:lang w:eastAsia="en-US"/>
              </w:rPr>
              <w:t>0</w:t>
            </w:r>
          </w:p>
        </w:tc>
        <w:tc>
          <w:tcPr>
            <w:tcW w:w="1239" w:type="dxa"/>
            <w:shd w:val="clear" w:color="auto" w:fill="auto"/>
            <w:vAlign w:val="center"/>
            <w:hideMark/>
          </w:tcPr>
          <w:p w14:paraId="5B216E8E" w14:textId="77777777" w:rsidR="00AD5F28" w:rsidRPr="00D514C8" w:rsidRDefault="00AD5F28" w:rsidP="008F2421">
            <w:pPr>
              <w:jc w:val="center"/>
              <w:rPr>
                <w:lang w:eastAsia="en-US"/>
              </w:rPr>
            </w:pPr>
            <w:r w:rsidRPr="00D514C8">
              <w:rPr>
                <w:lang w:eastAsia="en-US"/>
              </w:rPr>
              <w:t>0</w:t>
            </w:r>
          </w:p>
        </w:tc>
        <w:tc>
          <w:tcPr>
            <w:tcW w:w="774" w:type="dxa"/>
            <w:shd w:val="clear" w:color="auto" w:fill="auto"/>
            <w:vAlign w:val="center"/>
            <w:hideMark/>
          </w:tcPr>
          <w:p w14:paraId="2C9B20B8" w14:textId="77777777" w:rsidR="00AD5F28" w:rsidRPr="008F2421" w:rsidRDefault="00AD5F28" w:rsidP="008F2421">
            <w:pPr>
              <w:jc w:val="center"/>
              <w:rPr>
                <w:lang w:eastAsia="en-US"/>
              </w:rPr>
            </w:pPr>
            <w:r w:rsidRPr="008F2421">
              <w:rPr>
                <w:lang w:eastAsia="en-US"/>
              </w:rPr>
              <w:t>0</w:t>
            </w:r>
          </w:p>
        </w:tc>
        <w:tc>
          <w:tcPr>
            <w:tcW w:w="1085" w:type="dxa"/>
            <w:shd w:val="clear" w:color="auto" w:fill="auto"/>
            <w:vAlign w:val="center"/>
            <w:hideMark/>
          </w:tcPr>
          <w:p w14:paraId="5642F23B" w14:textId="77777777" w:rsidR="00AD5F28" w:rsidRPr="008F2421" w:rsidRDefault="00AD5F28">
            <w:pPr>
              <w:jc w:val="center"/>
              <w:rPr>
                <w:lang w:eastAsia="en-US"/>
              </w:rPr>
            </w:pPr>
            <w:r w:rsidRPr="008F2421">
              <w:rPr>
                <w:lang w:eastAsia="en-US"/>
              </w:rPr>
              <w:t>0</w:t>
            </w:r>
          </w:p>
        </w:tc>
        <w:tc>
          <w:tcPr>
            <w:tcW w:w="773" w:type="dxa"/>
            <w:shd w:val="clear" w:color="auto" w:fill="auto"/>
            <w:vAlign w:val="center"/>
            <w:hideMark/>
          </w:tcPr>
          <w:p w14:paraId="6153B4E5" w14:textId="77777777" w:rsidR="00AD5F28" w:rsidRPr="008F2421" w:rsidRDefault="00AD5F28">
            <w:pPr>
              <w:jc w:val="center"/>
              <w:rPr>
                <w:lang w:eastAsia="en-US"/>
              </w:rPr>
            </w:pPr>
            <w:r w:rsidRPr="008F2421">
              <w:rPr>
                <w:lang w:eastAsia="en-US"/>
              </w:rPr>
              <w:t>0</w:t>
            </w:r>
          </w:p>
        </w:tc>
        <w:tc>
          <w:tcPr>
            <w:tcW w:w="1239" w:type="dxa"/>
            <w:shd w:val="clear" w:color="auto" w:fill="auto"/>
            <w:vAlign w:val="center"/>
            <w:hideMark/>
          </w:tcPr>
          <w:p w14:paraId="634FB1DF" w14:textId="77777777" w:rsidR="00AD5F28" w:rsidRPr="008F2421" w:rsidRDefault="00AD5F28">
            <w:pPr>
              <w:jc w:val="center"/>
              <w:rPr>
                <w:lang w:eastAsia="en-US"/>
              </w:rPr>
            </w:pPr>
            <w:r w:rsidRPr="008F2421">
              <w:rPr>
                <w:lang w:eastAsia="en-US"/>
              </w:rPr>
              <w:t>0</w:t>
            </w:r>
          </w:p>
        </w:tc>
        <w:tc>
          <w:tcPr>
            <w:tcW w:w="1008" w:type="dxa"/>
            <w:shd w:val="clear" w:color="auto" w:fill="auto"/>
            <w:vAlign w:val="center"/>
            <w:hideMark/>
          </w:tcPr>
          <w:p w14:paraId="03679B72" w14:textId="77777777" w:rsidR="00AD5F28" w:rsidRPr="008F2421" w:rsidRDefault="00AD5F28">
            <w:pPr>
              <w:jc w:val="center"/>
              <w:rPr>
                <w:lang w:eastAsia="en-US"/>
              </w:rPr>
            </w:pPr>
            <w:r w:rsidRPr="008F2421">
              <w:rPr>
                <w:lang w:eastAsia="en-US"/>
              </w:rPr>
              <w:t>0</w:t>
            </w:r>
          </w:p>
        </w:tc>
      </w:tr>
      <w:tr w:rsidR="008F2421" w:rsidRPr="008F2421" w14:paraId="27F11AA6" w14:textId="77777777" w:rsidTr="00C525EB">
        <w:tc>
          <w:tcPr>
            <w:tcW w:w="2165" w:type="dxa"/>
            <w:shd w:val="clear" w:color="auto" w:fill="auto"/>
            <w:hideMark/>
          </w:tcPr>
          <w:p w14:paraId="2FAEF50B" w14:textId="77777777" w:rsidR="00AD5F28" w:rsidRPr="008F2421" w:rsidRDefault="00AD5F28" w:rsidP="008F2421">
            <w:pPr>
              <w:rPr>
                <w:lang w:eastAsia="en-US"/>
              </w:rPr>
            </w:pPr>
            <w:r w:rsidRPr="008F2421">
              <w:rPr>
                <w:lang w:eastAsia="en-US"/>
              </w:rPr>
              <w:t>2.2. valsts speciālais budžets</w:t>
            </w:r>
          </w:p>
        </w:tc>
        <w:tc>
          <w:tcPr>
            <w:tcW w:w="928" w:type="dxa"/>
            <w:shd w:val="clear" w:color="auto" w:fill="auto"/>
            <w:vAlign w:val="center"/>
            <w:hideMark/>
          </w:tcPr>
          <w:p w14:paraId="65FB7ECF" w14:textId="77777777" w:rsidR="00AD5F28" w:rsidRPr="008F2421" w:rsidRDefault="00AD5F28" w:rsidP="008F2421">
            <w:pPr>
              <w:jc w:val="center"/>
              <w:rPr>
                <w:lang w:eastAsia="en-US"/>
              </w:rPr>
            </w:pPr>
            <w:r w:rsidRPr="008F2421">
              <w:rPr>
                <w:lang w:eastAsia="en-US"/>
              </w:rPr>
              <w:t>0</w:t>
            </w:r>
          </w:p>
        </w:tc>
        <w:tc>
          <w:tcPr>
            <w:tcW w:w="1239" w:type="dxa"/>
            <w:shd w:val="clear" w:color="auto" w:fill="auto"/>
            <w:vAlign w:val="center"/>
            <w:hideMark/>
          </w:tcPr>
          <w:p w14:paraId="7C3CC6E7" w14:textId="77777777" w:rsidR="00AD5F28" w:rsidRPr="00D514C8" w:rsidRDefault="00AD5F28" w:rsidP="008F2421">
            <w:pPr>
              <w:jc w:val="center"/>
              <w:rPr>
                <w:lang w:eastAsia="en-US"/>
              </w:rPr>
            </w:pPr>
            <w:r w:rsidRPr="00D514C8">
              <w:rPr>
                <w:lang w:eastAsia="en-US"/>
              </w:rPr>
              <w:t>0</w:t>
            </w:r>
          </w:p>
        </w:tc>
        <w:tc>
          <w:tcPr>
            <w:tcW w:w="774" w:type="dxa"/>
            <w:shd w:val="clear" w:color="auto" w:fill="auto"/>
            <w:vAlign w:val="center"/>
            <w:hideMark/>
          </w:tcPr>
          <w:p w14:paraId="42A787D9" w14:textId="77777777" w:rsidR="00AD5F28" w:rsidRPr="008F2421" w:rsidRDefault="00AD5F28" w:rsidP="008F2421">
            <w:pPr>
              <w:jc w:val="center"/>
              <w:rPr>
                <w:lang w:eastAsia="en-US"/>
              </w:rPr>
            </w:pPr>
            <w:r w:rsidRPr="008F2421">
              <w:rPr>
                <w:lang w:eastAsia="en-US"/>
              </w:rPr>
              <w:t>0</w:t>
            </w:r>
          </w:p>
        </w:tc>
        <w:tc>
          <w:tcPr>
            <w:tcW w:w="1085" w:type="dxa"/>
            <w:shd w:val="clear" w:color="auto" w:fill="auto"/>
            <w:vAlign w:val="center"/>
            <w:hideMark/>
          </w:tcPr>
          <w:p w14:paraId="30137A75" w14:textId="77777777" w:rsidR="00AD5F28" w:rsidRPr="008F2421" w:rsidRDefault="00AD5F28">
            <w:pPr>
              <w:jc w:val="center"/>
              <w:rPr>
                <w:lang w:eastAsia="en-US"/>
              </w:rPr>
            </w:pPr>
            <w:r w:rsidRPr="008F2421">
              <w:rPr>
                <w:lang w:eastAsia="en-US"/>
              </w:rPr>
              <w:t>0</w:t>
            </w:r>
          </w:p>
        </w:tc>
        <w:tc>
          <w:tcPr>
            <w:tcW w:w="773" w:type="dxa"/>
            <w:shd w:val="clear" w:color="auto" w:fill="auto"/>
            <w:vAlign w:val="center"/>
            <w:hideMark/>
          </w:tcPr>
          <w:p w14:paraId="764DA02F" w14:textId="77777777" w:rsidR="00AD5F28" w:rsidRPr="008F2421" w:rsidRDefault="00AD5F28">
            <w:pPr>
              <w:jc w:val="center"/>
              <w:rPr>
                <w:lang w:eastAsia="en-US"/>
              </w:rPr>
            </w:pPr>
            <w:r w:rsidRPr="008F2421">
              <w:rPr>
                <w:lang w:eastAsia="en-US"/>
              </w:rPr>
              <w:t>0</w:t>
            </w:r>
          </w:p>
        </w:tc>
        <w:tc>
          <w:tcPr>
            <w:tcW w:w="1239" w:type="dxa"/>
            <w:shd w:val="clear" w:color="auto" w:fill="auto"/>
            <w:vAlign w:val="center"/>
            <w:hideMark/>
          </w:tcPr>
          <w:p w14:paraId="1B07286F" w14:textId="77777777" w:rsidR="00AD5F28" w:rsidRPr="008F2421" w:rsidRDefault="00AD5F28">
            <w:pPr>
              <w:jc w:val="center"/>
              <w:rPr>
                <w:lang w:eastAsia="en-US"/>
              </w:rPr>
            </w:pPr>
            <w:r w:rsidRPr="008F2421">
              <w:rPr>
                <w:lang w:eastAsia="en-US"/>
              </w:rPr>
              <w:t>0</w:t>
            </w:r>
          </w:p>
        </w:tc>
        <w:tc>
          <w:tcPr>
            <w:tcW w:w="1008" w:type="dxa"/>
            <w:shd w:val="clear" w:color="auto" w:fill="auto"/>
            <w:vAlign w:val="center"/>
            <w:hideMark/>
          </w:tcPr>
          <w:p w14:paraId="7CA6D973" w14:textId="77777777" w:rsidR="00AD5F28" w:rsidRPr="008F2421" w:rsidRDefault="00AD5F28">
            <w:pPr>
              <w:jc w:val="center"/>
              <w:rPr>
                <w:lang w:eastAsia="en-US"/>
              </w:rPr>
            </w:pPr>
            <w:r w:rsidRPr="008F2421">
              <w:rPr>
                <w:lang w:eastAsia="en-US"/>
              </w:rPr>
              <w:t>0</w:t>
            </w:r>
          </w:p>
        </w:tc>
      </w:tr>
      <w:tr w:rsidR="008F2421" w:rsidRPr="008F2421" w14:paraId="3CB3B090" w14:textId="77777777" w:rsidTr="00C525EB">
        <w:tc>
          <w:tcPr>
            <w:tcW w:w="2165" w:type="dxa"/>
            <w:shd w:val="clear" w:color="auto" w:fill="auto"/>
            <w:hideMark/>
          </w:tcPr>
          <w:p w14:paraId="67980E2C" w14:textId="77777777" w:rsidR="00AD5F28" w:rsidRPr="008F2421" w:rsidRDefault="00AD5F28" w:rsidP="008F2421">
            <w:pPr>
              <w:rPr>
                <w:lang w:eastAsia="en-US"/>
              </w:rPr>
            </w:pPr>
            <w:r w:rsidRPr="008F2421">
              <w:rPr>
                <w:lang w:eastAsia="en-US"/>
              </w:rPr>
              <w:lastRenderedPageBreak/>
              <w:t>2.3. pašvaldību budžets</w:t>
            </w:r>
          </w:p>
        </w:tc>
        <w:tc>
          <w:tcPr>
            <w:tcW w:w="928" w:type="dxa"/>
            <w:shd w:val="clear" w:color="auto" w:fill="auto"/>
            <w:vAlign w:val="center"/>
            <w:hideMark/>
          </w:tcPr>
          <w:p w14:paraId="4F648CD8" w14:textId="77777777" w:rsidR="00AD5F28" w:rsidRPr="008F2421" w:rsidRDefault="00AD5F28" w:rsidP="008F2421">
            <w:pPr>
              <w:jc w:val="center"/>
              <w:rPr>
                <w:lang w:eastAsia="en-US"/>
              </w:rPr>
            </w:pPr>
            <w:r w:rsidRPr="008F2421">
              <w:rPr>
                <w:lang w:eastAsia="en-US"/>
              </w:rPr>
              <w:t>0</w:t>
            </w:r>
          </w:p>
        </w:tc>
        <w:tc>
          <w:tcPr>
            <w:tcW w:w="1239" w:type="dxa"/>
            <w:shd w:val="clear" w:color="auto" w:fill="auto"/>
            <w:vAlign w:val="center"/>
            <w:hideMark/>
          </w:tcPr>
          <w:p w14:paraId="5F7C12A8" w14:textId="77777777" w:rsidR="00AD5F28" w:rsidRPr="00D514C8" w:rsidRDefault="00AD5F28" w:rsidP="008F2421">
            <w:pPr>
              <w:jc w:val="center"/>
              <w:rPr>
                <w:lang w:eastAsia="en-US"/>
              </w:rPr>
            </w:pPr>
            <w:r w:rsidRPr="00D514C8">
              <w:rPr>
                <w:lang w:eastAsia="en-US"/>
              </w:rPr>
              <w:t>0</w:t>
            </w:r>
          </w:p>
        </w:tc>
        <w:tc>
          <w:tcPr>
            <w:tcW w:w="774" w:type="dxa"/>
            <w:shd w:val="clear" w:color="auto" w:fill="auto"/>
            <w:vAlign w:val="center"/>
            <w:hideMark/>
          </w:tcPr>
          <w:p w14:paraId="35E4AF38" w14:textId="77777777" w:rsidR="00AD5F28" w:rsidRPr="008F2421" w:rsidRDefault="00AD5F28" w:rsidP="008F2421">
            <w:pPr>
              <w:jc w:val="center"/>
              <w:rPr>
                <w:lang w:eastAsia="en-US"/>
              </w:rPr>
            </w:pPr>
            <w:r w:rsidRPr="008F2421">
              <w:rPr>
                <w:lang w:eastAsia="en-US"/>
              </w:rPr>
              <w:t>0</w:t>
            </w:r>
          </w:p>
        </w:tc>
        <w:tc>
          <w:tcPr>
            <w:tcW w:w="1085" w:type="dxa"/>
            <w:shd w:val="clear" w:color="auto" w:fill="auto"/>
            <w:vAlign w:val="center"/>
            <w:hideMark/>
          </w:tcPr>
          <w:p w14:paraId="2122B84F" w14:textId="77777777" w:rsidR="00AD5F28" w:rsidRPr="008F2421" w:rsidRDefault="00AD5F28">
            <w:pPr>
              <w:jc w:val="center"/>
              <w:rPr>
                <w:lang w:eastAsia="en-US"/>
              </w:rPr>
            </w:pPr>
            <w:r w:rsidRPr="008F2421">
              <w:rPr>
                <w:lang w:eastAsia="en-US"/>
              </w:rPr>
              <w:t>0</w:t>
            </w:r>
          </w:p>
        </w:tc>
        <w:tc>
          <w:tcPr>
            <w:tcW w:w="773" w:type="dxa"/>
            <w:shd w:val="clear" w:color="auto" w:fill="auto"/>
            <w:vAlign w:val="center"/>
            <w:hideMark/>
          </w:tcPr>
          <w:p w14:paraId="4C0574AF" w14:textId="77777777" w:rsidR="00AD5F28" w:rsidRPr="008F2421" w:rsidRDefault="00AD5F28">
            <w:pPr>
              <w:jc w:val="center"/>
              <w:rPr>
                <w:lang w:eastAsia="en-US"/>
              </w:rPr>
            </w:pPr>
            <w:r w:rsidRPr="008F2421">
              <w:rPr>
                <w:lang w:eastAsia="en-US"/>
              </w:rPr>
              <w:t>0</w:t>
            </w:r>
          </w:p>
        </w:tc>
        <w:tc>
          <w:tcPr>
            <w:tcW w:w="1239" w:type="dxa"/>
            <w:shd w:val="clear" w:color="auto" w:fill="auto"/>
            <w:vAlign w:val="center"/>
            <w:hideMark/>
          </w:tcPr>
          <w:p w14:paraId="085A2A14" w14:textId="77777777" w:rsidR="00AD5F28" w:rsidRPr="008F2421" w:rsidRDefault="00AD5F28">
            <w:pPr>
              <w:jc w:val="center"/>
              <w:rPr>
                <w:lang w:eastAsia="en-US"/>
              </w:rPr>
            </w:pPr>
            <w:r w:rsidRPr="008F2421">
              <w:rPr>
                <w:lang w:eastAsia="en-US"/>
              </w:rPr>
              <w:t>0</w:t>
            </w:r>
          </w:p>
        </w:tc>
        <w:tc>
          <w:tcPr>
            <w:tcW w:w="1008" w:type="dxa"/>
            <w:shd w:val="clear" w:color="auto" w:fill="auto"/>
            <w:vAlign w:val="center"/>
            <w:hideMark/>
          </w:tcPr>
          <w:p w14:paraId="060D0634" w14:textId="77777777" w:rsidR="00AD5F28" w:rsidRPr="008F2421" w:rsidRDefault="00AD5F28">
            <w:pPr>
              <w:jc w:val="center"/>
              <w:rPr>
                <w:lang w:eastAsia="en-US"/>
              </w:rPr>
            </w:pPr>
            <w:r w:rsidRPr="008F2421">
              <w:rPr>
                <w:lang w:eastAsia="en-US"/>
              </w:rPr>
              <w:t>0</w:t>
            </w:r>
          </w:p>
        </w:tc>
      </w:tr>
      <w:tr w:rsidR="000B2DD8" w:rsidRPr="008F2421" w14:paraId="7B6E696A" w14:textId="77777777" w:rsidTr="00C525EB">
        <w:tc>
          <w:tcPr>
            <w:tcW w:w="2165" w:type="dxa"/>
            <w:shd w:val="clear" w:color="auto" w:fill="auto"/>
            <w:hideMark/>
          </w:tcPr>
          <w:p w14:paraId="54895C94" w14:textId="77777777" w:rsidR="000B2DD8" w:rsidRPr="008F2421" w:rsidRDefault="000B2DD8" w:rsidP="000B2DD8">
            <w:pPr>
              <w:rPr>
                <w:lang w:eastAsia="en-US"/>
              </w:rPr>
            </w:pPr>
            <w:r w:rsidRPr="008F2421">
              <w:rPr>
                <w:lang w:eastAsia="en-US"/>
              </w:rPr>
              <w:t>3. Finansiālā ietekme</w:t>
            </w:r>
          </w:p>
        </w:tc>
        <w:tc>
          <w:tcPr>
            <w:tcW w:w="928" w:type="dxa"/>
            <w:shd w:val="clear" w:color="auto" w:fill="auto"/>
            <w:vAlign w:val="center"/>
            <w:hideMark/>
          </w:tcPr>
          <w:p w14:paraId="34B1728F" w14:textId="77777777" w:rsidR="000B2DD8" w:rsidRPr="008F2421" w:rsidRDefault="000B2DD8" w:rsidP="000B2DD8">
            <w:pPr>
              <w:jc w:val="center"/>
              <w:rPr>
                <w:lang w:eastAsia="en-US"/>
              </w:rPr>
            </w:pPr>
            <w:r w:rsidRPr="00792FEB">
              <w:rPr>
                <w:lang w:eastAsia="en-US"/>
              </w:rPr>
              <w:t>0</w:t>
            </w:r>
          </w:p>
        </w:tc>
        <w:tc>
          <w:tcPr>
            <w:tcW w:w="1239" w:type="dxa"/>
            <w:shd w:val="clear" w:color="auto" w:fill="auto"/>
            <w:vAlign w:val="center"/>
            <w:hideMark/>
          </w:tcPr>
          <w:p w14:paraId="168494CB" w14:textId="77777777" w:rsidR="000B2DD8" w:rsidRPr="00D514C8" w:rsidRDefault="00D514C8" w:rsidP="000B2DD8">
            <w:pPr>
              <w:jc w:val="center"/>
              <w:rPr>
                <w:lang w:eastAsia="en-US"/>
              </w:rPr>
            </w:pPr>
            <w:r w:rsidRPr="00D514C8">
              <w:rPr>
                <w:lang w:eastAsia="en-US"/>
              </w:rPr>
              <w:t>-20086</w:t>
            </w:r>
          </w:p>
        </w:tc>
        <w:tc>
          <w:tcPr>
            <w:tcW w:w="774" w:type="dxa"/>
            <w:shd w:val="clear" w:color="auto" w:fill="auto"/>
            <w:vAlign w:val="center"/>
            <w:hideMark/>
          </w:tcPr>
          <w:p w14:paraId="774CF61A" w14:textId="77777777" w:rsidR="000B2DD8" w:rsidRPr="008F2421" w:rsidRDefault="000B2DD8" w:rsidP="000B2DD8">
            <w:pPr>
              <w:jc w:val="center"/>
              <w:rPr>
                <w:lang w:eastAsia="en-US"/>
              </w:rPr>
            </w:pPr>
          </w:p>
        </w:tc>
        <w:tc>
          <w:tcPr>
            <w:tcW w:w="1085" w:type="dxa"/>
            <w:shd w:val="clear" w:color="auto" w:fill="auto"/>
            <w:vAlign w:val="center"/>
            <w:hideMark/>
          </w:tcPr>
          <w:p w14:paraId="5E8A32CA" w14:textId="77777777" w:rsidR="000B2DD8" w:rsidRPr="008F2421" w:rsidRDefault="000B2DD8" w:rsidP="000B2DD8">
            <w:pPr>
              <w:jc w:val="center"/>
              <w:rPr>
                <w:lang w:eastAsia="en-US"/>
              </w:rPr>
            </w:pPr>
            <w:r w:rsidRPr="00792FEB">
              <w:rPr>
                <w:lang w:eastAsia="en-US"/>
              </w:rPr>
              <w:t>-37468</w:t>
            </w:r>
          </w:p>
        </w:tc>
        <w:tc>
          <w:tcPr>
            <w:tcW w:w="773" w:type="dxa"/>
            <w:shd w:val="clear" w:color="auto" w:fill="auto"/>
            <w:vAlign w:val="center"/>
            <w:hideMark/>
          </w:tcPr>
          <w:p w14:paraId="76CB4639" w14:textId="77777777" w:rsidR="000B2DD8" w:rsidRPr="008F2421" w:rsidRDefault="000B2DD8" w:rsidP="000B2DD8">
            <w:pPr>
              <w:jc w:val="center"/>
              <w:rPr>
                <w:lang w:eastAsia="en-US"/>
              </w:rPr>
            </w:pPr>
          </w:p>
        </w:tc>
        <w:tc>
          <w:tcPr>
            <w:tcW w:w="1239" w:type="dxa"/>
            <w:shd w:val="clear" w:color="auto" w:fill="auto"/>
            <w:vAlign w:val="center"/>
            <w:hideMark/>
          </w:tcPr>
          <w:p w14:paraId="6F51E68D" w14:textId="77777777" w:rsidR="000B2DD8" w:rsidRPr="008F2421" w:rsidRDefault="000B2DD8" w:rsidP="000B2DD8">
            <w:pPr>
              <w:jc w:val="center"/>
              <w:rPr>
                <w:lang w:eastAsia="en-US"/>
              </w:rPr>
            </w:pPr>
            <w:r w:rsidRPr="00792FEB">
              <w:rPr>
                <w:lang w:eastAsia="en-US"/>
              </w:rPr>
              <w:t>-218940</w:t>
            </w:r>
          </w:p>
        </w:tc>
        <w:tc>
          <w:tcPr>
            <w:tcW w:w="1008" w:type="dxa"/>
            <w:shd w:val="clear" w:color="auto" w:fill="auto"/>
            <w:vAlign w:val="center"/>
            <w:hideMark/>
          </w:tcPr>
          <w:p w14:paraId="34069427" w14:textId="77777777" w:rsidR="000B2DD8" w:rsidRPr="008F2421" w:rsidRDefault="000B2DD8" w:rsidP="000B2DD8">
            <w:pPr>
              <w:jc w:val="center"/>
              <w:rPr>
                <w:lang w:eastAsia="en-US"/>
              </w:rPr>
            </w:pPr>
            <w:r w:rsidRPr="00792FEB">
              <w:rPr>
                <w:lang w:eastAsia="en-US"/>
              </w:rPr>
              <w:t>-708038</w:t>
            </w:r>
          </w:p>
        </w:tc>
      </w:tr>
      <w:tr w:rsidR="008F2421" w:rsidRPr="008F2421" w14:paraId="0ADCB786" w14:textId="77777777" w:rsidTr="00C525EB">
        <w:tc>
          <w:tcPr>
            <w:tcW w:w="2165" w:type="dxa"/>
            <w:shd w:val="clear" w:color="auto" w:fill="auto"/>
            <w:hideMark/>
          </w:tcPr>
          <w:p w14:paraId="55CF1220" w14:textId="77777777" w:rsidR="00AD5F28" w:rsidRPr="008F2421" w:rsidRDefault="00AD5F28" w:rsidP="008F2421">
            <w:pPr>
              <w:rPr>
                <w:lang w:eastAsia="en-US"/>
              </w:rPr>
            </w:pPr>
            <w:r w:rsidRPr="008F2421">
              <w:rPr>
                <w:lang w:eastAsia="en-US"/>
              </w:rPr>
              <w:t>3.1. valsts pamatbudžets</w:t>
            </w:r>
          </w:p>
        </w:tc>
        <w:tc>
          <w:tcPr>
            <w:tcW w:w="928" w:type="dxa"/>
            <w:shd w:val="clear" w:color="auto" w:fill="auto"/>
            <w:vAlign w:val="center"/>
            <w:hideMark/>
          </w:tcPr>
          <w:p w14:paraId="03F730F7" w14:textId="77777777" w:rsidR="00AD5F28" w:rsidRPr="008F2421" w:rsidRDefault="00AD5F28" w:rsidP="008F2421">
            <w:pPr>
              <w:jc w:val="center"/>
              <w:rPr>
                <w:lang w:eastAsia="en-US"/>
              </w:rPr>
            </w:pPr>
            <w:r w:rsidRPr="008F2421">
              <w:rPr>
                <w:lang w:eastAsia="en-US"/>
              </w:rPr>
              <w:t>0</w:t>
            </w:r>
          </w:p>
        </w:tc>
        <w:tc>
          <w:tcPr>
            <w:tcW w:w="1239" w:type="dxa"/>
            <w:shd w:val="clear" w:color="auto" w:fill="auto"/>
            <w:vAlign w:val="center"/>
            <w:hideMark/>
          </w:tcPr>
          <w:p w14:paraId="3D1E3751" w14:textId="77777777" w:rsidR="00AD5F28" w:rsidRPr="008F2421" w:rsidRDefault="00AD5F28" w:rsidP="008F2421">
            <w:pPr>
              <w:jc w:val="center"/>
              <w:rPr>
                <w:lang w:eastAsia="en-US"/>
              </w:rPr>
            </w:pPr>
            <w:r w:rsidRPr="008F2421">
              <w:rPr>
                <w:lang w:eastAsia="en-US"/>
              </w:rPr>
              <w:t>0</w:t>
            </w:r>
          </w:p>
        </w:tc>
        <w:tc>
          <w:tcPr>
            <w:tcW w:w="774" w:type="dxa"/>
            <w:shd w:val="clear" w:color="auto" w:fill="auto"/>
            <w:vAlign w:val="center"/>
            <w:hideMark/>
          </w:tcPr>
          <w:p w14:paraId="4B3CF21F" w14:textId="77777777" w:rsidR="00AD5F28" w:rsidRPr="008F2421" w:rsidRDefault="00AD5F28" w:rsidP="008F2421">
            <w:pPr>
              <w:jc w:val="center"/>
              <w:rPr>
                <w:lang w:eastAsia="en-US"/>
              </w:rPr>
            </w:pPr>
            <w:r w:rsidRPr="008F2421">
              <w:rPr>
                <w:lang w:eastAsia="en-US"/>
              </w:rPr>
              <w:t>0</w:t>
            </w:r>
          </w:p>
        </w:tc>
        <w:tc>
          <w:tcPr>
            <w:tcW w:w="1085" w:type="dxa"/>
            <w:shd w:val="clear" w:color="auto" w:fill="auto"/>
            <w:vAlign w:val="center"/>
            <w:hideMark/>
          </w:tcPr>
          <w:p w14:paraId="7C2164FA" w14:textId="77777777" w:rsidR="00AD5F28" w:rsidRPr="008F2421" w:rsidRDefault="00AD5F28">
            <w:pPr>
              <w:jc w:val="center"/>
              <w:rPr>
                <w:lang w:eastAsia="en-US"/>
              </w:rPr>
            </w:pPr>
            <w:r w:rsidRPr="008F2421">
              <w:rPr>
                <w:lang w:eastAsia="en-US"/>
              </w:rPr>
              <w:t>0</w:t>
            </w:r>
          </w:p>
        </w:tc>
        <w:tc>
          <w:tcPr>
            <w:tcW w:w="773" w:type="dxa"/>
            <w:shd w:val="clear" w:color="auto" w:fill="auto"/>
            <w:vAlign w:val="center"/>
            <w:hideMark/>
          </w:tcPr>
          <w:p w14:paraId="282BC33B" w14:textId="77777777" w:rsidR="00AD5F28" w:rsidRPr="008F2421" w:rsidRDefault="00AD5F28">
            <w:pPr>
              <w:jc w:val="center"/>
              <w:rPr>
                <w:lang w:eastAsia="en-US"/>
              </w:rPr>
            </w:pPr>
            <w:r w:rsidRPr="008F2421">
              <w:rPr>
                <w:lang w:eastAsia="en-US"/>
              </w:rPr>
              <w:t>0</w:t>
            </w:r>
          </w:p>
        </w:tc>
        <w:tc>
          <w:tcPr>
            <w:tcW w:w="1239" w:type="dxa"/>
            <w:shd w:val="clear" w:color="auto" w:fill="auto"/>
            <w:vAlign w:val="center"/>
            <w:hideMark/>
          </w:tcPr>
          <w:p w14:paraId="31ED8461" w14:textId="77777777" w:rsidR="00AD5F28" w:rsidRPr="008F2421" w:rsidRDefault="00AD5F28">
            <w:pPr>
              <w:jc w:val="center"/>
              <w:rPr>
                <w:lang w:eastAsia="en-US"/>
              </w:rPr>
            </w:pPr>
            <w:r w:rsidRPr="008F2421">
              <w:rPr>
                <w:lang w:eastAsia="en-US"/>
              </w:rPr>
              <w:t>0</w:t>
            </w:r>
          </w:p>
        </w:tc>
        <w:tc>
          <w:tcPr>
            <w:tcW w:w="1008" w:type="dxa"/>
            <w:shd w:val="clear" w:color="auto" w:fill="auto"/>
            <w:vAlign w:val="center"/>
            <w:hideMark/>
          </w:tcPr>
          <w:p w14:paraId="7FFC3DD3" w14:textId="77777777" w:rsidR="00AD5F28" w:rsidRPr="008F2421" w:rsidRDefault="00AD5F28">
            <w:pPr>
              <w:jc w:val="center"/>
              <w:rPr>
                <w:lang w:eastAsia="en-US"/>
              </w:rPr>
            </w:pPr>
            <w:r w:rsidRPr="008F2421">
              <w:rPr>
                <w:lang w:eastAsia="en-US"/>
              </w:rPr>
              <w:t>0</w:t>
            </w:r>
          </w:p>
        </w:tc>
      </w:tr>
      <w:tr w:rsidR="008F2421" w:rsidRPr="008F2421" w14:paraId="5F7298B6" w14:textId="77777777" w:rsidTr="00C525EB">
        <w:tc>
          <w:tcPr>
            <w:tcW w:w="2165" w:type="dxa"/>
            <w:shd w:val="clear" w:color="auto" w:fill="auto"/>
            <w:hideMark/>
          </w:tcPr>
          <w:p w14:paraId="50794A7F" w14:textId="77777777" w:rsidR="00AD5F28" w:rsidRPr="008F2421" w:rsidRDefault="00AD5F28" w:rsidP="008F2421">
            <w:pPr>
              <w:rPr>
                <w:lang w:eastAsia="en-US"/>
              </w:rPr>
            </w:pPr>
            <w:r w:rsidRPr="008F2421">
              <w:rPr>
                <w:lang w:eastAsia="en-US"/>
              </w:rPr>
              <w:t>3.2. speciālais budžets</w:t>
            </w:r>
          </w:p>
        </w:tc>
        <w:tc>
          <w:tcPr>
            <w:tcW w:w="928" w:type="dxa"/>
            <w:shd w:val="clear" w:color="auto" w:fill="auto"/>
            <w:vAlign w:val="center"/>
            <w:hideMark/>
          </w:tcPr>
          <w:p w14:paraId="582BDA87" w14:textId="77777777" w:rsidR="00AD5F28" w:rsidRPr="008F2421" w:rsidRDefault="00AD5F28" w:rsidP="008F2421">
            <w:pPr>
              <w:jc w:val="center"/>
              <w:rPr>
                <w:lang w:eastAsia="en-US"/>
              </w:rPr>
            </w:pPr>
            <w:r w:rsidRPr="008F2421">
              <w:rPr>
                <w:lang w:eastAsia="en-US"/>
              </w:rPr>
              <w:t>0</w:t>
            </w:r>
          </w:p>
        </w:tc>
        <w:tc>
          <w:tcPr>
            <w:tcW w:w="1239" w:type="dxa"/>
            <w:shd w:val="clear" w:color="auto" w:fill="auto"/>
            <w:vAlign w:val="center"/>
            <w:hideMark/>
          </w:tcPr>
          <w:p w14:paraId="256B5891" w14:textId="77777777" w:rsidR="00AD5F28" w:rsidRPr="008F2421" w:rsidRDefault="00AD5F28" w:rsidP="008F2421">
            <w:pPr>
              <w:jc w:val="center"/>
              <w:rPr>
                <w:lang w:eastAsia="en-US"/>
              </w:rPr>
            </w:pPr>
            <w:r w:rsidRPr="008F2421">
              <w:rPr>
                <w:lang w:eastAsia="en-US"/>
              </w:rPr>
              <w:t>0</w:t>
            </w:r>
          </w:p>
        </w:tc>
        <w:tc>
          <w:tcPr>
            <w:tcW w:w="774" w:type="dxa"/>
            <w:shd w:val="clear" w:color="auto" w:fill="auto"/>
            <w:vAlign w:val="center"/>
            <w:hideMark/>
          </w:tcPr>
          <w:p w14:paraId="22317F41" w14:textId="77777777" w:rsidR="00AD5F28" w:rsidRPr="008F2421" w:rsidRDefault="00AD5F28" w:rsidP="008F2421">
            <w:pPr>
              <w:jc w:val="center"/>
              <w:rPr>
                <w:lang w:eastAsia="en-US"/>
              </w:rPr>
            </w:pPr>
            <w:r w:rsidRPr="008F2421">
              <w:rPr>
                <w:lang w:eastAsia="en-US"/>
              </w:rPr>
              <w:t>0</w:t>
            </w:r>
          </w:p>
        </w:tc>
        <w:tc>
          <w:tcPr>
            <w:tcW w:w="1085" w:type="dxa"/>
            <w:shd w:val="clear" w:color="auto" w:fill="auto"/>
            <w:vAlign w:val="center"/>
            <w:hideMark/>
          </w:tcPr>
          <w:p w14:paraId="5FEBAC84" w14:textId="77777777" w:rsidR="00AD5F28" w:rsidRPr="008F2421" w:rsidRDefault="00AD5F28">
            <w:pPr>
              <w:jc w:val="center"/>
              <w:rPr>
                <w:lang w:eastAsia="en-US"/>
              </w:rPr>
            </w:pPr>
            <w:r w:rsidRPr="008F2421">
              <w:rPr>
                <w:lang w:eastAsia="en-US"/>
              </w:rPr>
              <w:t>0</w:t>
            </w:r>
          </w:p>
        </w:tc>
        <w:tc>
          <w:tcPr>
            <w:tcW w:w="773" w:type="dxa"/>
            <w:shd w:val="clear" w:color="auto" w:fill="auto"/>
            <w:vAlign w:val="center"/>
            <w:hideMark/>
          </w:tcPr>
          <w:p w14:paraId="6F461DDD" w14:textId="77777777" w:rsidR="00AD5F28" w:rsidRPr="008F2421" w:rsidRDefault="00AD5F28">
            <w:pPr>
              <w:jc w:val="center"/>
              <w:rPr>
                <w:lang w:eastAsia="en-US"/>
              </w:rPr>
            </w:pPr>
            <w:r w:rsidRPr="008F2421">
              <w:rPr>
                <w:lang w:eastAsia="en-US"/>
              </w:rPr>
              <w:t>0</w:t>
            </w:r>
          </w:p>
        </w:tc>
        <w:tc>
          <w:tcPr>
            <w:tcW w:w="1239" w:type="dxa"/>
            <w:shd w:val="clear" w:color="auto" w:fill="auto"/>
            <w:vAlign w:val="center"/>
            <w:hideMark/>
          </w:tcPr>
          <w:p w14:paraId="6FF4A649" w14:textId="77777777" w:rsidR="00AD5F28" w:rsidRPr="008F2421" w:rsidRDefault="00AD5F28">
            <w:pPr>
              <w:jc w:val="center"/>
              <w:rPr>
                <w:lang w:eastAsia="en-US"/>
              </w:rPr>
            </w:pPr>
            <w:r w:rsidRPr="008F2421">
              <w:rPr>
                <w:lang w:eastAsia="en-US"/>
              </w:rPr>
              <w:t>0</w:t>
            </w:r>
          </w:p>
        </w:tc>
        <w:tc>
          <w:tcPr>
            <w:tcW w:w="1008" w:type="dxa"/>
            <w:shd w:val="clear" w:color="auto" w:fill="auto"/>
            <w:vAlign w:val="center"/>
            <w:hideMark/>
          </w:tcPr>
          <w:p w14:paraId="179C3A3B" w14:textId="77777777" w:rsidR="00AD5F28" w:rsidRPr="008F2421" w:rsidRDefault="00AD5F28">
            <w:pPr>
              <w:jc w:val="center"/>
              <w:rPr>
                <w:lang w:eastAsia="en-US"/>
              </w:rPr>
            </w:pPr>
            <w:r w:rsidRPr="008F2421">
              <w:rPr>
                <w:lang w:eastAsia="en-US"/>
              </w:rPr>
              <w:t>0</w:t>
            </w:r>
          </w:p>
        </w:tc>
      </w:tr>
      <w:tr w:rsidR="008F2421" w:rsidRPr="008F2421" w14:paraId="4BED8FD2" w14:textId="77777777" w:rsidTr="00C525EB">
        <w:tc>
          <w:tcPr>
            <w:tcW w:w="2165" w:type="dxa"/>
            <w:shd w:val="clear" w:color="auto" w:fill="auto"/>
            <w:hideMark/>
          </w:tcPr>
          <w:p w14:paraId="4A596F8F" w14:textId="77777777" w:rsidR="00AD5F28" w:rsidRPr="008F2421" w:rsidRDefault="00AD5F28" w:rsidP="008F2421">
            <w:pPr>
              <w:rPr>
                <w:lang w:eastAsia="en-US"/>
              </w:rPr>
            </w:pPr>
            <w:r w:rsidRPr="008F2421">
              <w:rPr>
                <w:lang w:eastAsia="en-US"/>
              </w:rPr>
              <w:t>3.3. pašvaldību budžets</w:t>
            </w:r>
          </w:p>
        </w:tc>
        <w:tc>
          <w:tcPr>
            <w:tcW w:w="928" w:type="dxa"/>
            <w:shd w:val="clear" w:color="auto" w:fill="auto"/>
            <w:vAlign w:val="center"/>
            <w:hideMark/>
          </w:tcPr>
          <w:p w14:paraId="64199AF0" w14:textId="77777777" w:rsidR="00AD5F28" w:rsidRPr="008F2421" w:rsidRDefault="00AD5F28" w:rsidP="008F2421">
            <w:pPr>
              <w:jc w:val="center"/>
              <w:rPr>
                <w:lang w:eastAsia="en-US"/>
              </w:rPr>
            </w:pPr>
            <w:r w:rsidRPr="008F2421">
              <w:rPr>
                <w:lang w:eastAsia="en-US"/>
              </w:rPr>
              <w:t>0</w:t>
            </w:r>
          </w:p>
        </w:tc>
        <w:tc>
          <w:tcPr>
            <w:tcW w:w="1239" w:type="dxa"/>
            <w:shd w:val="clear" w:color="auto" w:fill="auto"/>
            <w:vAlign w:val="center"/>
            <w:hideMark/>
          </w:tcPr>
          <w:p w14:paraId="4559C8CC" w14:textId="77777777" w:rsidR="00AD5F28" w:rsidRPr="008F2421" w:rsidRDefault="00AD5F28" w:rsidP="008F2421">
            <w:pPr>
              <w:jc w:val="center"/>
              <w:rPr>
                <w:lang w:eastAsia="en-US"/>
              </w:rPr>
            </w:pPr>
            <w:r w:rsidRPr="008F2421">
              <w:rPr>
                <w:lang w:eastAsia="en-US"/>
              </w:rPr>
              <w:t>0</w:t>
            </w:r>
          </w:p>
        </w:tc>
        <w:tc>
          <w:tcPr>
            <w:tcW w:w="774" w:type="dxa"/>
            <w:shd w:val="clear" w:color="auto" w:fill="auto"/>
            <w:vAlign w:val="center"/>
            <w:hideMark/>
          </w:tcPr>
          <w:p w14:paraId="20790B42" w14:textId="77777777" w:rsidR="00AD5F28" w:rsidRPr="008F2421" w:rsidRDefault="00AD5F28" w:rsidP="008F2421">
            <w:pPr>
              <w:jc w:val="center"/>
              <w:rPr>
                <w:lang w:eastAsia="en-US"/>
              </w:rPr>
            </w:pPr>
            <w:r w:rsidRPr="008F2421">
              <w:rPr>
                <w:lang w:eastAsia="en-US"/>
              </w:rPr>
              <w:t>0</w:t>
            </w:r>
          </w:p>
        </w:tc>
        <w:tc>
          <w:tcPr>
            <w:tcW w:w="1085" w:type="dxa"/>
            <w:shd w:val="clear" w:color="auto" w:fill="auto"/>
            <w:vAlign w:val="center"/>
            <w:hideMark/>
          </w:tcPr>
          <w:p w14:paraId="5EB1B1F3" w14:textId="77777777" w:rsidR="00AD5F28" w:rsidRPr="008F2421" w:rsidRDefault="00AD5F28">
            <w:pPr>
              <w:jc w:val="center"/>
              <w:rPr>
                <w:lang w:eastAsia="en-US"/>
              </w:rPr>
            </w:pPr>
            <w:r w:rsidRPr="008F2421">
              <w:rPr>
                <w:lang w:eastAsia="en-US"/>
              </w:rPr>
              <w:t>0</w:t>
            </w:r>
          </w:p>
        </w:tc>
        <w:tc>
          <w:tcPr>
            <w:tcW w:w="773" w:type="dxa"/>
            <w:shd w:val="clear" w:color="auto" w:fill="auto"/>
            <w:vAlign w:val="center"/>
            <w:hideMark/>
          </w:tcPr>
          <w:p w14:paraId="6204A259" w14:textId="77777777" w:rsidR="00AD5F28" w:rsidRPr="008F2421" w:rsidRDefault="00AD5F28">
            <w:pPr>
              <w:jc w:val="center"/>
              <w:rPr>
                <w:lang w:eastAsia="en-US"/>
              </w:rPr>
            </w:pPr>
            <w:r w:rsidRPr="008F2421">
              <w:rPr>
                <w:lang w:eastAsia="en-US"/>
              </w:rPr>
              <w:t>0</w:t>
            </w:r>
          </w:p>
        </w:tc>
        <w:tc>
          <w:tcPr>
            <w:tcW w:w="1239" w:type="dxa"/>
            <w:shd w:val="clear" w:color="auto" w:fill="auto"/>
            <w:vAlign w:val="center"/>
            <w:hideMark/>
          </w:tcPr>
          <w:p w14:paraId="66D51FD3" w14:textId="77777777" w:rsidR="00AD5F28" w:rsidRPr="008F2421" w:rsidRDefault="00AD5F28">
            <w:pPr>
              <w:jc w:val="center"/>
              <w:rPr>
                <w:lang w:eastAsia="en-US"/>
              </w:rPr>
            </w:pPr>
            <w:r w:rsidRPr="008F2421">
              <w:rPr>
                <w:lang w:eastAsia="en-US"/>
              </w:rPr>
              <w:t>0</w:t>
            </w:r>
          </w:p>
        </w:tc>
        <w:tc>
          <w:tcPr>
            <w:tcW w:w="1008" w:type="dxa"/>
            <w:shd w:val="clear" w:color="auto" w:fill="auto"/>
            <w:vAlign w:val="center"/>
            <w:hideMark/>
          </w:tcPr>
          <w:p w14:paraId="1932C649" w14:textId="77777777" w:rsidR="00AD5F28" w:rsidRPr="008F2421" w:rsidRDefault="00AD5F28">
            <w:pPr>
              <w:jc w:val="center"/>
              <w:rPr>
                <w:lang w:eastAsia="en-US"/>
              </w:rPr>
            </w:pPr>
            <w:r w:rsidRPr="008F2421">
              <w:rPr>
                <w:lang w:eastAsia="en-US"/>
              </w:rPr>
              <w:t>0</w:t>
            </w:r>
          </w:p>
        </w:tc>
      </w:tr>
      <w:tr w:rsidR="008F2421" w:rsidRPr="008F2421" w14:paraId="4C1CDC66" w14:textId="77777777" w:rsidTr="00C525EB">
        <w:tc>
          <w:tcPr>
            <w:tcW w:w="2165" w:type="dxa"/>
            <w:shd w:val="clear" w:color="auto" w:fill="auto"/>
            <w:hideMark/>
          </w:tcPr>
          <w:p w14:paraId="73B3590E" w14:textId="77777777" w:rsidR="00AD5F28" w:rsidRPr="008F2421" w:rsidRDefault="00AD5F28" w:rsidP="008F2421">
            <w:pPr>
              <w:rPr>
                <w:lang w:eastAsia="en-US"/>
              </w:rPr>
            </w:pPr>
            <w:r w:rsidRPr="008F2421">
              <w:rPr>
                <w:lang w:eastAsia="en-US"/>
              </w:rPr>
              <w:t>4. Finanšu līdzekļi papildu izdevumu finansēšanai (kompensējošu izdevumu samazinājumu norāda ar "+" zīmi)</w:t>
            </w:r>
          </w:p>
        </w:tc>
        <w:tc>
          <w:tcPr>
            <w:tcW w:w="928" w:type="dxa"/>
            <w:shd w:val="clear" w:color="auto" w:fill="auto"/>
            <w:vAlign w:val="center"/>
            <w:hideMark/>
          </w:tcPr>
          <w:p w14:paraId="426C7242" w14:textId="77777777" w:rsidR="00AD5F28" w:rsidRPr="008F2421" w:rsidRDefault="00AD5F28" w:rsidP="008F2421">
            <w:pPr>
              <w:jc w:val="center"/>
              <w:rPr>
                <w:lang w:eastAsia="en-US"/>
              </w:rPr>
            </w:pPr>
            <w:r w:rsidRPr="008F2421">
              <w:rPr>
                <w:lang w:eastAsia="en-US"/>
              </w:rPr>
              <w:t>X</w:t>
            </w:r>
          </w:p>
        </w:tc>
        <w:tc>
          <w:tcPr>
            <w:tcW w:w="1239" w:type="dxa"/>
            <w:shd w:val="clear" w:color="auto" w:fill="auto"/>
            <w:vAlign w:val="center"/>
            <w:hideMark/>
          </w:tcPr>
          <w:p w14:paraId="556837B3" w14:textId="77777777" w:rsidR="00AD5F28" w:rsidRPr="008F2421" w:rsidRDefault="00AD5F28" w:rsidP="008F2421">
            <w:pPr>
              <w:jc w:val="center"/>
              <w:rPr>
                <w:lang w:eastAsia="en-US"/>
              </w:rPr>
            </w:pPr>
            <w:r w:rsidRPr="008F2421">
              <w:rPr>
                <w:lang w:eastAsia="en-US"/>
              </w:rPr>
              <w:t>0</w:t>
            </w:r>
          </w:p>
        </w:tc>
        <w:tc>
          <w:tcPr>
            <w:tcW w:w="774" w:type="dxa"/>
            <w:shd w:val="clear" w:color="auto" w:fill="auto"/>
            <w:vAlign w:val="center"/>
            <w:hideMark/>
          </w:tcPr>
          <w:p w14:paraId="1A2DB32F" w14:textId="77777777" w:rsidR="00AD5F28" w:rsidRPr="008F2421" w:rsidRDefault="00AD5F28" w:rsidP="008F2421">
            <w:pPr>
              <w:jc w:val="center"/>
              <w:rPr>
                <w:lang w:eastAsia="en-US"/>
              </w:rPr>
            </w:pPr>
            <w:r w:rsidRPr="008F2421">
              <w:rPr>
                <w:lang w:eastAsia="en-US"/>
              </w:rPr>
              <w:t>X</w:t>
            </w:r>
          </w:p>
        </w:tc>
        <w:tc>
          <w:tcPr>
            <w:tcW w:w="1085" w:type="dxa"/>
            <w:shd w:val="clear" w:color="auto" w:fill="auto"/>
            <w:vAlign w:val="center"/>
            <w:hideMark/>
          </w:tcPr>
          <w:p w14:paraId="663FCDCA" w14:textId="77777777" w:rsidR="00AD5F28" w:rsidRPr="008F2421" w:rsidRDefault="00AD5F28">
            <w:pPr>
              <w:jc w:val="center"/>
              <w:rPr>
                <w:lang w:eastAsia="en-US"/>
              </w:rPr>
            </w:pPr>
            <w:r w:rsidRPr="008F2421">
              <w:rPr>
                <w:lang w:eastAsia="en-US"/>
              </w:rPr>
              <w:t>0</w:t>
            </w:r>
          </w:p>
        </w:tc>
        <w:tc>
          <w:tcPr>
            <w:tcW w:w="773" w:type="dxa"/>
            <w:shd w:val="clear" w:color="auto" w:fill="auto"/>
            <w:vAlign w:val="center"/>
            <w:hideMark/>
          </w:tcPr>
          <w:p w14:paraId="38C6B5AB" w14:textId="77777777" w:rsidR="00AD5F28" w:rsidRPr="008F2421" w:rsidRDefault="00AD5F28">
            <w:pPr>
              <w:jc w:val="center"/>
              <w:rPr>
                <w:lang w:eastAsia="en-US"/>
              </w:rPr>
            </w:pPr>
            <w:r w:rsidRPr="008F2421">
              <w:rPr>
                <w:lang w:eastAsia="en-US"/>
              </w:rPr>
              <w:t>X</w:t>
            </w:r>
          </w:p>
        </w:tc>
        <w:tc>
          <w:tcPr>
            <w:tcW w:w="1239" w:type="dxa"/>
            <w:shd w:val="clear" w:color="auto" w:fill="auto"/>
            <w:vAlign w:val="center"/>
            <w:hideMark/>
          </w:tcPr>
          <w:p w14:paraId="3A34418E" w14:textId="77777777" w:rsidR="00AD5F28" w:rsidRPr="008F2421" w:rsidRDefault="00AD5F28">
            <w:pPr>
              <w:jc w:val="center"/>
              <w:rPr>
                <w:lang w:eastAsia="en-US"/>
              </w:rPr>
            </w:pPr>
            <w:r w:rsidRPr="008F2421">
              <w:rPr>
                <w:lang w:eastAsia="en-US"/>
              </w:rPr>
              <w:t>0</w:t>
            </w:r>
          </w:p>
        </w:tc>
        <w:tc>
          <w:tcPr>
            <w:tcW w:w="1008" w:type="dxa"/>
            <w:shd w:val="clear" w:color="auto" w:fill="auto"/>
            <w:vAlign w:val="center"/>
            <w:hideMark/>
          </w:tcPr>
          <w:p w14:paraId="01C3B5AA" w14:textId="77777777" w:rsidR="00AD5F28" w:rsidRPr="008F2421" w:rsidRDefault="00AD5F28">
            <w:pPr>
              <w:jc w:val="center"/>
              <w:rPr>
                <w:lang w:eastAsia="en-US"/>
              </w:rPr>
            </w:pPr>
            <w:r w:rsidRPr="008F2421">
              <w:rPr>
                <w:lang w:eastAsia="en-US"/>
              </w:rPr>
              <w:t>X</w:t>
            </w:r>
          </w:p>
        </w:tc>
      </w:tr>
      <w:tr w:rsidR="008F2421" w:rsidRPr="008F2421" w14:paraId="372B8AA7" w14:textId="77777777" w:rsidTr="00C525EB">
        <w:tc>
          <w:tcPr>
            <w:tcW w:w="2165" w:type="dxa"/>
            <w:shd w:val="clear" w:color="auto" w:fill="auto"/>
            <w:hideMark/>
          </w:tcPr>
          <w:p w14:paraId="0A402441" w14:textId="77777777" w:rsidR="00AD5F28" w:rsidRPr="008F2421" w:rsidRDefault="00AD5F28" w:rsidP="008F2421">
            <w:pPr>
              <w:rPr>
                <w:lang w:eastAsia="en-US"/>
              </w:rPr>
            </w:pPr>
            <w:r w:rsidRPr="008F2421">
              <w:rPr>
                <w:lang w:eastAsia="en-US"/>
              </w:rPr>
              <w:t>5. Precizēta finansiālā ietekme</w:t>
            </w:r>
          </w:p>
        </w:tc>
        <w:tc>
          <w:tcPr>
            <w:tcW w:w="928" w:type="dxa"/>
            <w:vMerge w:val="restart"/>
            <w:shd w:val="clear" w:color="auto" w:fill="auto"/>
            <w:vAlign w:val="center"/>
            <w:hideMark/>
          </w:tcPr>
          <w:p w14:paraId="59BB8B02" w14:textId="77777777" w:rsidR="00AD5F28" w:rsidRPr="008F2421" w:rsidRDefault="00AD5F28" w:rsidP="008F2421">
            <w:pPr>
              <w:jc w:val="center"/>
              <w:rPr>
                <w:lang w:eastAsia="en-US"/>
              </w:rPr>
            </w:pPr>
            <w:r w:rsidRPr="008F2421">
              <w:rPr>
                <w:lang w:eastAsia="en-US"/>
              </w:rPr>
              <w:t>X</w:t>
            </w:r>
          </w:p>
        </w:tc>
        <w:tc>
          <w:tcPr>
            <w:tcW w:w="1239" w:type="dxa"/>
            <w:shd w:val="clear" w:color="auto" w:fill="auto"/>
            <w:vAlign w:val="center"/>
            <w:hideMark/>
          </w:tcPr>
          <w:p w14:paraId="0AD0AAD0" w14:textId="77777777" w:rsidR="00AD5F28" w:rsidRPr="008F2421" w:rsidRDefault="00AD5F28" w:rsidP="008F2421">
            <w:pPr>
              <w:jc w:val="center"/>
              <w:rPr>
                <w:lang w:eastAsia="en-US"/>
              </w:rPr>
            </w:pPr>
            <w:r w:rsidRPr="008F2421">
              <w:rPr>
                <w:lang w:eastAsia="en-US"/>
              </w:rPr>
              <w:t>0</w:t>
            </w:r>
          </w:p>
        </w:tc>
        <w:tc>
          <w:tcPr>
            <w:tcW w:w="774" w:type="dxa"/>
            <w:vMerge w:val="restart"/>
            <w:shd w:val="clear" w:color="auto" w:fill="auto"/>
            <w:vAlign w:val="center"/>
            <w:hideMark/>
          </w:tcPr>
          <w:p w14:paraId="0235B44D" w14:textId="77777777" w:rsidR="00AD5F28" w:rsidRPr="008F2421" w:rsidRDefault="00AD5F28" w:rsidP="008F2421">
            <w:pPr>
              <w:jc w:val="center"/>
              <w:rPr>
                <w:lang w:eastAsia="en-US"/>
              </w:rPr>
            </w:pPr>
            <w:r w:rsidRPr="008F2421">
              <w:rPr>
                <w:lang w:eastAsia="en-US"/>
              </w:rPr>
              <w:t>X</w:t>
            </w:r>
          </w:p>
        </w:tc>
        <w:tc>
          <w:tcPr>
            <w:tcW w:w="1085" w:type="dxa"/>
            <w:shd w:val="clear" w:color="auto" w:fill="auto"/>
            <w:vAlign w:val="center"/>
            <w:hideMark/>
          </w:tcPr>
          <w:p w14:paraId="61528D11" w14:textId="77777777" w:rsidR="00AD5F28" w:rsidRPr="008F2421" w:rsidRDefault="00AD5F28">
            <w:pPr>
              <w:jc w:val="center"/>
              <w:rPr>
                <w:lang w:eastAsia="en-US"/>
              </w:rPr>
            </w:pPr>
            <w:r w:rsidRPr="008F2421">
              <w:rPr>
                <w:lang w:eastAsia="en-US"/>
              </w:rPr>
              <w:t>0</w:t>
            </w:r>
          </w:p>
        </w:tc>
        <w:tc>
          <w:tcPr>
            <w:tcW w:w="773" w:type="dxa"/>
            <w:vMerge w:val="restart"/>
            <w:shd w:val="clear" w:color="auto" w:fill="auto"/>
            <w:vAlign w:val="center"/>
            <w:hideMark/>
          </w:tcPr>
          <w:p w14:paraId="36FAADA1" w14:textId="77777777" w:rsidR="00AD5F28" w:rsidRPr="008F2421" w:rsidRDefault="00AD5F28">
            <w:pPr>
              <w:jc w:val="center"/>
              <w:rPr>
                <w:lang w:eastAsia="en-US"/>
              </w:rPr>
            </w:pPr>
            <w:r w:rsidRPr="008F2421">
              <w:rPr>
                <w:lang w:eastAsia="en-US"/>
              </w:rPr>
              <w:t>X</w:t>
            </w:r>
          </w:p>
        </w:tc>
        <w:tc>
          <w:tcPr>
            <w:tcW w:w="1239" w:type="dxa"/>
            <w:shd w:val="clear" w:color="auto" w:fill="auto"/>
            <w:vAlign w:val="center"/>
            <w:hideMark/>
          </w:tcPr>
          <w:p w14:paraId="49E3CBE9" w14:textId="77777777" w:rsidR="00AD5F28" w:rsidRPr="008F2421" w:rsidRDefault="00AD5F28">
            <w:pPr>
              <w:jc w:val="center"/>
              <w:rPr>
                <w:lang w:eastAsia="en-US"/>
              </w:rPr>
            </w:pPr>
            <w:r w:rsidRPr="008F2421">
              <w:rPr>
                <w:lang w:eastAsia="en-US"/>
              </w:rPr>
              <w:t>0</w:t>
            </w:r>
          </w:p>
        </w:tc>
        <w:tc>
          <w:tcPr>
            <w:tcW w:w="1008" w:type="dxa"/>
            <w:shd w:val="clear" w:color="auto" w:fill="auto"/>
            <w:vAlign w:val="center"/>
            <w:hideMark/>
          </w:tcPr>
          <w:p w14:paraId="43127BFE" w14:textId="77777777" w:rsidR="00AD5F28" w:rsidRPr="008F2421" w:rsidRDefault="00AD5F28">
            <w:pPr>
              <w:jc w:val="center"/>
              <w:rPr>
                <w:lang w:eastAsia="en-US"/>
              </w:rPr>
            </w:pPr>
            <w:r w:rsidRPr="008F2421">
              <w:rPr>
                <w:lang w:eastAsia="en-US"/>
              </w:rPr>
              <w:t>0</w:t>
            </w:r>
          </w:p>
        </w:tc>
      </w:tr>
      <w:tr w:rsidR="008F2421" w:rsidRPr="008F2421" w14:paraId="19E91648" w14:textId="77777777" w:rsidTr="00C525EB">
        <w:tc>
          <w:tcPr>
            <w:tcW w:w="2165" w:type="dxa"/>
            <w:shd w:val="clear" w:color="auto" w:fill="auto"/>
            <w:hideMark/>
          </w:tcPr>
          <w:p w14:paraId="1C72F82B" w14:textId="77777777" w:rsidR="00AD5F28" w:rsidRPr="008F2421" w:rsidRDefault="00AD5F28" w:rsidP="008F2421">
            <w:pPr>
              <w:rPr>
                <w:lang w:eastAsia="en-US"/>
              </w:rPr>
            </w:pPr>
            <w:r w:rsidRPr="008F2421">
              <w:rPr>
                <w:lang w:eastAsia="en-US"/>
              </w:rPr>
              <w:t>5.1. valsts pamatbudžets</w:t>
            </w:r>
          </w:p>
        </w:tc>
        <w:tc>
          <w:tcPr>
            <w:tcW w:w="928" w:type="dxa"/>
            <w:vMerge/>
            <w:shd w:val="clear" w:color="auto" w:fill="auto"/>
            <w:vAlign w:val="center"/>
            <w:hideMark/>
          </w:tcPr>
          <w:p w14:paraId="01A758C0" w14:textId="77777777" w:rsidR="00AD5F28" w:rsidRPr="008F2421" w:rsidRDefault="00AD5F28">
            <w:pPr>
              <w:jc w:val="center"/>
              <w:rPr>
                <w:lang w:eastAsia="en-US"/>
              </w:rPr>
            </w:pPr>
          </w:p>
        </w:tc>
        <w:tc>
          <w:tcPr>
            <w:tcW w:w="1239" w:type="dxa"/>
            <w:shd w:val="clear" w:color="auto" w:fill="auto"/>
            <w:vAlign w:val="center"/>
            <w:hideMark/>
          </w:tcPr>
          <w:p w14:paraId="0C046A09" w14:textId="77777777" w:rsidR="00AD5F28" w:rsidRPr="008F2421" w:rsidRDefault="00AD5F28">
            <w:pPr>
              <w:jc w:val="center"/>
              <w:rPr>
                <w:lang w:eastAsia="en-US"/>
              </w:rPr>
            </w:pPr>
            <w:r w:rsidRPr="008F2421">
              <w:rPr>
                <w:lang w:eastAsia="en-US"/>
              </w:rPr>
              <w:t>0</w:t>
            </w:r>
          </w:p>
        </w:tc>
        <w:tc>
          <w:tcPr>
            <w:tcW w:w="774" w:type="dxa"/>
            <w:vMerge/>
            <w:shd w:val="clear" w:color="auto" w:fill="auto"/>
            <w:vAlign w:val="center"/>
            <w:hideMark/>
          </w:tcPr>
          <w:p w14:paraId="20649C29" w14:textId="77777777" w:rsidR="00AD5F28" w:rsidRPr="008F2421" w:rsidRDefault="00AD5F28">
            <w:pPr>
              <w:jc w:val="center"/>
              <w:rPr>
                <w:lang w:eastAsia="en-US"/>
              </w:rPr>
            </w:pPr>
          </w:p>
        </w:tc>
        <w:tc>
          <w:tcPr>
            <w:tcW w:w="1085" w:type="dxa"/>
            <w:shd w:val="clear" w:color="auto" w:fill="auto"/>
            <w:vAlign w:val="center"/>
            <w:hideMark/>
          </w:tcPr>
          <w:p w14:paraId="4EC79B69" w14:textId="77777777" w:rsidR="00AD5F28" w:rsidRPr="008F2421" w:rsidRDefault="00AD5F28">
            <w:pPr>
              <w:jc w:val="center"/>
              <w:rPr>
                <w:lang w:eastAsia="en-US"/>
              </w:rPr>
            </w:pPr>
            <w:r w:rsidRPr="008F2421">
              <w:rPr>
                <w:lang w:eastAsia="en-US"/>
              </w:rPr>
              <w:t>0</w:t>
            </w:r>
          </w:p>
        </w:tc>
        <w:tc>
          <w:tcPr>
            <w:tcW w:w="773" w:type="dxa"/>
            <w:vMerge/>
            <w:shd w:val="clear" w:color="auto" w:fill="auto"/>
            <w:vAlign w:val="center"/>
            <w:hideMark/>
          </w:tcPr>
          <w:p w14:paraId="5AA1EA6A" w14:textId="77777777" w:rsidR="00AD5F28" w:rsidRPr="008F2421" w:rsidRDefault="00AD5F28">
            <w:pPr>
              <w:jc w:val="center"/>
              <w:rPr>
                <w:lang w:eastAsia="en-US"/>
              </w:rPr>
            </w:pPr>
          </w:p>
        </w:tc>
        <w:tc>
          <w:tcPr>
            <w:tcW w:w="1239" w:type="dxa"/>
            <w:shd w:val="clear" w:color="auto" w:fill="auto"/>
            <w:vAlign w:val="center"/>
            <w:hideMark/>
          </w:tcPr>
          <w:p w14:paraId="10AACFCF" w14:textId="77777777" w:rsidR="00AD5F28" w:rsidRPr="008F2421" w:rsidRDefault="00AD5F28">
            <w:pPr>
              <w:jc w:val="center"/>
              <w:rPr>
                <w:lang w:eastAsia="en-US"/>
              </w:rPr>
            </w:pPr>
            <w:r w:rsidRPr="008F2421">
              <w:rPr>
                <w:lang w:eastAsia="en-US"/>
              </w:rPr>
              <w:t>0</w:t>
            </w:r>
          </w:p>
        </w:tc>
        <w:tc>
          <w:tcPr>
            <w:tcW w:w="1008" w:type="dxa"/>
            <w:shd w:val="clear" w:color="auto" w:fill="auto"/>
            <w:vAlign w:val="center"/>
            <w:hideMark/>
          </w:tcPr>
          <w:p w14:paraId="03F2EFE0" w14:textId="77777777" w:rsidR="00AD5F28" w:rsidRPr="008F2421" w:rsidRDefault="00AD5F28">
            <w:pPr>
              <w:jc w:val="center"/>
              <w:rPr>
                <w:lang w:eastAsia="en-US"/>
              </w:rPr>
            </w:pPr>
            <w:r w:rsidRPr="008F2421">
              <w:rPr>
                <w:lang w:eastAsia="en-US"/>
              </w:rPr>
              <w:t>0</w:t>
            </w:r>
          </w:p>
        </w:tc>
      </w:tr>
      <w:tr w:rsidR="008F2421" w:rsidRPr="008F2421" w14:paraId="3DEEA423" w14:textId="77777777" w:rsidTr="00C525EB">
        <w:tc>
          <w:tcPr>
            <w:tcW w:w="2165" w:type="dxa"/>
            <w:shd w:val="clear" w:color="auto" w:fill="auto"/>
            <w:hideMark/>
          </w:tcPr>
          <w:p w14:paraId="1E087A96" w14:textId="77777777" w:rsidR="00AD5F28" w:rsidRPr="008F2421" w:rsidRDefault="00AD5F28" w:rsidP="008F2421">
            <w:pPr>
              <w:rPr>
                <w:lang w:eastAsia="en-US"/>
              </w:rPr>
            </w:pPr>
            <w:r w:rsidRPr="008F2421">
              <w:rPr>
                <w:lang w:eastAsia="en-US"/>
              </w:rPr>
              <w:t>5.2. speciālais budžets</w:t>
            </w:r>
          </w:p>
        </w:tc>
        <w:tc>
          <w:tcPr>
            <w:tcW w:w="928" w:type="dxa"/>
            <w:vMerge/>
            <w:shd w:val="clear" w:color="auto" w:fill="auto"/>
            <w:vAlign w:val="center"/>
            <w:hideMark/>
          </w:tcPr>
          <w:p w14:paraId="46538955" w14:textId="77777777" w:rsidR="00AD5F28" w:rsidRPr="008F2421" w:rsidRDefault="00AD5F28">
            <w:pPr>
              <w:jc w:val="center"/>
              <w:rPr>
                <w:lang w:eastAsia="en-US"/>
              </w:rPr>
            </w:pPr>
          </w:p>
        </w:tc>
        <w:tc>
          <w:tcPr>
            <w:tcW w:w="1239" w:type="dxa"/>
            <w:shd w:val="clear" w:color="auto" w:fill="auto"/>
            <w:vAlign w:val="center"/>
            <w:hideMark/>
          </w:tcPr>
          <w:p w14:paraId="0DC86E9A" w14:textId="77777777" w:rsidR="00AD5F28" w:rsidRPr="008F2421" w:rsidRDefault="00AD5F28">
            <w:pPr>
              <w:jc w:val="center"/>
              <w:rPr>
                <w:lang w:eastAsia="en-US"/>
              </w:rPr>
            </w:pPr>
            <w:r w:rsidRPr="008F2421">
              <w:rPr>
                <w:lang w:eastAsia="en-US"/>
              </w:rPr>
              <w:t>0</w:t>
            </w:r>
          </w:p>
        </w:tc>
        <w:tc>
          <w:tcPr>
            <w:tcW w:w="774" w:type="dxa"/>
            <w:vMerge/>
            <w:shd w:val="clear" w:color="auto" w:fill="auto"/>
            <w:vAlign w:val="center"/>
            <w:hideMark/>
          </w:tcPr>
          <w:p w14:paraId="5D47D2ED" w14:textId="77777777" w:rsidR="00AD5F28" w:rsidRPr="008F2421" w:rsidRDefault="00AD5F28">
            <w:pPr>
              <w:jc w:val="center"/>
              <w:rPr>
                <w:lang w:eastAsia="en-US"/>
              </w:rPr>
            </w:pPr>
          </w:p>
        </w:tc>
        <w:tc>
          <w:tcPr>
            <w:tcW w:w="1085" w:type="dxa"/>
            <w:shd w:val="clear" w:color="auto" w:fill="auto"/>
            <w:vAlign w:val="center"/>
            <w:hideMark/>
          </w:tcPr>
          <w:p w14:paraId="2773A4CB" w14:textId="77777777" w:rsidR="00AD5F28" w:rsidRPr="008F2421" w:rsidRDefault="00AD5F28">
            <w:pPr>
              <w:jc w:val="center"/>
              <w:rPr>
                <w:lang w:eastAsia="en-US"/>
              </w:rPr>
            </w:pPr>
            <w:r w:rsidRPr="008F2421">
              <w:rPr>
                <w:lang w:eastAsia="en-US"/>
              </w:rPr>
              <w:t>0</w:t>
            </w:r>
          </w:p>
        </w:tc>
        <w:tc>
          <w:tcPr>
            <w:tcW w:w="773" w:type="dxa"/>
            <w:vMerge/>
            <w:shd w:val="clear" w:color="auto" w:fill="auto"/>
            <w:vAlign w:val="center"/>
            <w:hideMark/>
          </w:tcPr>
          <w:p w14:paraId="1A85B94B" w14:textId="77777777" w:rsidR="00AD5F28" w:rsidRPr="008F2421" w:rsidRDefault="00AD5F28">
            <w:pPr>
              <w:jc w:val="center"/>
              <w:rPr>
                <w:lang w:eastAsia="en-US"/>
              </w:rPr>
            </w:pPr>
          </w:p>
        </w:tc>
        <w:tc>
          <w:tcPr>
            <w:tcW w:w="1239" w:type="dxa"/>
            <w:shd w:val="clear" w:color="auto" w:fill="auto"/>
            <w:vAlign w:val="center"/>
            <w:hideMark/>
          </w:tcPr>
          <w:p w14:paraId="172238E8" w14:textId="77777777" w:rsidR="00AD5F28" w:rsidRPr="008F2421" w:rsidRDefault="00AD5F28">
            <w:pPr>
              <w:jc w:val="center"/>
              <w:rPr>
                <w:lang w:eastAsia="en-US"/>
              </w:rPr>
            </w:pPr>
            <w:r w:rsidRPr="008F2421">
              <w:rPr>
                <w:lang w:eastAsia="en-US"/>
              </w:rPr>
              <w:t>0</w:t>
            </w:r>
          </w:p>
        </w:tc>
        <w:tc>
          <w:tcPr>
            <w:tcW w:w="1008" w:type="dxa"/>
            <w:shd w:val="clear" w:color="auto" w:fill="auto"/>
            <w:vAlign w:val="center"/>
            <w:hideMark/>
          </w:tcPr>
          <w:p w14:paraId="16EDDAC6" w14:textId="77777777" w:rsidR="00AD5F28" w:rsidRPr="008F2421" w:rsidRDefault="00AD5F28">
            <w:pPr>
              <w:jc w:val="center"/>
              <w:rPr>
                <w:lang w:eastAsia="en-US"/>
              </w:rPr>
            </w:pPr>
            <w:r w:rsidRPr="008F2421">
              <w:rPr>
                <w:lang w:eastAsia="en-US"/>
              </w:rPr>
              <w:t>0</w:t>
            </w:r>
          </w:p>
        </w:tc>
      </w:tr>
      <w:tr w:rsidR="008F2421" w:rsidRPr="008F2421" w14:paraId="0C0EC350" w14:textId="77777777" w:rsidTr="00C525EB">
        <w:tc>
          <w:tcPr>
            <w:tcW w:w="2165" w:type="dxa"/>
            <w:shd w:val="clear" w:color="auto" w:fill="auto"/>
            <w:hideMark/>
          </w:tcPr>
          <w:p w14:paraId="071BB420" w14:textId="77777777" w:rsidR="00AD5F28" w:rsidRPr="008F2421" w:rsidRDefault="00AD5F28" w:rsidP="008F2421">
            <w:pPr>
              <w:rPr>
                <w:lang w:eastAsia="en-US"/>
              </w:rPr>
            </w:pPr>
            <w:r w:rsidRPr="008F2421">
              <w:rPr>
                <w:lang w:eastAsia="en-US"/>
              </w:rPr>
              <w:t>5.3. pašvaldību budžets</w:t>
            </w:r>
          </w:p>
        </w:tc>
        <w:tc>
          <w:tcPr>
            <w:tcW w:w="928" w:type="dxa"/>
            <w:vMerge/>
            <w:shd w:val="clear" w:color="auto" w:fill="auto"/>
            <w:vAlign w:val="center"/>
            <w:hideMark/>
          </w:tcPr>
          <w:p w14:paraId="4CD9E832" w14:textId="77777777" w:rsidR="00AD5F28" w:rsidRPr="008F2421" w:rsidRDefault="00AD5F28">
            <w:pPr>
              <w:jc w:val="center"/>
              <w:rPr>
                <w:lang w:eastAsia="en-US"/>
              </w:rPr>
            </w:pPr>
          </w:p>
        </w:tc>
        <w:tc>
          <w:tcPr>
            <w:tcW w:w="1239" w:type="dxa"/>
            <w:shd w:val="clear" w:color="auto" w:fill="auto"/>
            <w:vAlign w:val="center"/>
            <w:hideMark/>
          </w:tcPr>
          <w:p w14:paraId="5EADA552" w14:textId="77777777" w:rsidR="00AD5F28" w:rsidRPr="008F2421" w:rsidRDefault="00AD5F28">
            <w:pPr>
              <w:jc w:val="center"/>
              <w:rPr>
                <w:lang w:eastAsia="en-US"/>
              </w:rPr>
            </w:pPr>
            <w:r w:rsidRPr="008F2421">
              <w:rPr>
                <w:lang w:eastAsia="en-US"/>
              </w:rPr>
              <w:t>0</w:t>
            </w:r>
          </w:p>
        </w:tc>
        <w:tc>
          <w:tcPr>
            <w:tcW w:w="774" w:type="dxa"/>
            <w:vMerge/>
            <w:shd w:val="clear" w:color="auto" w:fill="auto"/>
            <w:vAlign w:val="center"/>
            <w:hideMark/>
          </w:tcPr>
          <w:p w14:paraId="46AC2EDA" w14:textId="77777777" w:rsidR="00AD5F28" w:rsidRPr="008F2421" w:rsidRDefault="00AD5F28">
            <w:pPr>
              <w:jc w:val="center"/>
              <w:rPr>
                <w:lang w:eastAsia="en-US"/>
              </w:rPr>
            </w:pPr>
          </w:p>
        </w:tc>
        <w:tc>
          <w:tcPr>
            <w:tcW w:w="1085" w:type="dxa"/>
            <w:shd w:val="clear" w:color="auto" w:fill="auto"/>
            <w:vAlign w:val="center"/>
            <w:hideMark/>
          </w:tcPr>
          <w:p w14:paraId="568E48E5" w14:textId="77777777" w:rsidR="00AD5F28" w:rsidRPr="008F2421" w:rsidRDefault="00AD5F28">
            <w:pPr>
              <w:jc w:val="center"/>
              <w:rPr>
                <w:lang w:eastAsia="en-US"/>
              </w:rPr>
            </w:pPr>
            <w:r w:rsidRPr="008F2421">
              <w:rPr>
                <w:lang w:eastAsia="en-US"/>
              </w:rPr>
              <w:t>0</w:t>
            </w:r>
          </w:p>
        </w:tc>
        <w:tc>
          <w:tcPr>
            <w:tcW w:w="773" w:type="dxa"/>
            <w:vMerge/>
            <w:shd w:val="clear" w:color="auto" w:fill="auto"/>
            <w:vAlign w:val="center"/>
            <w:hideMark/>
          </w:tcPr>
          <w:p w14:paraId="2B8F6205" w14:textId="77777777" w:rsidR="00AD5F28" w:rsidRPr="008F2421" w:rsidRDefault="00AD5F28">
            <w:pPr>
              <w:jc w:val="center"/>
              <w:rPr>
                <w:lang w:eastAsia="en-US"/>
              </w:rPr>
            </w:pPr>
          </w:p>
        </w:tc>
        <w:tc>
          <w:tcPr>
            <w:tcW w:w="1239" w:type="dxa"/>
            <w:shd w:val="clear" w:color="auto" w:fill="auto"/>
            <w:vAlign w:val="center"/>
            <w:hideMark/>
          </w:tcPr>
          <w:p w14:paraId="36B011B7" w14:textId="77777777" w:rsidR="00AD5F28" w:rsidRPr="008F2421" w:rsidRDefault="00AD5F28">
            <w:pPr>
              <w:jc w:val="center"/>
              <w:rPr>
                <w:lang w:eastAsia="en-US"/>
              </w:rPr>
            </w:pPr>
            <w:r w:rsidRPr="008F2421">
              <w:rPr>
                <w:lang w:eastAsia="en-US"/>
              </w:rPr>
              <w:t>0</w:t>
            </w:r>
          </w:p>
        </w:tc>
        <w:tc>
          <w:tcPr>
            <w:tcW w:w="1008" w:type="dxa"/>
            <w:shd w:val="clear" w:color="auto" w:fill="auto"/>
            <w:vAlign w:val="center"/>
            <w:hideMark/>
          </w:tcPr>
          <w:p w14:paraId="1BA4604A" w14:textId="77777777" w:rsidR="00AD5F28" w:rsidRPr="008F2421" w:rsidRDefault="00AD5F28">
            <w:pPr>
              <w:jc w:val="center"/>
              <w:rPr>
                <w:lang w:eastAsia="en-US"/>
              </w:rPr>
            </w:pPr>
            <w:r w:rsidRPr="008F2421">
              <w:rPr>
                <w:lang w:eastAsia="en-US"/>
              </w:rPr>
              <w:t>0</w:t>
            </w:r>
          </w:p>
        </w:tc>
      </w:tr>
      <w:tr w:rsidR="008F2421" w:rsidRPr="008F2421" w14:paraId="394AADC8" w14:textId="77777777" w:rsidTr="00C525EB">
        <w:tc>
          <w:tcPr>
            <w:tcW w:w="2165" w:type="dxa"/>
            <w:shd w:val="clear" w:color="auto" w:fill="auto"/>
            <w:hideMark/>
          </w:tcPr>
          <w:p w14:paraId="2D679208" w14:textId="77777777" w:rsidR="00AD5F28" w:rsidRPr="008F2421" w:rsidRDefault="00AD5F28" w:rsidP="008F2421">
            <w:pPr>
              <w:rPr>
                <w:lang w:eastAsia="en-US"/>
              </w:rPr>
            </w:pPr>
            <w:r w:rsidRPr="008F2421">
              <w:rPr>
                <w:lang w:eastAsia="en-US"/>
              </w:rPr>
              <w:t>6. Detalizēts ieņēmumu un izdevumu aprēķins (ja nepieciešams, detalizētu ieņēmumu un izdevumu aprēķinu var pievienot anotācijas pielikumā)</w:t>
            </w:r>
          </w:p>
        </w:tc>
        <w:tc>
          <w:tcPr>
            <w:tcW w:w="7046" w:type="dxa"/>
            <w:gridSpan w:val="7"/>
            <w:vMerge w:val="restart"/>
            <w:shd w:val="clear" w:color="auto" w:fill="auto"/>
            <w:vAlign w:val="center"/>
            <w:hideMark/>
          </w:tcPr>
          <w:p w14:paraId="7959F8B2" w14:textId="77777777" w:rsidR="000B2DD8" w:rsidRPr="00792FEB" w:rsidRDefault="000B2DD8" w:rsidP="000B2DD8">
            <w:pPr>
              <w:jc w:val="both"/>
            </w:pPr>
            <w:r w:rsidRPr="00792FEB">
              <w:rPr>
                <w:lang w:eastAsia="en-US"/>
              </w:rPr>
              <w:t>Programmas kopējais finansējums ir 15 294 118 </w:t>
            </w:r>
            <w:proofErr w:type="spellStart"/>
            <w:r w:rsidRPr="00792FEB">
              <w:rPr>
                <w:i/>
              </w:rPr>
              <w:t>euro</w:t>
            </w:r>
            <w:proofErr w:type="spellEnd"/>
            <w:r w:rsidRPr="00792FEB">
              <w:rPr>
                <w:lang w:eastAsia="en-US"/>
              </w:rPr>
              <w:t xml:space="preserve">, no kura </w:t>
            </w:r>
            <w:r w:rsidR="00F61967">
              <w:rPr>
                <w:lang w:eastAsia="en-US"/>
              </w:rPr>
              <w:t>NFI</w:t>
            </w:r>
            <w:r w:rsidRPr="00792FEB">
              <w:rPr>
                <w:lang w:eastAsia="en-US"/>
              </w:rPr>
              <w:t xml:space="preserve"> granta daļa ir 85% jeb</w:t>
            </w:r>
            <w:r w:rsidRPr="00792FEB">
              <w:t> 13 000 000 </w:t>
            </w:r>
            <w:proofErr w:type="spellStart"/>
            <w:r w:rsidRPr="00792FEB">
              <w:rPr>
                <w:i/>
              </w:rPr>
              <w:t>euro</w:t>
            </w:r>
            <w:proofErr w:type="spellEnd"/>
            <w:r w:rsidRPr="00792FEB">
              <w:t xml:space="preserve"> un valsts budžeta daļa 15% jeb 2 294 118 </w:t>
            </w:r>
            <w:proofErr w:type="spellStart"/>
            <w:r w:rsidRPr="00792FEB">
              <w:rPr>
                <w:i/>
              </w:rPr>
              <w:t>euro</w:t>
            </w:r>
            <w:proofErr w:type="spellEnd"/>
            <w:r w:rsidRPr="00792FEB">
              <w:t xml:space="preserve">. </w:t>
            </w:r>
          </w:p>
          <w:p w14:paraId="0BA6C2EC" w14:textId="2666B172" w:rsidR="000B2DD8" w:rsidRPr="00792FEB" w:rsidRDefault="00726E62" w:rsidP="000B2DD8">
            <w:pPr>
              <w:jc w:val="both"/>
            </w:pPr>
            <w:r w:rsidRPr="00792FEB">
              <w:rPr>
                <w:lang w:eastAsia="en-US"/>
              </w:rPr>
              <w:t>Programmas īstenošanas laiks ir no 2018. gada 1. janvāra līdz 2024. gada 31. decembrim. Programmas vadības izmaksas plānotas 1 370 589</w:t>
            </w:r>
            <w:r>
              <w:rPr>
                <w:lang w:eastAsia="en-US"/>
              </w:rPr>
              <w:t> </w:t>
            </w:r>
            <w:proofErr w:type="spellStart"/>
            <w:r w:rsidRPr="00792FEB">
              <w:rPr>
                <w:i/>
              </w:rPr>
              <w:t>euro</w:t>
            </w:r>
            <w:proofErr w:type="spellEnd"/>
            <w:r w:rsidRPr="00792FEB">
              <w:rPr>
                <w:lang w:eastAsia="en-US"/>
              </w:rPr>
              <w:t xml:space="preserve"> apmērā</w:t>
            </w:r>
            <w:r>
              <w:rPr>
                <w:lang w:eastAsia="en-US"/>
              </w:rPr>
              <w:t xml:space="preserve"> un p</w:t>
            </w:r>
            <w:r w:rsidRPr="00792FEB">
              <w:rPr>
                <w:lang w:eastAsia="en-US"/>
              </w:rPr>
              <w:t>apildus Sadarbības memorandā noteikts divpusējās sadarbības fonda finansējums programmai 100 000 </w:t>
            </w:r>
            <w:proofErr w:type="spellStart"/>
            <w:r w:rsidRPr="00792FEB">
              <w:rPr>
                <w:i/>
              </w:rPr>
              <w:t>euro</w:t>
            </w:r>
            <w:proofErr w:type="spellEnd"/>
            <w:r w:rsidRPr="00792FEB">
              <w:rPr>
                <w:lang w:eastAsia="en-US"/>
              </w:rPr>
              <w:t xml:space="preserve"> apmērā. </w:t>
            </w:r>
            <w:r>
              <w:rPr>
                <w:lang w:eastAsia="en-US"/>
              </w:rPr>
              <w:t xml:space="preserve">Kopā izmaksas plānotas 1 470 589 </w:t>
            </w:r>
            <w:proofErr w:type="spellStart"/>
            <w:r w:rsidRPr="00C525EB">
              <w:rPr>
                <w:i/>
                <w:lang w:eastAsia="en-US"/>
              </w:rPr>
              <w:t>euro</w:t>
            </w:r>
            <w:proofErr w:type="spellEnd"/>
            <w:r>
              <w:rPr>
                <w:lang w:eastAsia="en-US"/>
              </w:rPr>
              <w:t xml:space="preserve"> apmērā apakšprogrammā 71.06.00 "Eiropas Ekonomikas zonas un Norvēģijas finanšu instrumentu finansētie projekti" projekta Nr. EEZ/TM/001 "</w:t>
            </w:r>
            <w:r w:rsidRPr="0020596F">
              <w:rPr>
                <w:lang w:eastAsia="en-US"/>
              </w:rPr>
              <w:t xml:space="preserve">Programmas </w:t>
            </w:r>
            <w:r w:rsidR="004F2A66">
              <w:rPr>
                <w:lang w:eastAsia="en-US"/>
              </w:rPr>
              <w:t>"</w:t>
            </w:r>
            <w:r w:rsidRPr="0020596F">
              <w:rPr>
                <w:lang w:eastAsia="en-US"/>
              </w:rPr>
              <w:t>Korekcijas dienesti" administrēšana</w:t>
            </w:r>
            <w:r>
              <w:rPr>
                <w:lang w:eastAsia="en-US"/>
              </w:rPr>
              <w:t xml:space="preserve">" ietvaros. </w:t>
            </w:r>
            <w:r w:rsidRPr="00792FEB">
              <w:rPr>
                <w:lang w:eastAsia="en-US"/>
              </w:rPr>
              <w:t xml:space="preserve">Programmas ietvaros </w:t>
            </w:r>
            <w:r>
              <w:rPr>
                <w:lang w:eastAsia="en-US"/>
              </w:rPr>
              <w:t xml:space="preserve">tiks </w:t>
            </w:r>
            <w:r w:rsidRPr="00792FEB">
              <w:rPr>
                <w:lang w:eastAsia="en-US"/>
              </w:rPr>
              <w:t>īstenot</w:t>
            </w:r>
            <w:r>
              <w:rPr>
                <w:lang w:eastAsia="en-US"/>
              </w:rPr>
              <w:t>s</w:t>
            </w:r>
            <w:r w:rsidRPr="00792FEB">
              <w:rPr>
                <w:lang w:eastAsia="en-US"/>
              </w:rPr>
              <w:t xml:space="preserve"> iepriekš noteikt</w:t>
            </w:r>
            <w:r>
              <w:rPr>
                <w:lang w:eastAsia="en-US"/>
              </w:rPr>
              <w:t>ais</w:t>
            </w:r>
            <w:r w:rsidRPr="00792FEB">
              <w:rPr>
                <w:lang w:eastAsia="en-US"/>
              </w:rPr>
              <w:t xml:space="preserve"> projekt</w:t>
            </w:r>
            <w:r>
              <w:rPr>
                <w:lang w:eastAsia="en-US"/>
              </w:rPr>
              <w:t xml:space="preserve">s </w:t>
            </w:r>
            <w:r w:rsidRPr="008F2421">
              <w:t xml:space="preserve">"Mācību centra infrastruktūras un apmācībai paredzēta ieslodzījuma vietas </w:t>
            </w:r>
            <w:proofErr w:type="spellStart"/>
            <w:r w:rsidRPr="008F2421">
              <w:t>paraugkorpusa</w:t>
            </w:r>
            <w:proofErr w:type="spellEnd"/>
            <w:r w:rsidRPr="008F2421">
              <w:t xml:space="preserve"> izveide Olaines cietuma teritorijā"</w:t>
            </w:r>
            <w:r>
              <w:t>, kura</w:t>
            </w:r>
            <w:r w:rsidRPr="00792FEB">
              <w:rPr>
                <w:lang w:eastAsia="en-US"/>
              </w:rPr>
              <w:t xml:space="preserve"> izmaksas plānotas 13 923 529 </w:t>
            </w:r>
            <w:proofErr w:type="spellStart"/>
            <w:r w:rsidRPr="00792FEB">
              <w:rPr>
                <w:i/>
                <w:lang w:eastAsia="en-US"/>
              </w:rPr>
              <w:t>euro</w:t>
            </w:r>
            <w:proofErr w:type="spellEnd"/>
            <w:r w:rsidRPr="00792FEB">
              <w:rPr>
                <w:lang w:eastAsia="en-US"/>
              </w:rPr>
              <w:t xml:space="preserve"> apmērā</w:t>
            </w:r>
            <w:r>
              <w:rPr>
                <w:lang w:eastAsia="en-US"/>
              </w:rPr>
              <w:t xml:space="preserve"> apakšprogrammā 71.06.00 "Eiropas Ekonomikas zonas un Norvēģijas finanšu instrumentu finansētie projekti".</w:t>
            </w:r>
          </w:p>
          <w:p w14:paraId="17908DC3" w14:textId="77777777" w:rsidR="000B2DD8" w:rsidRPr="00792FEB" w:rsidRDefault="000B2DD8" w:rsidP="000B2DD8">
            <w:pPr>
              <w:jc w:val="both"/>
            </w:pPr>
          </w:p>
          <w:p w14:paraId="1F9B23E5" w14:textId="77777777" w:rsidR="000B2DD8" w:rsidRPr="00792FEB" w:rsidRDefault="000B2DD8" w:rsidP="000B2DD8">
            <w:pPr>
              <w:jc w:val="both"/>
            </w:pPr>
            <w:r w:rsidRPr="00792FEB">
              <w:t>Provizoriski plānotā naudas plūsma:</w:t>
            </w:r>
          </w:p>
          <w:p w14:paraId="1DBCC88F" w14:textId="77777777" w:rsidR="00D514C8" w:rsidRDefault="00D514C8" w:rsidP="000B2DD8">
            <w:pPr>
              <w:jc w:val="both"/>
            </w:pPr>
            <w:r>
              <w:rPr>
                <w:u w:val="single"/>
              </w:rPr>
              <w:t>2018. </w:t>
            </w:r>
            <w:r w:rsidRPr="00D514C8">
              <w:rPr>
                <w:u w:val="single"/>
              </w:rPr>
              <w:t>gadā</w:t>
            </w:r>
            <w:r w:rsidRPr="00D514C8">
              <w:t xml:space="preserve"> programmas vadībai – 133 908 </w:t>
            </w:r>
            <w:proofErr w:type="spellStart"/>
            <w:r w:rsidRPr="00D514C8">
              <w:rPr>
                <w:i/>
              </w:rPr>
              <w:t>euro</w:t>
            </w:r>
            <w:proofErr w:type="spellEnd"/>
            <w:r w:rsidRPr="00D514C8">
              <w:t xml:space="preserve"> (NFI finansējums 113 822 </w:t>
            </w:r>
            <w:proofErr w:type="spellStart"/>
            <w:r w:rsidRPr="00D514C8">
              <w:rPr>
                <w:i/>
              </w:rPr>
              <w:t>euro</w:t>
            </w:r>
            <w:proofErr w:type="spellEnd"/>
            <w:r w:rsidRPr="00D514C8">
              <w:t>, valsts budžeta finansējums 20 086 </w:t>
            </w:r>
            <w:proofErr w:type="spellStart"/>
            <w:r w:rsidRPr="00D514C8">
              <w:rPr>
                <w:i/>
              </w:rPr>
              <w:t>euro</w:t>
            </w:r>
            <w:proofErr w:type="spellEnd"/>
            <w:r w:rsidRPr="00D514C8">
              <w:t>) un divpusējās sadarbības fonda finansējums 33 212  </w:t>
            </w:r>
            <w:r w:rsidRPr="00D514C8">
              <w:rPr>
                <w:i/>
              </w:rPr>
              <w:t>euro</w:t>
            </w:r>
            <w:r w:rsidRPr="00D514C8">
              <w:t>;</w:t>
            </w:r>
          </w:p>
          <w:p w14:paraId="6E66CA8C" w14:textId="77777777" w:rsidR="000B2DD8" w:rsidRPr="00792FEB" w:rsidRDefault="000B2DD8" w:rsidP="000B2DD8">
            <w:pPr>
              <w:jc w:val="both"/>
            </w:pPr>
            <w:r w:rsidRPr="00792FEB">
              <w:rPr>
                <w:u w:val="single"/>
              </w:rPr>
              <w:t>2019. gadā</w:t>
            </w:r>
            <w:r w:rsidRPr="00792FEB">
              <w:t xml:space="preserve"> programmas vadībai – 199 377 </w:t>
            </w:r>
            <w:proofErr w:type="spellStart"/>
            <w:r w:rsidRPr="00792FEB">
              <w:rPr>
                <w:i/>
              </w:rPr>
              <w:t>euro</w:t>
            </w:r>
            <w:proofErr w:type="spellEnd"/>
            <w:r w:rsidRPr="00792FEB">
              <w:t xml:space="preserve"> (NFI finansējums 169 470 </w:t>
            </w:r>
            <w:proofErr w:type="spellStart"/>
            <w:r w:rsidRPr="00792FEB">
              <w:rPr>
                <w:i/>
              </w:rPr>
              <w:t>euro</w:t>
            </w:r>
            <w:proofErr w:type="spellEnd"/>
            <w:r w:rsidRPr="00792FEB">
              <w:t>, valsts budžeta finansējums 29 907 </w:t>
            </w:r>
            <w:proofErr w:type="spellStart"/>
            <w:r w:rsidRPr="00792FEB">
              <w:rPr>
                <w:i/>
              </w:rPr>
              <w:t>euro</w:t>
            </w:r>
            <w:proofErr w:type="spellEnd"/>
            <w:r w:rsidRPr="00792FEB">
              <w:t>) un divpusējās sadarbības fonda finansējums 17 368 </w:t>
            </w:r>
            <w:proofErr w:type="spellStart"/>
            <w:r w:rsidRPr="00792FEB">
              <w:rPr>
                <w:i/>
              </w:rPr>
              <w:t>euro</w:t>
            </w:r>
            <w:proofErr w:type="spellEnd"/>
            <w:r w:rsidRPr="00792FEB">
              <w:t xml:space="preserve">. Iepriekš noteiktajam </w:t>
            </w:r>
            <w:r w:rsidRPr="00792FEB">
              <w:lastRenderedPageBreak/>
              <w:t xml:space="preserve">projektam – 50 410 </w:t>
            </w:r>
            <w:proofErr w:type="spellStart"/>
            <w:r w:rsidRPr="00792FEB">
              <w:rPr>
                <w:i/>
              </w:rPr>
              <w:t>euro</w:t>
            </w:r>
            <w:proofErr w:type="spellEnd"/>
            <w:r w:rsidRPr="00792FEB">
              <w:t xml:space="preserve"> (NFI finansējums 42 849 </w:t>
            </w:r>
            <w:proofErr w:type="spellStart"/>
            <w:r w:rsidRPr="00792FEB">
              <w:rPr>
                <w:i/>
              </w:rPr>
              <w:t>euro</w:t>
            </w:r>
            <w:proofErr w:type="spellEnd"/>
            <w:r w:rsidRPr="00792FEB">
              <w:t>, valsts budžeta finansējums 7 561 </w:t>
            </w:r>
            <w:proofErr w:type="spellStart"/>
            <w:r w:rsidRPr="00792FEB">
              <w:rPr>
                <w:i/>
              </w:rPr>
              <w:t>euro</w:t>
            </w:r>
            <w:proofErr w:type="spellEnd"/>
            <w:r w:rsidRPr="00792FEB">
              <w:t>);</w:t>
            </w:r>
          </w:p>
          <w:p w14:paraId="78754A54" w14:textId="77777777" w:rsidR="000B2DD8" w:rsidRPr="00792FEB" w:rsidRDefault="000B2DD8" w:rsidP="000B2DD8">
            <w:pPr>
              <w:jc w:val="both"/>
            </w:pPr>
            <w:r w:rsidRPr="00792FEB">
              <w:rPr>
                <w:u w:val="single"/>
              </w:rPr>
              <w:t>2020. gadā</w:t>
            </w:r>
            <w:r w:rsidRPr="00792FEB">
              <w:t xml:space="preserve"> programmas vadībai – 207 478 </w:t>
            </w:r>
            <w:proofErr w:type="spellStart"/>
            <w:r w:rsidRPr="00792FEB">
              <w:rPr>
                <w:i/>
              </w:rPr>
              <w:t>euro</w:t>
            </w:r>
            <w:proofErr w:type="spellEnd"/>
            <w:r w:rsidRPr="00792FEB">
              <w:t xml:space="preserve"> (NFI finansējums 176 356 </w:t>
            </w:r>
            <w:proofErr w:type="spellStart"/>
            <w:r w:rsidRPr="00792FEB">
              <w:rPr>
                <w:i/>
              </w:rPr>
              <w:t>euro</w:t>
            </w:r>
            <w:proofErr w:type="spellEnd"/>
            <w:r w:rsidRPr="00792FEB">
              <w:t>, valsts budžeta finansējums 31 122 </w:t>
            </w:r>
            <w:proofErr w:type="spellStart"/>
            <w:r w:rsidRPr="00792FEB">
              <w:rPr>
                <w:i/>
              </w:rPr>
              <w:t>euro</w:t>
            </w:r>
            <w:proofErr w:type="spellEnd"/>
            <w:r w:rsidRPr="00792FEB">
              <w:t>) un divpusējās sadarbības fonda finansējums 9 300 </w:t>
            </w:r>
            <w:proofErr w:type="spellStart"/>
            <w:r w:rsidRPr="00792FEB">
              <w:rPr>
                <w:i/>
              </w:rPr>
              <w:t>euro</w:t>
            </w:r>
            <w:proofErr w:type="spellEnd"/>
            <w:r w:rsidRPr="00792FEB">
              <w:rPr>
                <w:i/>
              </w:rPr>
              <w:t>.</w:t>
            </w:r>
            <w:r w:rsidRPr="00792FEB">
              <w:t xml:space="preserve"> Iepriekš noteiktajam projektam – 1 252 120 </w:t>
            </w:r>
            <w:proofErr w:type="spellStart"/>
            <w:r w:rsidRPr="00792FEB">
              <w:rPr>
                <w:i/>
              </w:rPr>
              <w:t>euro</w:t>
            </w:r>
            <w:proofErr w:type="spellEnd"/>
            <w:r w:rsidRPr="00792FEB">
              <w:t xml:space="preserve"> (NFI finansējums 1 064 302 </w:t>
            </w:r>
            <w:proofErr w:type="spellStart"/>
            <w:r w:rsidRPr="00792FEB">
              <w:rPr>
                <w:i/>
              </w:rPr>
              <w:t>euro</w:t>
            </w:r>
            <w:proofErr w:type="spellEnd"/>
            <w:r w:rsidRPr="00792FEB">
              <w:t>, valsts budžeta finansējums 187 818 </w:t>
            </w:r>
            <w:proofErr w:type="spellStart"/>
            <w:r w:rsidRPr="00792FEB">
              <w:rPr>
                <w:i/>
              </w:rPr>
              <w:t>euro</w:t>
            </w:r>
            <w:proofErr w:type="spellEnd"/>
            <w:r w:rsidRPr="00792FEB">
              <w:t>);</w:t>
            </w:r>
          </w:p>
          <w:p w14:paraId="46B160E4" w14:textId="77777777" w:rsidR="000B2DD8" w:rsidRPr="00792FEB" w:rsidRDefault="000B2DD8" w:rsidP="000B2DD8">
            <w:pPr>
              <w:jc w:val="both"/>
            </w:pPr>
            <w:r w:rsidRPr="00792FEB">
              <w:rPr>
                <w:u w:val="single"/>
              </w:rPr>
              <w:t>2021. gadā</w:t>
            </w:r>
            <w:r w:rsidRPr="00792FEB">
              <w:t xml:space="preserve"> programmas vadībai – 201 513 </w:t>
            </w:r>
            <w:proofErr w:type="spellStart"/>
            <w:r w:rsidRPr="00792FEB">
              <w:rPr>
                <w:i/>
              </w:rPr>
              <w:t>euro</w:t>
            </w:r>
            <w:proofErr w:type="spellEnd"/>
            <w:r w:rsidRPr="00792FEB">
              <w:t xml:space="preserve"> (NFI finansējums 171 286 </w:t>
            </w:r>
            <w:proofErr w:type="spellStart"/>
            <w:r w:rsidRPr="00792FEB">
              <w:rPr>
                <w:i/>
              </w:rPr>
              <w:t>euro</w:t>
            </w:r>
            <w:proofErr w:type="spellEnd"/>
            <w:r w:rsidRPr="00792FEB">
              <w:t>, valsts budžeta finansējums 30 227 </w:t>
            </w:r>
            <w:proofErr w:type="spellStart"/>
            <w:r w:rsidRPr="00792FEB">
              <w:rPr>
                <w:i/>
              </w:rPr>
              <w:t>euro</w:t>
            </w:r>
            <w:proofErr w:type="spellEnd"/>
            <w:r w:rsidRPr="00792FEB">
              <w:t>) un divpusējās sadarbības fonda finansējums 16 330 </w:t>
            </w:r>
            <w:proofErr w:type="spellStart"/>
            <w:r w:rsidRPr="00792FEB">
              <w:rPr>
                <w:i/>
              </w:rPr>
              <w:t>euro</w:t>
            </w:r>
            <w:proofErr w:type="spellEnd"/>
            <w:r w:rsidRPr="00792FEB">
              <w:t xml:space="preserve">. Iepriekš noteiktajam projektam – </w:t>
            </w:r>
            <w:bookmarkStart w:id="6" w:name="_Hlk514408643"/>
            <w:r w:rsidRPr="00792FEB">
              <w:t>4 518 740</w:t>
            </w:r>
            <w:bookmarkEnd w:id="6"/>
            <w:r w:rsidRPr="00792FEB">
              <w:t xml:space="preserve"> </w:t>
            </w:r>
            <w:proofErr w:type="spellStart"/>
            <w:r w:rsidRPr="00792FEB">
              <w:rPr>
                <w:i/>
              </w:rPr>
              <w:t>euro</w:t>
            </w:r>
            <w:proofErr w:type="spellEnd"/>
            <w:r w:rsidRPr="00792FEB">
              <w:t xml:space="preserve"> (NFI finansējums 3 840 929 </w:t>
            </w:r>
            <w:proofErr w:type="spellStart"/>
            <w:r w:rsidRPr="00792FEB">
              <w:rPr>
                <w:i/>
              </w:rPr>
              <w:t>euro</w:t>
            </w:r>
            <w:proofErr w:type="spellEnd"/>
            <w:r w:rsidRPr="00792FEB">
              <w:t>, valsts budžeta finansējums 677 811 </w:t>
            </w:r>
            <w:proofErr w:type="spellStart"/>
            <w:r w:rsidRPr="00792FEB">
              <w:rPr>
                <w:i/>
              </w:rPr>
              <w:t>euro</w:t>
            </w:r>
            <w:proofErr w:type="spellEnd"/>
            <w:r w:rsidRPr="00792FEB">
              <w:t>);</w:t>
            </w:r>
          </w:p>
          <w:p w14:paraId="1DDEE5B8" w14:textId="40442A66" w:rsidR="000B2DD8" w:rsidRPr="00792FEB" w:rsidRDefault="000B2DD8" w:rsidP="000B2DD8">
            <w:pPr>
              <w:jc w:val="both"/>
            </w:pPr>
            <w:r w:rsidRPr="00792FEB">
              <w:rPr>
                <w:u w:val="single"/>
              </w:rPr>
              <w:t>2022. gadā</w:t>
            </w:r>
            <w:r w:rsidRPr="00792FEB">
              <w:t xml:space="preserve"> programmas vadībai – 211 848 </w:t>
            </w:r>
            <w:proofErr w:type="spellStart"/>
            <w:r w:rsidRPr="00792FEB">
              <w:rPr>
                <w:i/>
              </w:rPr>
              <w:t>euro</w:t>
            </w:r>
            <w:proofErr w:type="spellEnd"/>
            <w:r w:rsidRPr="00792FEB">
              <w:t xml:space="preserve"> (NFI finansējums 180 071 </w:t>
            </w:r>
            <w:proofErr w:type="spellStart"/>
            <w:r w:rsidRPr="00792FEB">
              <w:rPr>
                <w:i/>
              </w:rPr>
              <w:t>euro</w:t>
            </w:r>
            <w:proofErr w:type="spellEnd"/>
            <w:r w:rsidRPr="00792FEB">
              <w:t>, valsts budžeta finansējums 31 777 </w:t>
            </w:r>
            <w:proofErr w:type="spellStart"/>
            <w:r w:rsidRPr="00792FEB">
              <w:rPr>
                <w:i/>
              </w:rPr>
              <w:t>euro</w:t>
            </w:r>
            <w:proofErr w:type="spellEnd"/>
            <w:r w:rsidRPr="00792FEB">
              <w:t>)</w:t>
            </w:r>
            <w:r w:rsidRPr="00792FEB">
              <w:rPr>
                <w:i/>
              </w:rPr>
              <w:t xml:space="preserve"> </w:t>
            </w:r>
            <w:r w:rsidRPr="00792FEB">
              <w:t>un divpusējās sadarbības fonda finansējums 9 400 </w:t>
            </w:r>
            <w:proofErr w:type="spellStart"/>
            <w:r w:rsidRPr="00792FEB">
              <w:rPr>
                <w:i/>
              </w:rPr>
              <w:t>euro</w:t>
            </w:r>
            <w:proofErr w:type="spellEnd"/>
            <w:r w:rsidRPr="00792FEB">
              <w:t xml:space="preserve">. Iepriekš noteiktajam projektam – 7 768 100 </w:t>
            </w:r>
            <w:proofErr w:type="spellStart"/>
            <w:r w:rsidRPr="00792FEB">
              <w:rPr>
                <w:i/>
              </w:rPr>
              <w:t>euro</w:t>
            </w:r>
            <w:proofErr w:type="spellEnd"/>
            <w:r w:rsidRPr="00792FEB">
              <w:t xml:space="preserve"> (NFI finansējums 6 602 885 </w:t>
            </w:r>
            <w:proofErr w:type="spellStart"/>
            <w:r w:rsidRPr="00792FEB">
              <w:rPr>
                <w:i/>
              </w:rPr>
              <w:t>euro</w:t>
            </w:r>
            <w:proofErr w:type="spellEnd"/>
            <w:r w:rsidRPr="00792FEB">
              <w:t>, valsts budžeta finansējums 1 165 215 </w:t>
            </w:r>
            <w:proofErr w:type="spellStart"/>
            <w:r w:rsidRPr="00792FEB">
              <w:rPr>
                <w:i/>
              </w:rPr>
              <w:t>euro</w:t>
            </w:r>
            <w:proofErr w:type="spellEnd"/>
            <w:r w:rsidRPr="00792FEB">
              <w:t>);</w:t>
            </w:r>
          </w:p>
          <w:p w14:paraId="0B1F83FC" w14:textId="77777777" w:rsidR="00D514C8" w:rsidRPr="00D514C8" w:rsidRDefault="00D514C8" w:rsidP="00D514C8">
            <w:pPr>
              <w:jc w:val="both"/>
            </w:pPr>
            <w:r w:rsidRPr="00D514C8">
              <w:rPr>
                <w:u w:val="single"/>
              </w:rPr>
              <w:t>2023. gadā</w:t>
            </w:r>
            <w:r w:rsidRPr="00D514C8">
              <w:t xml:space="preserve"> programmas vadībai – 216 263 </w:t>
            </w:r>
            <w:proofErr w:type="spellStart"/>
            <w:r w:rsidRPr="00D514C8">
              <w:rPr>
                <w:i/>
              </w:rPr>
              <w:t>euro</w:t>
            </w:r>
            <w:proofErr w:type="spellEnd"/>
            <w:r w:rsidRPr="00D514C8">
              <w:t xml:space="preserve"> (NFI finansējums 183 824 </w:t>
            </w:r>
            <w:proofErr w:type="spellStart"/>
            <w:r w:rsidRPr="00D514C8">
              <w:rPr>
                <w:i/>
              </w:rPr>
              <w:t>euro</w:t>
            </w:r>
            <w:proofErr w:type="spellEnd"/>
            <w:r w:rsidRPr="00D514C8">
              <w:t>, valsts budžeta finansējums 32 439 </w:t>
            </w:r>
            <w:proofErr w:type="spellStart"/>
            <w:r w:rsidRPr="00D514C8">
              <w:rPr>
                <w:i/>
              </w:rPr>
              <w:t>euro</w:t>
            </w:r>
            <w:proofErr w:type="spellEnd"/>
            <w:r w:rsidRPr="00D514C8">
              <w:t>)</w:t>
            </w:r>
            <w:r w:rsidRPr="00D514C8">
              <w:rPr>
                <w:i/>
              </w:rPr>
              <w:t xml:space="preserve"> </w:t>
            </w:r>
            <w:r w:rsidRPr="00D514C8">
              <w:t>un divpusējās sadarbības fonda finansējums 14 390 </w:t>
            </w:r>
            <w:proofErr w:type="spellStart"/>
            <w:r w:rsidRPr="00D514C8">
              <w:rPr>
                <w:i/>
              </w:rPr>
              <w:t>euro</w:t>
            </w:r>
            <w:proofErr w:type="spellEnd"/>
            <w:r w:rsidRPr="00D514C8">
              <w:t xml:space="preserve">. Iepriekš noteiktajam projektam – 262 120 </w:t>
            </w:r>
            <w:proofErr w:type="spellStart"/>
            <w:r w:rsidRPr="00D514C8">
              <w:rPr>
                <w:i/>
              </w:rPr>
              <w:t>euro</w:t>
            </w:r>
            <w:proofErr w:type="spellEnd"/>
            <w:r w:rsidRPr="00D514C8">
              <w:t xml:space="preserve"> (NFI finansējums 222 802 </w:t>
            </w:r>
            <w:proofErr w:type="spellStart"/>
            <w:r w:rsidRPr="00D514C8">
              <w:rPr>
                <w:i/>
              </w:rPr>
              <w:t>euro</w:t>
            </w:r>
            <w:proofErr w:type="spellEnd"/>
            <w:r w:rsidRPr="00D514C8">
              <w:t>, valsts budžeta finansējums 39 318 </w:t>
            </w:r>
            <w:proofErr w:type="spellStart"/>
            <w:r w:rsidRPr="00D514C8">
              <w:rPr>
                <w:i/>
              </w:rPr>
              <w:t>euro</w:t>
            </w:r>
            <w:proofErr w:type="spellEnd"/>
            <w:r w:rsidRPr="00D514C8">
              <w:t>);</w:t>
            </w:r>
          </w:p>
          <w:p w14:paraId="5317209B" w14:textId="77777777" w:rsidR="00AD5F28" w:rsidRPr="008F2421" w:rsidRDefault="00D514C8" w:rsidP="00D514C8">
            <w:pPr>
              <w:jc w:val="both"/>
            </w:pPr>
            <w:r w:rsidRPr="00D514C8">
              <w:rPr>
                <w:u w:val="single"/>
              </w:rPr>
              <w:t>2024. gadā</w:t>
            </w:r>
            <w:r w:rsidRPr="00D514C8">
              <w:t xml:space="preserve"> programmas vadībai – 200 202 </w:t>
            </w:r>
            <w:proofErr w:type="spellStart"/>
            <w:r w:rsidRPr="00D514C8">
              <w:rPr>
                <w:i/>
              </w:rPr>
              <w:t>euro</w:t>
            </w:r>
            <w:proofErr w:type="spellEnd"/>
            <w:r w:rsidRPr="00D514C8">
              <w:t xml:space="preserve"> NFI finansējums 170 172 </w:t>
            </w:r>
            <w:proofErr w:type="spellStart"/>
            <w:r w:rsidRPr="00D514C8">
              <w:rPr>
                <w:i/>
              </w:rPr>
              <w:t>euro</w:t>
            </w:r>
            <w:proofErr w:type="spellEnd"/>
            <w:r w:rsidRPr="00D514C8">
              <w:t>, valsts budžeta finansējums 30 030 </w:t>
            </w:r>
            <w:proofErr w:type="spellStart"/>
            <w:r w:rsidRPr="00D514C8">
              <w:rPr>
                <w:i/>
              </w:rPr>
              <w:t>euro</w:t>
            </w:r>
            <w:proofErr w:type="spellEnd"/>
            <w:r w:rsidRPr="00D514C8">
              <w:t>)</w:t>
            </w:r>
            <w:r w:rsidRPr="00D514C8">
              <w:rPr>
                <w:i/>
              </w:rPr>
              <w:t xml:space="preserve"> </w:t>
            </w:r>
            <w:r w:rsidRPr="00D514C8">
              <w:t>un divpusējās sadarbības fonda finansējums 0 </w:t>
            </w:r>
            <w:proofErr w:type="spellStart"/>
            <w:r w:rsidRPr="00D514C8">
              <w:rPr>
                <w:i/>
              </w:rPr>
              <w:t>euro</w:t>
            </w:r>
            <w:proofErr w:type="spellEnd"/>
            <w:r w:rsidRPr="00D514C8">
              <w:t xml:space="preserve">. Iepriekš noteiktajam projektam – 72 039 </w:t>
            </w:r>
            <w:proofErr w:type="spellStart"/>
            <w:r w:rsidRPr="00D514C8">
              <w:rPr>
                <w:i/>
              </w:rPr>
              <w:t>euro</w:t>
            </w:r>
            <w:proofErr w:type="spellEnd"/>
            <w:r w:rsidRPr="00D514C8">
              <w:t xml:space="preserve"> (NFI finansējums 61 233 </w:t>
            </w:r>
            <w:proofErr w:type="spellStart"/>
            <w:r w:rsidRPr="00D514C8">
              <w:rPr>
                <w:i/>
              </w:rPr>
              <w:t>euro</w:t>
            </w:r>
            <w:proofErr w:type="spellEnd"/>
            <w:r w:rsidRPr="00D514C8">
              <w:t>, valsts budžeta finansējums 10 806 </w:t>
            </w:r>
            <w:proofErr w:type="spellStart"/>
            <w:r w:rsidRPr="00D514C8">
              <w:rPr>
                <w:i/>
              </w:rPr>
              <w:t>euro</w:t>
            </w:r>
            <w:proofErr w:type="spellEnd"/>
            <w:r w:rsidRPr="00D514C8">
              <w:t>).</w:t>
            </w:r>
            <w:r w:rsidR="00F464F4">
              <w:t xml:space="preserve"> Naudas plūsmas aprēķini veikti, </w:t>
            </w:r>
            <w:r w:rsidR="00EE6320">
              <w:t>atbilstoši</w:t>
            </w:r>
            <w:r w:rsidR="00740F34">
              <w:t xml:space="preserve"> programmas ietvaros sagatavot</w:t>
            </w:r>
            <w:r w:rsidR="00EE6320">
              <w:t>ajam</w:t>
            </w:r>
            <w:r w:rsidR="00740F34">
              <w:t xml:space="preserve"> laika plāna</w:t>
            </w:r>
            <w:r w:rsidR="00EE6320">
              <w:t>m</w:t>
            </w:r>
            <w:r w:rsidR="00740F34">
              <w:t xml:space="preserve">, kas paredz, ka būvniecības iepirkumi provizoriski tiek plānoti 2020. gadā un būvniecības process notiks 2021.-2022. gadā. Līdz ar to šajos gados </w:t>
            </w:r>
            <w:r w:rsidR="002F7C3A">
              <w:t>paredzētas</w:t>
            </w:r>
            <w:r w:rsidR="00740F34">
              <w:t xml:space="preserve"> lielākās izmaksas. Provizoriski saturisko programmu ieviešanu Mācību centrā plānots veikt 2023. gadā.</w:t>
            </w:r>
            <w:r w:rsidR="00F464F4">
              <w:t xml:space="preserve"> </w:t>
            </w:r>
            <w:r w:rsidR="003815A8">
              <w:t>Iepriekš noteiktā projekta līgumu starp programmas apsaimniekotāju un IeVP paredzēts noslēgt 2019. gada vasarā.</w:t>
            </w:r>
          </w:p>
        </w:tc>
      </w:tr>
      <w:tr w:rsidR="008F2421" w:rsidRPr="008F2421" w14:paraId="7C5BCF1B" w14:textId="77777777" w:rsidTr="00C525EB">
        <w:tc>
          <w:tcPr>
            <w:tcW w:w="2165" w:type="dxa"/>
            <w:shd w:val="clear" w:color="auto" w:fill="auto"/>
            <w:hideMark/>
          </w:tcPr>
          <w:p w14:paraId="00F99279" w14:textId="77777777" w:rsidR="00AD5F28" w:rsidRPr="008F2421" w:rsidRDefault="00AD5F28" w:rsidP="008F2421">
            <w:pPr>
              <w:rPr>
                <w:lang w:eastAsia="en-US"/>
              </w:rPr>
            </w:pPr>
            <w:r w:rsidRPr="008F2421">
              <w:rPr>
                <w:lang w:eastAsia="en-US"/>
              </w:rPr>
              <w:t>6.1. detalizēts ieņēmumu aprēķins</w:t>
            </w:r>
          </w:p>
        </w:tc>
        <w:tc>
          <w:tcPr>
            <w:tcW w:w="7046" w:type="dxa"/>
            <w:gridSpan w:val="7"/>
            <w:vMerge/>
            <w:shd w:val="clear" w:color="auto" w:fill="auto"/>
            <w:vAlign w:val="center"/>
            <w:hideMark/>
          </w:tcPr>
          <w:p w14:paraId="0174E402" w14:textId="77777777" w:rsidR="00AD5F28" w:rsidRPr="008F2421" w:rsidRDefault="00AD5F28">
            <w:pPr>
              <w:jc w:val="center"/>
              <w:rPr>
                <w:lang w:eastAsia="en-US"/>
              </w:rPr>
            </w:pPr>
          </w:p>
        </w:tc>
      </w:tr>
      <w:tr w:rsidR="008F2421" w:rsidRPr="008F2421" w14:paraId="1422088E" w14:textId="77777777" w:rsidTr="00C525EB">
        <w:tc>
          <w:tcPr>
            <w:tcW w:w="2165" w:type="dxa"/>
            <w:shd w:val="clear" w:color="auto" w:fill="auto"/>
            <w:hideMark/>
          </w:tcPr>
          <w:p w14:paraId="692534DB" w14:textId="77777777" w:rsidR="00AD5F28" w:rsidRPr="00552533" w:rsidRDefault="00AD5F28" w:rsidP="008F2421">
            <w:pPr>
              <w:rPr>
                <w:lang w:eastAsia="en-US"/>
              </w:rPr>
            </w:pPr>
            <w:r w:rsidRPr="00552533">
              <w:rPr>
                <w:lang w:eastAsia="en-US"/>
              </w:rPr>
              <w:t>6.2. detalizēts izdevumu aprēķins</w:t>
            </w:r>
          </w:p>
        </w:tc>
        <w:tc>
          <w:tcPr>
            <w:tcW w:w="7046" w:type="dxa"/>
            <w:gridSpan w:val="7"/>
            <w:vMerge/>
            <w:shd w:val="clear" w:color="auto" w:fill="auto"/>
            <w:vAlign w:val="center"/>
            <w:hideMark/>
          </w:tcPr>
          <w:p w14:paraId="53699265" w14:textId="77777777" w:rsidR="00AD5F28" w:rsidRPr="00552533" w:rsidRDefault="00AD5F28">
            <w:pPr>
              <w:jc w:val="center"/>
              <w:rPr>
                <w:lang w:eastAsia="en-US"/>
              </w:rPr>
            </w:pPr>
          </w:p>
        </w:tc>
      </w:tr>
      <w:tr w:rsidR="008F2421" w:rsidRPr="008F2421" w14:paraId="6B1611BB" w14:textId="77777777" w:rsidTr="00C525EB">
        <w:tc>
          <w:tcPr>
            <w:tcW w:w="2165" w:type="dxa"/>
            <w:shd w:val="clear" w:color="auto" w:fill="auto"/>
            <w:hideMark/>
          </w:tcPr>
          <w:p w14:paraId="78AEFD95" w14:textId="77777777" w:rsidR="00AD5F28" w:rsidRPr="00552533" w:rsidRDefault="00AD5F28" w:rsidP="008F2421">
            <w:pPr>
              <w:rPr>
                <w:lang w:eastAsia="en-US"/>
              </w:rPr>
            </w:pPr>
            <w:r w:rsidRPr="00552533">
              <w:rPr>
                <w:lang w:eastAsia="en-US"/>
              </w:rPr>
              <w:t>7. Amata vietu skaita izmaiņas</w:t>
            </w:r>
          </w:p>
        </w:tc>
        <w:tc>
          <w:tcPr>
            <w:tcW w:w="7046" w:type="dxa"/>
            <w:gridSpan w:val="7"/>
            <w:shd w:val="clear" w:color="auto" w:fill="auto"/>
            <w:hideMark/>
          </w:tcPr>
          <w:p w14:paraId="6C4340B3" w14:textId="77777777" w:rsidR="00AD5F28" w:rsidRPr="00552533" w:rsidRDefault="00D77FCE" w:rsidP="008F2421">
            <w:pPr>
              <w:jc w:val="both"/>
              <w:rPr>
                <w:lang w:eastAsia="en-US"/>
              </w:rPr>
            </w:pPr>
            <w:r w:rsidRPr="00552533">
              <w:rPr>
                <w:lang w:eastAsia="en-US"/>
              </w:rPr>
              <w:t>Iepriekš noteiktā projekta ietvaros tiks papildus ieviestas 2 amata vietas.</w:t>
            </w:r>
          </w:p>
        </w:tc>
      </w:tr>
      <w:tr w:rsidR="008F2421" w:rsidRPr="00490F6E" w14:paraId="57AE6D47" w14:textId="77777777" w:rsidTr="00C525EB">
        <w:tc>
          <w:tcPr>
            <w:tcW w:w="2165" w:type="dxa"/>
            <w:shd w:val="clear" w:color="auto" w:fill="auto"/>
            <w:hideMark/>
          </w:tcPr>
          <w:p w14:paraId="48B312C4" w14:textId="77777777" w:rsidR="00AD5F28" w:rsidRPr="00490F6E" w:rsidRDefault="00AD5F28" w:rsidP="008F2421">
            <w:pPr>
              <w:rPr>
                <w:lang w:eastAsia="en-US"/>
              </w:rPr>
            </w:pPr>
            <w:r w:rsidRPr="00490F6E">
              <w:rPr>
                <w:lang w:eastAsia="en-US"/>
              </w:rPr>
              <w:t>8. Cita informācija</w:t>
            </w:r>
          </w:p>
        </w:tc>
        <w:tc>
          <w:tcPr>
            <w:tcW w:w="7046" w:type="dxa"/>
            <w:gridSpan w:val="7"/>
            <w:shd w:val="clear" w:color="auto" w:fill="auto"/>
            <w:hideMark/>
          </w:tcPr>
          <w:p w14:paraId="18E3CF55" w14:textId="77777777" w:rsidR="00AD5F28" w:rsidRPr="00490F6E" w:rsidRDefault="00AD5F28" w:rsidP="008F2421">
            <w:pPr>
              <w:jc w:val="both"/>
            </w:pPr>
            <w:r w:rsidRPr="00490F6E">
              <w:t>Norādītais finansējuma apguves sadalījums ir indikatīvs un var tikt precizēts iepriekš noteiktā projekta līguma noslēgšanas laikā.</w:t>
            </w:r>
          </w:p>
          <w:p w14:paraId="7695B975" w14:textId="77777777" w:rsidR="00AD5F28" w:rsidRPr="00490F6E" w:rsidRDefault="00AD5F28" w:rsidP="008F2421">
            <w:pPr>
              <w:jc w:val="both"/>
            </w:pPr>
            <w:r w:rsidRPr="00490F6E">
              <w:t xml:space="preserve">Valsts budžeta finansējums tiks pieprasīts atbilstoši Ministru kabineta 2010. gada 18. maija noteikumos Nr. 464 </w:t>
            </w:r>
            <w:r w:rsidR="008F2421" w:rsidRPr="00490F6E">
              <w:t>"</w:t>
            </w:r>
            <w:r w:rsidRPr="00490F6E">
              <w:t xml:space="preserve">Noteikumi par 74.resora </w:t>
            </w:r>
            <w:r w:rsidR="008F2421" w:rsidRPr="00490F6E">
              <w:t>"</w:t>
            </w:r>
            <w:r w:rsidRPr="00490F6E">
              <w:t>Gadskārtējā valsts budžeta izpildes procesā pārdalāmais finansējums</w:t>
            </w:r>
            <w:r w:rsidR="008F2421" w:rsidRPr="00490F6E">
              <w:t>"</w:t>
            </w:r>
            <w:r w:rsidRPr="00490F6E">
              <w:t xml:space="preserve"> 80.00.00 programmā plānoto līdzekļu pārdales kārtību Eiropas Savienības politiku instrumentu un pārējās ārvalstu finanšu palīdzības līdzfinansēto projektu un pasākumu īstenošanai</w:t>
            </w:r>
            <w:r w:rsidR="008F2421" w:rsidRPr="00490F6E">
              <w:t>"</w:t>
            </w:r>
            <w:r w:rsidRPr="00490F6E">
              <w:t xml:space="preserve"> noteiktajai kārtībai.</w:t>
            </w:r>
          </w:p>
          <w:p w14:paraId="68F8A594" w14:textId="16D44583" w:rsidR="005F03C6" w:rsidRPr="00490F6E" w:rsidRDefault="00645259" w:rsidP="00DB6F17">
            <w:pPr>
              <w:jc w:val="both"/>
            </w:pPr>
            <w:r w:rsidRPr="00490F6E">
              <w:rPr>
                <w:lang w:eastAsia="en-US"/>
              </w:rPr>
              <w:t>Plānots, ka p</w:t>
            </w:r>
            <w:r w:rsidRPr="00490F6E">
              <w:t>rojekta ietvaros uzbūvēto ēku uzturēšanai nepieciešam</w:t>
            </w:r>
            <w:r w:rsidR="00753FB3" w:rsidRPr="00490F6E">
              <w:t>ai</w:t>
            </w:r>
            <w:r w:rsidRPr="00490F6E">
              <w:t xml:space="preserve">s finansējums (iepriekš noteiktā projekta rezultātu ilgtspējas nodrošināšanai, t.sk. uzturēšanas izmaksu segšanai) </w:t>
            </w:r>
            <w:r w:rsidR="00BB2933" w:rsidRPr="00490F6E">
              <w:t xml:space="preserve">indikatīvi </w:t>
            </w:r>
            <w:r w:rsidR="00753FB3" w:rsidRPr="00490F6E">
              <w:t xml:space="preserve">būs </w:t>
            </w:r>
            <w:r w:rsidR="00577178" w:rsidRPr="00490F6E">
              <w:t>250</w:t>
            </w:r>
            <w:r w:rsidR="00BD524D" w:rsidRPr="00490F6E">
              <w:t> </w:t>
            </w:r>
            <w:r w:rsidRPr="00490F6E">
              <w:t>000</w:t>
            </w:r>
            <w:r w:rsidR="00BD524D" w:rsidRPr="00490F6E">
              <w:t> </w:t>
            </w:r>
            <w:proofErr w:type="spellStart"/>
            <w:r w:rsidRPr="00490F6E">
              <w:rPr>
                <w:i/>
              </w:rPr>
              <w:t>euro</w:t>
            </w:r>
            <w:proofErr w:type="spellEnd"/>
            <w:r w:rsidRPr="00490F6E">
              <w:t xml:space="preserve"> gadā.</w:t>
            </w:r>
            <w:r w:rsidR="00BB2933" w:rsidRPr="00490F6E">
              <w:t xml:space="preserve"> </w:t>
            </w:r>
            <w:r w:rsidRPr="00490F6E">
              <w:t xml:space="preserve">Tas ir aptuveni </w:t>
            </w:r>
            <w:r w:rsidR="00577178" w:rsidRPr="00490F6E">
              <w:t>2</w:t>
            </w:r>
            <w:r w:rsidRPr="00490F6E">
              <w:t xml:space="preserve">% gadā no projekta kopējām "stingro" aktivitāšu izmaksām (13 000 000 </w:t>
            </w:r>
            <w:proofErr w:type="spellStart"/>
            <w:r w:rsidRPr="00490F6E">
              <w:rPr>
                <w:i/>
              </w:rPr>
              <w:t>euro</w:t>
            </w:r>
            <w:proofErr w:type="spellEnd"/>
            <w:r w:rsidRPr="00490F6E">
              <w:t>).</w:t>
            </w:r>
            <w:r w:rsidR="005F03C6" w:rsidRPr="00490F6E">
              <w:t xml:space="preserve"> </w:t>
            </w:r>
            <w:r w:rsidR="00BB2933" w:rsidRPr="00490F6E">
              <w:t>Plānots, ka summa samazināsies, jo būs ietaupījumi no telpām</w:t>
            </w:r>
            <w:r w:rsidR="00A811E1" w:rsidRPr="00490F6E">
              <w:t xml:space="preserve">, </w:t>
            </w:r>
            <w:r w:rsidR="00991950" w:rsidRPr="00490F6E">
              <w:t>kuras tiks slēgtas</w:t>
            </w:r>
            <w:r w:rsidR="00A811E1" w:rsidRPr="00490F6E">
              <w:t>.</w:t>
            </w:r>
            <w:r w:rsidR="00BB2933" w:rsidRPr="00490F6E">
              <w:t xml:space="preserve"> </w:t>
            </w:r>
            <w:r w:rsidR="005F03C6" w:rsidRPr="00490F6E">
              <w:t xml:space="preserve">Attiecīgi </w:t>
            </w:r>
            <w:r w:rsidR="005F03C6" w:rsidRPr="00490F6E">
              <w:lastRenderedPageBreak/>
              <w:t>plānots, ka Mācību centra</w:t>
            </w:r>
            <w:r w:rsidR="00577178" w:rsidRPr="00490F6E">
              <w:t xml:space="preserve"> un atklātā cietuma </w:t>
            </w:r>
            <w:proofErr w:type="spellStart"/>
            <w:r w:rsidR="00577178" w:rsidRPr="00490F6E">
              <w:t>paraugkorpusa</w:t>
            </w:r>
            <w:proofErr w:type="spellEnd"/>
            <w:r w:rsidR="005F03C6" w:rsidRPr="00490F6E">
              <w:t xml:space="preserve"> uzturēšanas izmaksās ietilpst šādas pozīcijas:</w:t>
            </w:r>
          </w:p>
          <w:p w14:paraId="25F50425" w14:textId="77777777" w:rsidR="005F03C6" w:rsidRPr="00490F6E" w:rsidRDefault="005F03C6" w:rsidP="005F03C6">
            <w:pPr>
              <w:rPr>
                <w:sz w:val="22"/>
                <w:szCs w:val="22"/>
              </w:rPr>
            </w:pPr>
            <w:r w:rsidRPr="00490F6E">
              <w:t xml:space="preserve">1. Siltumenerģija – 96 000 </w:t>
            </w:r>
            <w:proofErr w:type="spellStart"/>
            <w:r w:rsidRPr="00490F6E">
              <w:rPr>
                <w:i/>
              </w:rPr>
              <w:t>euro</w:t>
            </w:r>
            <w:proofErr w:type="spellEnd"/>
            <w:r w:rsidRPr="00490F6E">
              <w:t>;</w:t>
            </w:r>
          </w:p>
          <w:p w14:paraId="43ACD010" w14:textId="77777777" w:rsidR="005F03C6" w:rsidRPr="00490F6E" w:rsidRDefault="005F03C6" w:rsidP="005F03C6">
            <w:r w:rsidRPr="00490F6E">
              <w:t xml:space="preserve">2. Ūdens un kanalizācija – 36 000 </w:t>
            </w:r>
            <w:proofErr w:type="spellStart"/>
            <w:r w:rsidRPr="00490F6E">
              <w:rPr>
                <w:i/>
              </w:rPr>
              <w:t>euro</w:t>
            </w:r>
            <w:proofErr w:type="spellEnd"/>
            <w:r w:rsidRPr="00490F6E">
              <w:t>;</w:t>
            </w:r>
          </w:p>
          <w:p w14:paraId="57B6E0BC" w14:textId="77777777" w:rsidR="005F03C6" w:rsidRPr="00490F6E" w:rsidRDefault="005F03C6" w:rsidP="005F03C6">
            <w:r w:rsidRPr="00490F6E">
              <w:t xml:space="preserve">3. Elektrība – 48 000 </w:t>
            </w:r>
            <w:proofErr w:type="spellStart"/>
            <w:r w:rsidRPr="00490F6E">
              <w:rPr>
                <w:i/>
              </w:rPr>
              <w:t>euro</w:t>
            </w:r>
            <w:proofErr w:type="spellEnd"/>
            <w:r w:rsidRPr="00490F6E">
              <w:t>;</w:t>
            </w:r>
          </w:p>
          <w:p w14:paraId="1DD86DDB" w14:textId="77777777" w:rsidR="005F03C6" w:rsidRPr="00490F6E" w:rsidRDefault="005F03C6" w:rsidP="005F03C6">
            <w:r w:rsidRPr="00490F6E">
              <w:t xml:space="preserve">4. Apdrošināšana (inventāram, ēkai) – 5 000 </w:t>
            </w:r>
            <w:proofErr w:type="spellStart"/>
            <w:r w:rsidRPr="00490F6E">
              <w:rPr>
                <w:i/>
              </w:rPr>
              <w:t>euro</w:t>
            </w:r>
            <w:proofErr w:type="spellEnd"/>
            <w:r w:rsidRPr="00490F6E">
              <w:t>;</w:t>
            </w:r>
          </w:p>
          <w:p w14:paraId="12FB3112" w14:textId="77777777" w:rsidR="005F03C6" w:rsidRPr="00490F6E" w:rsidRDefault="005F03C6" w:rsidP="005F03C6">
            <w:r w:rsidRPr="00490F6E">
              <w:t xml:space="preserve">5. Inventāra un krājumu atjaunināšana – 50 000 </w:t>
            </w:r>
            <w:proofErr w:type="spellStart"/>
            <w:r w:rsidRPr="00490F6E">
              <w:rPr>
                <w:i/>
              </w:rPr>
              <w:t>euro</w:t>
            </w:r>
            <w:proofErr w:type="spellEnd"/>
            <w:r w:rsidRPr="00490F6E">
              <w:rPr>
                <w:i/>
              </w:rPr>
              <w:t>;</w:t>
            </w:r>
          </w:p>
          <w:p w14:paraId="49963018" w14:textId="77777777" w:rsidR="00645259" w:rsidRPr="00490F6E" w:rsidRDefault="005F03C6" w:rsidP="00DB6F17">
            <w:pPr>
              <w:jc w:val="both"/>
            </w:pPr>
            <w:r w:rsidRPr="00490F6E">
              <w:t>6. </w:t>
            </w:r>
            <w:r w:rsidR="00577178" w:rsidRPr="00490F6E">
              <w:t>Citi</w:t>
            </w:r>
            <w:r w:rsidRPr="00490F6E">
              <w:t xml:space="preserve"> komunālie</w:t>
            </w:r>
            <w:r w:rsidR="00577178" w:rsidRPr="00490F6E">
              <w:t xml:space="preserve"> </w:t>
            </w:r>
            <w:r w:rsidRPr="00490F6E">
              <w:t>pakalpojumi</w:t>
            </w:r>
            <w:r w:rsidR="00577178" w:rsidRPr="00490F6E">
              <w:t xml:space="preserve"> </w:t>
            </w:r>
            <w:r w:rsidRPr="00490F6E">
              <w:t xml:space="preserve">(atkritumu savākšana, deratizācija, dezinsekcija </w:t>
            </w:r>
            <w:proofErr w:type="spellStart"/>
            <w:r w:rsidRPr="00490F6E">
              <w:t>ut</w:t>
            </w:r>
            <w:r w:rsidR="00577178" w:rsidRPr="00490F6E">
              <w:t>ml</w:t>
            </w:r>
            <w:proofErr w:type="spellEnd"/>
            <w:r w:rsidRPr="00490F6E">
              <w:t xml:space="preserve">.) – 15 000 </w:t>
            </w:r>
            <w:proofErr w:type="spellStart"/>
            <w:r w:rsidRPr="00490F6E">
              <w:rPr>
                <w:i/>
              </w:rPr>
              <w:t>euro</w:t>
            </w:r>
            <w:proofErr w:type="spellEnd"/>
            <w:r w:rsidRPr="00490F6E">
              <w:t xml:space="preserve">. </w:t>
            </w:r>
            <w:r w:rsidR="00645259" w:rsidRPr="00490F6E">
              <w:t xml:space="preserve">Piecu gadu periodā uzturēšanas izmaksas būs aptuveni </w:t>
            </w:r>
            <w:r w:rsidR="00577178" w:rsidRPr="00490F6E">
              <w:t>1</w:t>
            </w:r>
            <w:r w:rsidR="00645259" w:rsidRPr="00490F6E">
              <w:t xml:space="preserve"> </w:t>
            </w:r>
            <w:r w:rsidR="00577178" w:rsidRPr="00490F6E">
              <w:t>250</w:t>
            </w:r>
            <w:r w:rsidR="00645259" w:rsidRPr="00490F6E">
              <w:t xml:space="preserve"> 000 </w:t>
            </w:r>
            <w:proofErr w:type="spellStart"/>
            <w:r w:rsidR="00645259" w:rsidRPr="00490F6E">
              <w:rPr>
                <w:i/>
              </w:rPr>
              <w:t>euro</w:t>
            </w:r>
            <w:proofErr w:type="spellEnd"/>
            <w:r w:rsidR="00645259" w:rsidRPr="00490F6E">
              <w:t xml:space="preserve">.  </w:t>
            </w:r>
          </w:p>
          <w:p w14:paraId="21BFD72C" w14:textId="6829900C" w:rsidR="00645259" w:rsidRPr="00490F6E" w:rsidRDefault="00DB6F17" w:rsidP="008F2421">
            <w:pPr>
              <w:jc w:val="both"/>
              <w:rPr>
                <w:lang w:eastAsia="en-US"/>
              </w:rPr>
            </w:pPr>
            <w:r w:rsidRPr="00490F6E">
              <w:rPr>
                <w:lang w:eastAsia="en-US"/>
              </w:rPr>
              <w:t>Attiecīgi 2023. gadā uzturēšanas izmaksas pilnā apmērā tiks apmaksātas no projekta budžeta</w:t>
            </w:r>
            <w:r w:rsidR="004067CF" w:rsidRPr="00490F6E">
              <w:rPr>
                <w:lang w:eastAsia="en-US"/>
              </w:rPr>
              <w:t xml:space="preserve"> finanšu līdzekļiem</w:t>
            </w:r>
            <w:r w:rsidRPr="00490F6E">
              <w:rPr>
                <w:lang w:eastAsia="en-US"/>
              </w:rPr>
              <w:t>, 2024. gadā no projekta budžeta tiks apmaksātas izmaksas</w:t>
            </w:r>
            <w:r w:rsidR="00D43FD6" w:rsidRPr="00490F6E">
              <w:rPr>
                <w:lang w:eastAsia="en-US"/>
              </w:rPr>
              <w:t xml:space="preserve"> aptuveni </w:t>
            </w:r>
            <w:r w:rsidR="00577178" w:rsidRPr="00490F6E">
              <w:rPr>
                <w:lang w:eastAsia="en-US"/>
              </w:rPr>
              <w:t>83 333</w:t>
            </w:r>
            <w:r w:rsidR="00D43FD6" w:rsidRPr="00490F6E">
              <w:rPr>
                <w:lang w:eastAsia="en-US"/>
              </w:rPr>
              <w:t xml:space="preserve"> </w:t>
            </w:r>
            <w:proofErr w:type="spellStart"/>
            <w:r w:rsidR="00D43FD6" w:rsidRPr="00490F6E">
              <w:rPr>
                <w:i/>
                <w:lang w:eastAsia="en-US"/>
              </w:rPr>
              <w:t>euro</w:t>
            </w:r>
            <w:proofErr w:type="spellEnd"/>
            <w:r w:rsidR="00D43FD6" w:rsidRPr="00490F6E">
              <w:rPr>
                <w:i/>
                <w:lang w:eastAsia="en-US"/>
              </w:rPr>
              <w:t xml:space="preserve"> </w:t>
            </w:r>
            <w:r w:rsidRPr="00490F6E">
              <w:rPr>
                <w:lang w:eastAsia="en-US"/>
              </w:rPr>
              <w:t xml:space="preserve">apmērā par periodu no 1. janvāra līdz 30. aprīlim. </w:t>
            </w:r>
            <w:r w:rsidR="00262690" w:rsidRPr="00490F6E">
              <w:rPr>
                <w:lang w:eastAsia="en-US"/>
              </w:rPr>
              <w:t>Par i</w:t>
            </w:r>
            <w:r w:rsidRPr="00490F6E">
              <w:rPr>
                <w:lang w:eastAsia="en-US"/>
              </w:rPr>
              <w:t>zmaks</w:t>
            </w:r>
            <w:r w:rsidR="00262690" w:rsidRPr="00490F6E">
              <w:rPr>
                <w:lang w:eastAsia="en-US"/>
              </w:rPr>
              <w:t>ām</w:t>
            </w:r>
            <w:r w:rsidRPr="00490F6E">
              <w:rPr>
                <w:lang w:eastAsia="en-US"/>
              </w:rPr>
              <w:t xml:space="preserve"> no 2024. gada 1. maija līdz 30. decembrim</w:t>
            </w:r>
            <w:r w:rsidR="00262690" w:rsidRPr="00490F6E">
              <w:rPr>
                <w:lang w:eastAsia="en-US"/>
              </w:rPr>
              <w:t>, kā arī 2025. gadā un turpmāk, atbilstoši Ministru kabineta 2012. gada 11. decembra noteikumu Nr. 867 "Kārtība, kādā nosakāms maksimāli pieļaujamais valsts budžeta izdevumu kopapjoms un maksimāli pieļaujamais valsts budžeta izdevumu kopējais apjoms katrai ministrijai un citām centrālajām valsts iestādēm vidējam termiņam" 10.4.</w:t>
            </w:r>
            <w:r w:rsidR="004F2A66">
              <w:rPr>
                <w:lang w:eastAsia="en-US"/>
              </w:rPr>
              <w:t> apakš</w:t>
            </w:r>
            <w:r w:rsidR="00262690" w:rsidRPr="00490F6E">
              <w:rPr>
                <w:lang w:eastAsia="en-US"/>
              </w:rPr>
              <w:t xml:space="preserve">punktam Tieslietu ministrija sagatavos priekšlikumus pamatbudžeta bāzes izdevumu precizēšanai par pabeigtā projekta uzturēšanas izdevumiem nepieciešamo finansējumu, ņemot vērā Tieslietu ministrijas budžetā jau paredzētās uzturēšanas izmaksas esošajam </w:t>
            </w:r>
            <w:r w:rsidR="004F2A66">
              <w:rPr>
                <w:lang w:eastAsia="en-US"/>
              </w:rPr>
              <w:t>IeVP</w:t>
            </w:r>
            <w:r w:rsidR="00262690" w:rsidRPr="00490F6E">
              <w:rPr>
                <w:lang w:eastAsia="en-US"/>
              </w:rPr>
              <w:t xml:space="preserve"> Mācību centram. </w:t>
            </w:r>
          </w:p>
        </w:tc>
      </w:tr>
    </w:tbl>
    <w:p w14:paraId="59A322C5" w14:textId="77777777" w:rsidR="008F2421" w:rsidRPr="00490F6E" w:rsidRDefault="008F2421"/>
    <w:tbl>
      <w:tblPr>
        <w:tblW w:w="512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286"/>
      </w:tblGrid>
      <w:tr w:rsidR="008F2421" w:rsidRPr="00490F6E" w14:paraId="7403EE5B" w14:textId="77777777" w:rsidTr="000B2DD8">
        <w:trPr>
          <w:cantSplit/>
        </w:trPr>
        <w:tc>
          <w:tcPr>
            <w:tcW w:w="9286" w:type="dxa"/>
            <w:vAlign w:val="center"/>
            <w:hideMark/>
          </w:tcPr>
          <w:p w14:paraId="6279C192" w14:textId="77777777" w:rsidR="00AD5F28" w:rsidRPr="00490F6E" w:rsidRDefault="00AD5F28" w:rsidP="008F2421">
            <w:pPr>
              <w:jc w:val="center"/>
              <w:rPr>
                <w:b/>
                <w:bCs/>
              </w:rPr>
            </w:pPr>
            <w:r w:rsidRPr="00490F6E">
              <w:rPr>
                <w:b/>
                <w:bCs/>
              </w:rPr>
              <w:t>IV. Tiesību akta projekta ietekme uz spēkā esošo tiesību normu sistēmu</w:t>
            </w:r>
          </w:p>
        </w:tc>
      </w:tr>
      <w:tr w:rsidR="008F2421" w:rsidRPr="00490F6E" w14:paraId="739D40E1" w14:textId="77777777" w:rsidTr="000B2DD8">
        <w:trPr>
          <w:cantSplit/>
        </w:trPr>
        <w:tc>
          <w:tcPr>
            <w:tcW w:w="9286" w:type="dxa"/>
            <w:vAlign w:val="center"/>
          </w:tcPr>
          <w:p w14:paraId="55DBFD9D" w14:textId="77777777" w:rsidR="00AD5F28" w:rsidRPr="00490F6E" w:rsidRDefault="00AD5F28" w:rsidP="000B2DD8">
            <w:pPr>
              <w:jc w:val="center"/>
              <w:rPr>
                <w:bCs/>
              </w:rPr>
            </w:pPr>
            <w:r w:rsidRPr="00490F6E">
              <w:rPr>
                <w:bCs/>
              </w:rPr>
              <w:t>Projekts šo jomu neskar.</w:t>
            </w:r>
          </w:p>
        </w:tc>
      </w:tr>
      <w:bookmarkEnd w:id="5"/>
    </w:tbl>
    <w:p w14:paraId="72CEF790" w14:textId="77777777" w:rsidR="008F2421" w:rsidRPr="00490F6E" w:rsidRDefault="008F2421"/>
    <w:tbl>
      <w:tblPr>
        <w:tblW w:w="508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4"/>
        <w:gridCol w:w="1607"/>
        <w:gridCol w:w="2144"/>
        <w:gridCol w:w="536"/>
        <w:gridCol w:w="536"/>
        <w:gridCol w:w="2413"/>
        <w:gridCol w:w="1411"/>
      </w:tblGrid>
      <w:tr w:rsidR="008F2421" w:rsidRPr="00490F6E" w14:paraId="51D6D475" w14:textId="77777777" w:rsidTr="000B2DD8">
        <w:trPr>
          <w:cantSplit/>
        </w:trPr>
        <w:tc>
          <w:tcPr>
            <w:tcW w:w="9211" w:type="dxa"/>
            <w:gridSpan w:val="7"/>
            <w:vAlign w:val="center"/>
            <w:hideMark/>
          </w:tcPr>
          <w:p w14:paraId="08FC4B06" w14:textId="77777777" w:rsidR="00BD5588" w:rsidRPr="00490F6E" w:rsidRDefault="00BD5588" w:rsidP="008F2421">
            <w:pPr>
              <w:jc w:val="center"/>
              <w:rPr>
                <w:b/>
                <w:bCs/>
              </w:rPr>
            </w:pPr>
            <w:r w:rsidRPr="00490F6E">
              <w:br w:type="page"/>
            </w:r>
            <w:r w:rsidRPr="00490F6E">
              <w:rPr>
                <w:b/>
                <w:bCs/>
              </w:rPr>
              <w:t>V. Tiesību akta projekta atbilstība Latvijas Republikas starptautiskajām saistībām</w:t>
            </w:r>
          </w:p>
        </w:tc>
      </w:tr>
      <w:tr w:rsidR="008F2421" w:rsidRPr="00490F6E" w14:paraId="17B7AB31" w14:textId="77777777" w:rsidTr="001C5B4E">
        <w:trPr>
          <w:cantSplit/>
        </w:trPr>
        <w:tc>
          <w:tcPr>
            <w:tcW w:w="564" w:type="dxa"/>
            <w:hideMark/>
          </w:tcPr>
          <w:p w14:paraId="39A17DF2" w14:textId="77777777" w:rsidR="00BD5588" w:rsidRPr="00490F6E" w:rsidRDefault="00BD5588" w:rsidP="008F2421">
            <w:pPr>
              <w:jc w:val="center"/>
            </w:pPr>
            <w:r w:rsidRPr="00490F6E">
              <w:t>1.</w:t>
            </w:r>
          </w:p>
        </w:tc>
        <w:tc>
          <w:tcPr>
            <w:tcW w:w="3751" w:type="dxa"/>
            <w:gridSpan w:val="2"/>
            <w:hideMark/>
          </w:tcPr>
          <w:p w14:paraId="036986E8" w14:textId="77777777" w:rsidR="00BD5588" w:rsidRPr="00490F6E" w:rsidRDefault="00BD5588" w:rsidP="008F2421">
            <w:r w:rsidRPr="00490F6E">
              <w:t>Saistības pret Eiropas Savienību</w:t>
            </w:r>
          </w:p>
        </w:tc>
        <w:tc>
          <w:tcPr>
            <w:tcW w:w="4896" w:type="dxa"/>
            <w:gridSpan w:val="4"/>
            <w:hideMark/>
          </w:tcPr>
          <w:p w14:paraId="02692B88" w14:textId="77777777" w:rsidR="00BD5588" w:rsidRPr="00490F6E" w:rsidRDefault="00204FAD" w:rsidP="008F2421">
            <w:r w:rsidRPr="00490F6E">
              <w:t>Projekts šo jomu neskar.</w:t>
            </w:r>
          </w:p>
        </w:tc>
      </w:tr>
      <w:tr w:rsidR="008F2421" w:rsidRPr="008F2421" w14:paraId="417D7DD6" w14:textId="77777777" w:rsidTr="001C5B4E">
        <w:trPr>
          <w:cantSplit/>
        </w:trPr>
        <w:tc>
          <w:tcPr>
            <w:tcW w:w="564" w:type="dxa"/>
            <w:hideMark/>
          </w:tcPr>
          <w:p w14:paraId="7C2F45C6" w14:textId="77777777" w:rsidR="00BD5588" w:rsidRPr="00490F6E" w:rsidRDefault="00BD5588" w:rsidP="008F2421">
            <w:pPr>
              <w:jc w:val="center"/>
            </w:pPr>
            <w:r w:rsidRPr="00490F6E">
              <w:t>2.</w:t>
            </w:r>
          </w:p>
        </w:tc>
        <w:tc>
          <w:tcPr>
            <w:tcW w:w="3751" w:type="dxa"/>
            <w:gridSpan w:val="2"/>
            <w:hideMark/>
          </w:tcPr>
          <w:p w14:paraId="3C94BF01" w14:textId="77777777" w:rsidR="00BD5588" w:rsidRPr="00490F6E" w:rsidRDefault="00BD5588" w:rsidP="008F2421">
            <w:r w:rsidRPr="00490F6E">
              <w:t>Citas starptautiskās saistības</w:t>
            </w:r>
          </w:p>
        </w:tc>
        <w:tc>
          <w:tcPr>
            <w:tcW w:w="4896" w:type="dxa"/>
            <w:gridSpan w:val="4"/>
            <w:hideMark/>
          </w:tcPr>
          <w:p w14:paraId="31706FCB" w14:textId="77777777" w:rsidR="00D32333" w:rsidRPr="00D32333" w:rsidRDefault="00EC6F35" w:rsidP="008F2421">
            <w:pPr>
              <w:jc w:val="both"/>
            </w:pPr>
            <w:r w:rsidRPr="00490F6E">
              <w:t xml:space="preserve">2017. gada 14. decembra Saprašanās memoranda par </w:t>
            </w:r>
            <w:r w:rsidR="00D32333" w:rsidRPr="00490F6E">
              <w:t xml:space="preserve">Norvēģijas finanšu instrumenta </w:t>
            </w:r>
            <w:r w:rsidRPr="00490F6E">
              <w:t xml:space="preserve">ieviešanu 2014.–2021. gadā starp Norvēģijas Karalisti un Latvijas Republiku B pielikuma </w:t>
            </w:r>
            <w:r w:rsidR="00D32333" w:rsidRPr="00490F6E">
              <w:t xml:space="preserve">3. daļas </w:t>
            </w:r>
            <w:r w:rsidRPr="00490F6E">
              <w:t>D punkts.</w:t>
            </w:r>
          </w:p>
        </w:tc>
      </w:tr>
      <w:tr w:rsidR="008F2421" w:rsidRPr="008F2421" w14:paraId="4FB5E480" w14:textId="77777777" w:rsidTr="001C5B4E">
        <w:trPr>
          <w:cantSplit/>
        </w:trPr>
        <w:tc>
          <w:tcPr>
            <w:tcW w:w="564" w:type="dxa"/>
            <w:hideMark/>
          </w:tcPr>
          <w:p w14:paraId="06515256" w14:textId="77777777" w:rsidR="00BD5588" w:rsidRPr="008F2421" w:rsidRDefault="00BD5588" w:rsidP="008F2421">
            <w:pPr>
              <w:jc w:val="center"/>
            </w:pPr>
            <w:r w:rsidRPr="008F2421">
              <w:t>3.</w:t>
            </w:r>
          </w:p>
        </w:tc>
        <w:tc>
          <w:tcPr>
            <w:tcW w:w="3751" w:type="dxa"/>
            <w:gridSpan w:val="2"/>
            <w:hideMark/>
          </w:tcPr>
          <w:p w14:paraId="78D06DAD" w14:textId="77777777" w:rsidR="00BD5588" w:rsidRPr="008F2421" w:rsidRDefault="00BD5588" w:rsidP="008F2421">
            <w:r w:rsidRPr="008F2421">
              <w:t>Cita informācija</w:t>
            </w:r>
          </w:p>
        </w:tc>
        <w:tc>
          <w:tcPr>
            <w:tcW w:w="4896" w:type="dxa"/>
            <w:gridSpan w:val="4"/>
            <w:hideMark/>
          </w:tcPr>
          <w:p w14:paraId="6F0C8E24" w14:textId="77777777" w:rsidR="00BD5588" w:rsidRPr="008F2421" w:rsidRDefault="00204FAD" w:rsidP="008F2421">
            <w:r w:rsidRPr="008F2421">
              <w:t>Nav.</w:t>
            </w:r>
          </w:p>
        </w:tc>
      </w:tr>
      <w:tr w:rsidR="008F2421" w:rsidRPr="008F2421" w14:paraId="35582184" w14:textId="77777777" w:rsidTr="001C5B4E">
        <w:tc>
          <w:tcPr>
            <w:tcW w:w="9211" w:type="dxa"/>
            <w:gridSpan w:val="7"/>
            <w:vAlign w:val="center"/>
            <w:hideMark/>
          </w:tcPr>
          <w:p w14:paraId="100BF239" w14:textId="77777777" w:rsidR="00BD5588" w:rsidRPr="008F2421" w:rsidRDefault="00BD5588" w:rsidP="008F2421">
            <w:pPr>
              <w:jc w:val="center"/>
              <w:rPr>
                <w:b/>
                <w:bCs/>
              </w:rPr>
            </w:pPr>
            <w:r w:rsidRPr="008F2421">
              <w:rPr>
                <w:b/>
                <w:bCs/>
              </w:rPr>
              <w:t>1. tabula</w:t>
            </w:r>
            <w:r w:rsidRPr="008F2421">
              <w:rPr>
                <w:b/>
                <w:bCs/>
              </w:rPr>
              <w:br/>
              <w:t>Tiesību akta projekta atbilstība ES tiesību aktiem</w:t>
            </w:r>
          </w:p>
        </w:tc>
      </w:tr>
      <w:tr w:rsidR="008F2421" w:rsidRPr="008F2421" w14:paraId="6D7FDA78" w14:textId="77777777" w:rsidTr="001C5B4E">
        <w:tc>
          <w:tcPr>
            <w:tcW w:w="2171" w:type="dxa"/>
            <w:gridSpan w:val="2"/>
            <w:hideMark/>
          </w:tcPr>
          <w:p w14:paraId="110A9042" w14:textId="77777777" w:rsidR="00BD5588" w:rsidRPr="008F2421" w:rsidRDefault="00BD5588" w:rsidP="008F2421">
            <w:r w:rsidRPr="008F2421">
              <w:t>Attiecīgā ES tiesību akta datums, numurs un nosaukums</w:t>
            </w:r>
          </w:p>
        </w:tc>
        <w:tc>
          <w:tcPr>
            <w:tcW w:w="7040" w:type="dxa"/>
            <w:gridSpan w:val="5"/>
            <w:hideMark/>
          </w:tcPr>
          <w:p w14:paraId="5D4CFC81" w14:textId="77777777" w:rsidR="00BD5588" w:rsidRPr="008F2421" w:rsidRDefault="00AC37A9" w:rsidP="008F2421">
            <w:r w:rsidRPr="008F2421">
              <w:t>Projekts šo jomu neskar.</w:t>
            </w:r>
          </w:p>
        </w:tc>
      </w:tr>
      <w:tr w:rsidR="008F2421" w:rsidRPr="008F2421" w14:paraId="14076E62" w14:textId="77777777" w:rsidTr="001C5B4E">
        <w:tc>
          <w:tcPr>
            <w:tcW w:w="2171" w:type="dxa"/>
            <w:gridSpan w:val="2"/>
            <w:vAlign w:val="center"/>
            <w:hideMark/>
          </w:tcPr>
          <w:p w14:paraId="5CED263A" w14:textId="77777777" w:rsidR="00BD5588" w:rsidRPr="008F2421" w:rsidRDefault="00BD5588" w:rsidP="008F2421">
            <w:pPr>
              <w:jc w:val="center"/>
            </w:pPr>
            <w:r w:rsidRPr="008F2421">
              <w:t>A</w:t>
            </w:r>
          </w:p>
        </w:tc>
        <w:tc>
          <w:tcPr>
            <w:tcW w:w="2680" w:type="dxa"/>
            <w:gridSpan w:val="2"/>
            <w:vAlign w:val="center"/>
            <w:hideMark/>
          </w:tcPr>
          <w:p w14:paraId="10E069FF" w14:textId="77777777" w:rsidR="00BD5588" w:rsidRPr="008F2421" w:rsidRDefault="00BD5588" w:rsidP="008F2421">
            <w:pPr>
              <w:jc w:val="center"/>
            </w:pPr>
            <w:r w:rsidRPr="008F2421">
              <w:t>B</w:t>
            </w:r>
          </w:p>
        </w:tc>
        <w:tc>
          <w:tcPr>
            <w:tcW w:w="2949" w:type="dxa"/>
            <w:gridSpan w:val="2"/>
            <w:vAlign w:val="center"/>
            <w:hideMark/>
          </w:tcPr>
          <w:p w14:paraId="0C4F16D5" w14:textId="77777777" w:rsidR="00BD5588" w:rsidRPr="008F2421" w:rsidRDefault="00BD5588" w:rsidP="008F2421">
            <w:pPr>
              <w:jc w:val="center"/>
            </w:pPr>
            <w:r w:rsidRPr="008F2421">
              <w:t>C</w:t>
            </w:r>
          </w:p>
        </w:tc>
        <w:tc>
          <w:tcPr>
            <w:tcW w:w="1411" w:type="dxa"/>
            <w:vAlign w:val="center"/>
            <w:hideMark/>
          </w:tcPr>
          <w:p w14:paraId="512BAFE3" w14:textId="77777777" w:rsidR="00BD5588" w:rsidRPr="008F2421" w:rsidRDefault="00BD5588" w:rsidP="008F2421">
            <w:pPr>
              <w:jc w:val="center"/>
            </w:pPr>
            <w:r w:rsidRPr="008F2421">
              <w:t>D</w:t>
            </w:r>
          </w:p>
        </w:tc>
      </w:tr>
      <w:tr w:rsidR="008F2421" w:rsidRPr="008F2421" w14:paraId="0571C4A6" w14:textId="77777777" w:rsidTr="001C5B4E">
        <w:tc>
          <w:tcPr>
            <w:tcW w:w="2171" w:type="dxa"/>
            <w:gridSpan w:val="2"/>
            <w:hideMark/>
          </w:tcPr>
          <w:p w14:paraId="7C22740C" w14:textId="77777777" w:rsidR="00BD5588" w:rsidRPr="008F2421" w:rsidRDefault="00BD5588" w:rsidP="008F2421">
            <w:r w:rsidRPr="008F2421">
              <w:t>Attiecīgā ES tiesību akta panta numurs (uzskaitot katru tiesību akta vienību – pantu, daļu, punktu, apakšpunktu)</w:t>
            </w:r>
          </w:p>
        </w:tc>
        <w:tc>
          <w:tcPr>
            <w:tcW w:w="2680" w:type="dxa"/>
            <w:gridSpan w:val="2"/>
            <w:hideMark/>
          </w:tcPr>
          <w:p w14:paraId="50CAF761" w14:textId="77777777" w:rsidR="00BD5588" w:rsidRPr="008F2421" w:rsidRDefault="00BD5588" w:rsidP="008F2421">
            <w:r w:rsidRPr="008F2421">
              <w:t>Projekta vienība, kas pārņem vai ievieš katru šīs tabulas A ailē minēto ES tiesību akta vienību, vai tiesību akts, kur attiecīgā ES tiesību akta vienība pārņemta vai ieviesta</w:t>
            </w:r>
          </w:p>
        </w:tc>
        <w:tc>
          <w:tcPr>
            <w:tcW w:w="2949" w:type="dxa"/>
            <w:gridSpan w:val="2"/>
            <w:hideMark/>
          </w:tcPr>
          <w:p w14:paraId="15812A5E" w14:textId="77777777" w:rsidR="00BD5588" w:rsidRPr="008F2421" w:rsidRDefault="00BD5588" w:rsidP="008F2421">
            <w:r w:rsidRPr="008F2421">
              <w:t>Informācija par to, vai šīs tabulas A ailē minētās ES tiesību akta vienības tiek pārņemtas vai ieviestas pilnībā vai daļēji.</w:t>
            </w:r>
            <w:r w:rsidRPr="008F2421">
              <w:br/>
              <w:t xml:space="preserve">Ja attiecīgā ES tiesību akta vienība tiek pārņemta vai </w:t>
            </w:r>
            <w:r w:rsidRPr="008F2421">
              <w:lastRenderedPageBreak/>
              <w:t>ieviesta daļēji, sniedz attiecīgu skaidrojumu, kā arī precīzi norāda, kad un kādā veidā ES tiesību akta vienība tiks pārņemta vai ieviesta pilnībā.</w:t>
            </w:r>
            <w:r w:rsidRPr="008F2421">
              <w:br/>
              <w:t>Norāda institūciju, kas ir atbildīga par šo saistību izpildi pilnībā</w:t>
            </w:r>
          </w:p>
        </w:tc>
        <w:tc>
          <w:tcPr>
            <w:tcW w:w="1411" w:type="dxa"/>
            <w:hideMark/>
          </w:tcPr>
          <w:p w14:paraId="174321BB" w14:textId="77777777" w:rsidR="00BD5588" w:rsidRPr="008F2421" w:rsidRDefault="00BD5588" w:rsidP="008F2421">
            <w:r w:rsidRPr="008F2421">
              <w:lastRenderedPageBreak/>
              <w:t xml:space="preserve">Informācija par to, vai šīs tabulas B ailē minētās projekta vienības paredz </w:t>
            </w:r>
            <w:r w:rsidRPr="008F2421">
              <w:lastRenderedPageBreak/>
              <w:t>stingrākas prasības nekā šīs tabulas A ailē minētās ES tiesību akta vienības.</w:t>
            </w:r>
            <w:r w:rsidRPr="008F2421">
              <w:br/>
              <w:t>Ja projekts satur stingrākas prasības nekā attiecīgais ES tiesību akts, norāda pamatojumu un samērīgumu.</w:t>
            </w:r>
            <w:r w:rsidRPr="008F2421">
              <w:br/>
              <w:t>Norāda iespējamās alternatīvas (t. sk. alternatīvas, kas neparedz tiesiskā regulējuma izstrādi) – kādos gadījumos būtu iespējams izvairīties no stingrāku prasību noteikšanas, nekā paredzēts attiecīgajos ES tiesību aktos</w:t>
            </w:r>
          </w:p>
        </w:tc>
      </w:tr>
      <w:tr w:rsidR="008F2421" w:rsidRPr="008F2421" w14:paraId="3821027A" w14:textId="77777777" w:rsidTr="001C5B4E">
        <w:trPr>
          <w:cantSplit/>
        </w:trPr>
        <w:tc>
          <w:tcPr>
            <w:tcW w:w="2171" w:type="dxa"/>
            <w:gridSpan w:val="2"/>
            <w:hideMark/>
          </w:tcPr>
          <w:p w14:paraId="7891D33E" w14:textId="77777777" w:rsidR="00BD5588" w:rsidRPr="008F2421" w:rsidRDefault="00E577B1" w:rsidP="008F2421">
            <w:r w:rsidRPr="008F2421">
              <w:lastRenderedPageBreak/>
              <w:t>Projekts šo jomu neskar.</w:t>
            </w:r>
          </w:p>
        </w:tc>
        <w:tc>
          <w:tcPr>
            <w:tcW w:w="2680" w:type="dxa"/>
            <w:gridSpan w:val="2"/>
            <w:hideMark/>
          </w:tcPr>
          <w:p w14:paraId="0D61E18B" w14:textId="77777777" w:rsidR="00BD5588" w:rsidRPr="008F2421" w:rsidRDefault="00E577B1" w:rsidP="008F2421">
            <w:r w:rsidRPr="008F2421">
              <w:t>Projekts šo jomu neskar.</w:t>
            </w:r>
          </w:p>
        </w:tc>
        <w:tc>
          <w:tcPr>
            <w:tcW w:w="2949" w:type="dxa"/>
            <w:gridSpan w:val="2"/>
            <w:hideMark/>
          </w:tcPr>
          <w:p w14:paraId="7F165A3F" w14:textId="77777777" w:rsidR="00BD5588" w:rsidRPr="008F2421" w:rsidRDefault="00E577B1" w:rsidP="008F2421">
            <w:r w:rsidRPr="008F2421">
              <w:t>Projekts šo jomu neskar.</w:t>
            </w:r>
          </w:p>
        </w:tc>
        <w:tc>
          <w:tcPr>
            <w:tcW w:w="1411" w:type="dxa"/>
            <w:hideMark/>
          </w:tcPr>
          <w:p w14:paraId="17913167" w14:textId="77777777" w:rsidR="00BD5588" w:rsidRPr="008F2421" w:rsidRDefault="00E577B1" w:rsidP="008F2421">
            <w:r w:rsidRPr="008F2421">
              <w:t>Projekts šo jomu neskar.</w:t>
            </w:r>
          </w:p>
        </w:tc>
      </w:tr>
      <w:tr w:rsidR="008F2421" w:rsidRPr="008F2421" w14:paraId="51E9855C" w14:textId="77777777" w:rsidTr="001C5B4E">
        <w:trPr>
          <w:cantSplit/>
        </w:trPr>
        <w:tc>
          <w:tcPr>
            <w:tcW w:w="2171" w:type="dxa"/>
            <w:gridSpan w:val="2"/>
            <w:hideMark/>
          </w:tcPr>
          <w:p w14:paraId="6568D5CA" w14:textId="77777777" w:rsidR="00E577B1" w:rsidRPr="008F2421" w:rsidRDefault="00E577B1" w:rsidP="008F2421">
            <w:r w:rsidRPr="008F2421">
              <w:t>Kā ir izmantota ES tiesību aktā paredzētā rīcības brīvība dalībvalstij pārņemt vai ieviest noteiktas ES tiesību akta normas? Kādēļ?</w:t>
            </w:r>
          </w:p>
        </w:tc>
        <w:tc>
          <w:tcPr>
            <w:tcW w:w="7040" w:type="dxa"/>
            <w:gridSpan w:val="5"/>
            <w:hideMark/>
          </w:tcPr>
          <w:p w14:paraId="01DE8D90" w14:textId="77777777" w:rsidR="00E577B1" w:rsidRPr="008F2421" w:rsidRDefault="00E577B1" w:rsidP="008F2421">
            <w:r w:rsidRPr="008F2421">
              <w:t>Projekts šo jomu neskar.</w:t>
            </w:r>
          </w:p>
        </w:tc>
      </w:tr>
      <w:tr w:rsidR="008F2421" w:rsidRPr="008F2421" w14:paraId="477A2436" w14:textId="77777777" w:rsidTr="001C5B4E">
        <w:trPr>
          <w:cantSplit/>
        </w:trPr>
        <w:tc>
          <w:tcPr>
            <w:tcW w:w="2171" w:type="dxa"/>
            <w:gridSpan w:val="2"/>
            <w:hideMark/>
          </w:tcPr>
          <w:p w14:paraId="06ADEF2C" w14:textId="77777777" w:rsidR="00E577B1" w:rsidRPr="008F2421" w:rsidRDefault="00E577B1" w:rsidP="008F2421">
            <w:r w:rsidRPr="008F2421">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040" w:type="dxa"/>
            <w:gridSpan w:val="5"/>
            <w:hideMark/>
          </w:tcPr>
          <w:p w14:paraId="59BD1FCF" w14:textId="77777777" w:rsidR="00E577B1" w:rsidRPr="008F2421" w:rsidRDefault="00E577B1" w:rsidP="008F2421">
            <w:r w:rsidRPr="008F2421">
              <w:t>Projekts šo jomu neskar.</w:t>
            </w:r>
          </w:p>
        </w:tc>
      </w:tr>
      <w:tr w:rsidR="008F2421" w:rsidRPr="008F2421" w14:paraId="0C0ACBAE" w14:textId="77777777" w:rsidTr="001C5B4E">
        <w:trPr>
          <w:cantSplit/>
        </w:trPr>
        <w:tc>
          <w:tcPr>
            <w:tcW w:w="2171" w:type="dxa"/>
            <w:gridSpan w:val="2"/>
            <w:hideMark/>
          </w:tcPr>
          <w:p w14:paraId="33CC078E" w14:textId="77777777" w:rsidR="00BD5588" w:rsidRPr="008F2421" w:rsidRDefault="00BD5588" w:rsidP="008F2421">
            <w:r w:rsidRPr="008F2421">
              <w:t>Cita informācija</w:t>
            </w:r>
          </w:p>
        </w:tc>
        <w:tc>
          <w:tcPr>
            <w:tcW w:w="7040" w:type="dxa"/>
            <w:gridSpan w:val="5"/>
            <w:hideMark/>
          </w:tcPr>
          <w:p w14:paraId="354AA78E" w14:textId="77777777" w:rsidR="00BD5588" w:rsidRPr="008F2421" w:rsidRDefault="00E577B1" w:rsidP="008F2421">
            <w:r w:rsidRPr="008F2421">
              <w:t>Nav.</w:t>
            </w:r>
          </w:p>
        </w:tc>
      </w:tr>
      <w:tr w:rsidR="008F2421" w:rsidRPr="008F2421" w14:paraId="1ACE648D" w14:textId="77777777" w:rsidTr="001C5B4E">
        <w:tc>
          <w:tcPr>
            <w:tcW w:w="9211" w:type="dxa"/>
            <w:gridSpan w:val="7"/>
            <w:vAlign w:val="center"/>
            <w:hideMark/>
          </w:tcPr>
          <w:p w14:paraId="15348491" w14:textId="77777777" w:rsidR="00BD5588" w:rsidRPr="008F2421" w:rsidRDefault="00BD5588" w:rsidP="008F2421">
            <w:pPr>
              <w:jc w:val="center"/>
              <w:rPr>
                <w:b/>
                <w:bCs/>
              </w:rPr>
            </w:pPr>
            <w:r w:rsidRPr="008F2421">
              <w:rPr>
                <w:b/>
                <w:bCs/>
              </w:rPr>
              <w:t>2. tabula</w:t>
            </w:r>
            <w:r w:rsidRPr="008F2421">
              <w:rPr>
                <w:b/>
                <w:bCs/>
              </w:rPr>
              <w:br/>
              <w:t>Ar tiesību akta projektu izpildītās vai uzņemtās saistības, kas izriet no starptautiskajiem tiesību aktiem vai starptautiskas institūcijas vai organizācijas dokumentiem.</w:t>
            </w:r>
            <w:r w:rsidRPr="008F2421">
              <w:rPr>
                <w:b/>
                <w:bCs/>
              </w:rPr>
              <w:br/>
              <w:t>Pasākumi šo saistību izpildei</w:t>
            </w:r>
          </w:p>
        </w:tc>
      </w:tr>
      <w:tr w:rsidR="008F2421" w:rsidRPr="008F2421" w14:paraId="3C92A4ED" w14:textId="77777777" w:rsidTr="001C5B4E">
        <w:tc>
          <w:tcPr>
            <w:tcW w:w="2171" w:type="dxa"/>
            <w:gridSpan w:val="2"/>
            <w:hideMark/>
          </w:tcPr>
          <w:p w14:paraId="7AF43FB3" w14:textId="77777777" w:rsidR="00BD5588" w:rsidRPr="008F2421" w:rsidRDefault="00BD5588" w:rsidP="008F2421">
            <w:r w:rsidRPr="008F2421">
              <w:t>Attiecīgā starptautiskā tiesību akta vai starptautiskas institūcijas vai organizācijas dokumenta (turpmāk – starptautiskais dokuments) datums, numurs un nosaukums</w:t>
            </w:r>
          </w:p>
        </w:tc>
        <w:tc>
          <w:tcPr>
            <w:tcW w:w="7040" w:type="dxa"/>
            <w:gridSpan w:val="5"/>
            <w:hideMark/>
          </w:tcPr>
          <w:p w14:paraId="073CA500" w14:textId="77777777" w:rsidR="00D32333" w:rsidRPr="008F2421" w:rsidRDefault="00D32333" w:rsidP="00D32333">
            <w:pPr>
              <w:jc w:val="both"/>
            </w:pPr>
            <w:r w:rsidRPr="008F2421">
              <w:t xml:space="preserve">2017. gada 14. decembra Saprašanās memoranda par </w:t>
            </w:r>
            <w:r>
              <w:t>Norvēģijas finanšu instrumenta</w:t>
            </w:r>
            <w:r w:rsidRPr="008F2421">
              <w:t xml:space="preserve"> ieviešanu 2014.–2021. gadā starp Norvēģijas Karalisti un Latvijas Republiku B pielikuma </w:t>
            </w:r>
            <w:r>
              <w:t xml:space="preserve">3. daļas </w:t>
            </w:r>
            <w:r w:rsidRPr="008F2421">
              <w:t>D punkts.</w:t>
            </w:r>
          </w:p>
        </w:tc>
      </w:tr>
      <w:tr w:rsidR="008F2421" w:rsidRPr="008F2421" w14:paraId="783EB883" w14:textId="77777777" w:rsidTr="001C5B4E">
        <w:tc>
          <w:tcPr>
            <w:tcW w:w="2171" w:type="dxa"/>
            <w:gridSpan w:val="2"/>
            <w:vAlign w:val="center"/>
            <w:hideMark/>
          </w:tcPr>
          <w:p w14:paraId="60CDED37" w14:textId="77777777" w:rsidR="00BD5588" w:rsidRPr="008F2421" w:rsidRDefault="00BD5588" w:rsidP="008F2421">
            <w:pPr>
              <w:jc w:val="center"/>
            </w:pPr>
            <w:r w:rsidRPr="008F2421">
              <w:t>A</w:t>
            </w:r>
          </w:p>
        </w:tc>
        <w:tc>
          <w:tcPr>
            <w:tcW w:w="3216" w:type="dxa"/>
            <w:gridSpan w:val="3"/>
            <w:vAlign w:val="center"/>
            <w:hideMark/>
          </w:tcPr>
          <w:p w14:paraId="57123E01" w14:textId="77777777" w:rsidR="00BD5588" w:rsidRPr="008F2421" w:rsidRDefault="00BD5588" w:rsidP="008F2421">
            <w:pPr>
              <w:jc w:val="center"/>
            </w:pPr>
            <w:r w:rsidRPr="008F2421">
              <w:t>B</w:t>
            </w:r>
          </w:p>
        </w:tc>
        <w:tc>
          <w:tcPr>
            <w:tcW w:w="3824" w:type="dxa"/>
            <w:gridSpan w:val="2"/>
            <w:vAlign w:val="center"/>
            <w:hideMark/>
          </w:tcPr>
          <w:p w14:paraId="71E1A332" w14:textId="77777777" w:rsidR="00BD5588" w:rsidRPr="008F2421" w:rsidRDefault="00BD5588" w:rsidP="008F2421">
            <w:pPr>
              <w:jc w:val="center"/>
            </w:pPr>
            <w:r w:rsidRPr="008F2421">
              <w:t>C</w:t>
            </w:r>
          </w:p>
        </w:tc>
      </w:tr>
      <w:tr w:rsidR="008F2421" w:rsidRPr="008F2421" w14:paraId="39354208" w14:textId="77777777" w:rsidTr="001C5B4E">
        <w:tc>
          <w:tcPr>
            <w:tcW w:w="2171" w:type="dxa"/>
            <w:gridSpan w:val="2"/>
            <w:hideMark/>
          </w:tcPr>
          <w:p w14:paraId="19396377" w14:textId="77777777" w:rsidR="00BD5588" w:rsidRPr="008F2421" w:rsidRDefault="00BD5588" w:rsidP="008F2421">
            <w:r w:rsidRPr="008F2421">
              <w:t>Starptautiskās saistības (pēc būtības), kas izriet no norādītā starptautiskā dokumenta.</w:t>
            </w:r>
            <w:r w:rsidRPr="008F2421">
              <w:br/>
              <w:t>Konkrēti veicamie pasākumi vai uzdevumi, kas nepieciešami šo starptautisko saistību izpildei</w:t>
            </w:r>
          </w:p>
        </w:tc>
        <w:tc>
          <w:tcPr>
            <w:tcW w:w="3216" w:type="dxa"/>
            <w:gridSpan w:val="3"/>
            <w:hideMark/>
          </w:tcPr>
          <w:p w14:paraId="49A99908" w14:textId="77777777" w:rsidR="00BD5588" w:rsidRPr="008F2421" w:rsidRDefault="00BD5588" w:rsidP="008F2421">
            <w:r w:rsidRPr="008F2421">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824" w:type="dxa"/>
            <w:gridSpan w:val="2"/>
            <w:hideMark/>
          </w:tcPr>
          <w:p w14:paraId="0A60A8B8" w14:textId="77777777" w:rsidR="00BD5588" w:rsidRPr="008F2421" w:rsidRDefault="00BD5588" w:rsidP="008F2421">
            <w:r w:rsidRPr="008F2421">
              <w:t>Informācija par to, vai starptautiskās saistības, kas minētas šīs tabulas A ailē, tiek izpildītas pilnībā vai daļēji.</w:t>
            </w:r>
            <w:r w:rsidRPr="008F2421">
              <w:br/>
              <w:t>Ja attiecīgās starptautiskās saistības tiek izpildītas daļēji, sniedz skaidrojumu, kā arī precīzi norāda, kad un kādā veidā starptautiskās saistības tiks izpildītas pilnībā.</w:t>
            </w:r>
            <w:r w:rsidRPr="008F2421">
              <w:br/>
              <w:t>Norāda institūciju, kas ir atbildīga par šo saistību izpildi pilnībā</w:t>
            </w:r>
          </w:p>
        </w:tc>
      </w:tr>
      <w:tr w:rsidR="000B2DD8" w:rsidRPr="008F2421" w14:paraId="2B924521" w14:textId="77777777" w:rsidTr="001C5B4E">
        <w:tc>
          <w:tcPr>
            <w:tcW w:w="2171" w:type="dxa"/>
            <w:gridSpan w:val="2"/>
            <w:hideMark/>
          </w:tcPr>
          <w:p w14:paraId="4B3306AC" w14:textId="77777777" w:rsidR="000B2DD8" w:rsidRPr="008F2421" w:rsidRDefault="000B2DD8" w:rsidP="000B2DD8">
            <w:r w:rsidRPr="008F2421">
              <w:t xml:space="preserve">2017. gada 14. decembra Saprašanās memoranda par Norvēģijas finanšu </w:t>
            </w:r>
            <w:r w:rsidRPr="008F2421">
              <w:lastRenderedPageBreak/>
              <w:t>instrumenta ieviešanu 2014.–2021. gadā starp Norvēģijas Karalisti un Latvijas Republiku B pielikuma D punkts.</w:t>
            </w:r>
          </w:p>
        </w:tc>
        <w:tc>
          <w:tcPr>
            <w:tcW w:w="3216" w:type="dxa"/>
            <w:gridSpan w:val="3"/>
            <w:hideMark/>
          </w:tcPr>
          <w:p w14:paraId="7F93BF2F" w14:textId="77777777" w:rsidR="000B2DD8" w:rsidRPr="00B37E66" w:rsidRDefault="000B2DD8" w:rsidP="000B2DD8">
            <w:r>
              <w:lastRenderedPageBreak/>
              <w:t>Rīkojuma projekta 1. un 3. punkts.</w:t>
            </w:r>
          </w:p>
        </w:tc>
        <w:tc>
          <w:tcPr>
            <w:tcW w:w="3824" w:type="dxa"/>
            <w:gridSpan w:val="2"/>
            <w:hideMark/>
          </w:tcPr>
          <w:p w14:paraId="621A71F2" w14:textId="77777777" w:rsidR="000B2DD8" w:rsidRPr="008F2421" w:rsidRDefault="000B2DD8" w:rsidP="000B2DD8">
            <w:r>
              <w:t>Starptautiskās saistības tiek izpildītas pilnībā.</w:t>
            </w:r>
          </w:p>
        </w:tc>
      </w:tr>
      <w:tr w:rsidR="000B2DD8" w:rsidRPr="008F2421" w14:paraId="6FA4FF26" w14:textId="77777777" w:rsidTr="001C5B4E">
        <w:tc>
          <w:tcPr>
            <w:tcW w:w="2171" w:type="dxa"/>
            <w:gridSpan w:val="2"/>
            <w:hideMark/>
          </w:tcPr>
          <w:p w14:paraId="2572D244" w14:textId="77777777" w:rsidR="000B2DD8" w:rsidRPr="008F2421" w:rsidRDefault="000B2DD8" w:rsidP="000B2DD8">
            <w:r w:rsidRPr="008F2421">
              <w:t>Vai starptautiskajā dokumentā paredzētās saistības nav pretrunā ar jau esošajām Latvijas Republikas starptautiskajām saistībām</w:t>
            </w:r>
          </w:p>
        </w:tc>
        <w:tc>
          <w:tcPr>
            <w:tcW w:w="7040" w:type="dxa"/>
            <w:gridSpan w:val="5"/>
            <w:hideMark/>
          </w:tcPr>
          <w:p w14:paraId="40F934EC" w14:textId="77777777" w:rsidR="000B2DD8" w:rsidRDefault="000B2DD8" w:rsidP="000B2DD8">
            <w:pPr>
              <w:jc w:val="both"/>
            </w:pPr>
            <w:r w:rsidRPr="008F2421">
              <w:t>2017. gada 14. decembra Saprašanās memoranda par Norvēģijas finanšu instrumenta ieviešanu 2014.–2021. gadā starp Norvēģijas Karalisti un Latvijas Republiku B pielikuma</w:t>
            </w:r>
            <w:r w:rsidR="00D32333">
              <w:t xml:space="preserve"> 3. daļas</w:t>
            </w:r>
            <w:r w:rsidRPr="008F2421">
              <w:t xml:space="preserve"> D punkts nav pretrunā ar Latvijas Republikas starptautiskajām saistībām.</w:t>
            </w:r>
          </w:p>
          <w:p w14:paraId="337020BF" w14:textId="77777777" w:rsidR="00D32333" w:rsidRPr="00D32333" w:rsidRDefault="00D32333" w:rsidP="000B2DD8">
            <w:pPr>
              <w:jc w:val="both"/>
              <w:rPr>
                <w:b/>
              </w:rPr>
            </w:pPr>
          </w:p>
        </w:tc>
      </w:tr>
      <w:tr w:rsidR="000B2DD8" w:rsidRPr="008F2421" w14:paraId="0732C2EA" w14:textId="77777777" w:rsidTr="001C5B4E">
        <w:trPr>
          <w:trHeight w:val="355"/>
        </w:trPr>
        <w:tc>
          <w:tcPr>
            <w:tcW w:w="2171" w:type="dxa"/>
            <w:gridSpan w:val="2"/>
            <w:hideMark/>
          </w:tcPr>
          <w:p w14:paraId="27DD44C0" w14:textId="77777777" w:rsidR="000B2DD8" w:rsidRPr="008F2421" w:rsidRDefault="000B2DD8" w:rsidP="000B2DD8">
            <w:r w:rsidRPr="008F2421">
              <w:t>Cita informācija</w:t>
            </w:r>
          </w:p>
        </w:tc>
        <w:tc>
          <w:tcPr>
            <w:tcW w:w="7040" w:type="dxa"/>
            <w:gridSpan w:val="5"/>
            <w:hideMark/>
          </w:tcPr>
          <w:p w14:paraId="6EA33B9C" w14:textId="77777777" w:rsidR="000B2DD8" w:rsidRPr="008F2421" w:rsidRDefault="000B2DD8" w:rsidP="000B2DD8">
            <w:r w:rsidRPr="008F2421">
              <w:t>Nav.</w:t>
            </w:r>
          </w:p>
        </w:tc>
      </w:tr>
    </w:tbl>
    <w:p w14:paraId="416C4C92" w14:textId="77777777" w:rsidR="008F2421" w:rsidRDefault="008F2421"/>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833"/>
        <w:gridCol w:w="5813"/>
      </w:tblGrid>
      <w:tr w:rsidR="008F2421" w:rsidRPr="008F2421" w14:paraId="242CEBAE" w14:textId="77777777" w:rsidTr="000B2DD8">
        <w:tc>
          <w:tcPr>
            <w:tcW w:w="5000" w:type="pct"/>
            <w:gridSpan w:val="3"/>
            <w:vAlign w:val="center"/>
            <w:hideMark/>
          </w:tcPr>
          <w:p w14:paraId="72C25467" w14:textId="77777777" w:rsidR="00BD5588" w:rsidRPr="008F2421" w:rsidRDefault="00BD5588" w:rsidP="008F2421">
            <w:pPr>
              <w:jc w:val="center"/>
              <w:rPr>
                <w:b/>
                <w:bCs/>
              </w:rPr>
            </w:pPr>
            <w:r w:rsidRPr="008F2421">
              <w:rPr>
                <w:b/>
                <w:bCs/>
              </w:rPr>
              <w:t>VI. Sabiedrības līdzdalība un komunikācijas aktivitātes</w:t>
            </w:r>
          </w:p>
        </w:tc>
      </w:tr>
      <w:tr w:rsidR="008F2421" w:rsidRPr="008F2421" w14:paraId="11834D47" w14:textId="77777777" w:rsidTr="001C5B4E">
        <w:tc>
          <w:tcPr>
            <w:tcW w:w="306" w:type="pct"/>
            <w:hideMark/>
          </w:tcPr>
          <w:p w14:paraId="6A5A3A37" w14:textId="77777777" w:rsidR="00BD5588" w:rsidRPr="008F2421" w:rsidRDefault="00BD5588" w:rsidP="008F2421">
            <w:pPr>
              <w:jc w:val="center"/>
            </w:pPr>
            <w:r w:rsidRPr="008F2421">
              <w:t>1.</w:t>
            </w:r>
          </w:p>
        </w:tc>
        <w:tc>
          <w:tcPr>
            <w:tcW w:w="1538" w:type="pct"/>
            <w:hideMark/>
          </w:tcPr>
          <w:p w14:paraId="22783F2D" w14:textId="77777777" w:rsidR="00BD5588" w:rsidRPr="008F2421" w:rsidRDefault="00BD5588" w:rsidP="008F2421">
            <w:r w:rsidRPr="008F2421">
              <w:t>Plānotās sabiedrības līdzdalības un komunikācijas aktivitātes saistībā ar projektu</w:t>
            </w:r>
          </w:p>
        </w:tc>
        <w:tc>
          <w:tcPr>
            <w:tcW w:w="3156" w:type="pct"/>
            <w:hideMark/>
          </w:tcPr>
          <w:p w14:paraId="7A1C6A1A" w14:textId="1D881585" w:rsidR="00C13684" w:rsidRPr="008F2421" w:rsidRDefault="00C13684" w:rsidP="008F2421">
            <w:pPr>
              <w:jc w:val="both"/>
            </w:pPr>
            <w:r w:rsidRPr="008F2421">
              <w:t>Atbilstoši Finanšu instrumenta biroja noteiktajam programmas</w:t>
            </w:r>
            <w:r w:rsidR="00B37E66">
              <w:t xml:space="preserve"> "</w:t>
            </w:r>
            <w:r w:rsidRPr="00B37E66">
              <w:t>Korekcijas dienesti</w:t>
            </w:r>
            <w:r w:rsidR="00B37E66">
              <w:t>"</w:t>
            </w:r>
            <w:r w:rsidRPr="00B37E66">
              <w:t xml:space="preserve"> apsaimniekotājs programmas koncepcijas izstrādes laikā apzināja provizoriski iesaistītās puses. Lai nodrošinātu pēc iespējas lielāku dažādu ieintere</w:t>
            </w:r>
            <w:r w:rsidRPr="008F2421">
              <w:t>sēto pušu pārstāvniecību un apkopotu viedokļus, programmas apsaimniekotājs 2018. gada 7. martā rīkoja iesaistīto pušu sanāksmi.</w:t>
            </w:r>
          </w:p>
          <w:p w14:paraId="2F1F4F99" w14:textId="77777777" w:rsidR="00C13684" w:rsidRPr="008F2421" w:rsidRDefault="00C13684" w:rsidP="008F2421">
            <w:pPr>
              <w:jc w:val="both"/>
            </w:pPr>
            <w:r w:rsidRPr="008F2421">
              <w:t>Programmas koncepcijas izstrādes iesaistīto pušu sanāksmē piedalījās pārstāvji no šādām institūcijām:</w:t>
            </w:r>
          </w:p>
          <w:p w14:paraId="5F3D66A3" w14:textId="77777777" w:rsidR="00C13684" w:rsidRPr="008F2421" w:rsidRDefault="00C13684" w:rsidP="008F2421">
            <w:pPr>
              <w:pStyle w:val="Sarakstarindkopa"/>
              <w:numPr>
                <w:ilvl w:val="0"/>
                <w:numId w:val="1"/>
              </w:numPr>
              <w:jc w:val="both"/>
            </w:pPr>
            <w:r w:rsidRPr="008F2421">
              <w:t>Norvēģijas Finanšu instrumenta biroja;</w:t>
            </w:r>
          </w:p>
          <w:p w14:paraId="5197750C" w14:textId="77777777" w:rsidR="00C13684" w:rsidRPr="008F2421" w:rsidRDefault="00C13684" w:rsidP="008F2421">
            <w:pPr>
              <w:pStyle w:val="Sarakstarindkopa"/>
              <w:numPr>
                <w:ilvl w:val="0"/>
                <w:numId w:val="1"/>
              </w:numPr>
              <w:jc w:val="both"/>
            </w:pPr>
            <w:r w:rsidRPr="008F2421">
              <w:t>Norvēģijas Korekcijas dienestu direktorāta;</w:t>
            </w:r>
          </w:p>
          <w:p w14:paraId="3A723489" w14:textId="77777777" w:rsidR="00C13684" w:rsidRPr="008F2421" w:rsidRDefault="00C13684" w:rsidP="00B37E66">
            <w:pPr>
              <w:pStyle w:val="Sarakstarindkopa"/>
              <w:numPr>
                <w:ilvl w:val="0"/>
                <w:numId w:val="1"/>
              </w:numPr>
              <w:jc w:val="both"/>
            </w:pPr>
            <w:r w:rsidRPr="008F2421">
              <w:t>Eiropas Padomes;</w:t>
            </w:r>
          </w:p>
          <w:p w14:paraId="4A564A2E" w14:textId="77777777" w:rsidR="00C13684" w:rsidRPr="008F2421" w:rsidRDefault="00C13684">
            <w:pPr>
              <w:pStyle w:val="Sarakstarindkopa"/>
              <w:numPr>
                <w:ilvl w:val="0"/>
                <w:numId w:val="1"/>
              </w:numPr>
              <w:jc w:val="both"/>
            </w:pPr>
            <w:r w:rsidRPr="008F2421">
              <w:t>Eiropas Ieslodzījuma vietu un Korekcijas dienestu organizācijas;</w:t>
            </w:r>
          </w:p>
          <w:p w14:paraId="6B689B74" w14:textId="77777777" w:rsidR="00C13684" w:rsidRPr="008F2421" w:rsidRDefault="00C13684">
            <w:pPr>
              <w:pStyle w:val="Sarakstarindkopa"/>
              <w:numPr>
                <w:ilvl w:val="0"/>
                <w:numId w:val="1"/>
              </w:numPr>
              <w:jc w:val="both"/>
            </w:pPr>
            <w:r w:rsidRPr="008F2421">
              <w:t>Tieslietu ministrijas;</w:t>
            </w:r>
          </w:p>
          <w:p w14:paraId="27209BB1" w14:textId="77777777" w:rsidR="00C13684" w:rsidRPr="008F2421" w:rsidRDefault="00C13684">
            <w:pPr>
              <w:pStyle w:val="Sarakstarindkopa"/>
              <w:numPr>
                <w:ilvl w:val="0"/>
                <w:numId w:val="1"/>
              </w:numPr>
              <w:jc w:val="both"/>
            </w:pPr>
            <w:r w:rsidRPr="008F2421">
              <w:t>Finanšu ministrijas;</w:t>
            </w:r>
          </w:p>
          <w:p w14:paraId="2901942B" w14:textId="77777777" w:rsidR="00C13684" w:rsidRPr="00B37E66" w:rsidRDefault="00C13684">
            <w:pPr>
              <w:pStyle w:val="Sarakstarindkopa"/>
              <w:numPr>
                <w:ilvl w:val="0"/>
                <w:numId w:val="1"/>
              </w:numPr>
              <w:jc w:val="both"/>
            </w:pPr>
            <w:r w:rsidRPr="008F2421">
              <w:t xml:space="preserve">Izglītības </w:t>
            </w:r>
            <w:r w:rsidR="00B37E66">
              <w:t xml:space="preserve">un zinātnes </w:t>
            </w:r>
            <w:r w:rsidRPr="00B37E66">
              <w:t>ministrijas;</w:t>
            </w:r>
          </w:p>
          <w:p w14:paraId="3C9DF84F" w14:textId="77777777" w:rsidR="00C13684" w:rsidRPr="008F2421" w:rsidRDefault="00C13684">
            <w:pPr>
              <w:pStyle w:val="Sarakstarindkopa"/>
              <w:numPr>
                <w:ilvl w:val="0"/>
                <w:numId w:val="1"/>
              </w:numPr>
              <w:jc w:val="both"/>
            </w:pPr>
            <w:r w:rsidRPr="008F2421">
              <w:t>Norvēģijas vēstniecības Latvijā;</w:t>
            </w:r>
          </w:p>
          <w:p w14:paraId="134BBB81" w14:textId="77777777" w:rsidR="00C13684" w:rsidRPr="008F2421" w:rsidRDefault="00C13684">
            <w:pPr>
              <w:pStyle w:val="Sarakstarindkopa"/>
              <w:numPr>
                <w:ilvl w:val="0"/>
                <w:numId w:val="1"/>
              </w:numPr>
              <w:jc w:val="both"/>
            </w:pPr>
            <w:r w:rsidRPr="008F2421">
              <w:t>Norvēģijas korekcijas dienestu personāla akadēmijas;</w:t>
            </w:r>
          </w:p>
          <w:p w14:paraId="5B64FE4E" w14:textId="77777777" w:rsidR="00C13684" w:rsidRPr="00B37E66" w:rsidRDefault="00B37E66">
            <w:pPr>
              <w:pStyle w:val="Sarakstarindkopa"/>
              <w:numPr>
                <w:ilvl w:val="0"/>
                <w:numId w:val="1"/>
              </w:numPr>
              <w:jc w:val="both"/>
            </w:pPr>
            <w:r>
              <w:t>VPD</w:t>
            </w:r>
            <w:r w:rsidR="00C13684" w:rsidRPr="00B37E66">
              <w:t>;</w:t>
            </w:r>
          </w:p>
          <w:p w14:paraId="4C7CEA40" w14:textId="77777777" w:rsidR="00C13684" w:rsidRPr="008F2421" w:rsidRDefault="00B37E66" w:rsidP="00B37E66">
            <w:pPr>
              <w:pStyle w:val="Sarakstarindkopa"/>
              <w:numPr>
                <w:ilvl w:val="0"/>
                <w:numId w:val="1"/>
              </w:numPr>
              <w:jc w:val="both"/>
            </w:pPr>
            <w:r w:rsidRPr="00A22F09">
              <w:t>IeVP</w:t>
            </w:r>
            <w:r w:rsidR="00F61967">
              <w:t xml:space="preserve"> </w:t>
            </w:r>
            <w:r w:rsidR="00C13684" w:rsidRPr="00B37E66">
              <w:t>Olaines cietuma (Latvijas Cietumu slimnīcas);</w:t>
            </w:r>
          </w:p>
          <w:p w14:paraId="6F337303" w14:textId="77777777" w:rsidR="00C13684" w:rsidRPr="008F2421" w:rsidRDefault="00C13684">
            <w:pPr>
              <w:pStyle w:val="Sarakstarindkopa"/>
              <w:numPr>
                <w:ilvl w:val="0"/>
                <w:numId w:val="1"/>
              </w:numPr>
              <w:jc w:val="both"/>
            </w:pPr>
            <w:r w:rsidRPr="008F2421">
              <w:t>Latvijas pārstāvja starptautiskajās cilvēktiesību institūcijās biroja;</w:t>
            </w:r>
          </w:p>
          <w:p w14:paraId="23D02B29" w14:textId="77777777" w:rsidR="00C13684" w:rsidRPr="008F2421" w:rsidRDefault="00C13684">
            <w:pPr>
              <w:pStyle w:val="Sarakstarindkopa"/>
              <w:numPr>
                <w:ilvl w:val="0"/>
                <w:numId w:val="1"/>
              </w:numPr>
              <w:jc w:val="both"/>
            </w:pPr>
            <w:r w:rsidRPr="008F2421">
              <w:t>Latvijas Probācijas darbinieku arodbiedrības;</w:t>
            </w:r>
          </w:p>
          <w:p w14:paraId="04147B1F" w14:textId="77777777" w:rsidR="00C13684" w:rsidRPr="008F2421" w:rsidRDefault="00C13684">
            <w:pPr>
              <w:pStyle w:val="Sarakstarindkopa"/>
              <w:numPr>
                <w:ilvl w:val="0"/>
                <w:numId w:val="1"/>
              </w:numPr>
              <w:jc w:val="both"/>
            </w:pPr>
            <w:r w:rsidRPr="008F2421">
              <w:t>Latvijas Universitātes;</w:t>
            </w:r>
          </w:p>
          <w:p w14:paraId="20C402B8" w14:textId="77777777" w:rsidR="00CF42C5" w:rsidRPr="008F2421" w:rsidRDefault="00C13684">
            <w:pPr>
              <w:pStyle w:val="Sarakstarindkopa"/>
              <w:numPr>
                <w:ilvl w:val="0"/>
                <w:numId w:val="1"/>
              </w:numPr>
              <w:jc w:val="both"/>
            </w:pPr>
            <w:r w:rsidRPr="008F2421">
              <w:t>Latvijas Iekšlietu darbinieku arodbiedrības;</w:t>
            </w:r>
          </w:p>
          <w:p w14:paraId="1AA91800" w14:textId="77777777" w:rsidR="007D6C5F" w:rsidRDefault="00C13684" w:rsidP="007D6C5F">
            <w:pPr>
              <w:pStyle w:val="Sarakstarindkopa"/>
              <w:numPr>
                <w:ilvl w:val="0"/>
                <w:numId w:val="1"/>
              </w:numPr>
              <w:jc w:val="both"/>
            </w:pPr>
            <w:r w:rsidRPr="008F2421">
              <w:t>Latvijas Romas Katoliskās Baznīcas Cietuma kapelānu dienesta.</w:t>
            </w:r>
          </w:p>
          <w:p w14:paraId="640A7298" w14:textId="77777777" w:rsidR="007D6C5F" w:rsidRDefault="007D6C5F" w:rsidP="007D6C5F">
            <w:pPr>
              <w:jc w:val="both"/>
              <w:rPr>
                <w:iCs/>
                <w:shd w:val="clear" w:color="auto" w:fill="FFFFFF"/>
              </w:rPr>
            </w:pPr>
            <w:r w:rsidRPr="00087175">
              <w:t>Pro</w:t>
            </w:r>
            <w:r>
              <w:t xml:space="preserve">grammas koncepcijas </w:t>
            </w:r>
            <w:r w:rsidRPr="00F06829">
              <w:t>projekts</w:t>
            </w:r>
            <w:r>
              <w:t xml:space="preserve"> </w:t>
            </w:r>
            <w:r>
              <w:rPr>
                <w:iCs/>
                <w:shd w:val="clear" w:color="auto" w:fill="FFFFFF"/>
              </w:rPr>
              <w:t xml:space="preserve">tika nosūtīts saskaņošanai </w:t>
            </w:r>
            <w:r w:rsidRPr="00F06829">
              <w:rPr>
                <w:iCs/>
                <w:shd w:val="clear" w:color="auto" w:fill="FFFFFF"/>
              </w:rPr>
              <w:t>Nevalstisko organizāciju un Ministru kabineta sadarbības memoranda īstenošanas padom</w:t>
            </w:r>
            <w:r>
              <w:rPr>
                <w:iCs/>
                <w:shd w:val="clear" w:color="auto" w:fill="FFFFFF"/>
              </w:rPr>
              <w:t xml:space="preserve">ei (turpmāk – Memoranda </w:t>
            </w:r>
            <w:r>
              <w:rPr>
                <w:iCs/>
                <w:shd w:val="clear" w:color="auto" w:fill="FFFFFF"/>
              </w:rPr>
              <w:lastRenderedPageBreak/>
              <w:t>padome) un Norvēģijas Finanšu instrumenta programmas komitejai.</w:t>
            </w:r>
          </w:p>
          <w:p w14:paraId="7FDB0CB4" w14:textId="77777777" w:rsidR="007D6C5F" w:rsidRPr="007D6C5F" w:rsidRDefault="007D6C5F" w:rsidP="007D6C5F">
            <w:pPr>
              <w:jc w:val="both"/>
              <w:rPr>
                <w:iCs/>
                <w:shd w:val="clear" w:color="auto" w:fill="FFFFFF"/>
              </w:rPr>
            </w:pPr>
            <w:r>
              <w:rPr>
                <w:iCs/>
                <w:shd w:val="clear" w:color="auto" w:fill="FFFFFF"/>
              </w:rPr>
              <w:t>M</w:t>
            </w:r>
            <w:r w:rsidRPr="00F06829">
              <w:rPr>
                <w:iCs/>
                <w:shd w:val="clear" w:color="auto" w:fill="FFFFFF"/>
              </w:rPr>
              <w:t>emoranda</w:t>
            </w:r>
            <w:r>
              <w:rPr>
                <w:iCs/>
                <w:shd w:val="clear" w:color="auto" w:fill="FFFFFF"/>
              </w:rPr>
              <w:t xml:space="preserve"> padomei</w:t>
            </w:r>
            <w:r w:rsidRPr="00F06829">
              <w:rPr>
                <w:iCs/>
                <w:shd w:val="clear" w:color="auto" w:fill="FFFFFF"/>
              </w:rPr>
              <w:t xml:space="preserve"> </w:t>
            </w:r>
            <w:r>
              <w:rPr>
                <w:iCs/>
                <w:shd w:val="clear" w:color="auto" w:fill="FFFFFF"/>
              </w:rPr>
              <w:t xml:space="preserve">projekts tika nosūtīts 2018. gada 14. maijā, un iebildumi noteiktajā termiņā netika saņemti, līdz ar to programmas apsaimniekotājs uzskata, ka Memoranda </w:t>
            </w:r>
            <w:r w:rsidRPr="004101CF">
              <w:rPr>
                <w:iCs/>
                <w:shd w:val="clear" w:color="auto" w:fill="FFFFFF"/>
              </w:rPr>
              <w:t xml:space="preserve">padome </w:t>
            </w:r>
            <w:r>
              <w:rPr>
                <w:iCs/>
                <w:shd w:val="clear" w:color="auto" w:fill="FFFFFF"/>
              </w:rPr>
              <w:t xml:space="preserve">informēja par saskaņojumu ar noklusējumu.  </w:t>
            </w:r>
          </w:p>
        </w:tc>
      </w:tr>
      <w:tr w:rsidR="008F2421" w:rsidRPr="008F2421" w14:paraId="2345B594" w14:textId="77777777" w:rsidTr="001C5B4E">
        <w:trPr>
          <w:cantSplit/>
        </w:trPr>
        <w:tc>
          <w:tcPr>
            <w:tcW w:w="306" w:type="pct"/>
            <w:hideMark/>
          </w:tcPr>
          <w:p w14:paraId="7538683E" w14:textId="77777777" w:rsidR="00BD5588" w:rsidRPr="008F2421" w:rsidRDefault="00BD5588" w:rsidP="008F2421">
            <w:pPr>
              <w:jc w:val="center"/>
            </w:pPr>
            <w:r w:rsidRPr="008F2421">
              <w:lastRenderedPageBreak/>
              <w:t>2.</w:t>
            </w:r>
          </w:p>
        </w:tc>
        <w:tc>
          <w:tcPr>
            <w:tcW w:w="1538" w:type="pct"/>
            <w:hideMark/>
          </w:tcPr>
          <w:p w14:paraId="10040F5B" w14:textId="77777777" w:rsidR="00BD5588" w:rsidRPr="008F2421" w:rsidRDefault="00BD5588" w:rsidP="008F2421">
            <w:r w:rsidRPr="008F2421">
              <w:t>Sabiedrības līdzdalība projekta izstrādē</w:t>
            </w:r>
          </w:p>
        </w:tc>
        <w:tc>
          <w:tcPr>
            <w:tcW w:w="3156" w:type="pct"/>
            <w:hideMark/>
          </w:tcPr>
          <w:p w14:paraId="06CDE137" w14:textId="77777777" w:rsidR="00BD5588" w:rsidRPr="008F2421" w:rsidRDefault="00C13684" w:rsidP="008F2421">
            <w:pPr>
              <w:jc w:val="both"/>
            </w:pPr>
            <w:r w:rsidRPr="008F2421">
              <w:t>Korekcijas dienestu tēma Latvijas sabiedrībā nav plaši pārstāvēta un ir specifiska nozare. Tādēļ, lai nodrošinātu pamatotu sabiedrības viedokli un pārstāvniecību programmas koncepcijas sagatavošanā, programmas apsaimniekotājs nodrošināja ieinteresēto Latvijas NVO dalību diskusijās.</w:t>
            </w:r>
          </w:p>
        </w:tc>
      </w:tr>
      <w:tr w:rsidR="008F2421" w:rsidRPr="008F2421" w14:paraId="6C38BB45" w14:textId="77777777" w:rsidTr="001C5B4E">
        <w:trPr>
          <w:cantSplit/>
        </w:trPr>
        <w:tc>
          <w:tcPr>
            <w:tcW w:w="306" w:type="pct"/>
            <w:hideMark/>
          </w:tcPr>
          <w:p w14:paraId="4453A3E4" w14:textId="77777777" w:rsidR="00BD5588" w:rsidRPr="008F2421" w:rsidRDefault="00BD5588" w:rsidP="008F2421">
            <w:pPr>
              <w:jc w:val="center"/>
            </w:pPr>
            <w:r w:rsidRPr="008F2421">
              <w:t>3.</w:t>
            </w:r>
          </w:p>
        </w:tc>
        <w:tc>
          <w:tcPr>
            <w:tcW w:w="1538" w:type="pct"/>
            <w:hideMark/>
          </w:tcPr>
          <w:p w14:paraId="57C33359" w14:textId="77777777" w:rsidR="00BD5588" w:rsidRPr="008F2421" w:rsidRDefault="00BD5588" w:rsidP="008F2421">
            <w:r w:rsidRPr="008F2421">
              <w:t>Sabiedrības līdzdalības rezultāti</w:t>
            </w:r>
          </w:p>
        </w:tc>
        <w:tc>
          <w:tcPr>
            <w:tcW w:w="3156" w:type="pct"/>
            <w:hideMark/>
          </w:tcPr>
          <w:p w14:paraId="7695CF25" w14:textId="77777777" w:rsidR="00BD5588" w:rsidRPr="00B37E66" w:rsidRDefault="00C13684" w:rsidP="008F2421">
            <w:pPr>
              <w:jc w:val="both"/>
            </w:pPr>
            <w:r w:rsidRPr="008F2421">
              <w:t>Iesaistīto pušu sanāksmē tika definēti izaicinājumi un to iespējamie risinājumi korekcijas dienestu sistēmā. Pēc iesaistīto pušu sanāksmes viedokļi tika</w:t>
            </w:r>
            <w:r w:rsidR="00151717">
              <w:t xml:space="preserve"> ņemti vērā,</w:t>
            </w:r>
            <w:r w:rsidRPr="008F2421">
              <w:t xml:space="preserve"> apkopoti un integrēti programmas </w:t>
            </w:r>
            <w:r w:rsidR="00B37E66">
              <w:t>"</w:t>
            </w:r>
            <w:r w:rsidRPr="00B37E66">
              <w:t>Korekcijas dienesti</w:t>
            </w:r>
            <w:r w:rsidR="00B37E66">
              <w:t>"</w:t>
            </w:r>
            <w:r w:rsidRPr="00B37E66">
              <w:t xml:space="preserve"> koncepcijas projektā, tādā veidā nodrošinot valsts institūciju, donorvalsts un korekcijas dienestu profesionāļu viedokļu plašu pārstāvniecību</w:t>
            </w:r>
            <w:r w:rsidR="00D72AA4">
              <w:t>,</w:t>
            </w:r>
            <w:r w:rsidR="00151717">
              <w:t xml:space="preserve"> kā arī</w:t>
            </w:r>
            <w:r w:rsidRPr="00B37E66">
              <w:t xml:space="preserve"> NVO viedokļu pārstāvniecību.</w:t>
            </w:r>
          </w:p>
        </w:tc>
      </w:tr>
      <w:tr w:rsidR="008F2421" w:rsidRPr="008F2421" w14:paraId="39158519" w14:textId="77777777" w:rsidTr="001C5B4E">
        <w:trPr>
          <w:cantSplit/>
        </w:trPr>
        <w:tc>
          <w:tcPr>
            <w:tcW w:w="306" w:type="pct"/>
            <w:hideMark/>
          </w:tcPr>
          <w:p w14:paraId="57753795" w14:textId="77777777" w:rsidR="00BD5588" w:rsidRPr="008F2421" w:rsidRDefault="00BD5588" w:rsidP="008F2421">
            <w:pPr>
              <w:jc w:val="center"/>
            </w:pPr>
            <w:r w:rsidRPr="008F2421">
              <w:t>4.</w:t>
            </w:r>
          </w:p>
        </w:tc>
        <w:tc>
          <w:tcPr>
            <w:tcW w:w="1538" w:type="pct"/>
            <w:hideMark/>
          </w:tcPr>
          <w:p w14:paraId="46E23029" w14:textId="77777777" w:rsidR="00BD5588" w:rsidRPr="008F2421" w:rsidRDefault="00BD5588" w:rsidP="008F2421">
            <w:r w:rsidRPr="008F2421">
              <w:t>Cita informācija</w:t>
            </w:r>
          </w:p>
        </w:tc>
        <w:tc>
          <w:tcPr>
            <w:tcW w:w="3156" w:type="pct"/>
            <w:hideMark/>
          </w:tcPr>
          <w:p w14:paraId="6E5E7759" w14:textId="77777777" w:rsidR="00BD5588" w:rsidRPr="008F2421" w:rsidRDefault="00C13684" w:rsidP="008F2421">
            <w:pPr>
              <w:jc w:val="both"/>
            </w:pPr>
            <w:r w:rsidRPr="008F2421">
              <w:t>Nav.</w:t>
            </w:r>
          </w:p>
        </w:tc>
      </w:tr>
    </w:tbl>
    <w:p w14:paraId="099FDBFD" w14:textId="77777777" w:rsidR="00BD5588" w:rsidRPr="008F2421" w:rsidRDefault="00BD5588" w:rsidP="00F61967">
      <w:pPr>
        <w:pStyle w:val="Nosaukums"/>
        <w:ind w:firstLine="539"/>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3117"/>
        <w:gridCol w:w="5530"/>
      </w:tblGrid>
      <w:tr w:rsidR="008F2421" w:rsidRPr="008F2421" w14:paraId="78018381" w14:textId="77777777" w:rsidTr="00241D57">
        <w:tc>
          <w:tcPr>
            <w:tcW w:w="5000" w:type="pct"/>
            <w:gridSpan w:val="3"/>
            <w:vAlign w:val="center"/>
            <w:hideMark/>
          </w:tcPr>
          <w:p w14:paraId="54C72C76" w14:textId="77777777" w:rsidR="00BD5588" w:rsidRPr="008F2421" w:rsidRDefault="00BD5588" w:rsidP="008F2421">
            <w:pPr>
              <w:jc w:val="center"/>
              <w:rPr>
                <w:b/>
                <w:bCs/>
              </w:rPr>
            </w:pPr>
            <w:r w:rsidRPr="008F2421">
              <w:rPr>
                <w:b/>
                <w:bCs/>
              </w:rPr>
              <w:t>VII. Tiesību akta projekta izpildes nodrošināšana un tās ietekme uz institūcijām</w:t>
            </w:r>
          </w:p>
        </w:tc>
      </w:tr>
      <w:tr w:rsidR="008F2421" w:rsidRPr="008F2421" w14:paraId="2AB9985E" w14:textId="77777777" w:rsidTr="001C5B4E">
        <w:tc>
          <w:tcPr>
            <w:tcW w:w="306" w:type="pct"/>
            <w:hideMark/>
          </w:tcPr>
          <w:p w14:paraId="6D1EE77E" w14:textId="77777777" w:rsidR="00BD5588" w:rsidRPr="008F2421" w:rsidRDefault="00BD5588" w:rsidP="008F2421">
            <w:pPr>
              <w:jc w:val="center"/>
            </w:pPr>
            <w:r w:rsidRPr="008F2421">
              <w:t>1.</w:t>
            </w:r>
          </w:p>
        </w:tc>
        <w:tc>
          <w:tcPr>
            <w:tcW w:w="1692" w:type="pct"/>
            <w:hideMark/>
          </w:tcPr>
          <w:p w14:paraId="55A3C1E3" w14:textId="77777777" w:rsidR="00BD5588" w:rsidRPr="008F2421" w:rsidRDefault="00BD5588" w:rsidP="008F2421">
            <w:r w:rsidRPr="008F2421">
              <w:t>Projekta izpildē iesaistītās institūcijas</w:t>
            </w:r>
          </w:p>
        </w:tc>
        <w:tc>
          <w:tcPr>
            <w:tcW w:w="3002" w:type="pct"/>
            <w:hideMark/>
          </w:tcPr>
          <w:p w14:paraId="0651F7B6" w14:textId="77777777" w:rsidR="00C13684" w:rsidRPr="00B37E66" w:rsidRDefault="00C13684" w:rsidP="008F2421">
            <w:pPr>
              <w:jc w:val="both"/>
            </w:pPr>
            <w:r w:rsidRPr="008F2421">
              <w:t>Tieslietu ministrija</w:t>
            </w:r>
            <w:r w:rsidR="00B37E66">
              <w:t xml:space="preserve">, </w:t>
            </w:r>
            <w:r w:rsidR="00B37E66" w:rsidRPr="00A22F09">
              <w:t>IeVP</w:t>
            </w:r>
            <w:r w:rsidR="00B37E66">
              <w:t xml:space="preserve"> un VPD.</w:t>
            </w:r>
          </w:p>
          <w:p w14:paraId="1198B738" w14:textId="77777777" w:rsidR="00BD5588" w:rsidRPr="00B37E66" w:rsidRDefault="00BD5588" w:rsidP="00B37E66">
            <w:pPr>
              <w:jc w:val="both"/>
            </w:pPr>
          </w:p>
        </w:tc>
      </w:tr>
      <w:tr w:rsidR="008F2421" w:rsidRPr="008F2421" w14:paraId="7317D2A7" w14:textId="77777777" w:rsidTr="001C5B4E">
        <w:tc>
          <w:tcPr>
            <w:tcW w:w="306" w:type="pct"/>
            <w:hideMark/>
          </w:tcPr>
          <w:p w14:paraId="2D170A64" w14:textId="77777777" w:rsidR="00E66D4D" w:rsidRDefault="00BD5588" w:rsidP="008F2421">
            <w:pPr>
              <w:jc w:val="center"/>
            </w:pPr>
            <w:r w:rsidRPr="008F2421">
              <w:t>2.</w:t>
            </w:r>
          </w:p>
          <w:p w14:paraId="67F679AA" w14:textId="77777777" w:rsidR="00E66D4D" w:rsidRPr="00E66D4D" w:rsidRDefault="00E66D4D" w:rsidP="00E66D4D"/>
          <w:p w14:paraId="75A658B4" w14:textId="77777777" w:rsidR="00E66D4D" w:rsidRPr="00E66D4D" w:rsidRDefault="00E66D4D" w:rsidP="00E66D4D"/>
          <w:p w14:paraId="09A5EB74" w14:textId="77777777" w:rsidR="00E66D4D" w:rsidRPr="00E66D4D" w:rsidRDefault="00E66D4D" w:rsidP="00E66D4D"/>
          <w:p w14:paraId="3D467092" w14:textId="77777777" w:rsidR="00E66D4D" w:rsidRPr="00E66D4D" w:rsidRDefault="00E66D4D" w:rsidP="00E66D4D"/>
          <w:p w14:paraId="52596A0E" w14:textId="77777777" w:rsidR="00E66D4D" w:rsidRPr="00E66D4D" w:rsidRDefault="00E66D4D" w:rsidP="00E66D4D"/>
          <w:p w14:paraId="4B466CD5" w14:textId="77777777" w:rsidR="00E66D4D" w:rsidRPr="00E66D4D" w:rsidRDefault="00E66D4D" w:rsidP="00E66D4D"/>
          <w:p w14:paraId="67CA07BC" w14:textId="77777777" w:rsidR="00BD5588" w:rsidRPr="00E66D4D" w:rsidRDefault="00BD5588" w:rsidP="00E66D4D"/>
        </w:tc>
        <w:tc>
          <w:tcPr>
            <w:tcW w:w="1692" w:type="pct"/>
            <w:hideMark/>
          </w:tcPr>
          <w:p w14:paraId="4C97A7C4" w14:textId="77777777" w:rsidR="00BD5588" w:rsidRPr="00552533" w:rsidRDefault="00BD5588" w:rsidP="008F2421">
            <w:r w:rsidRPr="00552533">
              <w:t>Projekta izpildes ietekme uz pārvaldes funkcijām un institucionālo struktūru.</w:t>
            </w:r>
            <w:r w:rsidRPr="00552533">
              <w:br/>
              <w:t>Jaunu institūciju izveide, esošu institūciju likvidācija vai reorganizācija, to ietekme uz institūcijas cilvēkresursiem</w:t>
            </w:r>
          </w:p>
        </w:tc>
        <w:tc>
          <w:tcPr>
            <w:tcW w:w="3002" w:type="pct"/>
            <w:hideMark/>
          </w:tcPr>
          <w:p w14:paraId="710BD654" w14:textId="77777777" w:rsidR="00C13684" w:rsidRPr="00552533" w:rsidRDefault="00C13684" w:rsidP="008F2421">
            <w:pPr>
              <w:jc w:val="both"/>
            </w:pPr>
            <w:r w:rsidRPr="00552533">
              <w:t xml:space="preserve">Programmas </w:t>
            </w:r>
            <w:r w:rsidR="00B37E66" w:rsidRPr="00552533">
              <w:t>"</w:t>
            </w:r>
            <w:r w:rsidRPr="00552533">
              <w:t>Korekcijas dienesti</w:t>
            </w:r>
            <w:r w:rsidR="00B37E66" w:rsidRPr="00552533">
              <w:t>"</w:t>
            </w:r>
            <w:r w:rsidRPr="00552533">
              <w:t xml:space="preserve"> īstenošanas laikā Olaines cietuma teritorijā plānots būvēt jaunu Mācību centru </w:t>
            </w:r>
            <w:r w:rsidR="00B37E66" w:rsidRPr="00552533">
              <w:t>IeVP</w:t>
            </w:r>
            <w:r w:rsidR="00B37E66" w:rsidRPr="00552533" w:rsidDel="00B37E66">
              <w:t xml:space="preserve"> </w:t>
            </w:r>
            <w:r w:rsidRPr="00552533">
              <w:t xml:space="preserve">un </w:t>
            </w:r>
            <w:r w:rsidR="00B37E66" w:rsidRPr="00552533">
              <w:t>VPD</w:t>
            </w:r>
            <w:r w:rsidRPr="00552533">
              <w:t xml:space="preserve"> personālam. Līdz ar to esošais </w:t>
            </w:r>
            <w:r w:rsidR="00B37E66" w:rsidRPr="00552533">
              <w:t>IeVP</w:t>
            </w:r>
            <w:r w:rsidRPr="00552533">
              <w:t xml:space="preserve"> Mācību centrs tiks pārcelts uz jaunām telpām. Papildus jaunajā Mācību centra infrastruktūrā būs iespējams organizēt arī </w:t>
            </w:r>
            <w:r w:rsidR="00B37E66" w:rsidRPr="00552533">
              <w:t>VPD</w:t>
            </w:r>
            <w:r w:rsidRPr="00552533">
              <w:t xml:space="preserve"> nepieciešamas mācības. </w:t>
            </w:r>
          </w:p>
          <w:p w14:paraId="6E2A4355" w14:textId="77777777" w:rsidR="00BD5588" w:rsidRPr="00552533" w:rsidRDefault="00C13684" w:rsidP="008F2421">
            <w:pPr>
              <w:jc w:val="both"/>
            </w:pPr>
            <w:r w:rsidRPr="00552533">
              <w:t>Tāpat programmas ietvaros Olaines cietuma teritorijā tiks būvēt</w:t>
            </w:r>
            <w:r w:rsidR="00417892">
              <w:t>s</w:t>
            </w:r>
            <w:r w:rsidRPr="00552533">
              <w:t xml:space="preserve"> atklātā cietuma </w:t>
            </w:r>
            <w:proofErr w:type="spellStart"/>
            <w:r w:rsidRPr="00552533">
              <w:t>paraugkorpus</w:t>
            </w:r>
            <w:r w:rsidR="00C56CC6">
              <w:t>s</w:t>
            </w:r>
            <w:proofErr w:type="spellEnd"/>
            <w:r w:rsidRPr="00552533">
              <w:t>, kas aizstās novecojušo atklātā cietuma infrastruktūru. Jaunas institūcijas netiks veidotas.</w:t>
            </w:r>
          </w:p>
          <w:p w14:paraId="66660698" w14:textId="77777777" w:rsidR="00D72AA4" w:rsidRPr="00552533" w:rsidRDefault="00D77FCE" w:rsidP="008F2421">
            <w:pPr>
              <w:jc w:val="both"/>
            </w:pPr>
            <w:r w:rsidRPr="00552533">
              <w:rPr>
                <w:lang w:eastAsia="en-US"/>
              </w:rPr>
              <w:t>Iepriekš noteiktā projekta ietvaros tiks papildus ieviestas 2 amata vietas.</w:t>
            </w:r>
          </w:p>
        </w:tc>
      </w:tr>
      <w:tr w:rsidR="008F2421" w:rsidRPr="008F2421" w14:paraId="172B784F" w14:textId="77777777" w:rsidTr="001C5B4E">
        <w:trPr>
          <w:cantSplit/>
        </w:trPr>
        <w:tc>
          <w:tcPr>
            <w:tcW w:w="306" w:type="pct"/>
            <w:hideMark/>
          </w:tcPr>
          <w:p w14:paraId="73F93DE9" w14:textId="77777777" w:rsidR="00BD5588" w:rsidRPr="008F2421" w:rsidRDefault="00BD5588" w:rsidP="008F2421">
            <w:pPr>
              <w:jc w:val="center"/>
            </w:pPr>
            <w:r w:rsidRPr="008F2421">
              <w:lastRenderedPageBreak/>
              <w:t>3.</w:t>
            </w:r>
          </w:p>
        </w:tc>
        <w:tc>
          <w:tcPr>
            <w:tcW w:w="1692" w:type="pct"/>
            <w:hideMark/>
          </w:tcPr>
          <w:p w14:paraId="3BC90D8E" w14:textId="77777777" w:rsidR="00BD5588" w:rsidRPr="008F2421" w:rsidRDefault="00BD5588" w:rsidP="008F2421">
            <w:r w:rsidRPr="008F2421">
              <w:t>Cita informācija</w:t>
            </w:r>
          </w:p>
        </w:tc>
        <w:tc>
          <w:tcPr>
            <w:tcW w:w="3002" w:type="pct"/>
            <w:hideMark/>
          </w:tcPr>
          <w:p w14:paraId="2B19C872" w14:textId="11E7EBB6" w:rsidR="00BD5588" w:rsidRPr="008F2421" w:rsidRDefault="007D6C5F" w:rsidP="008F2421">
            <w:pPr>
              <w:jc w:val="both"/>
            </w:pPr>
            <w:r>
              <w:t xml:space="preserve">Atbilstoši </w:t>
            </w:r>
            <w:r w:rsidR="00FA7A22">
              <w:t xml:space="preserve">Norvēģijas Ārlietu ministrijas </w:t>
            </w:r>
            <w:r w:rsidR="00FA7A22" w:rsidRPr="00FA7A22">
              <w:t>2016. gada 22.</w:t>
            </w:r>
            <w:r w:rsidR="00FA7A22">
              <w:t> </w:t>
            </w:r>
            <w:r w:rsidR="00FA7A22" w:rsidRPr="00FA7A22">
              <w:t>septembrī</w:t>
            </w:r>
            <w:r w:rsidR="00FA7A22">
              <w:t xml:space="preserve"> pieņemtajiem </w:t>
            </w:r>
            <w:r w:rsidRPr="00B913AC">
              <w:rPr>
                <w:i/>
              </w:rPr>
              <w:t>"Noteikumiem</w:t>
            </w:r>
            <w:r w:rsidR="00B913AC" w:rsidRPr="00B913AC">
              <w:rPr>
                <w:i/>
              </w:rPr>
              <w:t xml:space="preserve"> par Norvēģijas finanšu instrumenta ieviešanu 2014.-2021. gadā"</w:t>
            </w:r>
            <w:r w:rsidR="00B913AC" w:rsidRPr="00FA7A22">
              <w:t>,</w:t>
            </w:r>
            <w:r w:rsidR="00B913AC">
              <w:t xml:space="preserve"> Finanšu ministrija nodrošina programmas koncepcijas iesniegšanu Norvēģijas Ārlietu ministrijā. Pēc donorvalsts vērtējuma un komentāru saņemšanas programmas apsaimniekotājs un Finanšu ministrija piedalās programmas līguma projekta sagatavošanā. Norvēģijas Ārlietu ministrija programmai var noteikt papildu nosacījumus vai pieprasīt labojumus programmas līguma projektā. Ja donorvalsts komentāri pēc būtības maina programmas saturu, programmas apsaimniekotājs par to informē Ministru kabinetu pirms programmas līguma slēgšanas. Finanšu ministrija nodrošina programmas līguma slēgšanu ar Norvēģijas Ārlietu ministriju. </w:t>
            </w:r>
          </w:p>
        </w:tc>
      </w:tr>
    </w:tbl>
    <w:p w14:paraId="79B33FB2" w14:textId="77777777" w:rsidR="00E44472" w:rsidRPr="008F2421" w:rsidRDefault="00E44472" w:rsidP="008F2421"/>
    <w:p w14:paraId="6C9F7710" w14:textId="77777777" w:rsidR="00015BEF" w:rsidRPr="008F2421" w:rsidRDefault="00015BEF" w:rsidP="008F2421"/>
    <w:p w14:paraId="3CA79421" w14:textId="77777777" w:rsidR="00015BEF" w:rsidRPr="008F2421" w:rsidRDefault="00015BEF" w:rsidP="008F2421">
      <w:pPr>
        <w:pStyle w:val="StyleRight"/>
        <w:spacing w:after="0"/>
        <w:ind w:firstLine="0"/>
        <w:jc w:val="both"/>
        <w:rPr>
          <w:sz w:val="24"/>
          <w:szCs w:val="24"/>
        </w:rPr>
      </w:pPr>
      <w:r w:rsidRPr="008F2421">
        <w:rPr>
          <w:sz w:val="24"/>
          <w:szCs w:val="24"/>
        </w:rPr>
        <w:t>Iesniedzējs:</w:t>
      </w:r>
    </w:p>
    <w:p w14:paraId="03EA7E73" w14:textId="77777777" w:rsidR="00015BEF" w:rsidRPr="00B37E66" w:rsidRDefault="00B37E66" w:rsidP="008F2421">
      <w:pPr>
        <w:pStyle w:val="StyleRight"/>
        <w:spacing w:after="0"/>
        <w:ind w:firstLine="0"/>
        <w:jc w:val="both"/>
        <w:rPr>
          <w:sz w:val="24"/>
          <w:szCs w:val="24"/>
        </w:rPr>
      </w:pPr>
      <w:r>
        <w:rPr>
          <w:sz w:val="24"/>
          <w:szCs w:val="24"/>
        </w:rPr>
        <w:t>t</w:t>
      </w:r>
      <w:r w:rsidR="00015BEF" w:rsidRPr="00B37E66">
        <w:rPr>
          <w:sz w:val="24"/>
          <w:szCs w:val="24"/>
        </w:rPr>
        <w:t>ieslietu ministr</w:t>
      </w:r>
      <w:r w:rsidR="00D52A18" w:rsidRPr="00B37E66">
        <w:rPr>
          <w:sz w:val="24"/>
          <w:szCs w:val="24"/>
        </w:rPr>
        <w:t>s</w:t>
      </w:r>
      <w:r w:rsidR="00015BEF" w:rsidRPr="00B37E66">
        <w:rPr>
          <w:sz w:val="24"/>
          <w:szCs w:val="24"/>
        </w:rPr>
        <w:tab/>
      </w:r>
      <w:r w:rsidR="00015BEF" w:rsidRPr="00B37E66">
        <w:rPr>
          <w:sz w:val="24"/>
          <w:szCs w:val="24"/>
        </w:rPr>
        <w:tab/>
      </w:r>
      <w:r w:rsidR="00015BEF" w:rsidRPr="00B37E66">
        <w:rPr>
          <w:sz w:val="24"/>
          <w:szCs w:val="24"/>
        </w:rPr>
        <w:tab/>
      </w:r>
      <w:r w:rsidR="00015BEF" w:rsidRPr="00B37E66">
        <w:rPr>
          <w:sz w:val="24"/>
          <w:szCs w:val="24"/>
        </w:rPr>
        <w:tab/>
      </w:r>
      <w:r w:rsidR="00015BEF" w:rsidRPr="00B37E66">
        <w:rPr>
          <w:sz w:val="24"/>
          <w:szCs w:val="24"/>
        </w:rPr>
        <w:tab/>
      </w:r>
      <w:r w:rsidR="00D52A18" w:rsidRPr="00B37E66">
        <w:rPr>
          <w:sz w:val="24"/>
          <w:szCs w:val="24"/>
        </w:rPr>
        <w:tab/>
      </w:r>
      <w:r w:rsidR="00594AC8">
        <w:rPr>
          <w:sz w:val="24"/>
          <w:szCs w:val="24"/>
        </w:rPr>
        <w:tab/>
      </w:r>
      <w:r w:rsidR="00D52A18" w:rsidRPr="00B37E66">
        <w:rPr>
          <w:sz w:val="24"/>
          <w:szCs w:val="24"/>
        </w:rPr>
        <w:tab/>
        <w:t>Dzintars Rasnačs</w:t>
      </w:r>
    </w:p>
    <w:p w14:paraId="5601A7B1" w14:textId="77777777" w:rsidR="00015BEF" w:rsidRDefault="00015BEF" w:rsidP="00B37E66">
      <w:pPr>
        <w:pStyle w:val="StyleRight"/>
        <w:spacing w:after="0"/>
        <w:ind w:firstLine="0"/>
        <w:jc w:val="both"/>
        <w:rPr>
          <w:sz w:val="24"/>
          <w:szCs w:val="24"/>
        </w:rPr>
      </w:pPr>
    </w:p>
    <w:p w14:paraId="188B07B2" w14:textId="77777777" w:rsidR="00B37E66" w:rsidRDefault="00B37E66" w:rsidP="00B37E66">
      <w:pPr>
        <w:pStyle w:val="StyleRight"/>
        <w:spacing w:after="0"/>
        <w:ind w:firstLine="0"/>
        <w:jc w:val="both"/>
        <w:rPr>
          <w:sz w:val="24"/>
          <w:szCs w:val="24"/>
        </w:rPr>
      </w:pPr>
    </w:p>
    <w:p w14:paraId="28B2FBB3" w14:textId="77777777" w:rsidR="00015BEF" w:rsidRPr="00F61967" w:rsidRDefault="00015BEF" w:rsidP="00B37E66">
      <w:pPr>
        <w:rPr>
          <w:sz w:val="20"/>
          <w:szCs w:val="20"/>
        </w:rPr>
      </w:pPr>
      <w:r w:rsidRPr="00F61967">
        <w:rPr>
          <w:sz w:val="20"/>
          <w:szCs w:val="20"/>
        </w:rPr>
        <w:t>Kleina 67036868</w:t>
      </w:r>
    </w:p>
    <w:p w14:paraId="756ED92A" w14:textId="77777777" w:rsidR="00015BEF" w:rsidRPr="008F2421" w:rsidRDefault="00C5667D">
      <w:hyperlink r:id="rId8" w:history="1">
        <w:r w:rsidR="001B1B87" w:rsidRPr="00F61967">
          <w:rPr>
            <w:rStyle w:val="Hipersaite"/>
            <w:color w:val="auto"/>
            <w:sz w:val="20"/>
            <w:szCs w:val="20"/>
            <w:u w:val="none"/>
          </w:rPr>
          <w:t>Agnese.Kleina@tm.gov.lv</w:t>
        </w:r>
      </w:hyperlink>
      <w:bookmarkEnd w:id="0"/>
    </w:p>
    <w:sectPr w:rsidR="00015BEF" w:rsidRPr="008F2421" w:rsidSect="00C1663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6205F" w14:textId="77777777" w:rsidR="00715060" w:rsidRDefault="00715060" w:rsidP="00D4137B">
      <w:r>
        <w:separator/>
      </w:r>
    </w:p>
  </w:endnote>
  <w:endnote w:type="continuationSeparator" w:id="0">
    <w:p w14:paraId="4B796F6A" w14:textId="77777777" w:rsidR="00715060" w:rsidRDefault="00715060" w:rsidP="00D4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C51C8" w14:textId="18BC39CC" w:rsidR="007F29A6" w:rsidRPr="001C5B4E" w:rsidRDefault="007F29A6" w:rsidP="00123600">
    <w:pPr>
      <w:jc w:val="both"/>
      <w:rPr>
        <w:sz w:val="22"/>
      </w:rPr>
    </w:pPr>
    <w:r w:rsidRPr="001C5B4E">
      <w:rPr>
        <w:sz w:val="20"/>
        <w:szCs w:val="22"/>
      </w:rPr>
      <w:t>TManot_</w:t>
    </w:r>
    <w:r w:rsidR="00F438B1">
      <w:rPr>
        <w:sz w:val="20"/>
        <w:szCs w:val="22"/>
      </w:rPr>
      <w:t>1</w:t>
    </w:r>
    <w:r w:rsidR="00110171">
      <w:rPr>
        <w:sz w:val="20"/>
        <w:szCs w:val="22"/>
      </w:rPr>
      <w:t>7</w:t>
    </w:r>
    <w:r w:rsidR="00417892">
      <w:rPr>
        <w:sz w:val="20"/>
        <w:szCs w:val="22"/>
      </w:rPr>
      <w:t>07</w:t>
    </w:r>
    <w:r w:rsidRPr="001C5B4E">
      <w:rPr>
        <w:sz w:val="20"/>
        <w:szCs w:val="22"/>
      </w:rPr>
      <w:t>18_</w:t>
    </w:r>
    <w:bookmarkStart w:id="7" w:name="_Hlk514660226"/>
    <w:r w:rsidRPr="001C5B4E">
      <w:rPr>
        <w:sz w:val="20"/>
        <w:szCs w:val="22"/>
      </w:rPr>
      <w:t>NFI</w:t>
    </w:r>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53701" w14:textId="6D63AE14" w:rsidR="007F29A6" w:rsidRPr="001C5B4E" w:rsidRDefault="007F29A6">
    <w:pPr>
      <w:pStyle w:val="Kjene"/>
      <w:rPr>
        <w:sz w:val="20"/>
        <w:szCs w:val="22"/>
      </w:rPr>
    </w:pPr>
    <w:r w:rsidRPr="001C5B4E">
      <w:rPr>
        <w:sz w:val="20"/>
        <w:szCs w:val="22"/>
      </w:rPr>
      <w:t>TManot_</w:t>
    </w:r>
    <w:r w:rsidR="00F438B1">
      <w:rPr>
        <w:sz w:val="20"/>
        <w:szCs w:val="22"/>
      </w:rPr>
      <w:t>1</w:t>
    </w:r>
    <w:r w:rsidR="00110171">
      <w:rPr>
        <w:sz w:val="20"/>
        <w:szCs w:val="22"/>
      </w:rPr>
      <w:t>7</w:t>
    </w:r>
    <w:r w:rsidR="00417892">
      <w:rPr>
        <w:sz w:val="20"/>
        <w:szCs w:val="22"/>
      </w:rPr>
      <w:t>07</w:t>
    </w:r>
    <w:r w:rsidRPr="001C5B4E">
      <w:rPr>
        <w:sz w:val="20"/>
        <w:szCs w:val="22"/>
      </w:rPr>
      <w:t>18_NFI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750F0" w14:textId="77777777" w:rsidR="00715060" w:rsidRDefault="00715060" w:rsidP="00D4137B">
      <w:r>
        <w:separator/>
      </w:r>
    </w:p>
  </w:footnote>
  <w:footnote w:type="continuationSeparator" w:id="0">
    <w:p w14:paraId="7DE7C084" w14:textId="77777777" w:rsidR="00715060" w:rsidRDefault="00715060" w:rsidP="00D41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518868"/>
      <w:docPartObj>
        <w:docPartGallery w:val="Page Numbers (Top of Page)"/>
        <w:docPartUnique/>
      </w:docPartObj>
    </w:sdtPr>
    <w:sdtEndPr/>
    <w:sdtContent>
      <w:p w14:paraId="58A85321" w14:textId="77777777" w:rsidR="007F29A6" w:rsidRDefault="007F29A6">
        <w:pPr>
          <w:pStyle w:val="Galvene"/>
          <w:jc w:val="center"/>
        </w:pPr>
        <w:r>
          <w:fldChar w:fldCharType="begin"/>
        </w:r>
        <w:r>
          <w:instrText>PAGE   \* MERGEFORMAT</w:instrText>
        </w:r>
        <w:r>
          <w:fldChar w:fldCharType="separate"/>
        </w:r>
        <w:r>
          <w:t>2</w:t>
        </w:r>
        <w:r>
          <w:fldChar w:fldCharType="end"/>
        </w:r>
      </w:p>
    </w:sdtContent>
  </w:sdt>
  <w:p w14:paraId="4C89EE68" w14:textId="77777777" w:rsidR="007F29A6" w:rsidRDefault="007F29A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35872"/>
    <w:multiLevelType w:val="hybridMultilevel"/>
    <w:tmpl w:val="262831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9E16A1"/>
    <w:multiLevelType w:val="hybridMultilevel"/>
    <w:tmpl w:val="2D3CD8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EB76FCD"/>
    <w:multiLevelType w:val="hybridMultilevel"/>
    <w:tmpl w:val="A1BAF0DC"/>
    <w:lvl w:ilvl="0" w:tplc="F1BC412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01410"/>
    <w:rsid w:val="000126F7"/>
    <w:rsid w:val="00013843"/>
    <w:rsid w:val="00015BEF"/>
    <w:rsid w:val="00017E6E"/>
    <w:rsid w:val="000371A3"/>
    <w:rsid w:val="00045B76"/>
    <w:rsid w:val="00080B0F"/>
    <w:rsid w:val="00097012"/>
    <w:rsid w:val="000975E1"/>
    <w:rsid w:val="000B2DD8"/>
    <w:rsid w:val="000B2F93"/>
    <w:rsid w:val="001052C2"/>
    <w:rsid w:val="00110171"/>
    <w:rsid w:val="0011119A"/>
    <w:rsid w:val="00122DDC"/>
    <w:rsid w:val="00123600"/>
    <w:rsid w:val="00127B12"/>
    <w:rsid w:val="00151717"/>
    <w:rsid w:val="00166261"/>
    <w:rsid w:val="0016779B"/>
    <w:rsid w:val="0017035D"/>
    <w:rsid w:val="001B1B87"/>
    <w:rsid w:val="001C5B4E"/>
    <w:rsid w:val="001D37C9"/>
    <w:rsid w:val="001F3FBF"/>
    <w:rsid w:val="0020009B"/>
    <w:rsid w:val="00204FAD"/>
    <w:rsid w:val="00241D57"/>
    <w:rsid w:val="0025485F"/>
    <w:rsid w:val="00262690"/>
    <w:rsid w:val="00281E72"/>
    <w:rsid w:val="00284E15"/>
    <w:rsid w:val="002A649B"/>
    <w:rsid w:val="002C4F2E"/>
    <w:rsid w:val="002D6CC0"/>
    <w:rsid w:val="002F7C3A"/>
    <w:rsid w:val="00304AFE"/>
    <w:rsid w:val="00321411"/>
    <w:rsid w:val="003366CA"/>
    <w:rsid w:val="003369D6"/>
    <w:rsid w:val="003665C4"/>
    <w:rsid w:val="003815A8"/>
    <w:rsid w:val="00396950"/>
    <w:rsid w:val="003E01B8"/>
    <w:rsid w:val="003E1197"/>
    <w:rsid w:val="003F4EB3"/>
    <w:rsid w:val="004067CF"/>
    <w:rsid w:val="004132E5"/>
    <w:rsid w:val="00414B2F"/>
    <w:rsid w:val="00417892"/>
    <w:rsid w:val="00426DDD"/>
    <w:rsid w:val="00435838"/>
    <w:rsid w:val="00451695"/>
    <w:rsid w:val="0047762C"/>
    <w:rsid w:val="004909FB"/>
    <w:rsid w:val="00490F6E"/>
    <w:rsid w:val="004E6983"/>
    <w:rsid w:val="004E72AC"/>
    <w:rsid w:val="004F2A66"/>
    <w:rsid w:val="00502A33"/>
    <w:rsid w:val="0050583F"/>
    <w:rsid w:val="0052081A"/>
    <w:rsid w:val="00552533"/>
    <w:rsid w:val="005579C4"/>
    <w:rsid w:val="00577178"/>
    <w:rsid w:val="0059116C"/>
    <w:rsid w:val="00594AC8"/>
    <w:rsid w:val="005E2C7C"/>
    <w:rsid w:val="005F03C6"/>
    <w:rsid w:val="00636393"/>
    <w:rsid w:val="00645259"/>
    <w:rsid w:val="006516A2"/>
    <w:rsid w:val="00662D97"/>
    <w:rsid w:val="006B6DF8"/>
    <w:rsid w:val="006C3F78"/>
    <w:rsid w:val="006E49FE"/>
    <w:rsid w:val="006E6DAE"/>
    <w:rsid w:val="006F1751"/>
    <w:rsid w:val="00712B5A"/>
    <w:rsid w:val="00715060"/>
    <w:rsid w:val="00717AD0"/>
    <w:rsid w:val="00726E62"/>
    <w:rsid w:val="0073527A"/>
    <w:rsid w:val="00740F34"/>
    <w:rsid w:val="00753FB3"/>
    <w:rsid w:val="0078197B"/>
    <w:rsid w:val="007D6C5F"/>
    <w:rsid w:val="007E0F96"/>
    <w:rsid w:val="007F29A6"/>
    <w:rsid w:val="007F74DA"/>
    <w:rsid w:val="0080068A"/>
    <w:rsid w:val="008111AB"/>
    <w:rsid w:val="0082064A"/>
    <w:rsid w:val="00853F4F"/>
    <w:rsid w:val="008543CA"/>
    <w:rsid w:val="00856D7C"/>
    <w:rsid w:val="008C5BF2"/>
    <w:rsid w:val="008D2576"/>
    <w:rsid w:val="008E4572"/>
    <w:rsid w:val="008F2421"/>
    <w:rsid w:val="009154C7"/>
    <w:rsid w:val="009248E9"/>
    <w:rsid w:val="0093391A"/>
    <w:rsid w:val="00946E5C"/>
    <w:rsid w:val="00956ED7"/>
    <w:rsid w:val="00964E5D"/>
    <w:rsid w:val="0096630A"/>
    <w:rsid w:val="00967B32"/>
    <w:rsid w:val="00974679"/>
    <w:rsid w:val="00991950"/>
    <w:rsid w:val="009943B5"/>
    <w:rsid w:val="009C7E45"/>
    <w:rsid w:val="009E4140"/>
    <w:rsid w:val="009E6BE6"/>
    <w:rsid w:val="00A077A6"/>
    <w:rsid w:val="00A07FA7"/>
    <w:rsid w:val="00A10DB1"/>
    <w:rsid w:val="00A4314B"/>
    <w:rsid w:val="00A45F4C"/>
    <w:rsid w:val="00A47869"/>
    <w:rsid w:val="00A561C8"/>
    <w:rsid w:val="00A80418"/>
    <w:rsid w:val="00A811E1"/>
    <w:rsid w:val="00A841D2"/>
    <w:rsid w:val="00AA5B6D"/>
    <w:rsid w:val="00AB7082"/>
    <w:rsid w:val="00AC37A9"/>
    <w:rsid w:val="00AC397F"/>
    <w:rsid w:val="00AC4E5D"/>
    <w:rsid w:val="00AC70C1"/>
    <w:rsid w:val="00AD5F28"/>
    <w:rsid w:val="00AF0DAE"/>
    <w:rsid w:val="00B06594"/>
    <w:rsid w:val="00B06F79"/>
    <w:rsid w:val="00B23BA0"/>
    <w:rsid w:val="00B35C83"/>
    <w:rsid w:val="00B37E66"/>
    <w:rsid w:val="00B45114"/>
    <w:rsid w:val="00B64FC2"/>
    <w:rsid w:val="00B904BF"/>
    <w:rsid w:val="00B913AC"/>
    <w:rsid w:val="00B94112"/>
    <w:rsid w:val="00BB2933"/>
    <w:rsid w:val="00BC5750"/>
    <w:rsid w:val="00BD524D"/>
    <w:rsid w:val="00BD5588"/>
    <w:rsid w:val="00BF6427"/>
    <w:rsid w:val="00BF72AB"/>
    <w:rsid w:val="00C127EF"/>
    <w:rsid w:val="00C13684"/>
    <w:rsid w:val="00C16634"/>
    <w:rsid w:val="00C17C96"/>
    <w:rsid w:val="00C237D9"/>
    <w:rsid w:val="00C35950"/>
    <w:rsid w:val="00C525EB"/>
    <w:rsid w:val="00C5667D"/>
    <w:rsid w:val="00C56CC6"/>
    <w:rsid w:val="00C814EB"/>
    <w:rsid w:val="00CA1C11"/>
    <w:rsid w:val="00CA3D58"/>
    <w:rsid w:val="00CA79D2"/>
    <w:rsid w:val="00CB03DD"/>
    <w:rsid w:val="00CC5230"/>
    <w:rsid w:val="00CC7B1A"/>
    <w:rsid w:val="00CD06A8"/>
    <w:rsid w:val="00CD14D7"/>
    <w:rsid w:val="00CD21C3"/>
    <w:rsid w:val="00CF42C5"/>
    <w:rsid w:val="00D12DAE"/>
    <w:rsid w:val="00D32333"/>
    <w:rsid w:val="00D357B9"/>
    <w:rsid w:val="00D4137B"/>
    <w:rsid w:val="00D43FD6"/>
    <w:rsid w:val="00D514C8"/>
    <w:rsid w:val="00D52A18"/>
    <w:rsid w:val="00D72232"/>
    <w:rsid w:val="00D72AA4"/>
    <w:rsid w:val="00D75C54"/>
    <w:rsid w:val="00D77FCE"/>
    <w:rsid w:val="00D94EBE"/>
    <w:rsid w:val="00DB2471"/>
    <w:rsid w:val="00DB6F17"/>
    <w:rsid w:val="00DE2CC3"/>
    <w:rsid w:val="00E36B44"/>
    <w:rsid w:val="00E44472"/>
    <w:rsid w:val="00E577B1"/>
    <w:rsid w:val="00E62EDE"/>
    <w:rsid w:val="00E66D4D"/>
    <w:rsid w:val="00E874FB"/>
    <w:rsid w:val="00E95EE3"/>
    <w:rsid w:val="00EC6F35"/>
    <w:rsid w:val="00EE6320"/>
    <w:rsid w:val="00F32A02"/>
    <w:rsid w:val="00F40A28"/>
    <w:rsid w:val="00F438B1"/>
    <w:rsid w:val="00F45147"/>
    <w:rsid w:val="00F464F4"/>
    <w:rsid w:val="00F50223"/>
    <w:rsid w:val="00F5531A"/>
    <w:rsid w:val="00F565AA"/>
    <w:rsid w:val="00F572BA"/>
    <w:rsid w:val="00F61967"/>
    <w:rsid w:val="00F779E1"/>
    <w:rsid w:val="00FA6E55"/>
    <w:rsid w:val="00FA7A22"/>
    <w:rsid w:val="00FB27C9"/>
    <w:rsid w:val="00FB4052"/>
    <w:rsid w:val="00FC4F0E"/>
    <w:rsid w:val="00FD3B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FA65C1"/>
  <w15:docId w15:val="{EBD3957A-FE4A-4E8E-B828-A26D770A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D5588"/>
    <w:pPr>
      <w:jc w:val="center"/>
    </w:pPr>
    <w:rPr>
      <w:sz w:val="28"/>
      <w:szCs w:val="20"/>
      <w:lang w:eastAsia="en-US"/>
    </w:rPr>
  </w:style>
  <w:style w:type="character" w:customStyle="1" w:styleId="NosaukumsRakstz">
    <w:name w:val="Nosaukums Rakstz."/>
    <w:basedOn w:val="Noklusjumarindkopasfonts"/>
    <w:link w:val="Nosaukums"/>
    <w:rsid w:val="00BD5588"/>
    <w:rPr>
      <w:rFonts w:ascii="Times New Roman" w:eastAsia="Times New Roman" w:hAnsi="Times New Roman" w:cs="Times New Roman"/>
      <w:sz w:val="28"/>
      <w:szCs w:val="20"/>
    </w:rPr>
  </w:style>
  <w:style w:type="character" w:styleId="Hipersaite">
    <w:name w:val="Hyperlink"/>
    <w:basedOn w:val="Noklusjumarindkopasfonts"/>
    <w:uiPriority w:val="99"/>
    <w:unhideWhenUsed/>
    <w:rsid w:val="00BD5588"/>
    <w:rPr>
      <w:color w:val="0000FF"/>
      <w:u w:val="single"/>
    </w:rPr>
  </w:style>
  <w:style w:type="paragraph" w:styleId="Balonteksts">
    <w:name w:val="Balloon Text"/>
    <w:basedOn w:val="Parasts"/>
    <w:link w:val="BalontekstsRakstz"/>
    <w:uiPriority w:val="99"/>
    <w:semiHidden/>
    <w:unhideWhenUsed/>
    <w:rsid w:val="0059116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9116C"/>
    <w:rPr>
      <w:rFonts w:ascii="Segoe UI" w:eastAsia="Times New Roman" w:hAnsi="Segoe UI" w:cs="Segoe UI"/>
      <w:sz w:val="18"/>
      <w:szCs w:val="18"/>
      <w:lang w:eastAsia="lv-LV"/>
    </w:rPr>
  </w:style>
  <w:style w:type="paragraph" w:styleId="Sarakstarindkopa">
    <w:name w:val="List Paragraph"/>
    <w:basedOn w:val="Parasts"/>
    <w:uiPriority w:val="34"/>
    <w:qFormat/>
    <w:rsid w:val="00C13684"/>
    <w:pPr>
      <w:ind w:left="720"/>
      <w:contextualSpacing/>
    </w:pPr>
  </w:style>
  <w:style w:type="character" w:styleId="Komentraatsauce">
    <w:name w:val="annotation reference"/>
    <w:basedOn w:val="Noklusjumarindkopasfonts"/>
    <w:uiPriority w:val="99"/>
    <w:semiHidden/>
    <w:unhideWhenUsed/>
    <w:rsid w:val="00204FAD"/>
    <w:rPr>
      <w:sz w:val="16"/>
      <w:szCs w:val="16"/>
    </w:rPr>
  </w:style>
  <w:style w:type="paragraph" w:styleId="Komentrateksts">
    <w:name w:val="annotation text"/>
    <w:basedOn w:val="Parasts"/>
    <w:link w:val="KomentratekstsRakstz"/>
    <w:uiPriority w:val="99"/>
    <w:semiHidden/>
    <w:unhideWhenUsed/>
    <w:rsid w:val="00204FAD"/>
    <w:rPr>
      <w:sz w:val="20"/>
      <w:szCs w:val="20"/>
    </w:rPr>
  </w:style>
  <w:style w:type="character" w:customStyle="1" w:styleId="KomentratekstsRakstz">
    <w:name w:val="Komentāra teksts Rakstz."/>
    <w:basedOn w:val="Noklusjumarindkopasfonts"/>
    <w:link w:val="Komentrateksts"/>
    <w:uiPriority w:val="99"/>
    <w:semiHidden/>
    <w:rsid w:val="00204FA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04FAD"/>
    <w:rPr>
      <w:b/>
      <w:bCs/>
    </w:rPr>
  </w:style>
  <w:style w:type="character" w:customStyle="1" w:styleId="KomentratmaRakstz">
    <w:name w:val="Komentāra tēma Rakstz."/>
    <w:basedOn w:val="KomentratekstsRakstz"/>
    <w:link w:val="Komentratma"/>
    <w:uiPriority w:val="99"/>
    <w:semiHidden/>
    <w:rsid w:val="00204FAD"/>
    <w:rPr>
      <w:rFonts w:ascii="Times New Roman" w:eastAsia="Times New Roman" w:hAnsi="Times New Roman" w:cs="Times New Roman"/>
      <w:b/>
      <w:bCs/>
      <w:sz w:val="20"/>
      <w:szCs w:val="20"/>
      <w:lang w:eastAsia="lv-LV"/>
    </w:rPr>
  </w:style>
  <w:style w:type="paragraph" w:customStyle="1" w:styleId="StyleRight">
    <w:name w:val="Style Right"/>
    <w:basedOn w:val="Parasts"/>
    <w:rsid w:val="00015BEF"/>
    <w:pPr>
      <w:spacing w:after="120"/>
      <w:ind w:firstLine="720"/>
      <w:jc w:val="right"/>
    </w:pPr>
    <w:rPr>
      <w:sz w:val="28"/>
      <w:szCs w:val="28"/>
      <w:lang w:eastAsia="en-US"/>
    </w:rPr>
  </w:style>
  <w:style w:type="paragraph" w:styleId="Galvene">
    <w:name w:val="header"/>
    <w:basedOn w:val="Parasts"/>
    <w:link w:val="GalveneRakstz"/>
    <w:uiPriority w:val="99"/>
    <w:unhideWhenUsed/>
    <w:rsid w:val="00D4137B"/>
    <w:pPr>
      <w:tabs>
        <w:tab w:val="center" w:pos="4153"/>
        <w:tab w:val="right" w:pos="8306"/>
      </w:tabs>
    </w:pPr>
  </w:style>
  <w:style w:type="character" w:customStyle="1" w:styleId="GalveneRakstz">
    <w:name w:val="Galvene Rakstz."/>
    <w:basedOn w:val="Noklusjumarindkopasfonts"/>
    <w:link w:val="Galvene"/>
    <w:uiPriority w:val="99"/>
    <w:rsid w:val="00D4137B"/>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D4137B"/>
    <w:pPr>
      <w:tabs>
        <w:tab w:val="center" w:pos="4153"/>
        <w:tab w:val="right" w:pos="8306"/>
      </w:tabs>
    </w:pPr>
  </w:style>
  <w:style w:type="character" w:customStyle="1" w:styleId="KjeneRakstz">
    <w:name w:val="Kājene Rakstz."/>
    <w:basedOn w:val="Noklusjumarindkopasfonts"/>
    <w:link w:val="Kjene"/>
    <w:uiPriority w:val="99"/>
    <w:rsid w:val="00D4137B"/>
    <w:rPr>
      <w:rFonts w:ascii="Times New Roman" w:eastAsia="Times New Roman" w:hAnsi="Times New Roman" w:cs="Times New Roman"/>
      <w:sz w:val="24"/>
      <w:szCs w:val="24"/>
      <w:lang w:eastAsia="lv-LV"/>
    </w:rPr>
  </w:style>
  <w:style w:type="paragraph" w:customStyle="1" w:styleId="naisf">
    <w:name w:val="naisf"/>
    <w:basedOn w:val="Parasts"/>
    <w:rsid w:val="00AD5F28"/>
    <w:pPr>
      <w:spacing w:before="100" w:beforeAutospacing="1" w:after="100" w:afterAutospacing="1"/>
    </w:pPr>
  </w:style>
  <w:style w:type="character" w:styleId="Neatrisintapieminana">
    <w:name w:val="Unresolved Mention"/>
    <w:basedOn w:val="Noklusjumarindkopasfonts"/>
    <w:uiPriority w:val="99"/>
    <w:semiHidden/>
    <w:unhideWhenUsed/>
    <w:rsid w:val="001B1B87"/>
    <w:rPr>
      <w:color w:val="808080"/>
      <w:shd w:val="clear" w:color="auto" w:fill="E6E6E6"/>
    </w:rPr>
  </w:style>
  <w:style w:type="paragraph" w:styleId="Vresteksts">
    <w:name w:val="footnote text"/>
    <w:aliases w:val="Char Char Char Char Char Char Rakstz. Rakstz. Char Char Rakstz. Rakstz.,Footnote,Fußnote, Char Char Char Char Char Char Rakstz. Rakstz. Char Char Rakstz. Rakstz.,Fußnote Char Char Char Char Char Char,Char, Char,Fußnote Char,Fußnote Ch,fn,f"/>
    <w:basedOn w:val="Parasts"/>
    <w:link w:val="VrestekstsRakstz"/>
    <w:uiPriority w:val="99"/>
    <w:rsid w:val="006F1751"/>
    <w:pPr>
      <w:spacing w:after="120"/>
    </w:pPr>
    <w:rPr>
      <w:rFonts w:ascii="Calibri" w:hAnsi="Calibri"/>
      <w:sz w:val="20"/>
      <w:szCs w:val="20"/>
      <w:lang w:val="nb-NO" w:eastAsia="en-US"/>
    </w:rPr>
  </w:style>
  <w:style w:type="character" w:customStyle="1" w:styleId="VrestekstsRakstz">
    <w:name w:val="Vēres teksts Rakstz."/>
    <w:aliases w:val="Char Char Char Char Char Char Rakstz. Rakstz. Char Char Rakstz. Rakstz. Rakstz.,Footnote Rakstz.,Fußnote Rakstz., Char Char Char Char Char Char Rakstz. Rakstz. Char Char Rakstz. Rakstz. Rakstz.,Char Rakstz., Char Rakstz.,fn Rakstz."/>
    <w:basedOn w:val="Noklusjumarindkopasfonts"/>
    <w:link w:val="Vresteksts"/>
    <w:uiPriority w:val="99"/>
    <w:rsid w:val="006F1751"/>
    <w:rPr>
      <w:rFonts w:ascii="Calibri" w:eastAsia="Times New Roman" w:hAnsi="Calibri" w:cs="Times New Roman"/>
      <w:sz w:val="20"/>
      <w:szCs w:val="20"/>
      <w:lang w:val="nb-NO"/>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Times 10 Point,E,E FNZ"/>
    <w:uiPriority w:val="99"/>
    <w:rsid w:val="006F1751"/>
    <w:rPr>
      <w:vertAlign w:val="superscript"/>
    </w:rPr>
  </w:style>
  <w:style w:type="paragraph" w:styleId="Vienkrsteksts">
    <w:name w:val="Plain Text"/>
    <w:basedOn w:val="Parasts"/>
    <w:link w:val="VienkrstekstsRakstz"/>
    <w:uiPriority w:val="99"/>
    <w:semiHidden/>
    <w:unhideWhenUsed/>
    <w:rsid w:val="00645259"/>
    <w:rPr>
      <w:rFonts w:ascii="Calibri" w:eastAsiaTheme="minorHAnsi" w:hAnsi="Calibri" w:cstheme="minorBidi"/>
      <w:sz w:val="22"/>
      <w:szCs w:val="21"/>
      <w:lang w:eastAsia="en-US"/>
    </w:rPr>
  </w:style>
  <w:style w:type="character" w:customStyle="1" w:styleId="VienkrstekstsRakstz">
    <w:name w:val="Vienkāršs teksts Rakstz."/>
    <w:basedOn w:val="Noklusjumarindkopasfonts"/>
    <w:link w:val="Vienkrsteksts"/>
    <w:uiPriority w:val="99"/>
    <w:semiHidden/>
    <w:rsid w:val="00645259"/>
    <w:rPr>
      <w:rFonts w:ascii="Calibri" w:hAnsi="Calibri"/>
      <w:szCs w:val="21"/>
    </w:rPr>
  </w:style>
  <w:style w:type="character" w:styleId="Izmantotahipersaite">
    <w:name w:val="FollowedHyperlink"/>
    <w:basedOn w:val="Noklusjumarindkopasfonts"/>
    <w:uiPriority w:val="99"/>
    <w:semiHidden/>
    <w:unhideWhenUsed/>
    <w:rsid w:val="00FA7A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207544">
      <w:bodyDiv w:val="1"/>
      <w:marLeft w:val="0"/>
      <w:marRight w:val="0"/>
      <w:marTop w:val="0"/>
      <w:marBottom w:val="0"/>
      <w:divBdr>
        <w:top w:val="none" w:sz="0" w:space="0" w:color="auto"/>
        <w:left w:val="none" w:sz="0" w:space="0" w:color="auto"/>
        <w:bottom w:val="none" w:sz="0" w:space="0" w:color="auto"/>
        <w:right w:val="none" w:sz="0" w:space="0" w:color="auto"/>
      </w:divBdr>
    </w:div>
    <w:div w:id="1149438398">
      <w:bodyDiv w:val="1"/>
      <w:marLeft w:val="0"/>
      <w:marRight w:val="0"/>
      <w:marTop w:val="0"/>
      <w:marBottom w:val="0"/>
      <w:divBdr>
        <w:top w:val="none" w:sz="0" w:space="0" w:color="auto"/>
        <w:left w:val="none" w:sz="0" w:space="0" w:color="auto"/>
        <w:bottom w:val="none" w:sz="0" w:space="0" w:color="auto"/>
        <w:right w:val="none" w:sz="0" w:space="0" w:color="auto"/>
      </w:divBdr>
    </w:div>
    <w:div w:id="179768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Kleina@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78280-5191-4DA8-9F6E-573E38ED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22401</Words>
  <Characters>12769</Characters>
  <Application>Microsoft Office Word</Application>
  <DocSecurity>4</DocSecurity>
  <Lines>106</Lines>
  <Paragraphs>70</Paragraphs>
  <ScaleCrop>false</ScaleCrop>
  <HeadingPairs>
    <vt:vector size="2" baseType="variant">
      <vt:variant>
        <vt:lpstr>Nosaukums</vt:lpstr>
      </vt:variant>
      <vt:variant>
        <vt:i4>1</vt:i4>
      </vt:variant>
    </vt:vector>
  </HeadingPairs>
  <TitlesOfParts>
    <vt:vector size="1" baseType="lpstr">
      <vt:lpstr>Norvēģijas finanšu instrumenta līdzfinansētās programmas "Korekcijas dienesti" koncepcijas projekta sākotnējās ietekmes novērtējuma ziņojums (anotācija)</vt:lpstr>
    </vt:vector>
  </TitlesOfParts>
  <Company>Tieslietu ministrija</Company>
  <LinksUpToDate>false</LinksUpToDate>
  <CharactersWithSpaces>35100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Norvēģijas finanšu instrumenta līdzfinansētās programmas "Korekcijas dienesti" koncepcijas projekta sākotnējās ietekmes novērtējuma ziņojums (anotācija)</dc:title>
  <dc:subject>Anotācija</dc:subject>
  <dc:creator>Agnese Kleina</dc:creator>
  <cp:keywords/>
  <dc:description>67036868, Agnese.Kleina@tm.gov.lv</dc:description>
  <cp:lastModifiedBy>Sanita Lāce</cp:lastModifiedBy>
  <cp:revision>2</cp:revision>
  <cp:lastPrinted>2018-05-17T12:23:00Z</cp:lastPrinted>
  <dcterms:created xsi:type="dcterms:W3CDTF">2018-07-18T10:31:00Z</dcterms:created>
  <dcterms:modified xsi:type="dcterms:W3CDTF">2018-07-18T10:31:00Z</dcterms:modified>
</cp:coreProperties>
</file>