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2A5E0D" w:rsidRPr="00F53BC4" w:rsidP="00A807BA" w14:paraId="09A52E22" w14:textId="77777777">
      <w:pPr>
        <w:spacing w:after="0" w:line="240" w:lineRule="auto"/>
        <w:jc w:val="center"/>
        <w:rPr>
          <w:rFonts w:ascii="Times New Roman" w:eastAsia="Times New Roman" w:hAnsi="Times New Roman" w:cs="Times New Roman"/>
          <w:b/>
          <w:bCs/>
          <w:sz w:val="24"/>
          <w:szCs w:val="24"/>
          <w:lang w:eastAsia="lv-LV"/>
        </w:rPr>
      </w:pPr>
      <w:r w:rsidRPr="00F53BC4">
        <w:rPr>
          <w:rFonts w:ascii="Times New Roman" w:eastAsia="Times New Roman" w:hAnsi="Times New Roman" w:cs="Times New Roman"/>
          <w:b/>
          <w:bCs/>
          <w:sz w:val="24"/>
          <w:szCs w:val="24"/>
          <w:lang w:eastAsia="lv-LV"/>
        </w:rPr>
        <w:t xml:space="preserve">Ministru kabineta noteikumu projekta </w:t>
      </w:r>
    </w:p>
    <w:p w:rsidR="00824887" w:rsidRPr="00F53BC4" w:rsidP="00A807BA" w14:paraId="20E778D7" w14:textId="77777777">
      <w:pPr>
        <w:spacing w:after="0" w:line="240" w:lineRule="auto"/>
        <w:jc w:val="center"/>
        <w:rPr>
          <w:rFonts w:ascii="Times New Roman" w:eastAsia="Times New Roman" w:hAnsi="Times New Roman" w:cs="Times New Roman"/>
          <w:b/>
          <w:bCs/>
          <w:sz w:val="24"/>
          <w:szCs w:val="24"/>
          <w:lang w:eastAsia="lv-LV"/>
        </w:rPr>
      </w:pPr>
      <w:r w:rsidRPr="00F53BC4">
        <w:rPr>
          <w:rFonts w:ascii="Times New Roman" w:eastAsia="Times New Roman" w:hAnsi="Times New Roman" w:cs="Times New Roman"/>
          <w:b/>
          <w:bCs/>
          <w:sz w:val="24"/>
          <w:szCs w:val="24"/>
          <w:lang w:eastAsia="lv-LV"/>
        </w:rPr>
        <w:t>“</w:t>
      </w:r>
      <w:r w:rsidRPr="00F53BC4" w:rsidR="00374402">
        <w:rPr>
          <w:rFonts w:ascii="Times New Roman" w:hAnsi="Times New Roman" w:cs="Times New Roman"/>
          <w:b/>
          <w:sz w:val="24"/>
          <w:szCs w:val="24"/>
        </w:rPr>
        <w:t>Grozījumi Ministru kabineta 2014.</w:t>
      </w:r>
      <w:r w:rsidRPr="00F53BC4" w:rsidR="002A5E0D">
        <w:rPr>
          <w:rFonts w:ascii="Times New Roman" w:hAnsi="Times New Roman" w:cs="Times New Roman"/>
          <w:b/>
          <w:sz w:val="24"/>
          <w:szCs w:val="24"/>
        </w:rPr>
        <w:t> </w:t>
      </w:r>
      <w:r w:rsidRPr="00F53BC4" w:rsidR="00374402">
        <w:rPr>
          <w:rFonts w:ascii="Times New Roman" w:hAnsi="Times New Roman" w:cs="Times New Roman"/>
          <w:b/>
          <w:sz w:val="24"/>
          <w:szCs w:val="24"/>
        </w:rPr>
        <w:t>gada 8.</w:t>
      </w:r>
      <w:r w:rsidRPr="00F53BC4" w:rsidR="002A5E0D">
        <w:rPr>
          <w:rFonts w:ascii="Times New Roman" w:hAnsi="Times New Roman" w:cs="Times New Roman"/>
          <w:b/>
          <w:sz w:val="24"/>
          <w:szCs w:val="24"/>
        </w:rPr>
        <w:t> </w:t>
      </w:r>
      <w:r w:rsidRPr="00F53BC4" w:rsidR="00374402">
        <w:rPr>
          <w:rFonts w:ascii="Times New Roman" w:hAnsi="Times New Roman" w:cs="Times New Roman"/>
          <w:b/>
          <w:sz w:val="24"/>
          <w:szCs w:val="24"/>
        </w:rPr>
        <w:t>jūlija noteikumos Nr.</w:t>
      </w:r>
      <w:r w:rsidRPr="00F53BC4" w:rsidR="002A5E0D">
        <w:rPr>
          <w:rFonts w:ascii="Times New Roman" w:hAnsi="Times New Roman" w:cs="Times New Roman"/>
          <w:b/>
          <w:sz w:val="24"/>
          <w:szCs w:val="24"/>
        </w:rPr>
        <w:t> </w:t>
      </w:r>
      <w:r w:rsidRPr="00F53BC4" w:rsidR="00374402">
        <w:rPr>
          <w:rFonts w:ascii="Times New Roman" w:hAnsi="Times New Roman" w:cs="Times New Roman"/>
          <w:b/>
          <w:sz w:val="24"/>
          <w:szCs w:val="24"/>
        </w:rPr>
        <w:t>388 “Elektrisko un elektronisko iekārtu kategorijas un marķēšanas prasības un šo iekārtu atkritumu apsaimniekošanas prasības un kārtība</w:t>
      </w:r>
      <w:r w:rsidRPr="00F53BC4">
        <w:rPr>
          <w:rFonts w:ascii="Times New Roman" w:eastAsia="Times New Roman" w:hAnsi="Times New Roman"/>
          <w:b/>
          <w:sz w:val="24"/>
          <w:szCs w:val="24"/>
          <w:lang w:eastAsia="lv-LV"/>
        </w:rPr>
        <w:t xml:space="preserve">” </w:t>
      </w:r>
      <w:r w:rsidRPr="00F53BC4">
        <w:rPr>
          <w:rFonts w:ascii="Times New Roman" w:eastAsia="Times New Roman" w:hAnsi="Times New Roman" w:cs="Times New Roman"/>
          <w:b/>
          <w:bCs/>
          <w:sz w:val="24"/>
          <w:szCs w:val="24"/>
          <w:lang w:eastAsia="lv-LV"/>
        </w:rPr>
        <w:t>sākotnējās ietekmes novērtējuma ziņojums (anotācija)</w:t>
      </w:r>
    </w:p>
    <w:p w:rsidR="002A5E0D" w:rsidRPr="00F53BC4" w:rsidP="00A807BA" w14:paraId="6B138334" w14:textId="77777777">
      <w:pPr>
        <w:spacing w:after="0" w:line="240" w:lineRule="auto"/>
        <w:jc w:val="center"/>
        <w:rPr>
          <w:rFonts w:ascii="Times New Roman" w:eastAsia="Times New Roman" w:hAnsi="Times New Roman"/>
          <w:b/>
          <w:sz w:val="24"/>
          <w:szCs w:val="24"/>
          <w:lang w:eastAsia="lv-LV"/>
        </w:rPr>
      </w:pPr>
    </w:p>
    <w:tbl>
      <w:tblPr>
        <w:tblStyle w:val="TableGrid"/>
        <w:tblW w:w="9209" w:type="dxa"/>
        <w:tblLook w:val="04A0"/>
      </w:tblPr>
      <w:tblGrid>
        <w:gridCol w:w="3227"/>
        <w:gridCol w:w="5982"/>
      </w:tblGrid>
      <w:tr w14:paraId="3E16CC7C" w14:textId="77777777" w:rsidTr="00A807BA">
        <w:tblPrEx>
          <w:tblW w:w="9209" w:type="dxa"/>
          <w:tblLook w:val="04A0"/>
        </w:tblPrEx>
        <w:tc>
          <w:tcPr>
            <w:tcW w:w="9209" w:type="dxa"/>
            <w:gridSpan w:val="2"/>
          </w:tcPr>
          <w:p w:rsidR="00824887" w:rsidRPr="00F53BC4" w:rsidP="003F4AF0" w14:paraId="669D5D72" w14:textId="77777777">
            <w:pPr>
              <w:jc w:val="center"/>
              <w:rPr>
                <w:rFonts w:ascii="Times New Roman" w:eastAsia="Times New Roman" w:hAnsi="Times New Roman" w:cs="Times New Roman"/>
                <w:b/>
                <w:bCs/>
                <w:sz w:val="24"/>
                <w:szCs w:val="24"/>
                <w:lang w:eastAsia="lv-LV"/>
              </w:rPr>
            </w:pPr>
            <w:r w:rsidRPr="00F53BC4">
              <w:rPr>
                <w:rFonts w:ascii="Times New Roman" w:eastAsia="Times New Roman" w:hAnsi="Times New Roman" w:cs="Times New Roman"/>
                <w:b/>
                <w:bCs/>
                <w:iCs/>
                <w:sz w:val="24"/>
                <w:szCs w:val="24"/>
                <w:lang w:eastAsia="lv-LV"/>
              </w:rPr>
              <w:t>Tiesību akta projekta anotācijas kopsavilkums</w:t>
            </w:r>
          </w:p>
        </w:tc>
      </w:tr>
      <w:tr w14:paraId="33460865" w14:textId="77777777" w:rsidTr="00D110B1">
        <w:tblPrEx>
          <w:tblW w:w="9209" w:type="dxa"/>
          <w:tblLook w:val="04A0"/>
        </w:tblPrEx>
        <w:tc>
          <w:tcPr>
            <w:tcW w:w="3227" w:type="dxa"/>
          </w:tcPr>
          <w:p w:rsidR="00824887" w:rsidRPr="00F53BC4" w:rsidP="003F4AF0" w14:paraId="0BAF845F" w14:textId="77777777">
            <w:pPr>
              <w:jc w:val="cente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Mērķis, risinājums un projekta spēkā stāšanās laiks</w:t>
            </w:r>
          </w:p>
          <w:p w:rsidR="002A5E0D" w:rsidRPr="00F53BC4" w:rsidP="003F4AF0" w14:paraId="6775E363" w14:textId="77777777">
            <w:pPr>
              <w:jc w:val="center"/>
              <w:rPr>
                <w:rFonts w:ascii="Times New Roman" w:eastAsia="Times New Roman" w:hAnsi="Times New Roman" w:cs="Times New Roman"/>
                <w:bCs/>
                <w:sz w:val="24"/>
                <w:szCs w:val="24"/>
                <w:lang w:eastAsia="lv-LV"/>
              </w:rPr>
            </w:pPr>
            <w:r w:rsidRPr="00F53BC4">
              <w:rPr>
                <w:rFonts w:ascii="Times New Roman" w:eastAsia="Times New Roman" w:hAnsi="Times New Roman" w:cs="Times New Roman"/>
                <w:bCs/>
                <w:sz w:val="24"/>
                <w:szCs w:val="24"/>
                <w:lang w:eastAsia="lv-LV"/>
              </w:rPr>
              <w:t>(500 zīmes bez atstarpēm)</w:t>
            </w:r>
          </w:p>
        </w:tc>
        <w:tc>
          <w:tcPr>
            <w:tcW w:w="5982" w:type="dxa"/>
          </w:tcPr>
          <w:p w:rsidR="00824887" w:rsidRPr="00F53BC4" w:rsidP="003F4AF0" w14:paraId="30A1339E" w14:textId="77777777">
            <w:pPr>
              <w:jc w:val="both"/>
              <w:rPr>
                <w:rFonts w:ascii="Times New Roman" w:eastAsia="Times New Roman" w:hAnsi="Times New Roman"/>
                <w:sz w:val="24"/>
                <w:szCs w:val="24"/>
                <w:lang w:eastAsia="lv-LV"/>
              </w:rPr>
            </w:pPr>
            <w:r w:rsidRPr="00F53BC4">
              <w:rPr>
                <w:rFonts w:ascii="Times New Roman" w:eastAsia="Times New Roman" w:hAnsi="Times New Roman" w:cs="Times New Roman"/>
                <w:bCs/>
                <w:sz w:val="24"/>
                <w:szCs w:val="24"/>
                <w:lang w:eastAsia="lv-LV"/>
              </w:rPr>
              <w:t>Saskaņā ar Ministru kabineta 2009. gada 15.</w:t>
            </w:r>
            <w:r w:rsidRPr="00F53BC4" w:rsidR="00901AE5">
              <w:rPr>
                <w:rFonts w:ascii="Times New Roman" w:eastAsia="Times New Roman" w:hAnsi="Times New Roman" w:cs="Times New Roman"/>
                <w:bCs/>
                <w:sz w:val="24"/>
                <w:szCs w:val="24"/>
                <w:lang w:eastAsia="lv-LV"/>
              </w:rPr>
              <w:t> </w:t>
            </w:r>
            <w:r w:rsidRPr="00F53BC4">
              <w:rPr>
                <w:rFonts w:ascii="Times New Roman" w:eastAsia="Times New Roman" w:hAnsi="Times New Roman" w:cs="Times New Roman"/>
                <w:bCs/>
                <w:sz w:val="24"/>
                <w:szCs w:val="24"/>
                <w:lang w:eastAsia="lv-LV"/>
              </w:rPr>
              <w:t>decembra instrukcijas Nr.</w:t>
            </w:r>
            <w:r w:rsidRPr="00F53BC4" w:rsidR="00901AE5">
              <w:rPr>
                <w:rFonts w:ascii="Times New Roman" w:eastAsia="Times New Roman" w:hAnsi="Times New Roman" w:cs="Times New Roman"/>
                <w:bCs/>
                <w:sz w:val="24"/>
                <w:szCs w:val="24"/>
                <w:lang w:eastAsia="lv-LV"/>
              </w:rPr>
              <w:t> </w:t>
            </w:r>
            <w:r w:rsidRPr="00F53BC4">
              <w:rPr>
                <w:rFonts w:ascii="Times New Roman" w:eastAsia="Times New Roman" w:hAnsi="Times New Roman" w:cs="Times New Roman"/>
                <w:bCs/>
                <w:sz w:val="24"/>
                <w:szCs w:val="24"/>
                <w:lang w:eastAsia="lv-LV"/>
              </w:rPr>
              <w:t>19 “Tiesību akta projekta sākotnējās ietekmes izvērtēšanas kārtība” 5.</w:t>
            </w:r>
            <w:r w:rsidRPr="00F53BC4">
              <w:rPr>
                <w:rFonts w:ascii="Times New Roman" w:eastAsia="Times New Roman" w:hAnsi="Times New Roman" w:cs="Times New Roman"/>
                <w:bCs/>
                <w:sz w:val="24"/>
                <w:szCs w:val="24"/>
                <w:vertAlign w:val="superscript"/>
                <w:lang w:eastAsia="lv-LV"/>
              </w:rPr>
              <w:t>1</w:t>
            </w:r>
            <w:r w:rsidRPr="00F53BC4">
              <w:rPr>
                <w:rFonts w:ascii="Times New Roman" w:eastAsia="Times New Roman" w:hAnsi="Times New Roman" w:cs="Times New Roman"/>
                <w:bCs/>
                <w:sz w:val="24"/>
                <w:szCs w:val="24"/>
                <w:lang w:eastAsia="lv-LV"/>
              </w:rPr>
              <w:t xml:space="preserve"> punktu anotācijas kopsavilkums nav aizpildāms.</w:t>
            </w:r>
            <w:r w:rsidRPr="00F53BC4" w:rsidR="00901AE5">
              <w:rPr>
                <w:rFonts w:ascii="Times New Roman" w:eastAsia="Times New Roman" w:hAnsi="Times New Roman" w:cs="Times New Roman"/>
                <w:bCs/>
                <w:sz w:val="24"/>
                <w:szCs w:val="24"/>
                <w:lang w:eastAsia="lv-LV"/>
              </w:rPr>
              <w:t xml:space="preserve"> </w:t>
            </w:r>
          </w:p>
        </w:tc>
      </w:tr>
    </w:tbl>
    <w:p w:rsidR="00824887" w:rsidRPr="00F53BC4" w:rsidP="00824887" w14:paraId="20BCD5EC" w14:textId="77777777">
      <w:pPr>
        <w:spacing w:after="0" w:line="240" w:lineRule="auto"/>
        <w:rPr>
          <w:rFonts w:ascii="Times New Roman" w:eastAsia="Times New Roman" w:hAnsi="Times New Roman"/>
          <w:sz w:val="24"/>
          <w:szCs w:val="24"/>
          <w:lang w:eastAsia="lv-LV"/>
        </w:rPr>
      </w:pPr>
    </w:p>
    <w:tbl>
      <w:tblPr>
        <w:tblStyle w:val="TableGrid"/>
        <w:tblW w:w="0" w:type="auto"/>
        <w:tblLayout w:type="fixed"/>
        <w:tblLook w:val="04A0"/>
      </w:tblPr>
      <w:tblGrid>
        <w:gridCol w:w="396"/>
        <w:gridCol w:w="1697"/>
        <w:gridCol w:w="7194"/>
      </w:tblGrid>
      <w:tr w14:paraId="28B1BAFA" w14:textId="77777777" w:rsidTr="003F4AF0">
        <w:tblPrEx>
          <w:tblW w:w="0" w:type="auto"/>
          <w:tblLayout w:type="fixed"/>
          <w:tblLook w:val="04A0"/>
        </w:tblPrEx>
        <w:tc>
          <w:tcPr>
            <w:tcW w:w="9287" w:type="dxa"/>
            <w:gridSpan w:val="3"/>
          </w:tcPr>
          <w:p w:rsidR="00824887" w:rsidRPr="00F53BC4" w:rsidP="002A5E0D" w14:paraId="0767804D" w14:textId="77777777">
            <w:pPr>
              <w:jc w:val="center"/>
              <w:rPr>
                <w:rFonts w:ascii="Times New Roman" w:eastAsia="Times New Roman" w:hAnsi="Times New Roman"/>
                <w:b/>
                <w:sz w:val="24"/>
                <w:szCs w:val="24"/>
                <w:lang w:eastAsia="lv-LV"/>
              </w:rPr>
            </w:pPr>
            <w:r w:rsidRPr="00F53BC4">
              <w:rPr>
                <w:rFonts w:ascii="Times New Roman" w:eastAsia="Times New Roman" w:hAnsi="Times New Roman"/>
                <w:b/>
                <w:sz w:val="24"/>
                <w:szCs w:val="24"/>
                <w:lang w:eastAsia="lv-LV"/>
              </w:rPr>
              <w:t>I. Tiesību akta projekta izstrādes nepieciešamība</w:t>
            </w:r>
          </w:p>
        </w:tc>
      </w:tr>
      <w:tr w14:paraId="31CD7B69" w14:textId="77777777" w:rsidTr="003F4AF0">
        <w:tblPrEx>
          <w:tblW w:w="0" w:type="auto"/>
          <w:tblLayout w:type="fixed"/>
          <w:tblLook w:val="04A0"/>
        </w:tblPrEx>
        <w:tc>
          <w:tcPr>
            <w:tcW w:w="396" w:type="dxa"/>
          </w:tcPr>
          <w:p w:rsidR="00824887" w:rsidRPr="00F53BC4" w:rsidP="003F4AF0" w14:paraId="455EDAB8" w14:textId="77777777">
            <w:pPr>
              <w:rPr>
                <w:rFonts w:ascii="Times New Roman" w:eastAsia="Times New Roman" w:hAnsi="Times New Roman" w:cs="Times New Roman"/>
                <w:iCs/>
                <w:color w:val="414142"/>
                <w:sz w:val="24"/>
                <w:szCs w:val="24"/>
                <w:lang w:eastAsia="lv-LV"/>
              </w:rPr>
            </w:pPr>
            <w:r w:rsidRPr="00F53BC4">
              <w:rPr>
                <w:rFonts w:ascii="Times New Roman" w:eastAsia="Times New Roman" w:hAnsi="Times New Roman" w:cs="Times New Roman"/>
                <w:iCs/>
                <w:color w:val="414142"/>
                <w:sz w:val="24"/>
                <w:szCs w:val="24"/>
                <w:lang w:eastAsia="lv-LV"/>
              </w:rPr>
              <w:t>1.</w:t>
            </w:r>
          </w:p>
        </w:tc>
        <w:tc>
          <w:tcPr>
            <w:tcW w:w="1697" w:type="dxa"/>
          </w:tcPr>
          <w:p w:rsidR="00824887" w:rsidRPr="00F53BC4" w:rsidP="003F4AF0" w14:paraId="62F98CC6" w14:textId="77777777">
            <w:pPr>
              <w:rPr>
                <w:rFonts w:ascii="Times New Roman" w:eastAsia="Times New Roman" w:hAnsi="Times New Roman" w:cs="Times New Roman"/>
                <w:iCs/>
                <w:color w:val="414142"/>
                <w:sz w:val="24"/>
                <w:szCs w:val="24"/>
                <w:lang w:eastAsia="lv-LV"/>
              </w:rPr>
            </w:pPr>
            <w:r w:rsidRPr="00F53BC4">
              <w:rPr>
                <w:rFonts w:ascii="Times New Roman" w:eastAsia="Times New Roman" w:hAnsi="Times New Roman" w:cs="Times New Roman"/>
                <w:bCs/>
                <w:sz w:val="24"/>
                <w:szCs w:val="24"/>
                <w:lang w:eastAsia="lv-LV"/>
              </w:rPr>
              <w:t>Pamatojums</w:t>
            </w:r>
          </w:p>
        </w:tc>
        <w:tc>
          <w:tcPr>
            <w:tcW w:w="7194" w:type="dxa"/>
          </w:tcPr>
          <w:p w:rsidR="00824887" w:rsidRPr="00F53BC4" w:rsidP="00D110B1" w14:paraId="1A9A7028" w14:textId="77777777">
            <w:pPr>
              <w:jc w:val="both"/>
              <w:rPr>
                <w:rFonts w:ascii="Times New Roman" w:hAnsi="Times New Roman" w:cs="Times New Roman"/>
                <w:sz w:val="24"/>
                <w:szCs w:val="24"/>
              </w:rPr>
            </w:pPr>
            <w:r w:rsidRPr="00F53BC4">
              <w:rPr>
                <w:rFonts w:ascii="Times New Roman" w:eastAsia="Times New Roman" w:hAnsi="Times New Roman" w:cs="Times New Roman"/>
                <w:bCs/>
                <w:sz w:val="24"/>
                <w:szCs w:val="24"/>
                <w:lang w:eastAsia="lv-LV"/>
              </w:rPr>
              <w:t>Ministru kabineta n</w:t>
            </w:r>
            <w:r w:rsidRPr="00F53BC4">
              <w:rPr>
                <w:rFonts w:ascii="Times New Roman" w:eastAsia="Times New Roman" w:hAnsi="Times New Roman" w:cs="Times New Roman"/>
                <w:bCs/>
                <w:sz w:val="24"/>
                <w:szCs w:val="24"/>
                <w:lang w:eastAsia="lv-LV"/>
              </w:rPr>
              <w:t>ote</w:t>
            </w:r>
            <w:r w:rsidRPr="00F53BC4" w:rsidR="00374402">
              <w:rPr>
                <w:rFonts w:ascii="Times New Roman" w:eastAsia="Times New Roman" w:hAnsi="Times New Roman" w:cs="Times New Roman"/>
                <w:bCs/>
                <w:sz w:val="24"/>
                <w:szCs w:val="24"/>
                <w:lang w:eastAsia="lv-LV"/>
              </w:rPr>
              <w:t xml:space="preserve">ikumu projekts </w:t>
            </w:r>
            <w:r w:rsidRPr="00F53BC4">
              <w:rPr>
                <w:rFonts w:ascii="Times New Roman" w:eastAsia="Times New Roman" w:hAnsi="Times New Roman" w:cs="Times New Roman"/>
                <w:bCs/>
                <w:sz w:val="24"/>
                <w:szCs w:val="24"/>
                <w:lang w:eastAsia="lv-LV"/>
              </w:rPr>
              <w:t xml:space="preserve">“Grozījumi Ministru kabineta 2014. gada 8. jūlija noteikumos Nr. 388 “Elektrisko un elektronisko iekārtu kategorijas un marķēšanas prasības un šo iekārtu atkritumu apsaimniekošanas prasības un kārtība” (turpmāk – noteikumu projekts) </w:t>
            </w:r>
            <w:r w:rsidRPr="00F53BC4" w:rsidR="00374402">
              <w:rPr>
                <w:rFonts w:ascii="Times New Roman" w:eastAsia="Times New Roman" w:hAnsi="Times New Roman" w:cs="Times New Roman"/>
                <w:bCs/>
                <w:sz w:val="24"/>
                <w:szCs w:val="24"/>
                <w:lang w:eastAsia="lv-LV"/>
              </w:rPr>
              <w:t>izdots saskaņā ar</w:t>
            </w:r>
            <w:r w:rsidRPr="00F53BC4">
              <w:rPr>
                <w:rFonts w:ascii="Times New Roman" w:eastAsia="Times New Roman" w:hAnsi="Times New Roman" w:cs="Times New Roman"/>
                <w:bCs/>
                <w:sz w:val="24"/>
                <w:szCs w:val="24"/>
                <w:lang w:eastAsia="lv-LV"/>
              </w:rPr>
              <w:t xml:space="preserve"> Atkritumu apsaimniekošanas likuma </w:t>
            </w:r>
            <w:r w:rsidRPr="00F53BC4" w:rsidR="00374402">
              <w:rPr>
                <w:rFonts w:ascii="Times New Roman" w:hAnsi="Times New Roman" w:cs="Times New Roman"/>
                <w:sz w:val="24"/>
                <w:szCs w:val="24"/>
              </w:rPr>
              <w:t>24.</w:t>
            </w:r>
            <w:r w:rsidRPr="00F53BC4">
              <w:rPr>
                <w:rFonts w:ascii="Times New Roman" w:hAnsi="Times New Roman" w:cs="Times New Roman"/>
                <w:sz w:val="24"/>
                <w:szCs w:val="24"/>
              </w:rPr>
              <w:t> </w:t>
            </w:r>
            <w:r w:rsidRPr="00F53BC4" w:rsidR="00374402">
              <w:rPr>
                <w:rFonts w:ascii="Times New Roman" w:hAnsi="Times New Roman" w:cs="Times New Roman"/>
                <w:sz w:val="24"/>
                <w:szCs w:val="24"/>
              </w:rPr>
              <w:t>panta pirmo daļu un 29. panta 1., 2., 3. un 4. punktu.</w:t>
            </w:r>
          </w:p>
        </w:tc>
      </w:tr>
      <w:tr w14:paraId="7DE23BC6" w14:textId="77777777" w:rsidTr="003F4AF0">
        <w:tblPrEx>
          <w:tblW w:w="0" w:type="auto"/>
          <w:tblLayout w:type="fixed"/>
          <w:tblLook w:val="04A0"/>
        </w:tblPrEx>
        <w:tc>
          <w:tcPr>
            <w:tcW w:w="396" w:type="dxa"/>
          </w:tcPr>
          <w:p w:rsidR="00824887" w:rsidRPr="00F53BC4" w:rsidP="003F4AF0" w14:paraId="33042C8F"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2.</w:t>
            </w:r>
          </w:p>
        </w:tc>
        <w:tc>
          <w:tcPr>
            <w:tcW w:w="1697" w:type="dxa"/>
          </w:tcPr>
          <w:p w:rsidR="00824887" w:rsidRPr="00F53BC4" w:rsidP="003F4AF0" w14:paraId="422E3361"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7194" w:type="dxa"/>
          </w:tcPr>
          <w:p w:rsidR="00265A7E" w:rsidRPr="00F53BC4" w:rsidP="00374402" w14:paraId="0175EA62" w14:textId="77777777">
            <w:pPr>
              <w:jc w:val="both"/>
              <w:rPr>
                <w:rFonts w:ascii="Times New Roman" w:hAnsi="Times New Roman" w:cs="Times New Roman"/>
                <w:sz w:val="24"/>
                <w:szCs w:val="24"/>
              </w:rPr>
            </w:pPr>
            <w:r w:rsidRPr="00F53BC4">
              <w:rPr>
                <w:rFonts w:ascii="Times New Roman" w:hAnsi="Times New Roman" w:cs="Times New Roman"/>
                <w:sz w:val="24"/>
                <w:szCs w:val="24"/>
              </w:rPr>
              <w:t>P</w:t>
            </w:r>
            <w:r w:rsidRPr="00F53BC4">
              <w:rPr>
                <w:rFonts w:ascii="Times New Roman" w:hAnsi="Times New Roman" w:cs="Times New Roman"/>
                <w:sz w:val="24"/>
                <w:szCs w:val="24"/>
              </w:rPr>
              <w:t>iemērojot Ministru kabineta 2014.</w:t>
            </w:r>
            <w:r w:rsidRPr="00F53BC4" w:rsidR="0072313A">
              <w:rPr>
                <w:rFonts w:ascii="Times New Roman" w:hAnsi="Times New Roman" w:cs="Times New Roman"/>
                <w:sz w:val="24"/>
                <w:szCs w:val="24"/>
              </w:rPr>
              <w:t> </w:t>
            </w:r>
            <w:r w:rsidRPr="00F53BC4">
              <w:rPr>
                <w:rFonts w:ascii="Times New Roman" w:hAnsi="Times New Roman" w:cs="Times New Roman"/>
                <w:sz w:val="24"/>
                <w:szCs w:val="24"/>
              </w:rPr>
              <w:t>gada 8.</w:t>
            </w:r>
            <w:r w:rsidRPr="00F53BC4" w:rsidR="0072313A">
              <w:rPr>
                <w:rFonts w:ascii="Times New Roman" w:hAnsi="Times New Roman" w:cs="Times New Roman"/>
                <w:sz w:val="24"/>
                <w:szCs w:val="24"/>
              </w:rPr>
              <w:t> </w:t>
            </w:r>
            <w:r w:rsidRPr="00F53BC4">
              <w:rPr>
                <w:rFonts w:ascii="Times New Roman" w:hAnsi="Times New Roman" w:cs="Times New Roman"/>
                <w:sz w:val="24"/>
                <w:szCs w:val="24"/>
              </w:rPr>
              <w:t>jūlija noteikumus Nr.</w:t>
            </w:r>
            <w:r w:rsidRPr="00F53BC4" w:rsidR="0072313A">
              <w:rPr>
                <w:rFonts w:ascii="Times New Roman" w:hAnsi="Times New Roman" w:cs="Times New Roman"/>
                <w:sz w:val="24"/>
                <w:szCs w:val="24"/>
              </w:rPr>
              <w:t> </w:t>
            </w:r>
            <w:r w:rsidRPr="00F53BC4">
              <w:rPr>
                <w:rFonts w:ascii="Times New Roman" w:hAnsi="Times New Roman" w:cs="Times New Roman"/>
                <w:sz w:val="24"/>
                <w:szCs w:val="24"/>
              </w:rPr>
              <w:t>388 “Elektrisko un elektronisko iekārtu kategorijas un marķēšanas prasības un šo iekārtu atkritumu apsaimniekošanas prasības un kārtība</w:t>
            </w:r>
            <w:r w:rsidRPr="00F53BC4">
              <w:rPr>
                <w:rFonts w:ascii="Times New Roman" w:eastAsia="Times New Roman" w:hAnsi="Times New Roman"/>
                <w:sz w:val="24"/>
                <w:szCs w:val="24"/>
                <w:lang w:eastAsia="lv-LV"/>
              </w:rPr>
              <w:t>” (turpmāk – MK noteikumi Nr.</w:t>
            </w:r>
            <w:r w:rsidRPr="00F53BC4" w:rsidR="0072313A">
              <w:rPr>
                <w:rFonts w:ascii="Times New Roman" w:eastAsia="Times New Roman" w:hAnsi="Times New Roman"/>
                <w:sz w:val="24"/>
                <w:szCs w:val="24"/>
                <w:lang w:eastAsia="lv-LV"/>
              </w:rPr>
              <w:t> </w:t>
            </w:r>
            <w:r w:rsidRPr="00F53BC4">
              <w:rPr>
                <w:rFonts w:ascii="Times New Roman" w:eastAsia="Times New Roman" w:hAnsi="Times New Roman"/>
                <w:sz w:val="24"/>
                <w:szCs w:val="24"/>
                <w:lang w:eastAsia="lv-LV"/>
              </w:rPr>
              <w:t>388), ir konstatētas šādas problēmas:</w:t>
            </w:r>
          </w:p>
          <w:p w:rsidR="00265A7E" w:rsidRPr="00F53BC4" w:rsidP="00374402" w14:paraId="23AD526C" w14:textId="77777777">
            <w:pPr>
              <w:jc w:val="both"/>
              <w:rPr>
                <w:rFonts w:ascii="Times New Roman" w:hAnsi="Times New Roman" w:cs="Times New Roman"/>
                <w:sz w:val="24"/>
                <w:szCs w:val="24"/>
              </w:rPr>
            </w:pPr>
            <w:r w:rsidRPr="00F53BC4">
              <w:rPr>
                <w:rFonts w:ascii="Times New Roman" w:hAnsi="Times New Roman" w:cs="Times New Roman"/>
                <w:sz w:val="24"/>
                <w:szCs w:val="24"/>
              </w:rPr>
              <w:t xml:space="preserve">1) </w:t>
            </w:r>
            <w:r w:rsidRPr="00F53BC4" w:rsidR="00A807BA">
              <w:rPr>
                <w:rFonts w:ascii="Times New Roman" w:hAnsi="Times New Roman" w:cs="Times New Roman"/>
                <w:sz w:val="24"/>
                <w:szCs w:val="24"/>
              </w:rPr>
              <w:t>Atbilsto</w:t>
            </w:r>
            <w:r w:rsidRPr="00F53BC4">
              <w:rPr>
                <w:rFonts w:ascii="Times New Roman" w:hAnsi="Times New Roman" w:cs="Times New Roman"/>
                <w:sz w:val="24"/>
                <w:szCs w:val="24"/>
              </w:rPr>
              <w:t>ši</w:t>
            </w:r>
            <w:r w:rsidRPr="00F53BC4" w:rsidR="00A807BA">
              <w:rPr>
                <w:rFonts w:ascii="Times New Roman" w:eastAsia="Times New Roman" w:hAnsi="Times New Roman"/>
                <w:sz w:val="24"/>
                <w:szCs w:val="24"/>
                <w:lang w:eastAsia="lv-LV"/>
              </w:rPr>
              <w:t xml:space="preserve"> MK notei</w:t>
            </w:r>
            <w:r w:rsidRPr="00F53BC4">
              <w:rPr>
                <w:rFonts w:ascii="Times New Roman" w:eastAsia="Times New Roman" w:hAnsi="Times New Roman"/>
                <w:sz w:val="24"/>
                <w:szCs w:val="24"/>
                <w:lang w:eastAsia="lv-LV"/>
              </w:rPr>
              <w:t>kumu</w:t>
            </w:r>
            <w:r w:rsidRPr="00F53BC4" w:rsidR="00A807BA">
              <w:rPr>
                <w:rFonts w:ascii="Times New Roman" w:eastAsia="Times New Roman" w:hAnsi="Times New Roman"/>
                <w:sz w:val="24"/>
                <w:szCs w:val="24"/>
                <w:lang w:eastAsia="lv-LV"/>
              </w:rPr>
              <w:t xml:space="preserve"> Nr.</w:t>
            </w:r>
            <w:r w:rsidRPr="00F53BC4" w:rsidR="0072313A">
              <w:rPr>
                <w:rFonts w:ascii="Times New Roman" w:eastAsia="Times New Roman" w:hAnsi="Times New Roman"/>
                <w:sz w:val="24"/>
                <w:szCs w:val="24"/>
                <w:lang w:eastAsia="lv-LV"/>
              </w:rPr>
              <w:t> </w:t>
            </w:r>
            <w:r w:rsidRPr="00F53BC4">
              <w:rPr>
                <w:rFonts w:ascii="Times New Roman" w:eastAsia="Times New Roman" w:hAnsi="Times New Roman"/>
                <w:sz w:val="24"/>
                <w:szCs w:val="24"/>
                <w:lang w:eastAsia="lv-LV"/>
              </w:rPr>
              <w:t>388</w:t>
            </w:r>
            <w:r w:rsidRPr="00F53BC4" w:rsidR="00A807BA">
              <w:rPr>
                <w:rFonts w:ascii="Times New Roman" w:eastAsia="Times New Roman" w:hAnsi="Times New Roman"/>
                <w:sz w:val="24"/>
                <w:szCs w:val="24"/>
                <w:lang w:eastAsia="lv-LV"/>
              </w:rPr>
              <w:t xml:space="preserve"> 2.</w:t>
            </w:r>
            <w:r w:rsidRPr="00F53BC4" w:rsidR="0072313A">
              <w:rPr>
                <w:rFonts w:ascii="Times New Roman" w:eastAsia="Times New Roman" w:hAnsi="Times New Roman"/>
                <w:sz w:val="24"/>
                <w:szCs w:val="24"/>
                <w:lang w:eastAsia="lv-LV"/>
              </w:rPr>
              <w:t> </w:t>
            </w:r>
            <w:r w:rsidRPr="00F53BC4" w:rsidR="00A807BA">
              <w:rPr>
                <w:rFonts w:ascii="Times New Roman" w:eastAsia="Times New Roman" w:hAnsi="Times New Roman"/>
                <w:sz w:val="24"/>
                <w:szCs w:val="24"/>
                <w:lang w:eastAsia="lv-LV"/>
              </w:rPr>
              <w:t>pielikumam</w:t>
            </w:r>
            <w:r w:rsidRPr="00F53BC4" w:rsidR="00A807BA">
              <w:rPr>
                <w:rFonts w:ascii="Times New Roman" w:eastAsia="Times New Roman" w:hAnsi="Times New Roman"/>
                <w:b/>
                <w:sz w:val="28"/>
                <w:szCs w:val="24"/>
                <w:lang w:eastAsia="lv-LV"/>
              </w:rPr>
              <w:t xml:space="preserve"> </w:t>
            </w:r>
            <w:r w:rsidRPr="00F53BC4" w:rsidR="00A807BA">
              <w:rPr>
                <w:rFonts w:ascii="Times New Roman" w:hAnsi="Times New Roman" w:cs="Times New Roman"/>
                <w:sz w:val="24"/>
                <w:szCs w:val="24"/>
              </w:rPr>
              <w:t>n</w:t>
            </w:r>
            <w:r w:rsidRPr="00F53BC4" w:rsidR="00374402">
              <w:rPr>
                <w:rFonts w:ascii="Times New Roman" w:hAnsi="Times New Roman" w:cs="Times New Roman"/>
                <w:sz w:val="24"/>
                <w:szCs w:val="24"/>
              </w:rPr>
              <w:t>o 2018.</w:t>
            </w:r>
            <w:r w:rsidRPr="00F53BC4" w:rsidR="0072313A">
              <w:rPr>
                <w:rFonts w:ascii="Times New Roman" w:hAnsi="Times New Roman" w:cs="Times New Roman"/>
                <w:sz w:val="24"/>
                <w:szCs w:val="24"/>
              </w:rPr>
              <w:t> </w:t>
            </w:r>
            <w:r w:rsidRPr="00F53BC4" w:rsidR="00374402">
              <w:rPr>
                <w:rFonts w:ascii="Times New Roman" w:hAnsi="Times New Roman" w:cs="Times New Roman"/>
                <w:sz w:val="24"/>
                <w:szCs w:val="24"/>
              </w:rPr>
              <w:t>gada 1.</w:t>
            </w:r>
            <w:r w:rsidRPr="00F53BC4" w:rsidR="0072313A">
              <w:rPr>
                <w:rFonts w:ascii="Times New Roman" w:hAnsi="Times New Roman" w:cs="Times New Roman"/>
                <w:sz w:val="24"/>
                <w:szCs w:val="24"/>
              </w:rPr>
              <w:t> </w:t>
            </w:r>
            <w:r w:rsidRPr="00F53BC4" w:rsidR="00374402">
              <w:rPr>
                <w:rFonts w:ascii="Times New Roman" w:hAnsi="Times New Roman" w:cs="Times New Roman"/>
                <w:sz w:val="24"/>
                <w:szCs w:val="24"/>
              </w:rPr>
              <w:t>jūlija stājas spēkā elektrisko un elektronisko iekārtu (turpmāk – iekārtu) jauns iedalījums (</w:t>
            </w:r>
            <w:r w:rsidRPr="00F53BC4" w:rsidR="000C7A62">
              <w:rPr>
                <w:rFonts w:ascii="Times New Roman" w:hAnsi="Times New Roman" w:cs="Times New Roman"/>
                <w:sz w:val="24"/>
                <w:szCs w:val="24"/>
              </w:rPr>
              <w:t xml:space="preserve">iepriekš </w:t>
            </w:r>
            <w:r w:rsidRPr="00F53BC4" w:rsidR="00374402">
              <w:rPr>
                <w:rFonts w:ascii="Times New Roman" w:hAnsi="Times New Roman" w:cs="Times New Roman"/>
                <w:sz w:val="24"/>
                <w:szCs w:val="24"/>
              </w:rPr>
              <w:t xml:space="preserve">bija 10 kategorijas, </w:t>
            </w:r>
            <w:r w:rsidRPr="00F53BC4" w:rsidR="000C7A62">
              <w:rPr>
                <w:rFonts w:ascii="Times New Roman" w:hAnsi="Times New Roman" w:cs="Times New Roman"/>
                <w:sz w:val="24"/>
                <w:szCs w:val="24"/>
              </w:rPr>
              <w:t>sākot ar 2018.</w:t>
            </w:r>
            <w:r w:rsidRPr="00F53BC4" w:rsidR="0072313A">
              <w:rPr>
                <w:rFonts w:ascii="Times New Roman" w:hAnsi="Times New Roman" w:cs="Times New Roman"/>
                <w:sz w:val="24"/>
                <w:szCs w:val="24"/>
              </w:rPr>
              <w:t> </w:t>
            </w:r>
            <w:r w:rsidRPr="00F53BC4" w:rsidR="000C7A62">
              <w:rPr>
                <w:rFonts w:ascii="Times New Roman" w:hAnsi="Times New Roman" w:cs="Times New Roman"/>
                <w:sz w:val="24"/>
                <w:szCs w:val="24"/>
              </w:rPr>
              <w:t>gada 1.</w:t>
            </w:r>
            <w:r w:rsidRPr="00F53BC4" w:rsidR="0072313A">
              <w:rPr>
                <w:rFonts w:ascii="Times New Roman" w:hAnsi="Times New Roman" w:cs="Times New Roman"/>
                <w:sz w:val="24"/>
                <w:szCs w:val="24"/>
              </w:rPr>
              <w:t> </w:t>
            </w:r>
            <w:r w:rsidRPr="00F53BC4" w:rsidR="000C7A62">
              <w:rPr>
                <w:rFonts w:ascii="Times New Roman" w:hAnsi="Times New Roman" w:cs="Times New Roman"/>
                <w:sz w:val="24"/>
                <w:szCs w:val="24"/>
              </w:rPr>
              <w:t>jūliju</w:t>
            </w:r>
            <w:r w:rsidRPr="00F53BC4" w:rsidR="0072313A">
              <w:rPr>
                <w:rFonts w:ascii="Times New Roman" w:hAnsi="Times New Roman" w:cs="Times New Roman"/>
                <w:sz w:val="24"/>
                <w:szCs w:val="24"/>
              </w:rPr>
              <w:t>,</w:t>
            </w:r>
            <w:r w:rsidRPr="00F53BC4" w:rsidR="000C7A62">
              <w:rPr>
                <w:rFonts w:ascii="Times New Roman" w:hAnsi="Times New Roman" w:cs="Times New Roman"/>
                <w:sz w:val="24"/>
                <w:szCs w:val="24"/>
              </w:rPr>
              <w:t xml:space="preserve"> būs</w:t>
            </w:r>
            <w:r w:rsidRPr="00F53BC4" w:rsidR="00374402">
              <w:rPr>
                <w:rFonts w:ascii="Times New Roman" w:hAnsi="Times New Roman" w:cs="Times New Roman"/>
                <w:sz w:val="24"/>
                <w:szCs w:val="24"/>
              </w:rPr>
              <w:t xml:space="preserve"> 6</w:t>
            </w:r>
            <w:r w:rsidRPr="00F53BC4" w:rsidR="0072313A">
              <w:rPr>
                <w:rFonts w:ascii="Times New Roman" w:hAnsi="Times New Roman" w:cs="Times New Roman"/>
                <w:sz w:val="24"/>
                <w:szCs w:val="24"/>
              </w:rPr>
              <w:t xml:space="preserve"> kategorijas), kā arī </w:t>
            </w:r>
            <w:r w:rsidRPr="00F53BC4" w:rsidR="00374402">
              <w:rPr>
                <w:rFonts w:ascii="Times New Roman" w:hAnsi="Times New Roman" w:cs="Times New Roman"/>
                <w:sz w:val="24"/>
                <w:szCs w:val="24"/>
              </w:rPr>
              <w:t xml:space="preserve">mainās atkritumu sagatavošanas atkārtotai izmantošanai, pārstrādes un reģenerācijas mērķi </w:t>
            </w:r>
            <w:r w:rsidRPr="00F53BC4">
              <w:rPr>
                <w:rFonts w:ascii="Times New Roman" w:hAnsi="Times New Roman" w:cs="Times New Roman"/>
                <w:sz w:val="24"/>
                <w:szCs w:val="24"/>
              </w:rPr>
              <w:t>(MK noteikumu Nr.</w:t>
            </w:r>
            <w:r w:rsidRPr="00F53BC4" w:rsidR="0072313A">
              <w:rPr>
                <w:rFonts w:ascii="Times New Roman" w:hAnsi="Times New Roman" w:cs="Times New Roman"/>
                <w:sz w:val="24"/>
                <w:szCs w:val="24"/>
              </w:rPr>
              <w:t> </w:t>
            </w:r>
            <w:r w:rsidRPr="00F53BC4">
              <w:rPr>
                <w:rFonts w:ascii="Times New Roman" w:hAnsi="Times New Roman" w:cs="Times New Roman"/>
                <w:sz w:val="24"/>
                <w:szCs w:val="24"/>
              </w:rPr>
              <w:t xml:space="preserve">388 4.pielikuma III daļa) </w:t>
            </w:r>
            <w:r w:rsidRPr="00F53BC4" w:rsidR="00374402">
              <w:rPr>
                <w:rFonts w:ascii="Times New Roman" w:hAnsi="Times New Roman" w:cs="Times New Roman"/>
                <w:sz w:val="24"/>
                <w:szCs w:val="24"/>
              </w:rPr>
              <w:t xml:space="preserve">atbilstoši </w:t>
            </w:r>
            <w:r w:rsidRPr="00F53BC4">
              <w:rPr>
                <w:rFonts w:ascii="Times New Roman" w:hAnsi="Times New Roman" w:cs="Times New Roman"/>
                <w:sz w:val="24"/>
                <w:szCs w:val="24"/>
              </w:rPr>
              <w:t>Eiropas Parlamenta un Padomes 2012.</w:t>
            </w:r>
            <w:r w:rsidRPr="00F53BC4" w:rsidR="0072313A">
              <w:rPr>
                <w:rFonts w:ascii="Times New Roman" w:hAnsi="Times New Roman" w:cs="Times New Roman"/>
                <w:sz w:val="24"/>
                <w:szCs w:val="24"/>
              </w:rPr>
              <w:t> </w:t>
            </w:r>
            <w:r w:rsidRPr="00F53BC4">
              <w:rPr>
                <w:rFonts w:ascii="Times New Roman" w:hAnsi="Times New Roman" w:cs="Times New Roman"/>
                <w:sz w:val="24"/>
                <w:szCs w:val="24"/>
              </w:rPr>
              <w:t>gada 4.</w:t>
            </w:r>
            <w:r w:rsidRPr="00F53BC4" w:rsidR="0072313A">
              <w:rPr>
                <w:rFonts w:ascii="Times New Roman" w:hAnsi="Times New Roman" w:cs="Times New Roman"/>
                <w:sz w:val="24"/>
                <w:szCs w:val="24"/>
              </w:rPr>
              <w:t> </w:t>
            </w:r>
            <w:r w:rsidRPr="00F53BC4">
              <w:rPr>
                <w:rFonts w:ascii="Times New Roman" w:hAnsi="Times New Roman" w:cs="Times New Roman"/>
                <w:sz w:val="24"/>
                <w:szCs w:val="24"/>
              </w:rPr>
              <w:t xml:space="preserve">jūlija </w:t>
            </w:r>
            <w:r w:rsidRPr="00F53BC4" w:rsidR="00374402">
              <w:rPr>
                <w:rFonts w:ascii="Times New Roman" w:hAnsi="Times New Roman" w:cs="Times New Roman"/>
                <w:sz w:val="24"/>
                <w:szCs w:val="24"/>
              </w:rPr>
              <w:t>Direktīvai 2012/19/ES par elektrisko un elektronisko iekārtu atkritumiem (turpmāk – direktīva 2012/19/ES) un Dabas resursu nodokļa likumam.</w:t>
            </w:r>
          </w:p>
          <w:p w:rsidR="00374402" w:rsidRPr="00F53BC4" w:rsidP="00374402" w14:paraId="4B3FC224" w14:textId="22AE8940">
            <w:pPr>
              <w:jc w:val="both"/>
              <w:rPr>
                <w:rFonts w:ascii="Times New Roman" w:hAnsi="Times New Roman" w:cs="Times New Roman"/>
                <w:sz w:val="24"/>
                <w:szCs w:val="24"/>
              </w:rPr>
            </w:pPr>
            <w:r w:rsidRPr="00F53BC4">
              <w:rPr>
                <w:rFonts w:ascii="Times New Roman" w:hAnsi="Times New Roman" w:cs="Times New Roman"/>
                <w:sz w:val="24"/>
                <w:szCs w:val="24"/>
              </w:rPr>
              <w:t>Dati par tirgū laisto, savākto, atkārtotai izmantošanai sagatavoto, pārstrādāto un reģenerēto atkritumu apjomu tiek izmantoti, lai noteiktu, vai iekārtu ražotāji un iekārtu apsaimniekotāji ir izpildījuši iekārtu atkritumu savākšanas, sagatavošanas atkārtotai izmantošanai, pārstrādes un reģenerācijas mērķus atbilstoši MK noteikumiem Nr.</w:t>
            </w:r>
            <w:r w:rsidRPr="00F53BC4" w:rsidR="0072313A">
              <w:rPr>
                <w:rFonts w:ascii="Times New Roman" w:hAnsi="Times New Roman" w:cs="Times New Roman"/>
                <w:sz w:val="24"/>
                <w:szCs w:val="24"/>
              </w:rPr>
              <w:t> </w:t>
            </w:r>
            <w:r w:rsidRPr="00F53BC4">
              <w:rPr>
                <w:rFonts w:ascii="Times New Roman" w:hAnsi="Times New Roman" w:cs="Times New Roman"/>
                <w:sz w:val="24"/>
                <w:szCs w:val="24"/>
              </w:rPr>
              <w:t>388 un</w:t>
            </w:r>
            <w:r w:rsidRPr="00F53BC4" w:rsidR="00265A7E">
              <w:rPr>
                <w:rFonts w:ascii="Times New Roman" w:hAnsi="Times New Roman" w:cs="Times New Roman"/>
                <w:sz w:val="24"/>
                <w:szCs w:val="24"/>
              </w:rPr>
              <w:t xml:space="preserve"> Ministru kabineta 2009.</w:t>
            </w:r>
            <w:r w:rsidRPr="00F53BC4" w:rsidR="0072313A">
              <w:rPr>
                <w:rFonts w:ascii="Times New Roman" w:hAnsi="Times New Roman" w:cs="Times New Roman"/>
                <w:sz w:val="24"/>
                <w:szCs w:val="24"/>
              </w:rPr>
              <w:t> </w:t>
            </w:r>
            <w:r w:rsidRPr="00F53BC4" w:rsidR="00265A7E">
              <w:rPr>
                <w:rFonts w:ascii="Times New Roman" w:hAnsi="Times New Roman" w:cs="Times New Roman"/>
                <w:sz w:val="24"/>
                <w:szCs w:val="24"/>
              </w:rPr>
              <w:t>gada 3.</w:t>
            </w:r>
            <w:r w:rsidRPr="00F53BC4" w:rsidR="0072313A">
              <w:rPr>
                <w:rFonts w:ascii="Times New Roman" w:hAnsi="Times New Roman" w:cs="Times New Roman"/>
                <w:sz w:val="24"/>
                <w:szCs w:val="24"/>
              </w:rPr>
              <w:t> </w:t>
            </w:r>
            <w:r w:rsidRPr="00F53BC4" w:rsidR="00265A7E">
              <w:rPr>
                <w:rFonts w:ascii="Times New Roman" w:hAnsi="Times New Roman" w:cs="Times New Roman"/>
                <w:sz w:val="24"/>
                <w:szCs w:val="24"/>
              </w:rPr>
              <w:t>novembra noteikumiem Nr.</w:t>
            </w:r>
            <w:r w:rsidRPr="00F53BC4" w:rsidR="0072313A">
              <w:rPr>
                <w:rFonts w:ascii="Times New Roman" w:hAnsi="Times New Roman" w:cs="Times New Roman"/>
                <w:sz w:val="24"/>
                <w:szCs w:val="24"/>
              </w:rPr>
              <w:t> </w:t>
            </w:r>
            <w:r w:rsidRPr="00F53BC4" w:rsidR="00265A7E">
              <w:rPr>
                <w:rFonts w:ascii="Times New Roman" w:hAnsi="Times New Roman" w:cs="Times New Roman"/>
                <w:sz w:val="24"/>
                <w:szCs w:val="24"/>
              </w:rPr>
              <w:t>1294 “Kārtība, kādā atbrīvo no dabas resursu nodokļa samaksas par videi kaitīgām precēm”</w:t>
            </w:r>
            <w:r w:rsidRPr="00F53BC4">
              <w:rPr>
                <w:rFonts w:ascii="Times New Roman" w:hAnsi="Times New Roman" w:cs="Times New Roman"/>
                <w:sz w:val="24"/>
                <w:szCs w:val="24"/>
              </w:rPr>
              <w:t xml:space="preserve">. Iekārtu kategoriju maiņa </w:t>
            </w:r>
            <w:r w:rsidRPr="00F53BC4" w:rsidR="00265A7E">
              <w:rPr>
                <w:rFonts w:ascii="Times New Roman" w:hAnsi="Times New Roman" w:cs="Times New Roman"/>
                <w:sz w:val="24"/>
                <w:szCs w:val="24"/>
              </w:rPr>
              <w:t xml:space="preserve">kalendārā </w:t>
            </w:r>
            <w:r w:rsidRPr="00F53BC4">
              <w:rPr>
                <w:rFonts w:ascii="Times New Roman" w:hAnsi="Times New Roman" w:cs="Times New Roman"/>
                <w:sz w:val="24"/>
                <w:szCs w:val="24"/>
              </w:rPr>
              <w:t>gada vidū padara minēto datu salīdzināšanu neiespējamu. Arī Eiropas Komisija Direktīvas 2012/19/ES ekspertu sanāksmē 2018.</w:t>
            </w:r>
            <w:r w:rsidRPr="00F53BC4" w:rsidR="0072313A">
              <w:rPr>
                <w:rFonts w:ascii="Times New Roman" w:hAnsi="Times New Roman" w:cs="Times New Roman"/>
                <w:sz w:val="24"/>
                <w:szCs w:val="24"/>
              </w:rPr>
              <w:t> </w:t>
            </w:r>
            <w:r w:rsidRPr="00F53BC4">
              <w:rPr>
                <w:rFonts w:ascii="Times New Roman" w:hAnsi="Times New Roman" w:cs="Times New Roman"/>
                <w:sz w:val="24"/>
                <w:szCs w:val="24"/>
              </w:rPr>
              <w:t>gada 30.</w:t>
            </w:r>
            <w:r w:rsidRPr="00F53BC4" w:rsidR="0072313A">
              <w:rPr>
                <w:rFonts w:ascii="Times New Roman" w:hAnsi="Times New Roman" w:cs="Times New Roman"/>
                <w:sz w:val="24"/>
                <w:szCs w:val="24"/>
              </w:rPr>
              <w:t> </w:t>
            </w:r>
            <w:r w:rsidRPr="00F53BC4">
              <w:rPr>
                <w:rFonts w:ascii="Times New Roman" w:hAnsi="Times New Roman" w:cs="Times New Roman"/>
                <w:sz w:val="24"/>
                <w:szCs w:val="24"/>
              </w:rPr>
              <w:t>janvārī ir norādījusi, ka dati par 2018.</w:t>
            </w:r>
            <w:r w:rsidRPr="00F53BC4" w:rsidR="0072313A">
              <w:rPr>
                <w:rFonts w:ascii="Times New Roman" w:hAnsi="Times New Roman" w:cs="Times New Roman"/>
                <w:sz w:val="24"/>
                <w:szCs w:val="24"/>
              </w:rPr>
              <w:t> </w:t>
            </w:r>
            <w:r w:rsidRPr="00F53BC4">
              <w:rPr>
                <w:rFonts w:ascii="Times New Roman" w:hAnsi="Times New Roman" w:cs="Times New Roman"/>
                <w:sz w:val="24"/>
                <w:szCs w:val="24"/>
              </w:rPr>
              <w:t>gadu būtu iegūstami, izmantojot iepriekšējo iekārtu kategoriju iedalījumu</w:t>
            </w:r>
            <w:r w:rsidRPr="00F53BC4" w:rsidR="00265A7E">
              <w:rPr>
                <w:rFonts w:ascii="Times New Roman" w:hAnsi="Times New Roman" w:cs="Times New Roman"/>
                <w:sz w:val="24"/>
                <w:szCs w:val="24"/>
              </w:rPr>
              <w:t xml:space="preserve"> (sk.</w:t>
            </w:r>
            <w:r w:rsidRPr="00F53BC4" w:rsidR="0072313A">
              <w:rPr>
                <w:rFonts w:ascii="Times New Roman" w:hAnsi="Times New Roman" w:cs="Times New Roman"/>
                <w:sz w:val="24"/>
                <w:szCs w:val="24"/>
              </w:rPr>
              <w:t xml:space="preserve"> </w:t>
            </w:r>
            <w:r w:rsidRPr="00F53BC4" w:rsidR="00265A7E">
              <w:rPr>
                <w:rFonts w:ascii="Times New Roman" w:hAnsi="Times New Roman" w:cs="Times New Roman"/>
                <w:sz w:val="24"/>
                <w:szCs w:val="24"/>
              </w:rPr>
              <w:t>ekspertu sanāksmes protokola II.</w:t>
            </w:r>
            <w:r w:rsidRPr="00F53BC4" w:rsidR="0072313A">
              <w:rPr>
                <w:rFonts w:ascii="Times New Roman" w:hAnsi="Times New Roman" w:cs="Times New Roman"/>
                <w:sz w:val="24"/>
                <w:szCs w:val="24"/>
              </w:rPr>
              <w:t> </w:t>
            </w:r>
            <w:r w:rsidRPr="00F53BC4" w:rsidR="00265A7E">
              <w:rPr>
                <w:rFonts w:ascii="Times New Roman" w:hAnsi="Times New Roman" w:cs="Times New Roman"/>
                <w:sz w:val="24"/>
                <w:szCs w:val="24"/>
              </w:rPr>
              <w:t>punkta otrajā ievilkumā sniegto informāciju</w:t>
            </w:r>
            <w:r>
              <w:rPr>
                <w:rStyle w:val="FootnoteReference"/>
                <w:rFonts w:ascii="Times New Roman" w:hAnsi="Times New Roman" w:cs="Times New Roman"/>
                <w:sz w:val="24"/>
                <w:szCs w:val="24"/>
              </w:rPr>
              <w:footnoteReference w:id="3"/>
            </w:r>
            <w:r w:rsidRPr="00F53BC4" w:rsidR="000C7A62">
              <w:rPr>
                <w:rFonts w:ascii="Times New Roman" w:hAnsi="Times New Roman" w:cs="Times New Roman"/>
                <w:sz w:val="24"/>
                <w:szCs w:val="24"/>
              </w:rPr>
              <w:t>).</w:t>
            </w:r>
          </w:p>
          <w:p w:rsidR="00824887" w:rsidRPr="00F53BC4" w:rsidP="00265A7E" w14:paraId="6807BA4D" w14:textId="78EEB064">
            <w:pPr>
              <w:jc w:val="both"/>
            </w:pPr>
            <w:r w:rsidRPr="00F53BC4">
              <w:rPr>
                <w:rFonts w:ascii="Times New Roman" w:hAnsi="Times New Roman" w:cs="Times New Roman"/>
                <w:sz w:val="24"/>
                <w:szCs w:val="24"/>
              </w:rPr>
              <w:t>2) Direktīvas 2012/19/ES III pielikuma 4.</w:t>
            </w:r>
            <w:r w:rsidRPr="00F53BC4" w:rsidR="0072313A">
              <w:rPr>
                <w:rFonts w:ascii="Times New Roman" w:hAnsi="Times New Roman" w:cs="Times New Roman"/>
                <w:sz w:val="24"/>
                <w:szCs w:val="24"/>
              </w:rPr>
              <w:t> </w:t>
            </w:r>
            <w:r w:rsidRPr="00F53BC4">
              <w:rPr>
                <w:rFonts w:ascii="Times New Roman" w:hAnsi="Times New Roman" w:cs="Times New Roman"/>
                <w:sz w:val="24"/>
                <w:szCs w:val="24"/>
              </w:rPr>
              <w:t xml:space="preserve">punkts ir nepareizi pārtulkots latviešu valodā, nosakot, ka liela izmēra iekārtām visi ārējie izmēri </w:t>
            </w:r>
            <w:r w:rsidRPr="00F53BC4">
              <w:rPr>
                <w:rFonts w:ascii="Times New Roman" w:hAnsi="Times New Roman" w:cs="Times New Roman"/>
                <w:sz w:val="24"/>
                <w:szCs w:val="24"/>
              </w:rPr>
              <w:t>pārsniedz 50 cm.</w:t>
            </w:r>
            <w:r w:rsidRPr="00F53BC4" w:rsidR="00265A7E">
              <w:rPr>
                <w:rFonts w:ascii="Times New Roman" w:hAnsi="Times New Roman" w:cs="Times New Roman"/>
                <w:sz w:val="24"/>
                <w:szCs w:val="24"/>
              </w:rPr>
              <w:t xml:space="preserve"> </w:t>
            </w:r>
            <w:r w:rsidR="00181262">
              <w:rPr>
                <w:rFonts w:ascii="Times New Roman" w:hAnsi="Times New Roman" w:cs="Times New Roman"/>
                <w:sz w:val="24"/>
                <w:szCs w:val="24"/>
              </w:rPr>
              <w:t>Tādējādi</w:t>
            </w:r>
            <w:r w:rsidRPr="00F53BC4" w:rsidR="00265A7E">
              <w:rPr>
                <w:rFonts w:ascii="Times New Roman" w:hAnsi="Times New Roman" w:cs="Times New Roman"/>
                <w:sz w:val="24"/>
                <w:szCs w:val="24"/>
              </w:rPr>
              <w:t xml:space="preserve"> rodas problēmas ar </w:t>
            </w:r>
            <w:r w:rsidRPr="00F53BC4" w:rsidR="000C7A62">
              <w:rPr>
                <w:rFonts w:ascii="Times New Roman" w:hAnsi="Times New Roman" w:cs="Times New Roman"/>
                <w:sz w:val="24"/>
                <w:szCs w:val="24"/>
              </w:rPr>
              <w:t xml:space="preserve">attiecīgās </w:t>
            </w:r>
            <w:r w:rsidRPr="00F53BC4" w:rsidR="00265A7E">
              <w:rPr>
                <w:rFonts w:ascii="Times New Roman" w:hAnsi="Times New Roman" w:cs="Times New Roman"/>
                <w:sz w:val="24"/>
                <w:szCs w:val="24"/>
              </w:rPr>
              <w:t xml:space="preserve">tiesību normas piemērošanu, tā kā minētais regulējums šobrīd attiecas tikai uz iekārtām, kuru visi ārējie izmēri pārsniedz </w:t>
            </w:r>
            <w:r w:rsidR="00181262">
              <w:rPr>
                <w:rFonts w:ascii="Times New Roman" w:hAnsi="Times New Roman" w:cs="Times New Roman"/>
                <w:sz w:val="24"/>
                <w:szCs w:val="24"/>
              </w:rPr>
              <w:t>50 cm. S</w:t>
            </w:r>
            <w:r w:rsidRPr="00F53BC4" w:rsidR="00265A7E">
              <w:rPr>
                <w:rFonts w:ascii="Times New Roman" w:hAnsi="Times New Roman" w:cs="Times New Roman"/>
                <w:sz w:val="24"/>
                <w:szCs w:val="24"/>
              </w:rPr>
              <w:t>avukārt Direktīvas 2012/19/ES III pielikuma 5.</w:t>
            </w:r>
            <w:r w:rsidRPr="00F53BC4" w:rsidR="00645390">
              <w:rPr>
                <w:rFonts w:ascii="Times New Roman" w:hAnsi="Times New Roman" w:cs="Times New Roman"/>
                <w:sz w:val="24"/>
                <w:szCs w:val="24"/>
              </w:rPr>
              <w:t> </w:t>
            </w:r>
            <w:r w:rsidRPr="00F53BC4" w:rsidR="00265A7E">
              <w:rPr>
                <w:rFonts w:ascii="Times New Roman" w:hAnsi="Times New Roman" w:cs="Times New Roman"/>
                <w:sz w:val="24"/>
                <w:szCs w:val="24"/>
              </w:rPr>
              <w:t>punkts attiecas uz iekārtām, kur neviens ārēj</w:t>
            </w:r>
            <w:r w:rsidR="00181262">
              <w:rPr>
                <w:rFonts w:ascii="Times New Roman" w:hAnsi="Times New Roman" w:cs="Times New Roman"/>
                <w:sz w:val="24"/>
                <w:szCs w:val="24"/>
              </w:rPr>
              <w:t>ais izmērs nepārsniedz 50 cm, līdz ar to</w:t>
            </w:r>
            <w:r w:rsidRPr="00F53BC4" w:rsidR="00265A7E">
              <w:rPr>
                <w:rFonts w:ascii="Times New Roman" w:hAnsi="Times New Roman" w:cs="Times New Roman"/>
                <w:sz w:val="24"/>
                <w:szCs w:val="24"/>
              </w:rPr>
              <w:t xml:space="preserve"> normatīvie akti neparedz regulējumu attiecībā uz iekārtām, kuru vismaz viens </w:t>
            </w:r>
            <w:r w:rsidRPr="00F53BC4" w:rsidR="000C7A62">
              <w:rPr>
                <w:rFonts w:ascii="Times New Roman" w:hAnsi="Times New Roman" w:cs="Times New Roman"/>
                <w:sz w:val="24"/>
                <w:szCs w:val="24"/>
              </w:rPr>
              <w:t xml:space="preserve">ārējais </w:t>
            </w:r>
            <w:r w:rsidRPr="00F53BC4" w:rsidR="00265A7E">
              <w:rPr>
                <w:rFonts w:ascii="Times New Roman" w:hAnsi="Times New Roman" w:cs="Times New Roman"/>
                <w:sz w:val="24"/>
                <w:szCs w:val="24"/>
              </w:rPr>
              <w:t>izmērs pārsniedz 50 cm. Vides aizsardzības un reģionālās attīstības ministrija</w:t>
            </w:r>
            <w:r w:rsidRPr="00F53BC4" w:rsidR="00160D04">
              <w:rPr>
                <w:rFonts w:ascii="Times New Roman" w:hAnsi="Times New Roman" w:cs="Times New Roman"/>
                <w:sz w:val="24"/>
                <w:szCs w:val="24"/>
              </w:rPr>
              <w:t xml:space="preserve"> (turpmāk – VARAM)</w:t>
            </w:r>
            <w:r w:rsidRPr="00F53BC4" w:rsidR="00265A7E">
              <w:rPr>
                <w:rFonts w:ascii="Times New Roman" w:hAnsi="Times New Roman" w:cs="Times New Roman"/>
                <w:sz w:val="24"/>
                <w:szCs w:val="24"/>
              </w:rPr>
              <w:t xml:space="preserve"> atbilstoši Ministru kabineta 2010.</w:t>
            </w:r>
            <w:r w:rsidRPr="00F53BC4" w:rsidR="00645390">
              <w:rPr>
                <w:rFonts w:ascii="Times New Roman" w:hAnsi="Times New Roman" w:cs="Times New Roman"/>
                <w:sz w:val="24"/>
                <w:szCs w:val="24"/>
              </w:rPr>
              <w:t> </w:t>
            </w:r>
            <w:r w:rsidRPr="00F53BC4" w:rsidR="00265A7E">
              <w:rPr>
                <w:rFonts w:ascii="Times New Roman" w:hAnsi="Times New Roman" w:cs="Times New Roman"/>
                <w:sz w:val="24"/>
                <w:szCs w:val="24"/>
              </w:rPr>
              <w:t>gada 21.</w:t>
            </w:r>
            <w:r w:rsidRPr="00F53BC4" w:rsidR="00645390">
              <w:rPr>
                <w:rFonts w:ascii="Times New Roman" w:hAnsi="Times New Roman" w:cs="Times New Roman"/>
                <w:sz w:val="24"/>
                <w:szCs w:val="24"/>
              </w:rPr>
              <w:t> </w:t>
            </w:r>
            <w:r w:rsidRPr="00F53BC4" w:rsidR="00265A7E">
              <w:rPr>
                <w:rFonts w:ascii="Times New Roman" w:hAnsi="Times New Roman" w:cs="Times New Roman"/>
                <w:sz w:val="24"/>
                <w:szCs w:val="24"/>
              </w:rPr>
              <w:t>septembra instrukcijas Nr.</w:t>
            </w:r>
            <w:r w:rsidRPr="00F53BC4" w:rsidR="00645390">
              <w:rPr>
                <w:rFonts w:ascii="Times New Roman" w:hAnsi="Times New Roman" w:cs="Times New Roman"/>
                <w:sz w:val="24"/>
                <w:szCs w:val="24"/>
              </w:rPr>
              <w:t> </w:t>
            </w:r>
            <w:r w:rsidRPr="00F53BC4" w:rsidR="00265A7E">
              <w:rPr>
                <w:rFonts w:ascii="Times New Roman" w:hAnsi="Times New Roman" w:cs="Times New Roman"/>
                <w:sz w:val="24"/>
                <w:szCs w:val="24"/>
              </w:rPr>
              <w:t>10 “Eiropas Savienības dokumentu tulkojumu izvērtēšanas, saskaņošanas un būtisku kļūdu labošanas kārtība” 8.punktam</w:t>
            </w:r>
            <w:r w:rsidRPr="00F53BC4" w:rsidR="00265A7E">
              <w:rPr>
                <w:sz w:val="24"/>
                <w:szCs w:val="24"/>
              </w:rPr>
              <w:t xml:space="preserve"> </w:t>
            </w:r>
            <w:r w:rsidRPr="00F53BC4" w:rsidR="00265A7E">
              <w:rPr>
                <w:rFonts w:ascii="Times New Roman" w:hAnsi="Times New Roman" w:cs="Times New Roman"/>
                <w:sz w:val="24"/>
                <w:szCs w:val="24"/>
              </w:rPr>
              <w:t>ir nosūtījusi Ārlietu ministrijai ar Valsts valod</w:t>
            </w:r>
            <w:r w:rsidRPr="00F53BC4" w:rsidR="00645390">
              <w:rPr>
                <w:rFonts w:ascii="Times New Roman" w:hAnsi="Times New Roman" w:cs="Times New Roman"/>
                <w:sz w:val="24"/>
                <w:szCs w:val="24"/>
              </w:rPr>
              <w:t>as</w:t>
            </w:r>
            <w:r w:rsidRPr="00F53BC4" w:rsidR="00265A7E">
              <w:rPr>
                <w:rFonts w:ascii="Times New Roman" w:hAnsi="Times New Roman" w:cs="Times New Roman"/>
                <w:sz w:val="24"/>
                <w:szCs w:val="24"/>
              </w:rPr>
              <w:t xml:space="preserve"> centru saskaņoto ierosinājumu tulkojuma labojumam</w:t>
            </w:r>
            <w:r w:rsidRPr="00F53BC4" w:rsidR="000C7A62">
              <w:rPr>
                <w:rFonts w:ascii="Times New Roman" w:hAnsi="Times New Roman" w:cs="Times New Roman"/>
                <w:sz w:val="24"/>
                <w:szCs w:val="24"/>
              </w:rPr>
              <w:t>, uzsverot, ka i</w:t>
            </w:r>
            <w:r w:rsidRPr="00F53BC4">
              <w:rPr>
                <w:rFonts w:ascii="Times New Roman" w:hAnsi="Times New Roman" w:cs="Times New Roman"/>
                <w:sz w:val="24"/>
                <w:szCs w:val="24"/>
              </w:rPr>
              <w:t>r nepieciešams noteikt, ka par lielām iekārtām uzskata iekārtas, kur vismaz viens ārējais izmērs pārsniedz 50 cm.</w:t>
            </w:r>
            <w:r w:rsidRPr="00F53BC4" w:rsidR="00265A7E">
              <w:t xml:space="preserve"> </w:t>
            </w:r>
          </w:p>
          <w:p w:rsidR="000F3AE4" w:rsidRPr="00F53BC4" w:rsidP="00265A7E" w14:paraId="0B830E9E" w14:textId="77777777">
            <w:pPr>
              <w:jc w:val="both"/>
              <w:rPr>
                <w:rFonts w:ascii="Times New Roman" w:hAnsi="Times New Roman" w:cs="Times New Roman"/>
                <w:sz w:val="24"/>
                <w:szCs w:val="24"/>
              </w:rPr>
            </w:pPr>
            <w:r w:rsidRPr="00F53BC4">
              <w:rPr>
                <w:rFonts w:ascii="Times New Roman" w:hAnsi="Times New Roman" w:cs="Times New Roman"/>
                <w:sz w:val="24"/>
                <w:szCs w:val="24"/>
              </w:rPr>
              <w:t>Lai novērstu konstatētās problēmas, nepieciešams MK noteikumos Nr.</w:t>
            </w:r>
            <w:r w:rsidRPr="00F53BC4" w:rsidR="00645390">
              <w:rPr>
                <w:rFonts w:ascii="Times New Roman" w:hAnsi="Times New Roman" w:cs="Times New Roman"/>
                <w:sz w:val="24"/>
                <w:szCs w:val="24"/>
              </w:rPr>
              <w:t> </w:t>
            </w:r>
            <w:r w:rsidRPr="00F53BC4">
              <w:rPr>
                <w:rFonts w:ascii="Times New Roman" w:hAnsi="Times New Roman" w:cs="Times New Roman"/>
                <w:sz w:val="24"/>
                <w:szCs w:val="24"/>
              </w:rPr>
              <w:t>388 izdarīt šādus grozījumus:</w:t>
            </w:r>
          </w:p>
          <w:p w:rsidR="000F3AE4" w:rsidRPr="00F53BC4" w:rsidP="00645390" w14:paraId="3DD4736E" w14:textId="77777777">
            <w:pPr>
              <w:pStyle w:val="ListParagraph"/>
              <w:numPr>
                <w:ilvl w:val="0"/>
                <w:numId w:val="3"/>
              </w:numPr>
              <w:tabs>
                <w:tab w:val="left" w:pos="317"/>
              </w:tabs>
              <w:ind w:left="0" w:firstLine="34"/>
              <w:jc w:val="both"/>
              <w:rPr>
                <w:rFonts w:ascii="Times New Roman" w:hAnsi="Times New Roman" w:cs="Times New Roman"/>
                <w:sz w:val="24"/>
                <w:szCs w:val="24"/>
              </w:rPr>
            </w:pPr>
            <w:r w:rsidRPr="00F53BC4">
              <w:rPr>
                <w:rFonts w:ascii="Times New Roman" w:hAnsi="Times New Roman" w:cs="Times New Roman"/>
                <w:sz w:val="24"/>
                <w:szCs w:val="24"/>
              </w:rPr>
              <w:t>noteikt, ka iekārtu ražotāji un iekārtu atkritumu apsaimniekotāji datus par 2018.</w:t>
            </w:r>
            <w:r w:rsidRPr="00F53BC4" w:rsidR="00645390">
              <w:rPr>
                <w:rFonts w:ascii="Times New Roman" w:hAnsi="Times New Roman" w:cs="Times New Roman"/>
                <w:sz w:val="24"/>
                <w:szCs w:val="24"/>
              </w:rPr>
              <w:t> </w:t>
            </w:r>
            <w:r w:rsidRPr="00F53BC4">
              <w:rPr>
                <w:rFonts w:ascii="Times New Roman" w:hAnsi="Times New Roman" w:cs="Times New Roman"/>
                <w:sz w:val="24"/>
                <w:szCs w:val="24"/>
              </w:rPr>
              <w:t xml:space="preserve">gada </w:t>
            </w:r>
            <w:r w:rsidRPr="00F53BC4" w:rsidR="00645390">
              <w:rPr>
                <w:rFonts w:ascii="Times New Roman" w:hAnsi="Times New Roman" w:cs="Times New Roman"/>
                <w:sz w:val="24"/>
                <w:szCs w:val="24"/>
              </w:rPr>
              <w:t xml:space="preserve">otro pusgadu sniedz atbilstoši </w:t>
            </w:r>
            <w:r w:rsidRPr="00F53BC4">
              <w:rPr>
                <w:rFonts w:ascii="Times New Roman" w:hAnsi="Times New Roman" w:cs="Times New Roman"/>
                <w:sz w:val="24"/>
                <w:szCs w:val="24"/>
              </w:rPr>
              <w:t>iekārtu kategorijām un noteiktajiem sagatavošanas atkārtotai izmantošanai, pārstrādes un reģenerācijas mērķiem, kas ir spēkā līdz 2018.</w:t>
            </w:r>
            <w:r w:rsidRPr="00F53BC4" w:rsidR="00645390">
              <w:rPr>
                <w:rFonts w:ascii="Times New Roman" w:hAnsi="Times New Roman" w:cs="Times New Roman"/>
                <w:sz w:val="24"/>
                <w:szCs w:val="24"/>
              </w:rPr>
              <w:t> </w:t>
            </w:r>
            <w:r w:rsidRPr="00F53BC4">
              <w:rPr>
                <w:rFonts w:ascii="Times New Roman" w:hAnsi="Times New Roman" w:cs="Times New Roman"/>
                <w:sz w:val="24"/>
                <w:szCs w:val="24"/>
              </w:rPr>
              <w:t>gada 30.</w:t>
            </w:r>
            <w:r w:rsidRPr="00F53BC4" w:rsidR="00645390">
              <w:rPr>
                <w:rFonts w:ascii="Times New Roman" w:hAnsi="Times New Roman" w:cs="Times New Roman"/>
                <w:sz w:val="24"/>
                <w:szCs w:val="24"/>
              </w:rPr>
              <w:t> </w:t>
            </w:r>
            <w:r w:rsidRPr="00F53BC4">
              <w:rPr>
                <w:rFonts w:ascii="Times New Roman" w:hAnsi="Times New Roman" w:cs="Times New Roman"/>
                <w:sz w:val="24"/>
                <w:szCs w:val="24"/>
              </w:rPr>
              <w:t xml:space="preserve">jūnijam. </w:t>
            </w:r>
          </w:p>
          <w:p w:rsidR="000F3AE4" w:rsidRPr="00F53BC4" w:rsidP="00645390" w14:paraId="1A5D0700" w14:textId="77777777">
            <w:pPr>
              <w:pStyle w:val="ListParagraph"/>
              <w:numPr>
                <w:ilvl w:val="0"/>
                <w:numId w:val="3"/>
              </w:numPr>
              <w:tabs>
                <w:tab w:val="left" w:pos="317"/>
              </w:tabs>
              <w:ind w:left="0" w:firstLine="0"/>
              <w:jc w:val="both"/>
              <w:rPr>
                <w:rFonts w:ascii="Times New Roman" w:hAnsi="Times New Roman" w:cs="Times New Roman"/>
                <w:sz w:val="24"/>
                <w:szCs w:val="24"/>
              </w:rPr>
            </w:pPr>
            <w:r w:rsidRPr="00F53BC4">
              <w:rPr>
                <w:rFonts w:ascii="Times New Roman" w:hAnsi="Times New Roman" w:cs="Times New Roman"/>
                <w:sz w:val="24"/>
                <w:szCs w:val="24"/>
              </w:rPr>
              <w:t>precizēt kritērijus liela izmēra iekārtām, nosakot, ka vismaz viens ārējais izmērs pārsniedz 50 cm.</w:t>
            </w:r>
          </w:p>
        </w:tc>
      </w:tr>
      <w:tr w14:paraId="575DD0AB" w14:textId="77777777" w:rsidTr="003F4AF0">
        <w:tblPrEx>
          <w:tblW w:w="0" w:type="auto"/>
          <w:tblLayout w:type="fixed"/>
          <w:tblLook w:val="04A0"/>
        </w:tblPrEx>
        <w:tc>
          <w:tcPr>
            <w:tcW w:w="396" w:type="dxa"/>
          </w:tcPr>
          <w:p w:rsidR="00824887" w:rsidRPr="00F53BC4" w:rsidP="003F4AF0" w14:paraId="6B1C24A5"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3.</w:t>
            </w:r>
          </w:p>
        </w:tc>
        <w:tc>
          <w:tcPr>
            <w:tcW w:w="1697" w:type="dxa"/>
          </w:tcPr>
          <w:p w:rsidR="00824887" w:rsidRPr="00F53BC4" w:rsidP="003F4AF0" w14:paraId="31B6C8C0"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Projekta izstrādē iesaistītās institūcijas un publiskas personas kapitālsabiedrības</w:t>
            </w:r>
          </w:p>
        </w:tc>
        <w:tc>
          <w:tcPr>
            <w:tcW w:w="7194" w:type="dxa"/>
          </w:tcPr>
          <w:p w:rsidR="00824887" w:rsidRPr="00F53BC4" w:rsidP="00D110B1" w14:paraId="4C403C80" w14:textId="7D96B8F8">
            <w:pPr>
              <w:jc w:val="both"/>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Valsts vides dienest</w:t>
            </w:r>
            <w:r w:rsidRPr="00F53BC4" w:rsidR="00F53BC4">
              <w:rPr>
                <w:rFonts w:ascii="Times New Roman" w:eastAsia="Times New Roman" w:hAnsi="Times New Roman" w:cs="Times New Roman"/>
                <w:iCs/>
                <w:sz w:val="24"/>
                <w:szCs w:val="24"/>
                <w:lang w:eastAsia="lv-LV"/>
              </w:rPr>
              <w:t>s</w:t>
            </w:r>
            <w:r w:rsidRPr="00F53BC4">
              <w:rPr>
                <w:rFonts w:ascii="Times New Roman" w:eastAsia="Times New Roman" w:hAnsi="Times New Roman" w:cs="Times New Roman"/>
                <w:iCs/>
                <w:sz w:val="24"/>
                <w:szCs w:val="24"/>
                <w:lang w:eastAsia="lv-LV"/>
              </w:rPr>
              <w:t xml:space="preserve"> (turpmāk – </w:t>
            </w:r>
            <w:r w:rsidRPr="00F53BC4" w:rsidR="00374402">
              <w:rPr>
                <w:rFonts w:ascii="Times New Roman" w:eastAsia="Times New Roman" w:hAnsi="Times New Roman" w:cs="Times New Roman"/>
                <w:iCs/>
                <w:sz w:val="24"/>
                <w:szCs w:val="24"/>
                <w:lang w:eastAsia="lv-LV"/>
              </w:rPr>
              <w:t>V</w:t>
            </w:r>
            <w:r w:rsidRPr="00F53BC4" w:rsidR="00D80CE1">
              <w:rPr>
                <w:rFonts w:ascii="Times New Roman" w:eastAsia="Times New Roman" w:hAnsi="Times New Roman" w:cs="Times New Roman"/>
                <w:iCs/>
                <w:sz w:val="24"/>
                <w:szCs w:val="24"/>
                <w:lang w:eastAsia="lv-LV"/>
              </w:rPr>
              <w:t>VD</w:t>
            </w:r>
            <w:r w:rsidRPr="00F53BC4">
              <w:rPr>
                <w:rFonts w:ascii="Times New Roman" w:eastAsia="Times New Roman" w:hAnsi="Times New Roman" w:cs="Times New Roman"/>
                <w:iCs/>
                <w:sz w:val="24"/>
                <w:szCs w:val="24"/>
                <w:lang w:eastAsia="lv-LV"/>
              </w:rPr>
              <w:t>)</w:t>
            </w:r>
            <w:r w:rsidRPr="00F53BC4" w:rsidR="00374402">
              <w:rPr>
                <w:rFonts w:ascii="Times New Roman" w:eastAsia="Times New Roman" w:hAnsi="Times New Roman" w:cs="Times New Roman"/>
                <w:iCs/>
                <w:sz w:val="24"/>
                <w:szCs w:val="24"/>
                <w:lang w:eastAsia="lv-LV"/>
              </w:rPr>
              <w:t>, Latvijas Elektrotehnikas un elektronikas rūpniecības asociācija</w:t>
            </w:r>
            <w:r w:rsidRPr="00F53BC4" w:rsidR="004C734B">
              <w:rPr>
                <w:rFonts w:ascii="Times New Roman" w:eastAsia="Times New Roman" w:hAnsi="Times New Roman" w:cs="Times New Roman"/>
                <w:iCs/>
                <w:sz w:val="24"/>
                <w:szCs w:val="24"/>
                <w:lang w:eastAsia="lv-LV"/>
              </w:rPr>
              <w:t>.</w:t>
            </w:r>
          </w:p>
        </w:tc>
      </w:tr>
      <w:tr w14:paraId="4DF471A5" w14:textId="77777777" w:rsidTr="003F4AF0">
        <w:tblPrEx>
          <w:tblW w:w="0" w:type="auto"/>
          <w:tblLayout w:type="fixed"/>
          <w:tblLook w:val="04A0"/>
        </w:tblPrEx>
        <w:tc>
          <w:tcPr>
            <w:tcW w:w="396" w:type="dxa"/>
          </w:tcPr>
          <w:p w:rsidR="00824887" w:rsidRPr="00F53BC4" w:rsidP="003F4AF0" w14:paraId="451B059D"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4.</w:t>
            </w:r>
          </w:p>
        </w:tc>
        <w:tc>
          <w:tcPr>
            <w:tcW w:w="1697" w:type="dxa"/>
          </w:tcPr>
          <w:p w:rsidR="00824887" w:rsidRPr="00F53BC4" w:rsidP="003F4AF0" w14:paraId="38B33B8A"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Cita informācija</w:t>
            </w:r>
          </w:p>
        </w:tc>
        <w:tc>
          <w:tcPr>
            <w:tcW w:w="7194" w:type="dxa"/>
          </w:tcPr>
          <w:p w:rsidR="00824887" w:rsidRPr="00F53BC4" w:rsidP="003F4AF0" w14:paraId="4EFFFF5D"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Nav.</w:t>
            </w:r>
          </w:p>
        </w:tc>
      </w:tr>
    </w:tbl>
    <w:p w:rsidR="00824887" w:rsidRPr="00F53BC4" w:rsidP="00824887" w14:paraId="35B89F22" w14:textId="77777777">
      <w:pPr>
        <w:spacing w:after="0" w:line="240" w:lineRule="auto"/>
        <w:rPr>
          <w:rFonts w:ascii="Times New Roman" w:eastAsia="Times New Roman" w:hAnsi="Times New Roman" w:cs="Times New Roman"/>
          <w:iCs/>
          <w:color w:val="414142"/>
          <w:sz w:val="24"/>
          <w:szCs w:val="24"/>
          <w:lang w:eastAsia="lv-LV"/>
        </w:rPr>
      </w:pPr>
    </w:p>
    <w:p w:rsidR="00824887" w:rsidRPr="00F53BC4" w:rsidP="00824887" w14:paraId="06BDAD2D" w14:textId="7777777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tblPr>
      <w:tblGrid>
        <w:gridCol w:w="396"/>
        <w:gridCol w:w="1736"/>
        <w:gridCol w:w="7155"/>
      </w:tblGrid>
      <w:tr w14:paraId="3CADBB0C" w14:textId="77777777" w:rsidTr="003F4AF0">
        <w:tblPrEx>
          <w:tblW w:w="0" w:type="auto"/>
          <w:tblLook w:val="04A0"/>
        </w:tblPrEx>
        <w:tc>
          <w:tcPr>
            <w:tcW w:w="9287" w:type="dxa"/>
            <w:gridSpan w:val="3"/>
          </w:tcPr>
          <w:p w:rsidR="00824887" w:rsidRPr="00F53BC4" w:rsidP="002A5E0D" w14:paraId="35A95850" w14:textId="77777777">
            <w:pPr>
              <w:jc w:val="cente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7A7003DF" w14:textId="77777777" w:rsidTr="003F4AF0">
        <w:tblPrEx>
          <w:tblW w:w="0" w:type="auto"/>
          <w:tblLook w:val="04A0"/>
        </w:tblPrEx>
        <w:tc>
          <w:tcPr>
            <w:tcW w:w="396" w:type="dxa"/>
          </w:tcPr>
          <w:p w:rsidR="00824887" w:rsidRPr="00F53BC4" w:rsidP="003F4AF0" w14:paraId="6FED87DC"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1.</w:t>
            </w:r>
          </w:p>
        </w:tc>
        <w:tc>
          <w:tcPr>
            <w:tcW w:w="1736" w:type="dxa"/>
          </w:tcPr>
          <w:p w:rsidR="00824887" w:rsidRPr="00F53BC4" w:rsidP="003F4AF0" w14:paraId="0681EE39"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Sabiedrības mērķgrupas, kuras tiesiskais regulējums ietekmē vai varētu ietekmēt</w:t>
            </w:r>
          </w:p>
        </w:tc>
        <w:tc>
          <w:tcPr>
            <w:tcW w:w="7155" w:type="dxa"/>
          </w:tcPr>
          <w:p w:rsidR="00824887" w:rsidRPr="00F53BC4" w:rsidP="000F3AE4" w14:paraId="419CB861" w14:textId="77777777">
            <w:pPr>
              <w:pStyle w:val="naiskr"/>
              <w:spacing w:before="0" w:after="0"/>
              <w:ind w:left="72" w:right="72" w:firstLine="82"/>
              <w:jc w:val="both"/>
            </w:pPr>
            <w:r w:rsidRPr="00F53BC4">
              <w:t>Noteikumu projekts attiecas</w:t>
            </w:r>
            <w:r w:rsidRPr="00F53BC4" w:rsidR="000F3AE4">
              <w:t xml:space="preserve"> uz</w:t>
            </w:r>
            <w:r w:rsidRPr="00F53BC4">
              <w:t>:</w:t>
            </w:r>
          </w:p>
          <w:p w:rsidR="000F3AE4" w:rsidRPr="00F53BC4" w:rsidP="000F3AE4" w14:paraId="345A3981" w14:textId="77777777">
            <w:pPr>
              <w:pStyle w:val="ListParagraph"/>
              <w:numPr>
                <w:ilvl w:val="0"/>
                <w:numId w:val="4"/>
              </w:numPr>
              <w:ind w:left="376"/>
              <w:jc w:val="both"/>
              <w:rPr>
                <w:rFonts w:ascii="Times New Roman" w:eastAsia="Times New Roman" w:hAnsi="Times New Roman"/>
                <w:sz w:val="24"/>
                <w:szCs w:val="24"/>
                <w:lang w:eastAsia="lv-LV"/>
              </w:rPr>
            </w:pPr>
            <w:r w:rsidRPr="00F53BC4">
              <w:rPr>
                <w:rFonts w:ascii="Times New Roman" w:eastAsia="Times New Roman" w:hAnsi="Times New Roman"/>
                <w:sz w:val="24"/>
                <w:szCs w:val="24"/>
                <w:lang w:eastAsia="lv-LV"/>
              </w:rPr>
              <w:t>1258</w:t>
            </w:r>
            <w:r w:rsidRPr="00F53BC4">
              <w:rPr>
                <w:rFonts w:ascii="Times New Roman" w:eastAsia="Times New Roman" w:hAnsi="Times New Roman"/>
                <w:sz w:val="24"/>
                <w:szCs w:val="24"/>
                <w:lang w:eastAsia="lv-LV"/>
              </w:rPr>
              <w:t xml:space="preserve"> elektrisko un elektronisko iekārtu ražotāji</w:t>
            </w:r>
            <w:r w:rsidRPr="00F53BC4" w:rsidR="00582A11">
              <w:rPr>
                <w:rFonts w:ascii="Times New Roman" w:eastAsia="Times New Roman" w:hAnsi="Times New Roman"/>
                <w:sz w:val="24"/>
                <w:szCs w:val="24"/>
                <w:lang w:eastAsia="lv-LV"/>
              </w:rPr>
              <w:t>em</w:t>
            </w:r>
            <w:r w:rsidRPr="00F53BC4">
              <w:rPr>
                <w:rFonts w:ascii="Times New Roman" w:eastAsia="Times New Roman" w:hAnsi="Times New Roman"/>
                <w:sz w:val="24"/>
                <w:szCs w:val="24"/>
                <w:lang w:eastAsia="lv-LV"/>
              </w:rPr>
              <w:t>;</w:t>
            </w:r>
          </w:p>
          <w:p w:rsidR="00824887" w:rsidRPr="00F53BC4" w:rsidP="000F3AE4" w14:paraId="045CE2A8" w14:textId="77777777">
            <w:pPr>
              <w:pStyle w:val="ListParagraph"/>
              <w:numPr>
                <w:ilvl w:val="0"/>
                <w:numId w:val="4"/>
              </w:numPr>
              <w:ind w:left="376"/>
              <w:jc w:val="both"/>
              <w:rPr>
                <w:rFonts w:ascii="Times New Roman" w:eastAsia="Times New Roman" w:hAnsi="Times New Roman"/>
                <w:sz w:val="24"/>
                <w:szCs w:val="24"/>
                <w:lang w:eastAsia="lv-LV"/>
              </w:rPr>
            </w:pPr>
            <w:r w:rsidRPr="00F53BC4">
              <w:rPr>
                <w:rFonts w:ascii="Times New Roman" w:eastAsia="Times New Roman" w:hAnsi="Times New Roman"/>
                <w:sz w:val="24"/>
                <w:szCs w:val="24"/>
                <w:lang w:eastAsia="lv-LV"/>
              </w:rPr>
              <w:t>4 videi kaitīgo preču atkritumu apsaimniekotāji</w:t>
            </w:r>
            <w:r w:rsidRPr="00F53BC4" w:rsidR="000C7A62">
              <w:rPr>
                <w:rFonts w:ascii="Times New Roman" w:eastAsia="Times New Roman" w:hAnsi="Times New Roman"/>
                <w:sz w:val="24"/>
                <w:szCs w:val="24"/>
                <w:lang w:eastAsia="lv-LV"/>
              </w:rPr>
              <w:t>em</w:t>
            </w:r>
            <w:r w:rsidRPr="00F53BC4">
              <w:rPr>
                <w:rFonts w:ascii="Times New Roman" w:eastAsia="Times New Roman" w:hAnsi="Times New Roman"/>
                <w:sz w:val="24"/>
                <w:szCs w:val="24"/>
                <w:lang w:eastAsia="lv-LV"/>
              </w:rPr>
              <w:t>, kam ir tiesības saviem līgumpartneriem piešķirt atbrīvojumu no dabas resursu nodokļa samaksas par iekārtām</w:t>
            </w:r>
            <w:r>
              <w:rPr>
                <w:rStyle w:val="FootnoteReference"/>
                <w:rFonts w:ascii="Times New Roman" w:eastAsia="Times New Roman" w:hAnsi="Times New Roman"/>
                <w:sz w:val="24"/>
                <w:szCs w:val="24"/>
                <w:lang w:eastAsia="lv-LV"/>
              </w:rPr>
              <w:footnoteReference w:id="4"/>
            </w:r>
            <w:r w:rsidRPr="00F53BC4">
              <w:rPr>
                <w:rFonts w:ascii="Times New Roman" w:eastAsia="Times New Roman" w:hAnsi="Times New Roman"/>
                <w:sz w:val="24"/>
                <w:szCs w:val="24"/>
                <w:lang w:eastAsia="lv-LV"/>
              </w:rPr>
              <w:t>.</w:t>
            </w:r>
          </w:p>
        </w:tc>
      </w:tr>
      <w:tr w14:paraId="7C6F1302" w14:textId="77777777" w:rsidTr="003F4AF0">
        <w:tblPrEx>
          <w:tblW w:w="0" w:type="auto"/>
          <w:tblLook w:val="04A0"/>
        </w:tblPrEx>
        <w:tc>
          <w:tcPr>
            <w:tcW w:w="396" w:type="dxa"/>
          </w:tcPr>
          <w:p w:rsidR="00824887" w:rsidRPr="00F53BC4" w:rsidP="003F4AF0" w14:paraId="36516EBC"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2.</w:t>
            </w:r>
          </w:p>
        </w:tc>
        <w:tc>
          <w:tcPr>
            <w:tcW w:w="1736" w:type="dxa"/>
          </w:tcPr>
          <w:p w:rsidR="00824887" w:rsidRPr="00F53BC4" w:rsidP="003F4AF0" w14:paraId="6D11EB59"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 xml:space="preserve">Tiesiskā regulējuma ietekme uz tautsaimniecību un </w:t>
            </w:r>
            <w:r w:rsidRPr="00F53BC4">
              <w:rPr>
                <w:rFonts w:ascii="Times New Roman" w:eastAsia="Times New Roman" w:hAnsi="Times New Roman" w:cs="Times New Roman"/>
                <w:iCs/>
                <w:sz w:val="24"/>
                <w:szCs w:val="24"/>
                <w:lang w:eastAsia="lv-LV"/>
              </w:rPr>
              <w:t>administratīvo slogu</w:t>
            </w:r>
          </w:p>
        </w:tc>
        <w:tc>
          <w:tcPr>
            <w:tcW w:w="7155" w:type="dxa"/>
          </w:tcPr>
          <w:p w:rsidR="000F3AE4" w:rsidRPr="00F53BC4" w:rsidP="000F3AE4" w14:paraId="637EB95B" w14:textId="77777777">
            <w:pPr>
              <w:pStyle w:val="ListParagraph"/>
              <w:ind w:left="0"/>
              <w:jc w:val="both"/>
              <w:rPr>
                <w:rFonts w:ascii="Times New Roman" w:hAnsi="Times New Roman" w:cs="Times New Roman"/>
                <w:sz w:val="24"/>
                <w:szCs w:val="24"/>
              </w:rPr>
            </w:pPr>
            <w:r w:rsidRPr="00F53BC4">
              <w:rPr>
                <w:rFonts w:ascii="Times New Roman" w:hAnsi="Times New Roman" w:cs="Times New Roman"/>
                <w:sz w:val="24"/>
                <w:szCs w:val="24"/>
              </w:rPr>
              <w:t>Noteikumu projekts paredz, ka noteikt, ka iekārtu ražotāji un iekārtu atkritumu apsaimniekotāji datus par 2018.</w:t>
            </w:r>
            <w:r w:rsidRPr="00F53BC4" w:rsidR="00645390">
              <w:rPr>
                <w:rFonts w:ascii="Times New Roman" w:hAnsi="Times New Roman" w:cs="Times New Roman"/>
                <w:sz w:val="24"/>
                <w:szCs w:val="24"/>
              </w:rPr>
              <w:t> </w:t>
            </w:r>
            <w:r w:rsidRPr="00F53BC4">
              <w:rPr>
                <w:rFonts w:ascii="Times New Roman" w:hAnsi="Times New Roman" w:cs="Times New Roman"/>
                <w:sz w:val="24"/>
                <w:szCs w:val="24"/>
              </w:rPr>
              <w:t>gada otro pusgadu sniedz atbilstoši iekārtu kategorijām un noteiktajiem sagatavošanas atkārtotai izmantošanai, pārstrādes un reģenerācijas mērķiem, kas ir spēkā līdz 2018.</w:t>
            </w:r>
            <w:r w:rsidRPr="00F53BC4" w:rsidR="00645390">
              <w:rPr>
                <w:rFonts w:ascii="Times New Roman" w:hAnsi="Times New Roman" w:cs="Times New Roman"/>
                <w:sz w:val="24"/>
                <w:szCs w:val="24"/>
              </w:rPr>
              <w:t> </w:t>
            </w:r>
            <w:r w:rsidRPr="00F53BC4">
              <w:rPr>
                <w:rFonts w:ascii="Times New Roman" w:hAnsi="Times New Roman" w:cs="Times New Roman"/>
                <w:sz w:val="24"/>
                <w:szCs w:val="24"/>
              </w:rPr>
              <w:t>gada 30.</w:t>
            </w:r>
            <w:r w:rsidRPr="00F53BC4" w:rsidR="00645390">
              <w:rPr>
                <w:rFonts w:ascii="Times New Roman" w:hAnsi="Times New Roman" w:cs="Times New Roman"/>
                <w:sz w:val="24"/>
                <w:szCs w:val="24"/>
              </w:rPr>
              <w:t> </w:t>
            </w:r>
            <w:r w:rsidRPr="00F53BC4">
              <w:rPr>
                <w:rFonts w:ascii="Times New Roman" w:hAnsi="Times New Roman" w:cs="Times New Roman"/>
                <w:sz w:val="24"/>
                <w:szCs w:val="24"/>
              </w:rPr>
              <w:t>jūnijam. Tiek precizēti kritēriji lielām iekārtām.</w:t>
            </w:r>
          </w:p>
          <w:p w:rsidR="00824887" w:rsidRPr="00F53BC4" w:rsidP="003F4AF0" w14:paraId="0F99B400" w14:textId="77777777">
            <w:pPr>
              <w:pStyle w:val="tv213"/>
            </w:pPr>
            <w:r w:rsidRPr="00F53BC4">
              <w:t xml:space="preserve">Noteikumu projektam nav ietekmes uz maziem, vidējiem uzņēmumiem, mikrouzņēmumiem un jaunuzņēmumiem. </w:t>
            </w:r>
          </w:p>
          <w:p w:rsidR="00824887" w:rsidRPr="00F53BC4" w:rsidP="003F4AF0" w14:paraId="169B129C" w14:textId="77777777">
            <w:pPr>
              <w:pStyle w:val="tv213"/>
              <w:jc w:val="both"/>
            </w:pPr>
            <w:r w:rsidRPr="00F53BC4">
              <w:t>Noteikumu projektam nav ietekmes uz Nacionālā attīstības plāna rādītājiem mikrolīmenī vai makrolīmenī.</w:t>
            </w:r>
          </w:p>
          <w:p w:rsidR="00824887" w:rsidRPr="00F53BC4" w:rsidP="003F4AF0" w14:paraId="56259D66" w14:textId="77777777">
            <w:pPr>
              <w:pStyle w:val="tv213"/>
              <w:jc w:val="both"/>
            </w:pPr>
            <w:r w:rsidRPr="00F53BC4">
              <w:t>Noteikumu projektam nav ietekmes uz konkurenci.</w:t>
            </w:r>
          </w:p>
          <w:p w:rsidR="00824887" w:rsidRPr="00F53BC4" w:rsidP="003F4AF0" w14:paraId="7C142AC4" w14:textId="77777777">
            <w:pPr>
              <w:pStyle w:val="tv213"/>
              <w:jc w:val="both"/>
            </w:pPr>
            <w:r w:rsidRPr="00F53BC4">
              <w:t>Noteikumu projekta ietekme uz vidi vērtējama pozitīvi, tā kā</w:t>
            </w:r>
            <w:r w:rsidRPr="00F53BC4" w:rsidR="000F3AE4">
              <w:t xml:space="preserve"> uzlabosies iekārtu un to atkritumu uzskaite</w:t>
            </w:r>
            <w:r w:rsidRPr="00F53BC4">
              <w:t>.</w:t>
            </w:r>
          </w:p>
          <w:p w:rsidR="00824887" w:rsidRPr="00F53BC4" w:rsidP="003F4AF0" w14:paraId="2CB9A3CE" w14:textId="77777777">
            <w:pPr>
              <w:pStyle w:val="tv213"/>
              <w:jc w:val="both"/>
            </w:pPr>
            <w:r w:rsidRPr="00F53BC4">
              <w:t xml:space="preserve">Noteikumu projektam nav ietekmes uz </w:t>
            </w:r>
            <w:r w:rsidRPr="00F53BC4">
              <w:t xml:space="preserve">cilvēku veselību. </w:t>
            </w:r>
          </w:p>
          <w:p w:rsidR="00824887" w:rsidRPr="00F53BC4" w:rsidP="003F4AF0" w14:paraId="68CDE063" w14:textId="77777777">
            <w:pPr>
              <w:pStyle w:val="tv213"/>
            </w:pPr>
            <w:r w:rsidRPr="00F53BC4">
              <w:t xml:space="preserve">Noteikumu projektam nav ietekmes uz nevalstiskajām organizācijām. </w:t>
            </w:r>
          </w:p>
          <w:p w:rsidR="00824887" w:rsidRPr="00F53BC4" w:rsidP="00582A11" w14:paraId="3D262BE7" w14:textId="77777777">
            <w:pPr>
              <w:jc w:val="both"/>
              <w:rPr>
                <w:rFonts w:ascii="Times New Roman" w:eastAsia="Times New Roman" w:hAnsi="Times New Roman" w:cs="Times New Roman"/>
                <w:sz w:val="24"/>
                <w:szCs w:val="24"/>
                <w:lang w:eastAsia="lv-LV"/>
              </w:rPr>
            </w:pPr>
            <w:r w:rsidRPr="00F53BC4">
              <w:rPr>
                <w:rFonts w:ascii="Times New Roman" w:hAnsi="Times New Roman" w:cs="Times New Roman"/>
                <w:sz w:val="24"/>
              </w:rPr>
              <w:t xml:space="preserve">Noteikumu projekts </w:t>
            </w:r>
            <w:r w:rsidRPr="00F53BC4" w:rsidR="000F3AE4">
              <w:rPr>
                <w:rFonts w:ascii="Times New Roman" w:hAnsi="Times New Roman" w:cs="Times New Roman"/>
                <w:sz w:val="24"/>
              </w:rPr>
              <w:t>ne</w:t>
            </w:r>
            <w:r w:rsidRPr="00F53BC4">
              <w:rPr>
                <w:rFonts w:ascii="Times New Roman" w:hAnsi="Times New Roman" w:cs="Times New Roman"/>
                <w:sz w:val="24"/>
              </w:rPr>
              <w:t>palielina administratīvo slogu,</w:t>
            </w:r>
            <w:r w:rsidRPr="00F53BC4" w:rsidR="000F3AE4">
              <w:rPr>
                <w:rFonts w:ascii="Times New Roman" w:hAnsi="Times New Roman" w:cs="Times New Roman"/>
                <w:sz w:val="24"/>
              </w:rPr>
              <w:t xml:space="preserve"> jo visu 2018.</w:t>
            </w:r>
            <w:r w:rsidRPr="00F53BC4" w:rsidR="009C780B">
              <w:rPr>
                <w:rFonts w:ascii="Times New Roman" w:hAnsi="Times New Roman" w:cs="Times New Roman"/>
                <w:sz w:val="24"/>
              </w:rPr>
              <w:t> </w:t>
            </w:r>
            <w:r w:rsidRPr="00F53BC4" w:rsidR="000F3AE4">
              <w:rPr>
                <w:rFonts w:ascii="Times New Roman" w:hAnsi="Times New Roman" w:cs="Times New Roman"/>
                <w:sz w:val="24"/>
              </w:rPr>
              <w:t>gadu tiks saglabāta pastāvošā iekārtu uzskaites sistēma, vienlaikus dodot iespēju iekārtu ražotājiem un iekārtu atkritumu apsaimniekotājiem veikt nepieciešamos pasākumus pā</w:t>
            </w:r>
            <w:r w:rsidRPr="00F53BC4" w:rsidR="009C780B">
              <w:rPr>
                <w:rFonts w:ascii="Times New Roman" w:hAnsi="Times New Roman" w:cs="Times New Roman"/>
                <w:sz w:val="24"/>
              </w:rPr>
              <w:t xml:space="preserve">rejai uz iekārtu klasifikāciju </w:t>
            </w:r>
            <w:r w:rsidRPr="00F53BC4" w:rsidR="000F3AE4">
              <w:rPr>
                <w:rFonts w:ascii="Times New Roman" w:hAnsi="Times New Roman" w:cs="Times New Roman"/>
                <w:sz w:val="24"/>
              </w:rPr>
              <w:t>atbilstoši MK noteikumu Nr.</w:t>
            </w:r>
            <w:r w:rsidRPr="00F53BC4" w:rsidR="009C780B">
              <w:rPr>
                <w:rFonts w:ascii="Times New Roman" w:hAnsi="Times New Roman" w:cs="Times New Roman"/>
                <w:sz w:val="24"/>
              </w:rPr>
              <w:t> </w:t>
            </w:r>
            <w:r w:rsidRPr="00F53BC4" w:rsidR="000F3AE4">
              <w:rPr>
                <w:rFonts w:ascii="Times New Roman" w:hAnsi="Times New Roman" w:cs="Times New Roman"/>
                <w:sz w:val="24"/>
              </w:rPr>
              <w:t>388 4.</w:t>
            </w:r>
            <w:r w:rsidRPr="00F53BC4" w:rsidR="009C780B">
              <w:rPr>
                <w:rFonts w:ascii="Times New Roman" w:hAnsi="Times New Roman" w:cs="Times New Roman"/>
                <w:sz w:val="24"/>
              </w:rPr>
              <w:t> </w:t>
            </w:r>
            <w:r w:rsidRPr="00F53BC4" w:rsidR="000F3AE4">
              <w:rPr>
                <w:rFonts w:ascii="Times New Roman" w:hAnsi="Times New Roman" w:cs="Times New Roman"/>
                <w:sz w:val="24"/>
              </w:rPr>
              <w:t>pielikuma III sadaļa</w:t>
            </w:r>
            <w:r w:rsidRPr="00F53BC4" w:rsidR="00582A11">
              <w:rPr>
                <w:rFonts w:ascii="Times New Roman" w:hAnsi="Times New Roman" w:cs="Times New Roman"/>
                <w:sz w:val="24"/>
              </w:rPr>
              <w:t>i, nodrošinot iekārtu atkritumu sagatavošanu atkārtotai izmantošanai, pārstrādi un reģenerāciju MK noteikumos Nr.</w:t>
            </w:r>
            <w:r w:rsidRPr="00F53BC4" w:rsidR="00BD28F0">
              <w:rPr>
                <w:rFonts w:ascii="Times New Roman" w:hAnsi="Times New Roman" w:cs="Times New Roman"/>
                <w:sz w:val="24"/>
              </w:rPr>
              <w:t> </w:t>
            </w:r>
            <w:r w:rsidRPr="00F53BC4" w:rsidR="00582A11">
              <w:rPr>
                <w:rFonts w:ascii="Times New Roman" w:hAnsi="Times New Roman" w:cs="Times New Roman"/>
                <w:sz w:val="24"/>
              </w:rPr>
              <w:t>388 noteiktajā apmērā</w:t>
            </w:r>
            <w:r w:rsidRPr="00F53BC4" w:rsidR="000F3AE4">
              <w:rPr>
                <w:rFonts w:ascii="Times New Roman" w:hAnsi="Times New Roman" w:cs="Times New Roman"/>
                <w:sz w:val="24"/>
              </w:rPr>
              <w:t xml:space="preserve">. </w:t>
            </w:r>
            <w:r w:rsidRPr="00F53BC4">
              <w:rPr>
                <w:rFonts w:ascii="Times New Roman" w:hAnsi="Times New Roman" w:cs="Times New Roman"/>
                <w:sz w:val="24"/>
              </w:rPr>
              <w:t xml:space="preserve"> </w:t>
            </w:r>
          </w:p>
        </w:tc>
      </w:tr>
      <w:tr w14:paraId="4B03A1EE" w14:textId="77777777" w:rsidTr="003F4AF0">
        <w:tblPrEx>
          <w:tblW w:w="0" w:type="auto"/>
          <w:tblLook w:val="04A0"/>
        </w:tblPrEx>
        <w:tc>
          <w:tcPr>
            <w:tcW w:w="396" w:type="dxa"/>
          </w:tcPr>
          <w:p w:rsidR="00824887" w:rsidRPr="00F53BC4" w:rsidP="003F4AF0" w14:paraId="4C39289D"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3.</w:t>
            </w:r>
          </w:p>
        </w:tc>
        <w:tc>
          <w:tcPr>
            <w:tcW w:w="1736" w:type="dxa"/>
          </w:tcPr>
          <w:p w:rsidR="00824887" w:rsidRPr="00F53BC4" w:rsidP="003F4AF0" w14:paraId="47D7F6A9"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Administratīvo izmaksu monetārs novērtējums</w:t>
            </w:r>
          </w:p>
        </w:tc>
        <w:tc>
          <w:tcPr>
            <w:tcW w:w="7155" w:type="dxa"/>
          </w:tcPr>
          <w:p w:rsidR="00824887" w:rsidRPr="00F53BC4" w:rsidP="003F4AF0" w14:paraId="431E9340" w14:textId="77777777">
            <w:pPr>
              <w:jc w:val="center"/>
              <w:rPr>
                <w:rFonts w:ascii="Times New Roman" w:eastAsia="Times New Roman" w:hAnsi="Times New Roman" w:cs="Times New Roman"/>
                <w:sz w:val="24"/>
                <w:szCs w:val="24"/>
                <w:lang w:eastAsia="lv-LV"/>
              </w:rPr>
            </w:pPr>
            <w:r w:rsidRPr="00F53BC4">
              <w:rPr>
                <w:rFonts w:ascii="Times New Roman" w:eastAsia="Times New Roman" w:hAnsi="Times New Roman" w:cs="Times New Roman"/>
                <w:sz w:val="24"/>
                <w:szCs w:val="24"/>
                <w:lang w:eastAsia="lv-LV"/>
              </w:rPr>
              <w:t>Administratīvo izmaksu monetāro novērtējumu aprēķina pēc šādas formulas:</w:t>
            </w:r>
          </w:p>
          <w:p w:rsidR="00824887" w:rsidRPr="00F53BC4" w:rsidP="003F4AF0" w14:paraId="0703E0A2" w14:textId="77777777">
            <w:pPr>
              <w:jc w:val="center"/>
              <w:rPr>
                <w:rFonts w:ascii="Times New Roman" w:eastAsia="Times New Roman" w:hAnsi="Times New Roman" w:cs="Times New Roman"/>
                <w:sz w:val="24"/>
                <w:szCs w:val="24"/>
                <w:lang w:eastAsia="lv-LV"/>
              </w:rPr>
            </w:pPr>
            <w:r w:rsidRPr="00F53BC4">
              <w:rPr>
                <w:rFonts w:ascii="Times New Roman" w:eastAsia="Times New Roman" w:hAnsi="Times New Roman" w:cs="Times New Roman"/>
                <w:sz w:val="24"/>
                <w:szCs w:val="24"/>
                <w:lang w:eastAsia="lv-LV"/>
              </w:rPr>
              <w:t>C = (f x l) x (n x b), kur</w:t>
            </w:r>
          </w:p>
          <w:p w:rsidR="00824887" w:rsidRPr="00F53BC4" w:rsidP="003F4AF0" w14:paraId="3ACD6D49" w14:textId="77777777">
            <w:pPr>
              <w:spacing w:before="100" w:beforeAutospacing="1" w:after="100" w:afterAutospacing="1"/>
              <w:jc w:val="both"/>
              <w:rPr>
                <w:rFonts w:ascii="Times New Roman" w:eastAsia="Times New Roman" w:hAnsi="Times New Roman" w:cs="Times New Roman"/>
                <w:sz w:val="24"/>
                <w:szCs w:val="24"/>
                <w:lang w:eastAsia="lv-LV"/>
              </w:rPr>
            </w:pPr>
            <w:r w:rsidRPr="00F53BC4">
              <w:rPr>
                <w:rFonts w:ascii="Times New Roman" w:eastAsia="Times New Roman" w:hAnsi="Times New Roman" w:cs="Times New Roman"/>
                <w:sz w:val="24"/>
                <w:szCs w:val="24"/>
                <w:lang w:eastAsia="lv-LV"/>
              </w:rPr>
              <w:t>C – informācijas sniegšanas pienākuma radītās izmaksas jeb administratīvās izmaksas;</w:t>
            </w:r>
          </w:p>
          <w:p w:rsidR="00824887" w:rsidRPr="00F53BC4" w:rsidP="003F4AF0" w14:paraId="75E65977" w14:textId="77777777">
            <w:pPr>
              <w:spacing w:before="100" w:beforeAutospacing="1" w:after="100" w:afterAutospacing="1"/>
              <w:jc w:val="both"/>
              <w:rPr>
                <w:rFonts w:ascii="Times New Roman" w:eastAsia="Times New Roman" w:hAnsi="Times New Roman" w:cs="Times New Roman"/>
                <w:sz w:val="24"/>
                <w:szCs w:val="24"/>
                <w:lang w:eastAsia="lv-LV"/>
              </w:rPr>
            </w:pPr>
            <w:r w:rsidRPr="00F53BC4">
              <w:rPr>
                <w:rFonts w:ascii="Times New Roman" w:eastAsia="Times New Roman" w:hAnsi="Times New Roman" w:cs="Times New Roman"/>
                <w:sz w:val="24"/>
                <w:szCs w:val="24"/>
                <w:lang w:eastAsia="lv-LV"/>
              </w:rPr>
              <w:t>f –</w:t>
            </w:r>
            <w:r w:rsidRPr="00F53BC4">
              <w:rPr>
                <w:b/>
              </w:rPr>
              <w:t xml:space="preserve"> </w:t>
            </w:r>
            <w:r w:rsidRPr="00F53BC4">
              <w:rPr>
                <w:rFonts w:ascii="Times New Roman" w:hAnsi="Times New Roman" w:cs="Times New Roman"/>
                <w:sz w:val="24"/>
                <w:szCs w:val="24"/>
              </w:rPr>
              <w:t xml:space="preserve">finanšu līdzekļu apjoms, kas nepieciešams, lai nodrošinātu noteikumu projektā paredzētos atkritumu masas un tilpuma attiecības mērījumus (stundas samaksas likme) – privātajā sektorā stundas likme ir aprēķināta, dalot vidējo mēneša algu privātajā sektorā (pēc Centrālās statistikas pārvaldes tīmekļvietnes </w:t>
            </w:r>
            <w:r>
              <w:fldChar w:fldCharType="begin"/>
            </w:r>
            <w:r>
              <w:instrText xml:space="preserve"> HYPERLINK "http://www.csb.gov.lv" </w:instrText>
            </w:r>
            <w:r>
              <w:fldChar w:fldCharType="separate"/>
            </w:r>
            <w:r w:rsidRPr="00F53BC4">
              <w:rPr>
                <w:rStyle w:val="Hyperlink"/>
                <w:rFonts w:ascii="Times New Roman" w:hAnsi="Times New Roman" w:cs="Times New Roman"/>
                <w:sz w:val="24"/>
                <w:szCs w:val="24"/>
              </w:rPr>
              <w:t>www.csb.gov.lv</w:t>
            </w:r>
            <w:r>
              <w:fldChar w:fldCharType="end"/>
            </w:r>
            <w:r w:rsidRPr="00F53BC4" w:rsidR="00582A11">
              <w:rPr>
                <w:rFonts w:ascii="Times New Roman" w:hAnsi="Times New Roman" w:cs="Times New Roman"/>
                <w:sz w:val="24"/>
                <w:szCs w:val="24"/>
              </w:rPr>
              <w:t xml:space="preserve"> datiem 2017</w:t>
            </w:r>
            <w:r w:rsidRPr="00F53BC4">
              <w:rPr>
                <w:rFonts w:ascii="Times New Roman" w:hAnsi="Times New Roman" w:cs="Times New Roman"/>
                <w:sz w:val="24"/>
                <w:szCs w:val="24"/>
              </w:rPr>
              <w:t>. gadā tā bija 915,00 </w:t>
            </w:r>
            <w:r w:rsidRPr="00F53BC4">
              <w:rPr>
                <w:rFonts w:ascii="Times New Roman" w:hAnsi="Times New Roman" w:cs="Times New Roman"/>
                <w:i/>
                <w:sz w:val="24"/>
                <w:szCs w:val="24"/>
              </w:rPr>
              <w:t>euro/</w:t>
            </w:r>
            <w:r w:rsidRPr="00F53BC4">
              <w:rPr>
                <w:rFonts w:ascii="Times New Roman" w:hAnsi="Times New Roman" w:cs="Times New Roman"/>
                <w:sz w:val="24"/>
                <w:szCs w:val="24"/>
              </w:rPr>
              <w:t>mēnesī) ar Darba likuma 131. panta pirmajā daļā minēto normālo darba laiku (40 stundas nedēļā x 4 = 160 stundas mēnesī) = 5,71 </w:t>
            </w:r>
            <w:r w:rsidRPr="00F53BC4">
              <w:rPr>
                <w:rFonts w:ascii="Times New Roman" w:hAnsi="Times New Roman" w:cs="Times New Roman"/>
                <w:i/>
                <w:sz w:val="24"/>
                <w:szCs w:val="24"/>
              </w:rPr>
              <w:t>euro</w:t>
            </w:r>
            <w:r w:rsidRPr="00F53BC4">
              <w:rPr>
                <w:rFonts w:ascii="Times New Roman" w:hAnsi="Times New Roman" w:cs="Times New Roman"/>
                <w:sz w:val="24"/>
                <w:szCs w:val="24"/>
              </w:rPr>
              <w:t>/stundā</w:t>
            </w:r>
            <w:r w:rsidRPr="00F53BC4">
              <w:rPr>
                <w:rFonts w:ascii="Times New Roman" w:eastAsia="Times New Roman" w:hAnsi="Times New Roman" w:cs="Times New Roman"/>
                <w:sz w:val="24"/>
                <w:szCs w:val="24"/>
                <w:lang w:eastAsia="lv-LV"/>
              </w:rPr>
              <w:t>;</w:t>
            </w:r>
          </w:p>
          <w:p w:rsidR="00824887" w:rsidRPr="00F53BC4" w:rsidP="003F4AF0" w14:paraId="2103232B" w14:textId="77777777">
            <w:pPr>
              <w:spacing w:before="100" w:beforeAutospacing="1" w:after="100" w:afterAutospacing="1"/>
              <w:jc w:val="both"/>
              <w:rPr>
                <w:rFonts w:ascii="Times New Roman" w:eastAsia="Times New Roman" w:hAnsi="Times New Roman" w:cs="Times New Roman"/>
                <w:sz w:val="24"/>
                <w:szCs w:val="24"/>
                <w:lang w:eastAsia="lv-LV"/>
              </w:rPr>
            </w:pPr>
            <w:r w:rsidRPr="00F53BC4">
              <w:rPr>
                <w:rFonts w:ascii="Times New Roman" w:eastAsia="Times New Roman" w:hAnsi="Times New Roman" w:cs="Times New Roman"/>
                <w:sz w:val="24"/>
                <w:szCs w:val="24"/>
                <w:lang w:eastAsia="lv-LV"/>
              </w:rPr>
              <w:t xml:space="preserve">l – laika patēriņš, kas nepieciešams, lai sagatavotu un </w:t>
            </w:r>
            <w:r w:rsidRPr="00F53BC4" w:rsidR="00582A11">
              <w:rPr>
                <w:rFonts w:ascii="Times New Roman" w:eastAsia="Times New Roman" w:hAnsi="Times New Roman" w:cs="Times New Roman"/>
                <w:sz w:val="24"/>
                <w:szCs w:val="24"/>
                <w:lang w:eastAsia="lv-LV"/>
              </w:rPr>
              <w:t>informāciju – 1 darba diena – 8</w:t>
            </w:r>
            <w:r w:rsidRPr="00F53BC4">
              <w:rPr>
                <w:rFonts w:ascii="Times New Roman" w:eastAsia="Times New Roman" w:hAnsi="Times New Roman" w:cs="Times New Roman"/>
                <w:sz w:val="24"/>
                <w:szCs w:val="24"/>
                <w:lang w:eastAsia="lv-LV"/>
              </w:rPr>
              <w:t xml:space="preserve"> stundas;</w:t>
            </w:r>
          </w:p>
          <w:p w:rsidR="00824887" w:rsidRPr="00F53BC4" w:rsidP="003F4AF0" w14:paraId="1068E2B2" w14:textId="77777777">
            <w:pPr>
              <w:spacing w:before="100" w:beforeAutospacing="1" w:after="100" w:afterAutospacing="1"/>
              <w:jc w:val="both"/>
              <w:rPr>
                <w:rFonts w:ascii="Times New Roman" w:eastAsia="Times New Roman" w:hAnsi="Times New Roman" w:cs="Times New Roman"/>
                <w:sz w:val="24"/>
                <w:szCs w:val="24"/>
                <w:lang w:eastAsia="lv-LV"/>
              </w:rPr>
            </w:pPr>
            <w:r w:rsidRPr="00F53BC4">
              <w:rPr>
                <w:rFonts w:ascii="Times New Roman" w:eastAsia="Times New Roman" w:hAnsi="Times New Roman" w:cs="Times New Roman"/>
                <w:sz w:val="24"/>
                <w:szCs w:val="24"/>
                <w:lang w:eastAsia="lv-LV"/>
              </w:rPr>
              <w:t>n – subjektu skaits, uz ko attiecas projektā paredzētās informācijas sniegšanas prasības</w:t>
            </w:r>
            <w:r w:rsidRPr="00F53BC4" w:rsidR="009637B1">
              <w:rPr>
                <w:rFonts w:ascii="Times New Roman" w:eastAsia="Times New Roman" w:hAnsi="Times New Roman" w:cs="Times New Roman"/>
                <w:sz w:val="24"/>
                <w:szCs w:val="24"/>
                <w:lang w:eastAsia="lv-LV"/>
              </w:rPr>
              <w:t xml:space="preserve"> - 1262</w:t>
            </w:r>
            <w:r w:rsidRPr="00F53BC4">
              <w:rPr>
                <w:rFonts w:ascii="Times New Roman" w:eastAsia="Times New Roman" w:hAnsi="Times New Roman" w:cs="Times New Roman"/>
                <w:sz w:val="24"/>
                <w:szCs w:val="24"/>
                <w:lang w:eastAsia="lv-LV"/>
              </w:rPr>
              <w:t>;</w:t>
            </w:r>
          </w:p>
          <w:p w:rsidR="00824887" w:rsidRPr="00F53BC4" w:rsidP="003F4AF0" w14:paraId="22CD7160" w14:textId="77777777">
            <w:pPr>
              <w:spacing w:before="100" w:beforeAutospacing="1" w:after="100" w:afterAutospacing="1"/>
              <w:jc w:val="both"/>
              <w:rPr>
                <w:rFonts w:ascii="Times New Roman" w:eastAsia="Times New Roman" w:hAnsi="Times New Roman" w:cs="Times New Roman"/>
                <w:sz w:val="24"/>
                <w:szCs w:val="24"/>
                <w:lang w:eastAsia="lv-LV"/>
              </w:rPr>
            </w:pPr>
            <w:r w:rsidRPr="00F53BC4">
              <w:rPr>
                <w:rFonts w:ascii="Times New Roman" w:eastAsia="Times New Roman" w:hAnsi="Times New Roman" w:cs="Times New Roman"/>
                <w:sz w:val="24"/>
                <w:szCs w:val="24"/>
                <w:lang w:eastAsia="lv-LV"/>
              </w:rPr>
              <w:t>b – cik bieži gada laikā projekts paredz informācijas sniegšanu</w:t>
            </w:r>
            <w:r w:rsidRPr="00F53BC4" w:rsidR="00582A11">
              <w:rPr>
                <w:rFonts w:ascii="Times New Roman" w:eastAsia="Times New Roman" w:hAnsi="Times New Roman" w:cs="Times New Roman"/>
                <w:sz w:val="24"/>
                <w:szCs w:val="24"/>
                <w:lang w:eastAsia="lv-LV"/>
              </w:rPr>
              <w:t xml:space="preserve"> – 1</w:t>
            </w:r>
            <w:r w:rsidRPr="00F53BC4">
              <w:rPr>
                <w:rFonts w:ascii="Times New Roman" w:eastAsia="Times New Roman" w:hAnsi="Times New Roman" w:cs="Times New Roman"/>
                <w:sz w:val="24"/>
                <w:szCs w:val="24"/>
                <w:lang w:eastAsia="lv-LV"/>
              </w:rPr>
              <w:t xml:space="preserve"> reizes.</w:t>
            </w:r>
          </w:p>
          <w:p w:rsidR="00824887" w:rsidRPr="00F53BC4" w:rsidP="003F4AF0" w14:paraId="3E8337E2" w14:textId="77777777">
            <w:pPr>
              <w:pStyle w:val="ListParagraph"/>
              <w:spacing w:after="120"/>
              <w:ind w:left="470" w:right="108"/>
              <w:jc w:val="both"/>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sz w:val="24"/>
                <w:szCs w:val="24"/>
                <w:lang w:eastAsia="lv-LV"/>
              </w:rPr>
              <w:t>C = (5,71x 8</w:t>
            </w:r>
            <w:r w:rsidRPr="00F53BC4">
              <w:rPr>
                <w:rFonts w:ascii="Times New Roman" w:eastAsia="Times New Roman" w:hAnsi="Times New Roman" w:cs="Times New Roman"/>
                <w:sz w:val="24"/>
                <w:szCs w:val="24"/>
                <w:lang w:eastAsia="lv-LV"/>
              </w:rPr>
              <w:t xml:space="preserve">) x </w:t>
            </w:r>
            <w:r w:rsidRPr="00F53BC4" w:rsidR="009637B1">
              <w:rPr>
                <w:rFonts w:ascii="Times New Roman" w:eastAsia="Times New Roman" w:hAnsi="Times New Roman" w:cs="Times New Roman"/>
                <w:sz w:val="24"/>
                <w:szCs w:val="24"/>
                <w:lang w:eastAsia="lv-LV"/>
              </w:rPr>
              <w:t>(1262</w:t>
            </w:r>
            <w:r w:rsidRPr="00F53BC4">
              <w:rPr>
                <w:rFonts w:ascii="Times New Roman" w:eastAsia="Times New Roman" w:hAnsi="Times New Roman" w:cs="Times New Roman"/>
                <w:sz w:val="24"/>
                <w:szCs w:val="24"/>
                <w:lang w:eastAsia="lv-LV"/>
              </w:rPr>
              <w:t xml:space="preserve"> x 1</w:t>
            </w:r>
            <w:r w:rsidRPr="00F53BC4">
              <w:rPr>
                <w:rFonts w:ascii="Times New Roman" w:eastAsia="Times New Roman" w:hAnsi="Times New Roman" w:cs="Times New Roman"/>
                <w:sz w:val="24"/>
                <w:szCs w:val="24"/>
                <w:lang w:eastAsia="lv-LV"/>
              </w:rPr>
              <w:t>)</w:t>
            </w:r>
            <w:r w:rsidRPr="00F53BC4" w:rsidR="009637B1">
              <w:rPr>
                <w:rFonts w:ascii="Times New Roman" w:eastAsia="Times New Roman" w:hAnsi="Times New Roman" w:cs="Times New Roman"/>
                <w:sz w:val="24"/>
                <w:szCs w:val="24"/>
                <w:lang w:eastAsia="lv-LV"/>
              </w:rPr>
              <w:t xml:space="preserve"> = 57648,16</w:t>
            </w:r>
            <w:r w:rsidRPr="00F53BC4">
              <w:rPr>
                <w:rFonts w:ascii="Times New Roman" w:eastAsia="Times New Roman" w:hAnsi="Times New Roman" w:cs="Times New Roman"/>
                <w:sz w:val="24"/>
                <w:szCs w:val="24"/>
                <w:lang w:eastAsia="lv-LV"/>
              </w:rPr>
              <w:t xml:space="preserve"> </w:t>
            </w:r>
            <w:r w:rsidRPr="00F53BC4">
              <w:rPr>
                <w:rFonts w:ascii="Times New Roman" w:eastAsia="Times New Roman" w:hAnsi="Times New Roman" w:cs="Times New Roman"/>
                <w:i/>
                <w:sz w:val="24"/>
                <w:szCs w:val="24"/>
                <w:lang w:eastAsia="lv-LV"/>
              </w:rPr>
              <w:t>euro</w:t>
            </w:r>
          </w:p>
        </w:tc>
      </w:tr>
      <w:tr w14:paraId="695963B0" w14:textId="77777777" w:rsidTr="003F4AF0">
        <w:tblPrEx>
          <w:tblW w:w="0" w:type="auto"/>
          <w:tblLook w:val="04A0"/>
        </w:tblPrEx>
        <w:tc>
          <w:tcPr>
            <w:tcW w:w="396" w:type="dxa"/>
          </w:tcPr>
          <w:p w:rsidR="00824887" w:rsidRPr="00F53BC4" w:rsidP="003F4AF0" w14:paraId="65681694"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4.</w:t>
            </w:r>
          </w:p>
        </w:tc>
        <w:tc>
          <w:tcPr>
            <w:tcW w:w="1736" w:type="dxa"/>
          </w:tcPr>
          <w:p w:rsidR="00824887" w:rsidRPr="00F53BC4" w:rsidP="003F4AF0" w14:paraId="653713EA"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 xml:space="preserve">Atbilstības </w:t>
            </w:r>
            <w:r w:rsidRPr="00F53BC4">
              <w:rPr>
                <w:rFonts w:ascii="Times New Roman" w:eastAsia="Times New Roman" w:hAnsi="Times New Roman" w:cs="Times New Roman"/>
                <w:iCs/>
                <w:sz w:val="24"/>
                <w:szCs w:val="24"/>
                <w:lang w:eastAsia="lv-LV"/>
              </w:rPr>
              <w:t>izmaksu monetārs novērtējums</w:t>
            </w:r>
          </w:p>
        </w:tc>
        <w:tc>
          <w:tcPr>
            <w:tcW w:w="7155" w:type="dxa"/>
          </w:tcPr>
          <w:p w:rsidR="00824887" w:rsidRPr="00F53BC4" w:rsidP="003F4AF0" w14:paraId="0D03E448" w14:textId="77777777">
            <w:pPr>
              <w:jc w:val="both"/>
              <w:rPr>
                <w:rFonts w:ascii="Times New Roman" w:hAnsi="Times New Roman" w:cs="Times New Roman"/>
                <w:sz w:val="24"/>
                <w:szCs w:val="24"/>
              </w:rPr>
            </w:pPr>
            <w:r w:rsidRPr="00F53BC4">
              <w:rPr>
                <w:rFonts w:ascii="Times New Roman" w:hAnsi="Times New Roman" w:cs="Times New Roman"/>
                <w:sz w:val="24"/>
                <w:szCs w:val="24"/>
              </w:rPr>
              <w:t xml:space="preserve">Nav paredzams, ka iekārtu ražotājiem un iekārtu atkritumu </w:t>
            </w:r>
            <w:r w:rsidRPr="00F53BC4">
              <w:rPr>
                <w:rFonts w:ascii="Times New Roman" w:hAnsi="Times New Roman" w:cs="Times New Roman"/>
                <w:sz w:val="24"/>
                <w:szCs w:val="24"/>
              </w:rPr>
              <w:t xml:space="preserve">apsaimniekotājiem radīsies atbilstības izmaksas. </w:t>
            </w:r>
            <w:r w:rsidRPr="00F53BC4">
              <w:rPr>
                <w:rFonts w:ascii="Times New Roman" w:hAnsi="Times New Roman" w:cs="Times New Roman"/>
                <w:sz w:val="24"/>
                <w:szCs w:val="24"/>
              </w:rPr>
              <w:t xml:space="preserve"> </w:t>
            </w:r>
          </w:p>
        </w:tc>
      </w:tr>
      <w:tr w14:paraId="04C2E1E3" w14:textId="77777777" w:rsidTr="003F4AF0">
        <w:tblPrEx>
          <w:tblW w:w="0" w:type="auto"/>
          <w:tblLook w:val="04A0"/>
        </w:tblPrEx>
        <w:tc>
          <w:tcPr>
            <w:tcW w:w="396" w:type="dxa"/>
          </w:tcPr>
          <w:p w:rsidR="00824887" w:rsidRPr="00F53BC4" w:rsidP="003F4AF0" w14:paraId="2552465C"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5.</w:t>
            </w:r>
          </w:p>
        </w:tc>
        <w:tc>
          <w:tcPr>
            <w:tcW w:w="1736" w:type="dxa"/>
          </w:tcPr>
          <w:p w:rsidR="00824887" w:rsidRPr="00F53BC4" w:rsidP="003F4AF0" w14:paraId="6061EEB8"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Cita informācija</w:t>
            </w:r>
          </w:p>
        </w:tc>
        <w:tc>
          <w:tcPr>
            <w:tcW w:w="7155" w:type="dxa"/>
          </w:tcPr>
          <w:p w:rsidR="00824887" w:rsidRPr="00F53BC4" w:rsidP="003F4AF0" w14:paraId="280FE4A2"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Nav</w:t>
            </w:r>
            <w:r w:rsidRPr="00F53BC4" w:rsidR="00FB0507">
              <w:rPr>
                <w:rFonts w:ascii="Times New Roman" w:eastAsia="Times New Roman" w:hAnsi="Times New Roman" w:cs="Times New Roman"/>
                <w:iCs/>
                <w:sz w:val="24"/>
                <w:szCs w:val="24"/>
                <w:lang w:eastAsia="lv-LV"/>
              </w:rPr>
              <w:t>.</w:t>
            </w:r>
          </w:p>
        </w:tc>
      </w:tr>
    </w:tbl>
    <w:p w:rsidR="00824887" w:rsidRPr="00F53BC4" w:rsidP="00824887" w14:paraId="43607C6F" w14:textId="7777777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tblPr>
      <w:tblGrid>
        <w:gridCol w:w="9287"/>
      </w:tblGrid>
      <w:tr w14:paraId="7B36A829" w14:textId="77777777" w:rsidTr="003F4AF0">
        <w:tblPrEx>
          <w:tblW w:w="0" w:type="auto"/>
          <w:tblLook w:val="04A0"/>
        </w:tblPrEx>
        <w:tc>
          <w:tcPr>
            <w:tcW w:w="9287" w:type="dxa"/>
          </w:tcPr>
          <w:p w:rsidR="00824887" w:rsidRPr="00F53BC4" w:rsidP="002A5E0D" w14:paraId="6792864A" w14:textId="77777777">
            <w:pPr>
              <w:jc w:val="cente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b/>
                <w:bCs/>
                <w:iCs/>
                <w:sz w:val="24"/>
                <w:szCs w:val="24"/>
                <w:lang w:eastAsia="lv-LV"/>
              </w:rPr>
              <w:t>III. Tiesību akta projekta ietekme uz valsts budžetu un pašvaldību budžetiem</w:t>
            </w:r>
          </w:p>
        </w:tc>
      </w:tr>
      <w:tr w14:paraId="3694DF5A" w14:textId="77777777" w:rsidTr="003F4AF0">
        <w:tblPrEx>
          <w:tblW w:w="0" w:type="auto"/>
          <w:tblLook w:val="04A0"/>
        </w:tblPrEx>
        <w:tc>
          <w:tcPr>
            <w:tcW w:w="9287" w:type="dxa"/>
          </w:tcPr>
          <w:p w:rsidR="00824887" w:rsidRPr="00F53BC4" w:rsidP="003F4AF0" w14:paraId="7ADE2095" w14:textId="77777777">
            <w:pPr>
              <w:jc w:val="cente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Projekts šo jomu neskar.</w:t>
            </w:r>
          </w:p>
        </w:tc>
      </w:tr>
    </w:tbl>
    <w:p w:rsidR="00824887" w:rsidRPr="00F53BC4" w:rsidP="00824887" w14:paraId="084956D7" w14:textId="77777777">
      <w:pPr>
        <w:spacing w:after="0" w:line="240" w:lineRule="auto"/>
        <w:rPr>
          <w:rFonts w:ascii="Times New Roman" w:eastAsia="Times New Roman" w:hAnsi="Times New Roman" w:cs="Times New Roman"/>
          <w:iCs/>
          <w:color w:val="414142"/>
          <w:sz w:val="24"/>
          <w:szCs w:val="24"/>
          <w:lang w:eastAsia="lv-LV"/>
        </w:rPr>
      </w:pPr>
      <w:r w:rsidRPr="00F53BC4">
        <w:rPr>
          <w:rFonts w:ascii="Times New Roman" w:eastAsia="Times New Roman" w:hAnsi="Times New Roman" w:cs="Times New Roman"/>
          <w:iCs/>
          <w:color w:val="414142"/>
          <w:sz w:val="24"/>
          <w:szCs w:val="24"/>
          <w:lang w:eastAsia="lv-LV"/>
        </w:rPr>
        <w:t xml:space="preserve">  </w:t>
      </w:r>
    </w:p>
    <w:tbl>
      <w:tblPr>
        <w:tblStyle w:val="TableGrid"/>
        <w:tblW w:w="0" w:type="auto"/>
        <w:jc w:val="center"/>
        <w:tblLook w:val="04A0"/>
      </w:tblPr>
      <w:tblGrid>
        <w:gridCol w:w="9287"/>
      </w:tblGrid>
      <w:tr w14:paraId="76D61A60" w14:textId="77777777" w:rsidTr="003F4AF0">
        <w:tblPrEx>
          <w:tblW w:w="0" w:type="auto"/>
          <w:jc w:val="center"/>
          <w:tblLook w:val="04A0"/>
        </w:tblPrEx>
        <w:trPr>
          <w:jc w:val="center"/>
        </w:trPr>
        <w:tc>
          <w:tcPr>
            <w:tcW w:w="9287" w:type="dxa"/>
          </w:tcPr>
          <w:p w:rsidR="00824887" w:rsidRPr="00F53BC4" w:rsidP="002A5E0D" w14:paraId="0095331A" w14:textId="77777777">
            <w:pPr>
              <w:jc w:val="cente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b/>
                <w:bCs/>
                <w:iCs/>
                <w:sz w:val="24"/>
                <w:szCs w:val="24"/>
                <w:lang w:eastAsia="lv-LV"/>
              </w:rPr>
              <w:t>IV. Tiesību akta projekta ietekme uz spēkā esošo tiesību normu sistēmu</w:t>
            </w:r>
          </w:p>
        </w:tc>
      </w:tr>
      <w:tr w14:paraId="463E48CD" w14:textId="77777777" w:rsidTr="003F4AF0">
        <w:tblPrEx>
          <w:tblW w:w="0" w:type="auto"/>
          <w:jc w:val="center"/>
          <w:tblLook w:val="04A0"/>
        </w:tblPrEx>
        <w:trPr>
          <w:jc w:val="center"/>
        </w:trPr>
        <w:tc>
          <w:tcPr>
            <w:tcW w:w="9287" w:type="dxa"/>
          </w:tcPr>
          <w:p w:rsidR="00824887" w:rsidRPr="00F53BC4" w:rsidP="003F4AF0" w14:paraId="0EBEBBFB" w14:textId="77777777">
            <w:pPr>
              <w:jc w:val="cente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Projekts šo jomu neskar.</w:t>
            </w:r>
          </w:p>
        </w:tc>
      </w:tr>
    </w:tbl>
    <w:p w:rsidR="00824887" w:rsidRPr="00F53BC4" w:rsidP="00824887" w14:paraId="5E7BB849" w14:textId="7777777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tblPr>
      <w:tblGrid>
        <w:gridCol w:w="396"/>
        <w:gridCol w:w="2834"/>
        <w:gridCol w:w="6057"/>
      </w:tblGrid>
      <w:tr w14:paraId="66E547EA" w14:textId="77777777" w:rsidTr="003F4AF0">
        <w:tblPrEx>
          <w:tblW w:w="0" w:type="auto"/>
          <w:tblLook w:val="04A0"/>
        </w:tblPrEx>
        <w:tc>
          <w:tcPr>
            <w:tcW w:w="9287" w:type="dxa"/>
            <w:gridSpan w:val="3"/>
          </w:tcPr>
          <w:p w:rsidR="009C0A44" w:rsidRPr="00A73130" w:rsidP="003F4AF0" w14:paraId="0A01173D" w14:textId="77777777">
            <w:pPr>
              <w:rPr>
                <w:rFonts w:ascii="Times New Roman" w:eastAsia="Times New Roman" w:hAnsi="Times New Roman" w:cs="Times New Roman"/>
                <w:iCs/>
                <w:sz w:val="24"/>
                <w:szCs w:val="24"/>
                <w:lang w:val="en-US" w:eastAsia="lv-LV"/>
              </w:rPr>
            </w:pPr>
            <w:r w:rsidRPr="00A73130">
              <w:rPr>
                <w:rFonts w:ascii="Times New Roman" w:eastAsia="Times New Roman" w:hAnsi="Times New Roman" w:cs="Times New Roman"/>
                <w:b/>
                <w:bCs/>
                <w:iCs/>
                <w:sz w:val="24"/>
                <w:szCs w:val="24"/>
                <w:lang w:val="en-US" w:eastAsia="lv-LV"/>
              </w:rPr>
              <w:t>V.</w:t>
            </w:r>
            <w:r>
              <w:rPr>
                <w:rFonts w:ascii="Times New Roman" w:eastAsia="Times New Roman" w:hAnsi="Times New Roman" w:cs="Times New Roman"/>
                <w:b/>
                <w:bCs/>
                <w:iCs/>
                <w:sz w:val="24"/>
                <w:szCs w:val="24"/>
                <w:lang w:val="en-US" w:eastAsia="lv-LV"/>
              </w:rPr>
              <w:t> </w:t>
            </w:r>
            <w:r w:rsidRPr="00A73130">
              <w:rPr>
                <w:rFonts w:ascii="Times New Roman" w:eastAsia="Times New Roman" w:hAnsi="Times New Roman" w:cs="Times New Roman"/>
                <w:b/>
                <w:bCs/>
                <w:iCs/>
                <w:sz w:val="24"/>
                <w:szCs w:val="24"/>
                <w:lang w:val="en-US" w:eastAsia="lv-LV"/>
              </w:rPr>
              <w:t>Tiesību akta projekta atbilstība Latvijas Republikas starptautiskajām saistībām</w:t>
            </w:r>
          </w:p>
        </w:tc>
      </w:tr>
      <w:tr w14:paraId="21212792" w14:textId="77777777" w:rsidTr="003F4AF0">
        <w:tblPrEx>
          <w:tblW w:w="0" w:type="auto"/>
          <w:tblLook w:val="04A0"/>
        </w:tblPrEx>
        <w:trPr>
          <w:trHeight w:val="269"/>
        </w:trPr>
        <w:tc>
          <w:tcPr>
            <w:tcW w:w="396" w:type="dxa"/>
          </w:tcPr>
          <w:p w:rsidR="009C0A44" w:rsidP="003F4AF0" w14:paraId="0504C429" w14:textId="77777777">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w:t>
            </w:r>
          </w:p>
        </w:tc>
        <w:tc>
          <w:tcPr>
            <w:tcW w:w="2834" w:type="dxa"/>
          </w:tcPr>
          <w:p w:rsidR="009C0A44" w:rsidRPr="00A73130" w:rsidP="003F4AF0" w14:paraId="22E61ECE" w14:textId="77777777">
            <w:pPr>
              <w:rPr>
                <w:rFonts w:ascii="Times New Roman" w:eastAsia="Times New Roman" w:hAnsi="Times New Roman" w:cs="Times New Roman"/>
                <w:iCs/>
                <w:sz w:val="24"/>
                <w:szCs w:val="24"/>
                <w:lang w:val="en-US" w:eastAsia="lv-LV"/>
              </w:rPr>
            </w:pPr>
            <w:r w:rsidRPr="00A73130">
              <w:rPr>
                <w:rFonts w:ascii="Times New Roman" w:eastAsia="Times New Roman" w:hAnsi="Times New Roman" w:cs="Times New Roman"/>
                <w:iCs/>
                <w:sz w:val="24"/>
                <w:szCs w:val="24"/>
                <w:lang w:val="en-US" w:eastAsia="lv-LV"/>
              </w:rPr>
              <w:t>Saistības pret Eiropas Savienību</w:t>
            </w:r>
          </w:p>
        </w:tc>
        <w:tc>
          <w:tcPr>
            <w:tcW w:w="6057" w:type="dxa"/>
          </w:tcPr>
          <w:p w:rsidR="009C0A44" w:rsidRPr="009C0A44" w:rsidP="003F4AF0" w14:paraId="71388A5E" w14:textId="03816AA1">
            <w:pPr>
              <w:jc w:val="both"/>
              <w:rPr>
                <w:rFonts w:ascii="Times New Roman" w:hAnsi="Times New Roman" w:cs="Times New Roman"/>
                <w:b/>
                <w:bCs/>
                <w:sz w:val="24"/>
                <w:szCs w:val="24"/>
              </w:rPr>
            </w:pPr>
            <w:r w:rsidRPr="009C0A44">
              <w:rPr>
                <w:rFonts w:ascii="Times New Roman" w:hAnsi="Times New Roman" w:cs="Times New Roman"/>
                <w:b/>
                <w:sz w:val="24"/>
                <w:szCs w:val="24"/>
              </w:rPr>
              <w:t>Eiropas Parlamenta un Padomes 2012. gada 4. jūlija Direktīva 2012/19/ES par elektrisko un elektronisko iekārtu atkritumiem</w:t>
            </w:r>
            <w:r w:rsidRPr="00354D2A" w:rsidR="00354D2A">
              <w:rPr>
                <w:rFonts w:ascii="Times New Roman" w:hAnsi="Times New Roman" w:cs="Times New Roman"/>
                <w:sz w:val="24"/>
                <w:szCs w:val="24"/>
              </w:rPr>
              <w:t>.</w:t>
            </w:r>
          </w:p>
        </w:tc>
      </w:tr>
      <w:tr w14:paraId="68EF63B8" w14:textId="77777777" w:rsidTr="003F4AF0">
        <w:tblPrEx>
          <w:tblW w:w="0" w:type="auto"/>
          <w:tblLook w:val="04A0"/>
        </w:tblPrEx>
        <w:trPr>
          <w:trHeight w:val="268"/>
        </w:trPr>
        <w:tc>
          <w:tcPr>
            <w:tcW w:w="396" w:type="dxa"/>
          </w:tcPr>
          <w:p w:rsidR="009C0A44" w:rsidP="003F4AF0" w14:paraId="0FF7C36A" w14:textId="77777777">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w:t>
            </w:r>
          </w:p>
        </w:tc>
        <w:tc>
          <w:tcPr>
            <w:tcW w:w="2834" w:type="dxa"/>
          </w:tcPr>
          <w:p w:rsidR="009C0A44" w:rsidRPr="00A73130" w:rsidP="003F4AF0" w14:paraId="2F1075E7" w14:textId="77777777">
            <w:pPr>
              <w:rPr>
                <w:rFonts w:ascii="Times New Roman" w:eastAsia="Times New Roman" w:hAnsi="Times New Roman" w:cs="Times New Roman"/>
                <w:iCs/>
                <w:sz w:val="24"/>
                <w:szCs w:val="24"/>
                <w:lang w:val="en-US" w:eastAsia="lv-LV"/>
              </w:rPr>
            </w:pPr>
            <w:r w:rsidRPr="00A73130">
              <w:rPr>
                <w:rFonts w:ascii="Times New Roman" w:eastAsia="Times New Roman" w:hAnsi="Times New Roman" w:cs="Times New Roman"/>
                <w:iCs/>
                <w:sz w:val="24"/>
                <w:szCs w:val="24"/>
                <w:lang w:val="en-US" w:eastAsia="lv-LV"/>
              </w:rPr>
              <w:t>Citas starptautiskās saistības</w:t>
            </w:r>
          </w:p>
        </w:tc>
        <w:tc>
          <w:tcPr>
            <w:tcW w:w="6057" w:type="dxa"/>
          </w:tcPr>
          <w:p w:rsidR="009C0A44" w:rsidRPr="00A73130" w:rsidP="003F4AF0" w14:paraId="2587E1D5" w14:textId="77777777">
            <w:pP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Projekts šo jomu neskar.</w:t>
            </w:r>
          </w:p>
        </w:tc>
      </w:tr>
      <w:tr w14:paraId="428BBF4F" w14:textId="77777777" w:rsidTr="003F4AF0">
        <w:tblPrEx>
          <w:tblW w:w="0" w:type="auto"/>
          <w:tblLook w:val="04A0"/>
        </w:tblPrEx>
        <w:trPr>
          <w:trHeight w:val="268"/>
        </w:trPr>
        <w:tc>
          <w:tcPr>
            <w:tcW w:w="396" w:type="dxa"/>
          </w:tcPr>
          <w:p w:rsidR="009C0A44" w:rsidP="003F4AF0" w14:paraId="42D184A7" w14:textId="77777777">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3.</w:t>
            </w:r>
          </w:p>
        </w:tc>
        <w:tc>
          <w:tcPr>
            <w:tcW w:w="2834" w:type="dxa"/>
          </w:tcPr>
          <w:p w:rsidR="009C0A44" w:rsidRPr="00A73130" w:rsidP="003F4AF0" w14:paraId="7ADAC957" w14:textId="77777777">
            <w:pPr>
              <w:rPr>
                <w:rFonts w:ascii="Times New Roman" w:eastAsia="Times New Roman" w:hAnsi="Times New Roman" w:cs="Times New Roman"/>
                <w:iCs/>
                <w:sz w:val="24"/>
                <w:szCs w:val="24"/>
                <w:lang w:val="en-US" w:eastAsia="lv-LV"/>
              </w:rPr>
            </w:pPr>
            <w:r w:rsidRPr="00A73130">
              <w:rPr>
                <w:rFonts w:ascii="Times New Roman" w:eastAsia="Times New Roman" w:hAnsi="Times New Roman" w:cs="Times New Roman"/>
                <w:iCs/>
                <w:sz w:val="24"/>
                <w:szCs w:val="24"/>
                <w:lang w:val="en-US" w:eastAsia="lv-LV"/>
              </w:rPr>
              <w:t>Cita informācija</w:t>
            </w:r>
          </w:p>
        </w:tc>
        <w:tc>
          <w:tcPr>
            <w:tcW w:w="6057" w:type="dxa"/>
          </w:tcPr>
          <w:p w:rsidR="009C0A44" w:rsidRPr="00A73130" w:rsidP="003F4AF0" w14:paraId="366B042B" w14:textId="40DFEBE2">
            <w:pP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r w:rsidR="003F4AF0">
              <w:rPr>
                <w:rFonts w:ascii="Times New Roman" w:eastAsia="Times New Roman" w:hAnsi="Times New Roman" w:cs="Times New Roman"/>
                <w:iCs/>
                <w:sz w:val="24"/>
                <w:szCs w:val="24"/>
                <w:lang w:val="en-US" w:eastAsia="lv-LV"/>
              </w:rPr>
              <w:t>.</w:t>
            </w:r>
          </w:p>
        </w:tc>
      </w:tr>
    </w:tbl>
    <w:p w:rsidR="009C0A44" w:rsidRPr="00E5323B" w:rsidP="009C0A44" w14:paraId="063723CD" w14:textId="77777777">
      <w:pPr>
        <w:spacing w:after="0" w:line="240" w:lineRule="auto"/>
        <w:rPr>
          <w:rFonts w:ascii="Times New Roman" w:eastAsia="Times New Roman" w:hAnsi="Times New Roman" w:cs="Times New Roman"/>
          <w:iCs/>
          <w:color w:val="414142"/>
          <w:sz w:val="24"/>
          <w:szCs w:val="24"/>
          <w:lang w:val="en-US" w:eastAsia="lv-LV"/>
        </w:rPr>
      </w:pPr>
    </w:p>
    <w:tbl>
      <w:tblPr>
        <w:tblStyle w:val="TableGrid"/>
        <w:tblW w:w="0" w:type="auto"/>
        <w:tblLook w:val="04A0"/>
      </w:tblPr>
      <w:tblGrid>
        <w:gridCol w:w="2456"/>
        <w:gridCol w:w="171"/>
        <w:gridCol w:w="2285"/>
        <w:gridCol w:w="2163"/>
        <w:gridCol w:w="2212"/>
      </w:tblGrid>
      <w:tr w14:paraId="20258880" w14:textId="77777777" w:rsidTr="002F3A45">
        <w:tblPrEx>
          <w:tblW w:w="0" w:type="auto"/>
          <w:tblLook w:val="04A0"/>
        </w:tblPrEx>
        <w:tc>
          <w:tcPr>
            <w:tcW w:w="9287" w:type="dxa"/>
            <w:gridSpan w:val="5"/>
          </w:tcPr>
          <w:p w:rsidR="009C0A44" w:rsidRPr="00F419AC" w:rsidP="003F4AF0" w14:paraId="0C652ABF" w14:textId="77777777">
            <w:pP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color w:val="414142"/>
                <w:sz w:val="24"/>
                <w:szCs w:val="24"/>
                <w:lang w:val="en-US" w:eastAsia="lv-LV"/>
              </w:rPr>
              <w:t> </w:t>
            </w:r>
            <w:r w:rsidRPr="00F419AC">
              <w:rPr>
                <w:rFonts w:ascii="Times New Roman" w:eastAsia="Times New Roman" w:hAnsi="Times New Roman" w:cs="Times New Roman"/>
                <w:b/>
                <w:bCs/>
                <w:iCs/>
                <w:sz w:val="24"/>
                <w:szCs w:val="24"/>
                <w:lang w:val="sv-SE" w:eastAsia="lv-LV"/>
              </w:rPr>
              <w:t>1.</w:t>
            </w:r>
            <w:r>
              <w:rPr>
                <w:rFonts w:ascii="Times New Roman" w:eastAsia="Times New Roman" w:hAnsi="Times New Roman" w:cs="Times New Roman"/>
                <w:b/>
                <w:bCs/>
                <w:iCs/>
                <w:sz w:val="24"/>
                <w:szCs w:val="24"/>
                <w:lang w:val="sv-SE" w:eastAsia="lv-LV"/>
              </w:rPr>
              <w:t> </w:t>
            </w:r>
            <w:r w:rsidRPr="00F419AC">
              <w:rPr>
                <w:rFonts w:ascii="Times New Roman" w:eastAsia="Times New Roman" w:hAnsi="Times New Roman" w:cs="Times New Roman"/>
                <w:b/>
                <w:bCs/>
                <w:iCs/>
                <w:sz w:val="24"/>
                <w:szCs w:val="24"/>
                <w:lang w:val="sv-SE" w:eastAsia="lv-LV"/>
              </w:rPr>
              <w:t>tabula</w:t>
            </w:r>
            <w:r w:rsidRPr="00F419AC">
              <w:rPr>
                <w:rFonts w:ascii="Times New Roman" w:eastAsia="Times New Roman" w:hAnsi="Times New Roman" w:cs="Times New Roman"/>
                <w:b/>
                <w:bCs/>
                <w:iCs/>
                <w:sz w:val="24"/>
                <w:szCs w:val="24"/>
                <w:lang w:val="sv-SE" w:eastAsia="lv-LV"/>
              </w:rPr>
              <w:br/>
              <w:t>Tiesību akta projekta atbilstība ES tiesību aktiem</w:t>
            </w:r>
          </w:p>
        </w:tc>
      </w:tr>
      <w:tr w14:paraId="412D1A76" w14:textId="77777777" w:rsidTr="002F3A45">
        <w:tblPrEx>
          <w:tblW w:w="0" w:type="auto"/>
          <w:tblLook w:val="04A0"/>
        </w:tblPrEx>
        <w:tc>
          <w:tcPr>
            <w:tcW w:w="9287" w:type="dxa"/>
            <w:gridSpan w:val="5"/>
          </w:tcPr>
          <w:p w:rsidR="009C0A44" w:rsidRPr="009C0A44" w:rsidP="00E67392" w14:paraId="20BE5770" w14:textId="37D42CFB">
            <w:pPr>
              <w:jc w:val="both"/>
              <w:rPr>
                <w:rFonts w:ascii="Times New Roman" w:eastAsia="Times New Roman" w:hAnsi="Times New Roman" w:cs="Times New Roman"/>
                <w:b/>
                <w:iCs/>
                <w:sz w:val="24"/>
                <w:szCs w:val="24"/>
                <w:lang w:eastAsia="lv-LV"/>
              </w:rPr>
            </w:pPr>
            <w:r w:rsidRPr="009C0A44">
              <w:rPr>
                <w:rFonts w:ascii="Times New Roman" w:hAnsi="Times New Roman" w:cs="Times New Roman"/>
                <w:b/>
                <w:sz w:val="24"/>
                <w:szCs w:val="24"/>
              </w:rPr>
              <w:t>Eiropas Parlamenta un Padomes 2012. gada 4. jūlija Direktīva 2012/19/ES par elektrisko un elektronisko iekārtu atkritumiem</w:t>
            </w:r>
          </w:p>
        </w:tc>
      </w:tr>
      <w:tr w14:paraId="198328AA" w14:textId="77777777" w:rsidTr="002F3A45">
        <w:tblPrEx>
          <w:tblW w:w="0" w:type="auto"/>
          <w:tblLook w:val="04A0"/>
        </w:tblPrEx>
        <w:trPr>
          <w:trHeight w:val="261"/>
        </w:trPr>
        <w:tc>
          <w:tcPr>
            <w:tcW w:w="2456" w:type="dxa"/>
          </w:tcPr>
          <w:p w:rsidR="009C0A44" w:rsidP="003F4AF0" w14:paraId="7A5CF23C" w14:textId="77777777">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A</w:t>
            </w:r>
          </w:p>
        </w:tc>
        <w:tc>
          <w:tcPr>
            <w:tcW w:w="2456" w:type="dxa"/>
            <w:gridSpan w:val="2"/>
          </w:tcPr>
          <w:p w:rsidR="009C0A44" w:rsidP="003F4AF0" w14:paraId="5AC5F20A" w14:textId="77777777">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B</w:t>
            </w:r>
          </w:p>
        </w:tc>
        <w:tc>
          <w:tcPr>
            <w:tcW w:w="2163" w:type="dxa"/>
          </w:tcPr>
          <w:p w:rsidR="009C0A44" w:rsidP="003F4AF0" w14:paraId="76E3486A" w14:textId="77777777">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C</w:t>
            </w:r>
          </w:p>
        </w:tc>
        <w:tc>
          <w:tcPr>
            <w:tcW w:w="2212" w:type="dxa"/>
          </w:tcPr>
          <w:p w:rsidR="009C0A44" w:rsidP="003F4AF0" w14:paraId="085E0219" w14:textId="77777777">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D</w:t>
            </w:r>
          </w:p>
        </w:tc>
      </w:tr>
      <w:tr w14:paraId="33F1A242" w14:textId="77777777" w:rsidTr="002F3A45">
        <w:tblPrEx>
          <w:tblW w:w="0" w:type="auto"/>
          <w:tblLook w:val="04A0"/>
        </w:tblPrEx>
        <w:trPr>
          <w:trHeight w:val="261"/>
        </w:trPr>
        <w:tc>
          <w:tcPr>
            <w:tcW w:w="2456" w:type="dxa"/>
          </w:tcPr>
          <w:p w:rsidR="009C0A44" w:rsidRPr="006246B1" w:rsidP="003F4AF0" w14:paraId="57BBC258" w14:textId="77777777">
            <w:pPr>
              <w:jc w:val="both"/>
              <w:rPr>
                <w:rFonts w:ascii="Times New Roman" w:eastAsia="Times New Roman" w:hAnsi="Times New Roman" w:cs="Times New Roman"/>
                <w:iCs/>
                <w:sz w:val="20"/>
                <w:szCs w:val="20"/>
                <w:lang w:eastAsia="lv-LV"/>
              </w:rPr>
            </w:pPr>
            <w:r w:rsidRPr="00F419AC">
              <w:rPr>
                <w:rFonts w:ascii="Times New Roman" w:eastAsia="Times New Roman" w:hAnsi="Times New Roman" w:cs="Times New Roman"/>
                <w:iCs/>
                <w:sz w:val="20"/>
                <w:szCs w:val="20"/>
                <w:lang w:eastAsia="lv-LV"/>
              </w:rPr>
              <w:t>Attiecīgā ES tiesību akta panta numurs (uzskaitot katru tiesību akta vienību – pantu, daļu, punktu, apakšpunktu)</w:t>
            </w:r>
          </w:p>
        </w:tc>
        <w:tc>
          <w:tcPr>
            <w:tcW w:w="2456" w:type="dxa"/>
            <w:gridSpan w:val="2"/>
          </w:tcPr>
          <w:p w:rsidR="009C0A44" w:rsidRPr="006246B1" w:rsidP="003F4AF0" w14:paraId="591B99D6" w14:textId="77777777">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0"/>
                <w:szCs w:val="24"/>
                <w:lang w:eastAsia="lv-LV"/>
              </w:rPr>
              <w:t>Projekta vienība, kas pārņem vai ievieš katru šīs tabulas A ailē minēto ES tiesību akta vienību, vai tiesību akts, kur attiecīgā ES tiesību akta vienība pārņemta vai ieviesta</w:t>
            </w:r>
          </w:p>
        </w:tc>
        <w:tc>
          <w:tcPr>
            <w:tcW w:w="2163" w:type="dxa"/>
          </w:tcPr>
          <w:p w:rsidR="009C0A44" w:rsidRPr="00F419AC" w:rsidP="003F4AF0" w14:paraId="12E987DA" w14:textId="77777777">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0"/>
                <w:szCs w:val="24"/>
                <w:lang w:eastAsia="lv-LV"/>
              </w:rPr>
              <w:t>Informācija par to, vai šīs tabulas A ailē minētās ES tiesību akta vienības tiek pārņemtas vai ieviestas pilnībā vai daļēji.</w:t>
            </w:r>
            <w:r w:rsidRPr="00F419AC">
              <w:rPr>
                <w:rFonts w:ascii="Times New Roman" w:eastAsia="Times New Roman" w:hAnsi="Times New Roman" w:cs="Times New Roman"/>
                <w:iCs/>
                <w:sz w:val="20"/>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419AC">
              <w:rPr>
                <w:rFonts w:ascii="Times New Roman" w:eastAsia="Times New Roman" w:hAnsi="Times New Roman" w:cs="Times New Roman"/>
                <w:iCs/>
                <w:sz w:val="20"/>
                <w:szCs w:val="24"/>
                <w:lang w:eastAsia="lv-LV"/>
              </w:rPr>
              <w:br/>
              <w:t>Norāda institūciju, kas ir atbildīga par šo saistību izpildi pilnībā</w:t>
            </w:r>
          </w:p>
        </w:tc>
        <w:tc>
          <w:tcPr>
            <w:tcW w:w="2212" w:type="dxa"/>
          </w:tcPr>
          <w:p w:rsidR="009C0A44" w:rsidRPr="00F419AC" w:rsidP="003F4AF0" w14:paraId="240D7942" w14:textId="77777777">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0"/>
                <w:szCs w:val="24"/>
                <w:lang w:eastAsia="lv-LV"/>
              </w:rPr>
              <w:t>Informācija par to, vai šīs tabulas B ailē minētās projekta vienības paredz stingrākas prasības nekā šīs tabulas A ailē minētās ES tiesību akta vienības.</w:t>
            </w:r>
            <w:r w:rsidRPr="00F419AC">
              <w:rPr>
                <w:rFonts w:ascii="Times New Roman" w:eastAsia="Times New Roman" w:hAnsi="Times New Roman" w:cs="Times New Roman"/>
                <w:iCs/>
                <w:sz w:val="20"/>
                <w:szCs w:val="24"/>
                <w:lang w:eastAsia="lv-LV"/>
              </w:rPr>
              <w:br/>
              <w:t>Ja projekts satur stingrākas prasības nekā attiecīgais ES tiesību akts, norāda pamatojumu un samērīgumu.</w:t>
            </w:r>
            <w:r w:rsidRPr="00F419AC">
              <w:rPr>
                <w:rFonts w:ascii="Times New Roman" w:eastAsia="Times New Roman" w:hAnsi="Times New Roman" w:cs="Times New Roman"/>
                <w:iCs/>
                <w:sz w:val="20"/>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14:paraId="389A2244" w14:textId="77777777" w:rsidTr="002F3A45">
        <w:tblPrEx>
          <w:tblW w:w="0" w:type="auto"/>
          <w:tblLook w:val="04A0"/>
        </w:tblPrEx>
        <w:trPr>
          <w:trHeight w:val="261"/>
        </w:trPr>
        <w:tc>
          <w:tcPr>
            <w:tcW w:w="2456" w:type="dxa"/>
          </w:tcPr>
          <w:p w:rsidR="00892C9E" w:rsidRPr="0066734C" w:rsidP="003F4AF0" w14:paraId="2EA34EE1" w14:textId="26C885FE">
            <w:pPr>
              <w:jc w:val="both"/>
              <w:rPr>
                <w:rFonts w:ascii="Times New Roman" w:eastAsia="Times New Roman" w:hAnsi="Times New Roman" w:cs="Times New Roman"/>
                <w:iCs/>
                <w:sz w:val="24"/>
                <w:szCs w:val="24"/>
                <w:lang w:eastAsia="lv-LV"/>
              </w:rPr>
            </w:pPr>
            <w:r w:rsidRPr="0066734C">
              <w:rPr>
                <w:rFonts w:ascii="Times New Roman" w:eastAsia="Times New Roman" w:hAnsi="Times New Roman" w:cs="Times New Roman"/>
                <w:iCs/>
                <w:sz w:val="24"/>
                <w:szCs w:val="24"/>
                <w:lang w:eastAsia="lv-LV"/>
              </w:rPr>
              <w:t xml:space="preserve">III pielikuma </w:t>
            </w:r>
            <w:r w:rsidRPr="0066734C" w:rsidR="002F3A45">
              <w:rPr>
                <w:rFonts w:ascii="Times New Roman" w:eastAsia="Times New Roman" w:hAnsi="Times New Roman" w:cs="Times New Roman"/>
                <w:iCs/>
                <w:sz w:val="24"/>
                <w:szCs w:val="24"/>
                <w:lang w:eastAsia="lv-LV"/>
              </w:rPr>
              <w:t>4.punkts</w:t>
            </w:r>
          </w:p>
        </w:tc>
        <w:tc>
          <w:tcPr>
            <w:tcW w:w="2456" w:type="dxa"/>
            <w:gridSpan w:val="2"/>
          </w:tcPr>
          <w:p w:rsidR="00892C9E" w:rsidRPr="0066734C" w:rsidP="003F4AF0" w14:paraId="4A15DC0A" w14:textId="3EFCD21C">
            <w:pPr>
              <w:jc w:val="both"/>
              <w:rPr>
                <w:rFonts w:ascii="Times New Roman" w:eastAsia="Times New Roman" w:hAnsi="Times New Roman" w:cs="Times New Roman"/>
                <w:iCs/>
                <w:sz w:val="24"/>
                <w:szCs w:val="24"/>
                <w:lang w:eastAsia="lv-LV"/>
              </w:rPr>
            </w:pPr>
            <w:r w:rsidRPr="0066734C">
              <w:rPr>
                <w:rFonts w:ascii="Times New Roman" w:eastAsia="Times New Roman" w:hAnsi="Times New Roman" w:cs="Times New Roman"/>
                <w:iCs/>
                <w:sz w:val="24"/>
                <w:szCs w:val="24"/>
                <w:lang w:eastAsia="lv-LV"/>
              </w:rPr>
              <w:t>Noteikumu projekta 2.punkts</w:t>
            </w:r>
          </w:p>
        </w:tc>
        <w:tc>
          <w:tcPr>
            <w:tcW w:w="2163" w:type="dxa"/>
          </w:tcPr>
          <w:p w:rsidR="00892C9E" w:rsidRPr="0066734C" w:rsidP="003F4AF0" w14:paraId="43A73E5B" w14:textId="72AAD16D">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w:t>
            </w:r>
            <w:r w:rsidR="00DF42F3">
              <w:rPr>
                <w:rFonts w:ascii="Times New Roman" w:eastAsia="Times New Roman" w:hAnsi="Times New Roman" w:cs="Times New Roman"/>
                <w:iCs/>
                <w:sz w:val="24"/>
                <w:szCs w:val="24"/>
                <w:lang w:eastAsia="lv-LV"/>
              </w:rPr>
              <w:t xml:space="preserve"> pilnībā.</w:t>
            </w:r>
          </w:p>
        </w:tc>
        <w:tc>
          <w:tcPr>
            <w:tcW w:w="2212" w:type="dxa"/>
          </w:tcPr>
          <w:p w:rsidR="00892C9E" w:rsidRPr="0066734C" w:rsidP="0028647E" w14:paraId="020FF0EB" w14:textId="6920F5FA">
            <w:pPr>
              <w:jc w:val="both"/>
              <w:rPr>
                <w:rFonts w:ascii="Times New Roman" w:eastAsia="Times New Roman" w:hAnsi="Times New Roman" w:cs="Times New Roman"/>
                <w:iCs/>
                <w:sz w:val="24"/>
                <w:szCs w:val="24"/>
                <w:lang w:eastAsia="lv-LV"/>
              </w:rPr>
            </w:pPr>
            <w:r w:rsidRPr="0066734C">
              <w:rPr>
                <w:rFonts w:ascii="Times New Roman" w:eastAsia="Times New Roman" w:hAnsi="Times New Roman" w:cs="Times New Roman"/>
                <w:iCs/>
                <w:sz w:val="24"/>
                <w:szCs w:val="24"/>
                <w:lang w:eastAsia="lv-LV"/>
              </w:rPr>
              <w:t>Netiek noteiktas stingrākas prasības</w:t>
            </w:r>
          </w:p>
        </w:tc>
      </w:tr>
      <w:tr w14:paraId="5ECAF438" w14:textId="77777777" w:rsidTr="002F3A45">
        <w:tblPrEx>
          <w:tblW w:w="0" w:type="auto"/>
          <w:tblLook w:val="04A0"/>
        </w:tblPrEx>
        <w:trPr>
          <w:trHeight w:val="261"/>
        </w:trPr>
        <w:tc>
          <w:tcPr>
            <w:tcW w:w="7075" w:type="dxa"/>
            <w:gridSpan w:val="4"/>
          </w:tcPr>
          <w:p w:rsidR="009C0A44" w:rsidRPr="00F419AC" w:rsidP="003F4AF0" w14:paraId="77397C83" w14:textId="77777777">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2212" w:type="dxa"/>
          </w:tcPr>
          <w:p w:rsidR="009C0A44" w:rsidRPr="00F419AC" w:rsidP="0028647E" w14:paraId="736AAF10" w14:textId="77777777">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14:paraId="4C2D9597" w14:textId="77777777" w:rsidTr="002F3A45">
        <w:tblPrEx>
          <w:tblW w:w="0" w:type="auto"/>
          <w:tblLook w:val="04A0"/>
        </w:tblPrEx>
        <w:trPr>
          <w:trHeight w:val="261"/>
        </w:trPr>
        <w:tc>
          <w:tcPr>
            <w:tcW w:w="7075" w:type="dxa"/>
            <w:gridSpan w:val="4"/>
          </w:tcPr>
          <w:p w:rsidR="009C0A44" w:rsidRPr="00F419AC" w:rsidP="003F4AF0" w14:paraId="2B07E87A" w14:textId="77777777">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 xml:space="preserve">Saistības sniegt paziņojumu ES institūcijām un ES dalībvalstīm </w:t>
            </w:r>
            <w:r w:rsidRPr="00F419AC">
              <w:rPr>
                <w:rFonts w:ascii="Times New Roman" w:eastAsia="Times New Roman" w:hAnsi="Times New Roman" w:cs="Times New Roman"/>
                <w:iCs/>
                <w:sz w:val="24"/>
                <w:szCs w:val="24"/>
                <w:lang w:eastAsia="lv-LV"/>
              </w:rPr>
              <w:t>atbilstoši normatīvajiem aktiem, kas regulē informācijas sniegšanu par tehnisko noteikumu, valsts atbalsta piešķiršanas un finanšu noteikumu (attiecībā uz monetāro politiku) projektiem</w:t>
            </w:r>
          </w:p>
        </w:tc>
        <w:tc>
          <w:tcPr>
            <w:tcW w:w="2212" w:type="dxa"/>
          </w:tcPr>
          <w:p w:rsidR="009C0A44" w:rsidRPr="00F419AC" w:rsidP="0028647E" w14:paraId="696E6BE1" w14:textId="77777777">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šo jomu </w:t>
            </w:r>
            <w:r>
              <w:rPr>
                <w:rFonts w:ascii="Times New Roman" w:eastAsia="Times New Roman" w:hAnsi="Times New Roman" w:cs="Times New Roman"/>
                <w:iCs/>
                <w:sz w:val="24"/>
                <w:szCs w:val="24"/>
                <w:lang w:eastAsia="lv-LV"/>
              </w:rPr>
              <w:t>neskar.</w:t>
            </w:r>
          </w:p>
        </w:tc>
      </w:tr>
      <w:tr w14:paraId="6A42D2A8" w14:textId="77777777" w:rsidTr="002F3A45">
        <w:tblPrEx>
          <w:tblW w:w="0" w:type="auto"/>
          <w:tblLook w:val="04A0"/>
        </w:tblPrEx>
        <w:trPr>
          <w:trHeight w:val="261"/>
        </w:trPr>
        <w:tc>
          <w:tcPr>
            <w:tcW w:w="2627" w:type="dxa"/>
            <w:gridSpan w:val="2"/>
          </w:tcPr>
          <w:p w:rsidR="009C0A44" w:rsidRPr="00F419AC" w:rsidP="003F4AF0" w14:paraId="0BD0AF8E" w14:textId="77777777">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val="en-US" w:eastAsia="lv-LV"/>
              </w:rPr>
              <w:t>Cita informācija</w:t>
            </w:r>
          </w:p>
        </w:tc>
        <w:tc>
          <w:tcPr>
            <w:tcW w:w="6660" w:type="dxa"/>
            <w:gridSpan w:val="3"/>
          </w:tcPr>
          <w:p w:rsidR="009C0A44" w:rsidRPr="002A40DF" w:rsidP="0066734C" w14:paraId="5FEB8B10" w14:textId="6CEC762D">
            <w:pPr>
              <w:jc w:val="both"/>
              <w:rPr>
                <w:rFonts w:ascii="Times New Roman" w:eastAsia="Times New Roman" w:hAnsi="Times New Roman" w:cs="Times New Roman"/>
                <w:iCs/>
                <w:sz w:val="24"/>
                <w:szCs w:val="24"/>
                <w:lang w:eastAsia="lv-LV"/>
              </w:rPr>
            </w:pPr>
            <w:r w:rsidRPr="002A40DF">
              <w:rPr>
                <w:rFonts w:ascii="Times New Roman" w:eastAsia="Times New Roman" w:hAnsi="Times New Roman" w:cs="Times New Roman"/>
                <w:iCs/>
                <w:sz w:val="24"/>
                <w:szCs w:val="24"/>
                <w:lang w:eastAsia="lv-LV"/>
              </w:rPr>
              <w:t xml:space="preserve">Informācija par citu </w:t>
            </w:r>
            <w:r w:rsidRPr="009C0A44" w:rsidR="0066734C">
              <w:rPr>
                <w:rFonts w:ascii="Times New Roman" w:hAnsi="Times New Roman" w:cs="Times New Roman"/>
                <w:b/>
                <w:sz w:val="24"/>
                <w:szCs w:val="24"/>
              </w:rPr>
              <w:t>Eiropas Parlamenta un Padomes 2012. gada 4. jūlija Direktīva 2012/19/ES par elektrisko un elektronisko iekārtu atkritumiem</w:t>
            </w:r>
            <w:r w:rsidRPr="002A40DF" w:rsidR="0066734C">
              <w:rPr>
                <w:rFonts w:ascii="Times New Roman" w:eastAsia="Times New Roman" w:hAnsi="Times New Roman" w:cs="Times New Roman"/>
                <w:iCs/>
                <w:sz w:val="24"/>
                <w:szCs w:val="24"/>
                <w:lang w:eastAsia="lv-LV"/>
              </w:rPr>
              <w:t xml:space="preserve"> </w:t>
            </w:r>
            <w:r w:rsidRPr="002A40DF">
              <w:rPr>
                <w:rFonts w:ascii="Times New Roman" w:eastAsia="Times New Roman" w:hAnsi="Times New Roman" w:cs="Times New Roman"/>
                <w:iCs/>
                <w:sz w:val="24"/>
                <w:szCs w:val="24"/>
                <w:lang w:eastAsia="lv-LV"/>
              </w:rPr>
              <w:t>pārņemšanu ir sniegta likumprojekta “Atkritumu apsaimniekošanas likums” anotācijas V. </w:t>
            </w:r>
            <w:r w:rsidR="003F4AF0">
              <w:rPr>
                <w:rFonts w:ascii="Times New Roman" w:eastAsia="Times New Roman" w:hAnsi="Times New Roman" w:cs="Times New Roman"/>
                <w:iCs/>
                <w:sz w:val="24"/>
                <w:szCs w:val="24"/>
                <w:lang w:eastAsia="lv-LV"/>
              </w:rPr>
              <w:t>s</w:t>
            </w:r>
            <w:r w:rsidR="0066734C">
              <w:rPr>
                <w:rFonts w:ascii="Times New Roman" w:eastAsia="Times New Roman" w:hAnsi="Times New Roman" w:cs="Times New Roman"/>
                <w:iCs/>
                <w:sz w:val="24"/>
                <w:szCs w:val="24"/>
                <w:lang w:eastAsia="lv-LV"/>
              </w:rPr>
              <w:t>adaļā un MK noteikumu Nr.</w:t>
            </w:r>
            <w:r w:rsidR="003F4AF0">
              <w:rPr>
                <w:rFonts w:ascii="Times New Roman" w:eastAsia="Times New Roman" w:hAnsi="Times New Roman" w:cs="Times New Roman"/>
                <w:iCs/>
                <w:sz w:val="24"/>
                <w:szCs w:val="24"/>
                <w:lang w:eastAsia="lv-LV"/>
              </w:rPr>
              <w:t> </w:t>
            </w:r>
            <w:r w:rsidR="0066734C">
              <w:rPr>
                <w:rFonts w:ascii="Times New Roman" w:eastAsia="Times New Roman" w:hAnsi="Times New Roman" w:cs="Times New Roman"/>
                <w:iCs/>
                <w:sz w:val="24"/>
                <w:szCs w:val="24"/>
                <w:lang w:eastAsia="lv-LV"/>
              </w:rPr>
              <w:t>388 anotācijā.</w:t>
            </w:r>
          </w:p>
        </w:tc>
      </w:tr>
    </w:tbl>
    <w:p w:rsidR="009C0A44" w:rsidRPr="00130EDB" w:rsidP="009C0A44" w14:paraId="20985BD0" w14:textId="77777777">
      <w:pPr>
        <w:spacing w:after="0" w:line="240" w:lineRule="auto"/>
        <w:rPr>
          <w:rFonts w:ascii="Times New Roman" w:eastAsia="Times New Roman" w:hAnsi="Times New Roman" w:cs="Times New Roman"/>
          <w:iCs/>
          <w:color w:val="414142"/>
          <w:sz w:val="24"/>
          <w:szCs w:val="24"/>
          <w:lang w:eastAsia="lv-LV"/>
        </w:rPr>
      </w:pPr>
    </w:p>
    <w:tbl>
      <w:tblPr>
        <w:tblStyle w:val="TableGrid"/>
        <w:tblW w:w="9322" w:type="dxa"/>
        <w:tblLook w:val="04A0"/>
      </w:tblPr>
      <w:tblGrid>
        <w:gridCol w:w="9322"/>
      </w:tblGrid>
      <w:tr w14:paraId="76AA12FF" w14:textId="77777777" w:rsidTr="003F4AF0">
        <w:tblPrEx>
          <w:tblW w:w="9322" w:type="dxa"/>
          <w:tblLook w:val="04A0"/>
        </w:tblPrEx>
        <w:tc>
          <w:tcPr>
            <w:tcW w:w="9322" w:type="dxa"/>
          </w:tcPr>
          <w:p w:rsidR="009C0A44" w:rsidRPr="00F419AC" w:rsidP="003F4AF0" w14:paraId="1006F9CE" w14:textId="77777777">
            <w:pPr>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414142"/>
                <w:sz w:val="24"/>
                <w:szCs w:val="24"/>
                <w:lang w:eastAsia="lv-LV"/>
              </w:rPr>
              <w:t> </w:t>
            </w:r>
            <w:r w:rsidRPr="00F419AC">
              <w:rPr>
                <w:rFonts w:ascii="Times New Roman" w:eastAsia="Times New Roman" w:hAnsi="Times New Roman" w:cs="Times New Roman"/>
                <w:b/>
                <w:bCs/>
                <w:iCs/>
                <w:sz w:val="24"/>
                <w:szCs w:val="24"/>
                <w:lang w:eastAsia="lv-LV"/>
              </w:rPr>
              <w:t>2.</w:t>
            </w:r>
            <w:r>
              <w:rPr>
                <w:rFonts w:ascii="Times New Roman" w:eastAsia="Times New Roman" w:hAnsi="Times New Roman" w:cs="Times New Roman"/>
                <w:b/>
                <w:bCs/>
                <w:iCs/>
                <w:sz w:val="24"/>
                <w:szCs w:val="24"/>
                <w:lang w:eastAsia="lv-LV"/>
              </w:rPr>
              <w:t> </w:t>
            </w:r>
            <w:r w:rsidRPr="00F419AC">
              <w:rPr>
                <w:rFonts w:ascii="Times New Roman" w:eastAsia="Times New Roman" w:hAnsi="Times New Roman" w:cs="Times New Roman"/>
                <w:b/>
                <w:bCs/>
                <w:iCs/>
                <w:sz w:val="24"/>
                <w:szCs w:val="24"/>
                <w:lang w:eastAsia="lv-LV"/>
              </w:rPr>
              <w:t>tabula</w:t>
            </w:r>
            <w:r w:rsidRPr="00F419AC">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F419AC">
              <w:rPr>
                <w:rFonts w:ascii="Times New Roman" w:eastAsia="Times New Roman" w:hAnsi="Times New Roman" w:cs="Times New Roman"/>
                <w:b/>
                <w:bCs/>
                <w:iCs/>
                <w:sz w:val="24"/>
                <w:szCs w:val="24"/>
                <w:lang w:eastAsia="lv-LV"/>
              </w:rPr>
              <w:br/>
              <w:t>Pasākumi šo saistību izpildei</w:t>
            </w:r>
          </w:p>
        </w:tc>
      </w:tr>
      <w:tr w14:paraId="4052E1C8" w14:textId="77777777" w:rsidTr="003F4AF0">
        <w:tblPrEx>
          <w:tblW w:w="9322" w:type="dxa"/>
          <w:tblLook w:val="04A0"/>
        </w:tblPrEx>
        <w:tc>
          <w:tcPr>
            <w:tcW w:w="9322" w:type="dxa"/>
          </w:tcPr>
          <w:p w:rsidR="009C0A44" w:rsidRPr="00F419AC" w:rsidP="003F4AF0" w14:paraId="75A7C58E" w14:textId="77777777">
            <w:pPr>
              <w:jc w:val="cente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Projekts šo jomu neskar.</w:t>
            </w:r>
          </w:p>
        </w:tc>
      </w:tr>
    </w:tbl>
    <w:p w:rsidR="00824887" w:rsidRPr="00F53BC4" w:rsidP="00824887" w14:paraId="02512299" w14:textId="7777777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tblPr>
      <w:tblGrid>
        <w:gridCol w:w="534"/>
        <w:gridCol w:w="3260"/>
        <w:gridCol w:w="5493"/>
      </w:tblGrid>
      <w:tr w14:paraId="55EDE90C" w14:textId="77777777" w:rsidTr="003F4AF0">
        <w:tblPrEx>
          <w:tblW w:w="0" w:type="auto"/>
          <w:tblLook w:val="04A0"/>
        </w:tblPrEx>
        <w:tc>
          <w:tcPr>
            <w:tcW w:w="9287" w:type="dxa"/>
            <w:gridSpan w:val="3"/>
          </w:tcPr>
          <w:p w:rsidR="00824887" w:rsidRPr="00F53BC4" w:rsidP="002A5E0D" w14:paraId="7DA8F5E2" w14:textId="77777777">
            <w:pPr>
              <w:jc w:val="center"/>
              <w:rPr>
                <w:rFonts w:ascii="Times New Roman" w:eastAsia="Times New Roman" w:hAnsi="Times New Roman" w:cs="Times New Roman"/>
                <w:iCs/>
                <w:color w:val="414142"/>
                <w:sz w:val="24"/>
                <w:szCs w:val="24"/>
                <w:lang w:eastAsia="lv-LV"/>
              </w:rPr>
            </w:pPr>
            <w:r w:rsidRPr="00F53BC4">
              <w:rPr>
                <w:rFonts w:ascii="Times New Roman" w:eastAsia="Times New Roman" w:hAnsi="Times New Roman" w:cs="Times New Roman"/>
                <w:b/>
                <w:bCs/>
                <w:iCs/>
                <w:sz w:val="24"/>
                <w:szCs w:val="24"/>
                <w:lang w:eastAsia="lv-LV"/>
              </w:rPr>
              <w:t>VI. Sabiedrības līdzdalība un komunikācijas aktivitātes</w:t>
            </w:r>
          </w:p>
        </w:tc>
      </w:tr>
      <w:tr w14:paraId="48584D0E" w14:textId="77777777" w:rsidTr="00354D2A">
        <w:tblPrEx>
          <w:tblW w:w="0" w:type="auto"/>
          <w:tblLook w:val="04A0"/>
        </w:tblPrEx>
        <w:trPr>
          <w:trHeight w:val="3719"/>
        </w:trPr>
        <w:tc>
          <w:tcPr>
            <w:tcW w:w="534" w:type="dxa"/>
          </w:tcPr>
          <w:p w:rsidR="00824887" w:rsidRPr="00F53BC4" w:rsidP="003F4AF0" w14:paraId="23124B33"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1.</w:t>
            </w:r>
          </w:p>
        </w:tc>
        <w:tc>
          <w:tcPr>
            <w:tcW w:w="3260" w:type="dxa"/>
          </w:tcPr>
          <w:p w:rsidR="00FB0507" w:rsidRPr="00F53BC4" w:rsidP="00070EA7" w14:paraId="0FDBB534" w14:textId="77777777">
            <w:pPr>
              <w:jc w:val="both"/>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Plānotās sabiedrības līdzdalības un komunikācijas aktivitātes saistībā ar projektu</w:t>
            </w:r>
          </w:p>
          <w:p w:rsidR="00FB0507" w:rsidRPr="00F53BC4" w:rsidP="00070EA7" w14:paraId="7AC33EEA" w14:textId="77777777">
            <w:pPr>
              <w:jc w:val="both"/>
              <w:rPr>
                <w:rFonts w:ascii="Times New Roman" w:eastAsia="Times New Roman" w:hAnsi="Times New Roman" w:cs="Times New Roman"/>
                <w:sz w:val="24"/>
                <w:szCs w:val="24"/>
                <w:lang w:eastAsia="lv-LV"/>
              </w:rPr>
            </w:pPr>
          </w:p>
          <w:p w:rsidR="00FB0507" w:rsidRPr="00F53BC4" w:rsidP="00FB0507" w14:paraId="2F518B99" w14:textId="77777777">
            <w:pPr>
              <w:rPr>
                <w:rFonts w:ascii="Times New Roman" w:eastAsia="Times New Roman" w:hAnsi="Times New Roman" w:cs="Times New Roman"/>
                <w:sz w:val="24"/>
                <w:szCs w:val="24"/>
                <w:lang w:eastAsia="lv-LV"/>
              </w:rPr>
            </w:pPr>
          </w:p>
          <w:p w:rsidR="00FB0507" w:rsidRPr="00F53BC4" w:rsidP="00FB0507" w14:paraId="66653855" w14:textId="77777777">
            <w:pPr>
              <w:rPr>
                <w:rFonts w:ascii="Times New Roman" w:eastAsia="Times New Roman" w:hAnsi="Times New Roman" w:cs="Times New Roman"/>
                <w:sz w:val="24"/>
                <w:szCs w:val="24"/>
                <w:lang w:eastAsia="lv-LV"/>
              </w:rPr>
            </w:pPr>
          </w:p>
          <w:p w:rsidR="00FB0507" w:rsidRPr="00F53BC4" w:rsidP="00FB0507" w14:paraId="542F0738" w14:textId="77777777">
            <w:pPr>
              <w:rPr>
                <w:rFonts w:ascii="Times New Roman" w:eastAsia="Times New Roman" w:hAnsi="Times New Roman" w:cs="Times New Roman"/>
                <w:sz w:val="24"/>
                <w:szCs w:val="24"/>
                <w:lang w:eastAsia="lv-LV"/>
              </w:rPr>
            </w:pPr>
          </w:p>
          <w:p w:rsidR="00FB0507" w:rsidRPr="00F53BC4" w:rsidP="00FB0507" w14:paraId="2B34D03A" w14:textId="77777777">
            <w:pPr>
              <w:rPr>
                <w:rFonts w:ascii="Times New Roman" w:eastAsia="Times New Roman" w:hAnsi="Times New Roman" w:cs="Times New Roman"/>
                <w:sz w:val="24"/>
                <w:szCs w:val="24"/>
                <w:lang w:eastAsia="lv-LV"/>
              </w:rPr>
            </w:pPr>
          </w:p>
          <w:p w:rsidR="00FB0507" w:rsidRPr="00F53BC4" w:rsidP="00FB0507" w14:paraId="24251597" w14:textId="77777777">
            <w:pPr>
              <w:rPr>
                <w:rFonts w:ascii="Times New Roman" w:eastAsia="Times New Roman" w:hAnsi="Times New Roman" w:cs="Times New Roman"/>
                <w:sz w:val="24"/>
                <w:szCs w:val="24"/>
                <w:lang w:eastAsia="lv-LV"/>
              </w:rPr>
            </w:pPr>
          </w:p>
          <w:p w:rsidR="00FB0507" w:rsidRPr="00F53BC4" w:rsidP="00FB0507" w14:paraId="3DBA1780" w14:textId="77777777">
            <w:pPr>
              <w:rPr>
                <w:rFonts w:ascii="Times New Roman" w:eastAsia="Times New Roman" w:hAnsi="Times New Roman" w:cs="Times New Roman"/>
                <w:sz w:val="24"/>
                <w:szCs w:val="24"/>
                <w:lang w:eastAsia="lv-LV"/>
              </w:rPr>
            </w:pPr>
          </w:p>
          <w:p w:rsidR="00FB0507" w:rsidRPr="00F53BC4" w:rsidP="00FB0507" w14:paraId="27245494" w14:textId="77777777">
            <w:pPr>
              <w:rPr>
                <w:rFonts w:ascii="Times New Roman" w:eastAsia="Times New Roman" w:hAnsi="Times New Roman" w:cs="Times New Roman"/>
                <w:sz w:val="24"/>
                <w:szCs w:val="24"/>
                <w:lang w:eastAsia="lv-LV"/>
              </w:rPr>
            </w:pPr>
          </w:p>
          <w:p w:rsidR="00161844" w:rsidRPr="00F53BC4" w:rsidP="00FB0507" w14:paraId="37CD8BC1" w14:textId="77777777">
            <w:pPr>
              <w:rPr>
                <w:rFonts w:ascii="Times New Roman" w:eastAsia="Times New Roman" w:hAnsi="Times New Roman" w:cs="Times New Roman"/>
                <w:sz w:val="24"/>
                <w:szCs w:val="24"/>
                <w:lang w:eastAsia="lv-LV"/>
              </w:rPr>
            </w:pPr>
          </w:p>
          <w:p w:rsidR="00824887" w:rsidRPr="00F53BC4" w:rsidP="00161844" w14:paraId="727A6C5A" w14:textId="77777777">
            <w:pPr>
              <w:rPr>
                <w:rFonts w:ascii="Times New Roman" w:eastAsia="Times New Roman" w:hAnsi="Times New Roman" w:cs="Times New Roman"/>
                <w:sz w:val="24"/>
                <w:szCs w:val="24"/>
                <w:lang w:eastAsia="lv-LV"/>
              </w:rPr>
            </w:pPr>
          </w:p>
        </w:tc>
        <w:tc>
          <w:tcPr>
            <w:tcW w:w="5493" w:type="dxa"/>
          </w:tcPr>
          <w:p w:rsidR="00824887" w:rsidRPr="00F53BC4" w:rsidP="00E23A42" w14:paraId="5D9BAE08" w14:textId="77777777">
            <w:pPr>
              <w:pStyle w:val="naisf"/>
              <w:spacing w:before="0" w:after="240"/>
              <w:ind w:right="57" w:firstLine="0"/>
            </w:pPr>
            <w:r w:rsidRPr="00F53BC4">
              <w:t>Saskaņā ar Ministru kabineta 2009. gada 25. augusta noteikumu Nr. </w:t>
            </w:r>
            <w:r w:rsidRPr="00F53BC4" w:rsidR="00FB0507">
              <w:t>970 “</w:t>
            </w:r>
            <w:r w:rsidRPr="00F53BC4">
              <w:t>Sabiedrības līdzdalības kārtība attīstības plānošanas procesā”</w:t>
            </w:r>
            <w:r w:rsidRPr="00F53BC4" w:rsidR="00FB0507">
              <w:t xml:space="preserve"> (turpmāk – MK noteikumi Nr. 970)</w:t>
            </w:r>
            <w:r w:rsidRPr="00F53BC4">
              <w:t xml:space="preserve"> 7.4.</w:t>
            </w:r>
            <w:r w:rsidRPr="00F53BC4">
              <w:rPr>
                <w:vertAlign w:val="superscript"/>
              </w:rPr>
              <w:t>1</w:t>
            </w:r>
            <w:r w:rsidRPr="00F53BC4">
              <w:t> apakšpunktu sabiedrības pārstāvji ir aicināti līdzdarboties, rakstiski sniedzot viedokli par noteikumu proje</w:t>
            </w:r>
            <w:bookmarkStart w:id="0" w:name="_GoBack"/>
            <w:bookmarkEnd w:id="0"/>
            <w:r w:rsidRPr="00F53BC4">
              <w:t>ktu tā izstrādes stadijā.</w:t>
            </w:r>
          </w:p>
          <w:p w:rsidR="00824887" w:rsidRPr="00F53BC4" w:rsidP="00354D2A" w14:paraId="38705421" w14:textId="65184608">
            <w:pPr>
              <w:pStyle w:val="naisf"/>
              <w:spacing w:before="0" w:after="240"/>
              <w:ind w:right="57" w:firstLine="0"/>
            </w:pPr>
            <w:r w:rsidRPr="00F53BC4">
              <w:t>VARAM 2018.</w:t>
            </w:r>
            <w:r w:rsidRPr="00F53BC4" w:rsidR="00FB0507">
              <w:t> </w:t>
            </w:r>
            <w:r w:rsidRPr="00F53BC4">
              <w:t>gada 23.</w:t>
            </w:r>
            <w:r w:rsidRPr="00F53BC4" w:rsidR="00FB0507">
              <w:t> </w:t>
            </w:r>
            <w:r w:rsidRPr="00F53BC4">
              <w:t xml:space="preserve">aprīlī notika sanāksme, kurā piedalījās VVD, </w:t>
            </w:r>
            <w:r w:rsidRPr="00F53BC4" w:rsidR="009637B1">
              <w:t xml:space="preserve">Latvijas Elektrotehniskās un elektroniskās rūpniecības </w:t>
            </w:r>
            <w:r w:rsidR="002C208F">
              <w:t>asociācijas un</w:t>
            </w:r>
            <w:r w:rsidRPr="00F53BC4" w:rsidR="009637B1">
              <w:t xml:space="preserve"> iekārtu atkritumu apsaimniekotāju pārstāvji. Sa</w:t>
            </w:r>
            <w:r w:rsidRPr="00F53BC4" w:rsidR="00160D04">
              <w:t xml:space="preserve">nāksmes dalībnieki apsprieda noteikumu projektu un izteica priekšlikumus tā uzlabošanai. </w:t>
            </w:r>
          </w:p>
        </w:tc>
      </w:tr>
      <w:tr w14:paraId="07CCA620" w14:textId="77777777" w:rsidTr="003F4AF0">
        <w:tblPrEx>
          <w:tblW w:w="0" w:type="auto"/>
          <w:tblLook w:val="04A0"/>
        </w:tblPrEx>
        <w:tc>
          <w:tcPr>
            <w:tcW w:w="534" w:type="dxa"/>
          </w:tcPr>
          <w:p w:rsidR="00824887" w:rsidRPr="00F53BC4" w:rsidP="003F4AF0" w14:paraId="7E90EE78"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2.</w:t>
            </w:r>
          </w:p>
        </w:tc>
        <w:tc>
          <w:tcPr>
            <w:tcW w:w="3260" w:type="dxa"/>
          </w:tcPr>
          <w:p w:rsidR="00824887" w:rsidRPr="00F53BC4" w:rsidP="003F4AF0" w14:paraId="19197060"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Sabiedrības līdzdalība projekta izstrādē</w:t>
            </w:r>
          </w:p>
        </w:tc>
        <w:tc>
          <w:tcPr>
            <w:tcW w:w="5493" w:type="dxa"/>
          </w:tcPr>
          <w:p w:rsidR="00824887" w:rsidRPr="00F53BC4" w:rsidP="00FB0507" w14:paraId="7FF8D33C" w14:textId="74CF3B50">
            <w:pPr>
              <w:jc w:val="both"/>
              <w:rPr>
                <w:rFonts w:ascii="Times New Roman" w:eastAsia="Times New Roman" w:hAnsi="Times New Roman" w:cs="Times New Roman"/>
                <w:sz w:val="24"/>
                <w:szCs w:val="24"/>
                <w:lang w:eastAsia="lv-LV"/>
              </w:rPr>
            </w:pPr>
            <w:r w:rsidRPr="00F53BC4">
              <w:rPr>
                <w:rFonts w:ascii="Times New Roman" w:eastAsia="Times New Roman" w:hAnsi="Times New Roman" w:cs="Times New Roman"/>
                <w:sz w:val="24"/>
                <w:szCs w:val="24"/>
                <w:lang w:eastAsia="lv-LV"/>
              </w:rPr>
              <w:t xml:space="preserve">Noteikumu projekts </w:t>
            </w:r>
            <w:r w:rsidRPr="00F53BC4" w:rsidR="004F26D1">
              <w:rPr>
                <w:rFonts w:ascii="Times New Roman" w:eastAsia="Times New Roman" w:hAnsi="Times New Roman" w:cs="Times New Roman"/>
                <w:sz w:val="24"/>
                <w:szCs w:val="24"/>
                <w:lang w:eastAsia="lv-LV"/>
              </w:rPr>
              <w:t>2018. gada 7.</w:t>
            </w:r>
            <w:r w:rsidRPr="00F53BC4" w:rsidR="00944F89">
              <w:rPr>
                <w:rFonts w:ascii="Times New Roman" w:eastAsia="Times New Roman" w:hAnsi="Times New Roman" w:cs="Times New Roman"/>
                <w:sz w:val="24"/>
                <w:szCs w:val="24"/>
                <w:lang w:eastAsia="lv-LV"/>
              </w:rPr>
              <w:t> </w:t>
            </w:r>
            <w:r w:rsidRPr="00F53BC4" w:rsidR="004F26D1">
              <w:rPr>
                <w:rFonts w:ascii="Times New Roman" w:eastAsia="Times New Roman" w:hAnsi="Times New Roman" w:cs="Times New Roman"/>
                <w:sz w:val="24"/>
                <w:szCs w:val="24"/>
                <w:lang w:eastAsia="lv-LV"/>
              </w:rPr>
              <w:t xml:space="preserve">maijā </w:t>
            </w:r>
            <w:r w:rsidRPr="00F53BC4">
              <w:rPr>
                <w:rFonts w:ascii="Times New Roman" w:eastAsia="Times New Roman" w:hAnsi="Times New Roman" w:cs="Times New Roman"/>
                <w:sz w:val="24"/>
                <w:szCs w:val="24"/>
                <w:lang w:eastAsia="lv-LV"/>
              </w:rPr>
              <w:t>ievietots</w:t>
            </w:r>
            <w:r w:rsidRPr="00F53BC4" w:rsidR="00F67EC0">
              <w:rPr>
                <w:rFonts w:ascii="Times New Roman" w:eastAsia="Times New Roman" w:hAnsi="Times New Roman" w:cs="Times New Roman"/>
                <w:sz w:val="24"/>
                <w:szCs w:val="24"/>
                <w:lang w:eastAsia="lv-LV"/>
              </w:rPr>
              <w:t xml:space="preserve"> </w:t>
            </w:r>
            <w:r w:rsidRPr="00F53BC4">
              <w:rPr>
                <w:rFonts w:ascii="Times New Roman" w:eastAsia="Times New Roman" w:hAnsi="Times New Roman" w:cs="Times New Roman"/>
                <w:sz w:val="24"/>
                <w:szCs w:val="24"/>
                <w:lang w:eastAsia="lv-LV"/>
              </w:rPr>
              <w:t>V</w:t>
            </w:r>
            <w:r w:rsidRPr="00F53BC4" w:rsidR="00FB0507">
              <w:rPr>
                <w:rFonts w:ascii="Times New Roman" w:eastAsia="Times New Roman" w:hAnsi="Times New Roman" w:cs="Times New Roman"/>
                <w:sz w:val="24"/>
                <w:szCs w:val="24"/>
                <w:lang w:eastAsia="lv-LV"/>
              </w:rPr>
              <w:t xml:space="preserve">ARAM </w:t>
            </w:r>
            <w:r w:rsidRPr="00F53BC4" w:rsidR="00660C1A">
              <w:rPr>
                <w:rFonts w:ascii="Times New Roman" w:eastAsia="Times New Roman" w:hAnsi="Times New Roman" w:cs="Times New Roman"/>
                <w:sz w:val="24"/>
                <w:szCs w:val="24"/>
                <w:lang w:eastAsia="lv-LV"/>
              </w:rPr>
              <w:t xml:space="preserve">tīmekļvietnē </w:t>
            </w:r>
            <w:r>
              <w:fldChar w:fldCharType="begin"/>
            </w:r>
            <w:r>
              <w:instrText xml:space="preserve"> HYPERLINK "http://www.varam.gov.lv" </w:instrText>
            </w:r>
            <w:r>
              <w:fldChar w:fldCharType="separate"/>
            </w:r>
            <w:r w:rsidRPr="00F53BC4">
              <w:rPr>
                <w:rStyle w:val="Hyperlink"/>
                <w:rFonts w:ascii="Times New Roman" w:hAnsi="Times New Roman" w:cs="Times New Roman"/>
                <w:sz w:val="24"/>
                <w:szCs w:val="24"/>
              </w:rPr>
              <w:t>www.varam.gov.lv</w:t>
            </w:r>
            <w:r>
              <w:fldChar w:fldCharType="end"/>
            </w:r>
            <w:r w:rsidRPr="00F53BC4">
              <w:rPr>
                <w:rFonts w:ascii="Times New Roman" w:eastAsia="Times New Roman" w:hAnsi="Times New Roman" w:cs="Times New Roman"/>
                <w:sz w:val="24"/>
                <w:szCs w:val="24"/>
                <w:lang w:eastAsia="lv-LV"/>
              </w:rPr>
              <w:t>, līdz ar</w:t>
            </w:r>
            <w:r w:rsidRPr="00F53BC4" w:rsidR="00F67EC0">
              <w:rPr>
                <w:rFonts w:ascii="Times New Roman" w:eastAsia="Times New Roman" w:hAnsi="Times New Roman" w:cs="Times New Roman"/>
                <w:sz w:val="24"/>
                <w:szCs w:val="24"/>
                <w:lang w:eastAsia="lv-LV"/>
              </w:rPr>
              <w:t xml:space="preserve"> to ieinteresētajām personām bija</w:t>
            </w:r>
            <w:r w:rsidRPr="00F53BC4">
              <w:rPr>
                <w:rFonts w:ascii="Times New Roman" w:eastAsia="Times New Roman" w:hAnsi="Times New Roman" w:cs="Times New Roman"/>
                <w:sz w:val="24"/>
                <w:szCs w:val="24"/>
                <w:lang w:eastAsia="lv-LV"/>
              </w:rPr>
              <w:t xml:space="preserve"> iespēja izteikt viedokli un sniegt priekšlikumus.</w:t>
            </w:r>
          </w:p>
        </w:tc>
      </w:tr>
      <w:tr w14:paraId="5ECF42A3" w14:textId="77777777" w:rsidTr="003F4AF0">
        <w:tblPrEx>
          <w:tblW w:w="0" w:type="auto"/>
          <w:tblLook w:val="04A0"/>
        </w:tblPrEx>
        <w:tc>
          <w:tcPr>
            <w:tcW w:w="534" w:type="dxa"/>
          </w:tcPr>
          <w:p w:rsidR="00824887" w:rsidRPr="00F53BC4" w:rsidP="003F4AF0" w14:paraId="510DE0E2"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3.</w:t>
            </w:r>
          </w:p>
        </w:tc>
        <w:tc>
          <w:tcPr>
            <w:tcW w:w="3260" w:type="dxa"/>
          </w:tcPr>
          <w:p w:rsidR="00824887" w:rsidRPr="00F53BC4" w:rsidP="003F4AF0" w14:paraId="1C790DFA"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Sabiedrības līdzdalības rezultāti</w:t>
            </w:r>
          </w:p>
        </w:tc>
        <w:tc>
          <w:tcPr>
            <w:tcW w:w="5493" w:type="dxa"/>
          </w:tcPr>
          <w:p w:rsidR="00824887" w:rsidRPr="00F53BC4" w:rsidP="006D0B2E" w14:paraId="6B19FB6C" w14:textId="6585A5D1">
            <w:pPr>
              <w:jc w:val="both"/>
              <w:rPr>
                <w:rFonts w:ascii="Times New Roman" w:eastAsia="Times New Roman" w:hAnsi="Times New Roman" w:cs="Times New Roman"/>
                <w:iCs/>
                <w:color w:val="414142"/>
                <w:sz w:val="24"/>
                <w:szCs w:val="24"/>
                <w:lang w:eastAsia="lv-LV"/>
              </w:rPr>
            </w:pPr>
            <w:r w:rsidRPr="00F53BC4">
              <w:rPr>
                <w:rFonts w:ascii="Times New Roman" w:eastAsia="Times New Roman" w:hAnsi="Times New Roman" w:cs="Times New Roman"/>
                <w:sz w:val="24"/>
                <w:szCs w:val="24"/>
                <w:lang w:eastAsia="lv-LV"/>
              </w:rPr>
              <w:t xml:space="preserve">Sabiedrības līdzdalības rezultātā nav saņemti iebildumi un priekšlikumi. </w:t>
            </w:r>
          </w:p>
        </w:tc>
      </w:tr>
      <w:tr w14:paraId="61875A3C" w14:textId="77777777" w:rsidTr="003F4AF0">
        <w:tblPrEx>
          <w:tblW w:w="0" w:type="auto"/>
          <w:tblLook w:val="04A0"/>
        </w:tblPrEx>
        <w:tc>
          <w:tcPr>
            <w:tcW w:w="534" w:type="dxa"/>
          </w:tcPr>
          <w:p w:rsidR="00824887" w:rsidRPr="00F53BC4" w:rsidP="003F4AF0" w14:paraId="503C5057"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4.</w:t>
            </w:r>
          </w:p>
        </w:tc>
        <w:tc>
          <w:tcPr>
            <w:tcW w:w="3260" w:type="dxa"/>
          </w:tcPr>
          <w:p w:rsidR="00824887" w:rsidRPr="00F53BC4" w:rsidP="003F4AF0" w14:paraId="34E2ED60"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Cita informācija</w:t>
            </w:r>
          </w:p>
        </w:tc>
        <w:tc>
          <w:tcPr>
            <w:tcW w:w="5493" w:type="dxa"/>
          </w:tcPr>
          <w:p w:rsidR="00824887" w:rsidRPr="00F53BC4" w:rsidP="003F4AF0" w14:paraId="00B95891" w14:textId="77777777">
            <w:pPr>
              <w:rPr>
                <w:rFonts w:ascii="Times New Roman" w:eastAsia="Times New Roman" w:hAnsi="Times New Roman" w:cs="Times New Roman"/>
                <w:iCs/>
                <w:color w:val="414142"/>
                <w:sz w:val="24"/>
                <w:szCs w:val="24"/>
                <w:lang w:eastAsia="lv-LV"/>
              </w:rPr>
            </w:pPr>
            <w:r w:rsidRPr="00F53BC4">
              <w:rPr>
                <w:rFonts w:ascii="Times New Roman" w:eastAsia="Times New Roman" w:hAnsi="Times New Roman" w:cs="Times New Roman"/>
                <w:iCs/>
                <w:color w:val="414142"/>
                <w:sz w:val="24"/>
                <w:szCs w:val="24"/>
                <w:lang w:eastAsia="lv-LV"/>
              </w:rPr>
              <w:t>Nav</w:t>
            </w:r>
            <w:r w:rsidRPr="00F53BC4" w:rsidR="00440623">
              <w:rPr>
                <w:rFonts w:ascii="Times New Roman" w:eastAsia="Times New Roman" w:hAnsi="Times New Roman" w:cs="Times New Roman"/>
                <w:iCs/>
                <w:color w:val="414142"/>
                <w:sz w:val="24"/>
                <w:szCs w:val="24"/>
                <w:lang w:eastAsia="lv-LV"/>
              </w:rPr>
              <w:t>.</w:t>
            </w:r>
          </w:p>
        </w:tc>
      </w:tr>
    </w:tbl>
    <w:p w:rsidR="00824887" w:rsidRPr="00F53BC4" w:rsidP="00824887" w14:paraId="209DAC68" w14:textId="7777777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tblPr>
      <w:tblGrid>
        <w:gridCol w:w="534"/>
        <w:gridCol w:w="3260"/>
        <w:gridCol w:w="5493"/>
      </w:tblGrid>
      <w:tr w14:paraId="0117AE57" w14:textId="77777777" w:rsidTr="003F4AF0">
        <w:tblPrEx>
          <w:tblW w:w="0" w:type="auto"/>
          <w:tblLook w:val="04A0"/>
        </w:tblPrEx>
        <w:tc>
          <w:tcPr>
            <w:tcW w:w="9287" w:type="dxa"/>
            <w:gridSpan w:val="3"/>
          </w:tcPr>
          <w:p w:rsidR="00824887" w:rsidRPr="00F53BC4" w:rsidP="003F4AF0" w14:paraId="5BEBD358"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1D2C3BC6" w14:textId="77777777" w:rsidTr="003F4AF0">
        <w:tblPrEx>
          <w:tblW w:w="0" w:type="auto"/>
          <w:tblLook w:val="04A0"/>
        </w:tblPrEx>
        <w:tc>
          <w:tcPr>
            <w:tcW w:w="534" w:type="dxa"/>
          </w:tcPr>
          <w:p w:rsidR="00824887" w:rsidRPr="00F53BC4" w:rsidP="003F4AF0" w14:paraId="0487EB25"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1.</w:t>
            </w:r>
          </w:p>
        </w:tc>
        <w:tc>
          <w:tcPr>
            <w:tcW w:w="3260" w:type="dxa"/>
          </w:tcPr>
          <w:p w:rsidR="00824887" w:rsidRPr="00F53BC4" w:rsidP="00070EA7" w14:paraId="6D548C02" w14:textId="77777777">
            <w:pPr>
              <w:jc w:val="both"/>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Projekta izpildē iesaistītās institūcijas</w:t>
            </w:r>
          </w:p>
        </w:tc>
        <w:tc>
          <w:tcPr>
            <w:tcW w:w="5493" w:type="dxa"/>
          </w:tcPr>
          <w:p w:rsidR="00F53BC4" w:rsidRPr="00F53BC4" w:rsidP="00F53BC4" w14:paraId="5F8C1C72" w14:textId="0C89868A">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VVD, </w:t>
            </w:r>
            <w:r w:rsidRPr="00F53BC4">
              <w:rPr>
                <w:rFonts w:ascii="Times New Roman" w:eastAsia="Times New Roman" w:hAnsi="Times New Roman" w:cs="Times New Roman"/>
                <w:iCs/>
                <w:sz w:val="24"/>
                <w:szCs w:val="24"/>
                <w:lang w:eastAsia="lv-LV"/>
              </w:rPr>
              <w:t>Latvijas Elektrotehnikas un elektronikas rūpniecības asociācija.</w:t>
            </w:r>
          </w:p>
        </w:tc>
      </w:tr>
      <w:tr w14:paraId="793C247F" w14:textId="77777777" w:rsidTr="003F4AF0">
        <w:tblPrEx>
          <w:tblW w:w="0" w:type="auto"/>
          <w:tblLook w:val="04A0"/>
        </w:tblPrEx>
        <w:tc>
          <w:tcPr>
            <w:tcW w:w="534" w:type="dxa"/>
          </w:tcPr>
          <w:p w:rsidR="00824887" w:rsidRPr="00F53BC4" w:rsidP="003F4AF0" w14:paraId="44FDE628"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2.</w:t>
            </w:r>
          </w:p>
        </w:tc>
        <w:tc>
          <w:tcPr>
            <w:tcW w:w="3260" w:type="dxa"/>
          </w:tcPr>
          <w:p w:rsidR="00824887" w:rsidRPr="00F53BC4" w:rsidP="00070EA7" w14:paraId="5B737475" w14:textId="77777777">
            <w:pPr>
              <w:jc w:val="both"/>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Projekta izpildes ietekme uz pārvaldes funkcijām un institucionālo struktūru.</w:t>
            </w:r>
            <w:r w:rsidRPr="00F53BC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493" w:type="dxa"/>
          </w:tcPr>
          <w:p w:rsidR="00824887" w:rsidRPr="00F53BC4" w:rsidP="003F4AF0" w14:paraId="774783DE" w14:textId="77777777">
            <w:pPr>
              <w:pStyle w:val="naisnod"/>
              <w:spacing w:before="0" w:after="0"/>
              <w:ind w:left="57" w:right="57"/>
              <w:jc w:val="both"/>
              <w:rPr>
                <w:b w:val="0"/>
              </w:rPr>
            </w:pPr>
            <w:r w:rsidRPr="00F53BC4">
              <w:rPr>
                <w:b w:val="0"/>
              </w:rPr>
              <w:t>Noteikumu projekts neietekmē iesaistīto institūciju funkcijas un uzdevumus.</w:t>
            </w:r>
          </w:p>
          <w:p w:rsidR="00824887" w:rsidRPr="00F53BC4" w:rsidP="003F4AF0" w14:paraId="0D9AD3E9" w14:textId="77777777">
            <w:pPr>
              <w:pStyle w:val="naisnod"/>
              <w:spacing w:before="0" w:after="0"/>
              <w:ind w:left="57" w:right="57"/>
              <w:jc w:val="both"/>
              <w:rPr>
                <w:b w:val="0"/>
              </w:rPr>
            </w:pPr>
          </w:p>
          <w:p w:rsidR="00824887" w:rsidRPr="00F53BC4" w:rsidP="003F4AF0" w14:paraId="07C059A8"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bCs/>
                <w:sz w:val="24"/>
                <w:szCs w:val="24"/>
                <w:lang w:eastAsia="lv-LV"/>
              </w:rPr>
              <w:t>Jaunas institūcijas nav jāveido. Esošās institūcijas nav jāreorganizē.</w:t>
            </w:r>
          </w:p>
        </w:tc>
      </w:tr>
      <w:tr w14:paraId="02EABCF7" w14:textId="77777777" w:rsidTr="003F4AF0">
        <w:tblPrEx>
          <w:tblW w:w="0" w:type="auto"/>
          <w:tblLook w:val="04A0"/>
        </w:tblPrEx>
        <w:tc>
          <w:tcPr>
            <w:tcW w:w="534" w:type="dxa"/>
          </w:tcPr>
          <w:p w:rsidR="00824887" w:rsidRPr="00F53BC4" w:rsidP="003F4AF0" w14:paraId="13510B42"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3.</w:t>
            </w:r>
          </w:p>
        </w:tc>
        <w:tc>
          <w:tcPr>
            <w:tcW w:w="3260" w:type="dxa"/>
          </w:tcPr>
          <w:p w:rsidR="00824887" w:rsidRPr="00F53BC4" w:rsidP="003F4AF0" w14:paraId="2729A4D7"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Cita informācija</w:t>
            </w:r>
          </w:p>
        </w:tc>
        <w:tc>
          <w:tcPr>
            <w:tcW w:w="5493" w:type="dxa"/>
          </w:tcPr>
          <w:p w:rsidR="00824887" w:rsidRPr="00F53BC4" w:rsidP="003F4AF0" w14:paraId="03A598FC" w14:textId="77777777">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Nav</w:t>
            </w:r>
            <w:r w:rsidRPr="00F53BC4" w:rsidR="00B51880">
              <w:rPr>
                <w:rFonts w:ascii="Times New Roman" w:eastAsia="Times New Roman" w:hAnsi="Times New Roman" w:cs="Times New Roman"/>
                <w:iCs/>
                <w:sz w:val="24"/>
                <w:szCs w:val="24"/>
                <w:lang w:eastAsia="lv-LV"/>
              </w:rPr>
              <w:t>.</w:t>
            </w:r>
          </w:p>
        </w:tc>
      </w:tr>
    </w:tbl>
    <w:p w:rsidR="00824887" w:rsidRPr="00F53BC4" w:rsidP="00824887" w14:paraId="025FF2CD" w14:textId="77777777">
      <w:pPr>
        <w:spacing w:after="0" w:line="240" w:lineRule="auto"/>
        <w:rPr>
          <w:rFonts w:ascii="Times New Roman" w:eastAsia="Times New Roman" w:hAnsi="Times New Roman" w:cs="Times New Roman"/>
          <w:iCs/>
          <w:color w:val="414142"/>
          <w:sz w:val="24"/>
          <w:szCs w:val="24"/>
          <w:lang w:eastAsia="lv-LV"/>
        </w:rPr>
      </w:pPr>
    </w:p>
    <w:p w:rsidR="00824887" w:rsidRPr="00F53BC4" w:rsidP="00824887" w14:paraId="35F25640" w14:textId="77777777">
      <w:pPr>
        <w:spacing w:after="0" w:line="240" w:lineRule="auto"/>
        <w:rPr>
          <w:rFonts w:ascii="Times New Roman" w:hAnsi="Times New Roman" w:cs="Times New Roman"/>
          <w:sz w:val="28"/>
          <w:szCs w:val="28"/>
        </w:rPr>
      </w:pPr>
    </w:p>
    <w:p w:rsidR="00824887" w:rsidRPr="00F53BC4" w:rsidP="00824887" w14:paraId="2CE3B36F" w14:textId="77777777">
      <w:pPr>
        <w:spacing w:after="0" w:line="240" w:lineRule="auto"/>
        <w:rPr>
          <w:rFonts w:ascii="Times New Roman" w:hAnsi="Times New Roman" w:cs="Times New Roman"/>
          <w:sz w:val="24"/>
          <w:szCs w:val="24"/>
        </w:rPr>
      </w:pPr>
      <w:r w:rsidRPr="00F53BC4">
        <w:rPr>
          <w:rFonts w:ascii="Times New Roman" w:hAnsi="Times New Roman" w:cs="Times New Roman"/>
          <w:sz w:val="24"/>
          <w:szCs w:val="24"/>
        </w:rPr>
        <w:t>Vides aizsardzības un reģionālās attīstības ministrs</w:t>
      </w:r>
      <w:r w:rsidRPr="00F53BC4">
        <w:rPr>
          <w:rFonts w:ascii="Times New Roman" w:hAnsi="Times New Roman" w:cs="Times New Roman"/>
          <w:sz w:val="24"/>
          <w:szCs w:val="24"/>
        </w:rPr>
        <w:tab/>
      </w:r>
      <w:r w:rsidRPr="00F53BC4">
        <w:rPr>
          <w:rFonts w:ascii="Times New Roman" w:hAnsi="Times New Roman" w:cs="Times New Roman"/>
          <w:sz w:val="24"/>
          <w:szCs w:val="24"/>
        </w:rPr>
        <w:tab/>
        <w:t>Kaspars Gerhards</w:t>
      </w:r>
    </w:p>
    <w:p w:rsidR="00824887" w:rsidRPr="00F53BC4" w:rsidP="00824887" w14:paraId="36676185" w14:textId="77777777">
      <w:pPr>
        <w:spacing w:after="0" w:line="240" w:lineRule="auto"/>
        <w:ind w:firstLine="720"/>
        <w:rPr>
          <w:rFonts w:ascii="Times New Roman" w:hAnsi="Times New Roman" w:cs="Times New Roman"/>
          <w:sz w:val="28"/>
          <w:szCs w:val="28"/>
        </w:rPr>
      </w:pPr>
    </w:p>
    <w:p w:rsidR="004F26D1" w:rsidRPr="00F53BC4" w:rsidP="00824887" w14:paraId="37150DFF" w14:textId="77777777">
      <w:pPr>
        <w:spacing w:after="0" w:line="240" w:lineRule="auto"/>
        <w:ind w:firstLine="720"/>
        <w:rPr>
          <w:rFonts w:ascii="Times New Roman" w:hAnsi="Times New Roman" w:cs="Times New Roman"/>
          <w:sz w:val="28"/>
          <w:szCs w:val="28"/>
        </w:rPr>
      </w:pPr>
    </w:p>
    <w:p w:rsidR="00824887" w:rsidRPr="00F53BC4" w:rsidP="00D110B1" w14:paraId="3DC6D1F1" w14:textId="77777777">
      <w:pPr>
        <w:tabs>
          <w:tab w:val="left" w:pos="6237"/>
        </w:tabs>
        <w:spacing w:after="0" w:line="240" w:lineRule="auto"/>
        <w:rPr>
          <w:rFonts w:ascii="Times New Roman" w:hAnsi="Times New Roman" w:cs="Times New Roman"/>
          <w:sz w:val="24"/>
          <w:szCs w:val="24"/>
        </w:rPr>
      </w:pPr>
      <w:r w:rsidRPr="00F53BC4">
        <w:rPr>
          <w:rFonts w:ascii="Times New Roman" w:hAnsi="Times New Roman" w:cs="Times New Roman"/>
          <w:sz w:val="24"/>
          <w:szCs w:val="24"/>
        </w:rPr>
        <w:t>Vides aizsardzības un reģionālās attīstības ministrijas</w:t>
      </w:r>
    </w:p>
    <w:p w:rsidR="00FB0507" w:rsidRPr="00F53BC4" w:rsidP="00D110B1" w14:paraId="0F70F062" w14:textId="77777777">
      <w:pPr>
        <w:tabs>
          <w:tab w:val="left" w:pos="6237"/>
        </w:tabs>
        <w:spacing w:after="0" w:line="240" w:lineRule="auto"/>
        <w:rPr>
          <w:rFonts w:ascii="Times New Roman" w:hAnsi="Times New Roman" w:cs="Times New Roman"/>
          <w:sz w:val="24"/>
          <w:szCs w:val="24"/>
        </w:rPr>
      </w:pPr>
      <w:r w:rsidRPr="00F53BC4">
        <w:rPr>
          <w:rFonts w:ascii="Times New Roman" w:hAnsi="Times New Roman" w:cs="Times New Roman"/>
          <w:sz w:val="24"/>
          <w:szCs w:val="24"/>
        </w:rPr>
        <w:t>valsts sekretārs                                                                       Rinalds Muciņš</w:t>
      </w:r>
    </w:p>
    <w:p w:rsidR="00824887" w:rsidRPr="00F53BC4" w:rsidP="002A5E0D" w14:paraId="7AC28D4E" w14:textId="77777777">
      <w:pPr>
        <w:tabs>
          <w:tab w:val="left" w:pos="6237"/>
        </w:tabs>
        <w:spacing w:after="0" w:line="240" w:lineRule="auto"/>
        <w:jc w:val="both"/>
        <w:rPr>
          <w:rFonts w:ascii="Times New Roman" w:hAnsi="Times New Roman" w:cs="Times New Roman"/>
          <w:sz w:val="28"/>
          <w:szCs w:val="28"/>
        </w:rPr>
      </w:pPr>
    </w:p>
    <w:p w:rsidR="00FB0507" w:rsidRPr="00F53BC4" w:rsidP="00824887" w14:paraId="14B3E1E6" w14:textId="77777777">
      <w:pPr>
        <w:tabs>
          <w:tab w:val="left" w:pos="6237"/>
        </w:tabs>
        <w:spacing w:after="0" w:line="240" w:lineRule="auto"/>
        <w:rPr>
          <w:rFonts w:ascii="Times New Roman" w:hAnsi="Times New Roman" w:cs="Times New Roman"/>
          <w:sz w:val="24"/>
          <w:szCs w:val="28"/>
        </w:rPr>
      </w:pPr>
    </w:p>
    <w:p w:rsidR="00FB0507" w:rsidRPr="00F53BC4" w:rsidP="00824887" w14:paraId="53EDF212" w14:textId="77777777">
      <w:pPr>
        <w:tabs>
          <w:tab w:val="left" w:pos="6237"/>
        </w:tabs>
        <w:spacing w:after="0" w:line="240" w:lineRule="auto"/>
        <w:rPr>
          <w:rFonts w:ascii="Times New Roman" w:hAnsi="Times New Roman" w:cs="Times New Roman"/>
          <w:sz w:val="24"/>
          <w:szCs w:val="28"/>
        </w:rPr>
      </w:pPr>
    </w:p>
    <w:p w:rsidR="00FB0507" w:rsidRPr="00F53BC4" w:rsidP="00824887" w14:paraId="6A6C7B3F" w14:textId="77777777">
      <w:pPr>
        <w:tabs>
          <w:tab w:val="left" w:pos="6237"/>
        </w:tabs>
        <w:spacing w:after="0" w:line="240" w:lineRule="auto"/>
        <w:rPr>
          <w:rFonts w:ascii="Times New Roman" w:hAnsi="Times New Roman" w:cs="Times New Roman"/>
          <w:sz w:val="24"/>
          <w:szCs w:val="28"/>
        </w:rPr>
      </w:pPr>
    </w:p>
    <w:p w:rsidR="00824887" w:rsidRPr="00F53BC4" w:rsidP="00824887" w14:paraId="5EC11081" w14:textId="77777777">
      <w:pPr>
        <w:tabs>
          <w:tab w:val="left" w:pos="6237"/>
        </w:tabs>
        <w:spacing w:after="0" w:line="240" w:lineRule="auto"/>
        <w:rPr>
          <w:rFonts w:ascii="Times New Roman" w:hAnsi="Times New Roman" w:cs="Times New Roman"/>
          <w:sz w:val="20"/>
          <w:szCs w:val="20"/>
        </w:rPr>
      </w:pPr>
      <w:r w:rsidRPr="00F53BC4">
        <w:rPr>
          <w:rFonts w:ascii="Times New Roman" w:hAnsi="Times New Roman" w:cs="Times New Roman"/>
          <w:sz w:val="20"/>
          <w:szCs w:val="20"/>
        </w:rPr>
        <w:t>Doniņa 67026515</w:t>
      </w:r>
    </w:p>
    <w:p w:rsidR="00824887" w:rsidRPr="00F53BC4" w:rsidP="00824887" w14:paraId="2FA2FEEE" w14:textId="77777777">
      <w:pPr>
        <w:tabs>
          <w:tab w:val="left" w:pos="6237"/>
        </w:tabs>
        <w:spacing w:after="0" w:line="240" w:lineRule="auto"/>
        <w:rPr>
          <w:rFonts w:ascii="Times New Roman" w:hAnsi="Times New Roman" w:cs="Times New Roman"/>
          <w:sz w:val="20"/>
          <w:szCs w:val="20"/>
        </w:rPr>
      </w:pPr>
      <w:r>
        <w:fldChar w:fldCharType="begin"/>
      </w:r>
      <w:r>
        <w:instrText xml:space="preserve"> HYPERLINK "mailto:Ilze.Donina@varam.gov.lv" </w:instrText>
      </w:r>
      <w:r>
        <w:fldChar w:fldCharType="separate"/>
      </w:r>
      <w:r w:rsidRPr="00F53BC4">
        <w:rPr>
          <w:rStyle w:val="Hyperlink"/>
          <w:rFonts w:ascii="Times New Roman" w:hAnsi="Times New Roman" w:cs="Times New Roman"/>
          <w:sz w:val="20"/>
          <w:szCs w:val="20"/>
        </w:rPr>
        <w:t>Ilze.Donina@varam.gov.lv</w:t>
      </w:r>
      <w:r>
        <w:fldChar w:fldCharType="end"/>
      </w:r>
      <w:r w:rsidRPr="00F53BC4">
        <w:rPr>
          <w:rFonts w:ascii="Times New Roman" w:hAnsi="Times New Roman" w:cs="Times New Roman"/>
          <w:sz w:val="20"/>
          <w:szCs w:val="20"/>
        </w:rPr>
        <w:t xml:space="preserve"> </w:t>
      </w:r>
    </w:p>
    <w:p w:rsidR="000D6C3A" w:rsidRPr="00F53BC4" w14:paraId="1B1AB0AD" w14:textId="77777777"/>
    <w:sectPr w:rsidSect="003F4AF0">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4AF0" w:rsidRPr="00894C55" w14:paraId="42973C85" w14:textId="540BA84F">
    <w:pPr>
      <w:pStyle w:val="Footer"/>
      <w:rPr>
        <w:rFonts w:ascii="Times New Roman" w:hAnsi="Times New Roman" w:cs="Times New Roman"/>
        <w:sz w:val="20"/>
        <w:szCs w:val="20"/>
      </w:rPr>
    </w:pPr>
    <w:r>
      <w:rPr>
        <w:rFonts w:ascii="Times New Roman" w:hAnsi="Times New Roman" w:cs="Times New Roman"/>
        <w:sz w:val="20"/>
        <w:szCs w:val="20"/>
      </w:rPr>
      <w:t>VARAMAnot_110618_EEIA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4AF0" w:rsidRPr="009A2654" w14:paraId="0687D02C" w14:textId="72B9EF50">
    <w:pPr>
      <w:pStyle w:val="Footer"/>
      <w:rPr>
        <w:rFonts w:ascii="Times New Roman" w:hAnsi="Times New Roman" w:cs="Times New Roman"/>
        <w:sz w:val="20"/>
        <w:szCs w:val="20"/>
      </w:rPr>
    </w:pPr>
    <w:r>
      <w:rPr>
        <w:rFonts w:ascii="Times New Roman" w:hAnsi="Times New Roman" w:cs="Times New Roman"/>
        <w:sz w:val="20"/>
        <w:szCs w:val="20"/>
      </w:rPr>
      <w:t>VARAMAnot_110618_EEIA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4AF0" w:rsidP="00374402" w14:paraId="112F445A" w14:textId="77777777">
      <w:pPr>
        <w:spacing w:after="0" w:line="240" w:lineRule="auto"/>
      </w:pPr>
      <w:r>
        <w:separator/>
      </w:r>
    </w:p>
  </w:footnote>
  <w:footnote w:type="continuationSeparator" w:id="1">
    <w:p w:rsidR="003F4AF0" w:rsidP="00374402" w14:paraId="77323034" w14:textId="77777777">
      <w:pPr>
        <w:spacing w:after="0" w:line="240" w:lineRule="auto"/>
      </w:pPr>
      <w:r>
        <w:continuationSeparator/>
      </w:r>
    </w:p>
  </w:footnote>
  <w:footnote w:type="continuationNotice" w:id="2">
    <w:p w:rsidR="00134399" w14:paraId="733154A2" w14:textId="77777777">
      <w:pPr>
        <w:spacing w:after="0" w:line="240" w:lineRule="auto"/>
      </w:pPr>
    </w:p>
  </w:footnote>
  <w:footnote w:id="3">
    <w:p w:rsidR="003F4AF0" w:rsidP="00374402" w14:paraId="0EF62C8B" w14:textId="77777777">
      <w:pPr>
        <w:pStyle w:val="FootnoteText"/>
      </w:pPr>
      <w:r>
        <w:rPr>
          <w:rStyle w:val="FootnoteReference"/>
        </w:rPr>
        <w:footnoteRef/>
      </w:r>
      <w:r>
        <w:t xml:space="preserve"> Eiropas Komisijas tīmekļvietne </w:t>
      </w:r>
      <w:r>
        <w:fldChar w:fldCharType="begin"/>
      </w:r>
      <w:r>
        <w:instrText xml:space="preserve"> HYPERLINK "http://ec.europa.eu/transparency/regexpert/index.cfm?do=groupDetail.groupMeeting&amp;meetingId=2732" </w:instrText>
      </w:r>
      <w:r>
        <w:fldChar w:fldCharType="separate"/>
      </w:r>
      <w:r w:rsidRPr="00B8274E">
        <w:rPr>
          <w:rStyle w:val="Hyperlink"/>
        </w:rPr>
        <w:t>http://ec.europa.eu/transparency/regexpert/index.cfm?do=groupDetail.groupMeeting&amp;meetingId=2732</w:t>
      </w:r>
      <w:r>
        <w:fldChar w:fldCharType="end"/>
      </w:r>
      <w:r>
        <w:t xml:space="preserve"> </w:t>
      </w:r>
    </w:p>
  </w:footnote>
  <w:footnote w:id="4">
    <w:p w:rsidR="003F4AF0" w14:paraId="151793B6" w14:textId="77777777">
      <w:pPr>
        <w:pStyle w:val="FootnoteText"/>
      </w:pPr>
      <w:r>
        <w:rPr>
          <w:rStyle w:val="FootnoteReference"/>
        </w:rPr>
        <w:footnoteRef/>
      </w:r>
      <w:r>
        <w:t xml:space="preserve"> VVD tīmekļvietne </w:t>
      </w:r>
      <w:r>
        <w:fldChar w:fldCharType="begin"/>
      </w:r>
      <w:r>
        <w:instrText xml:space="preserve"> HYPERLINK "http://www.vvd.gov.lv/public/fs/CKFinderJava/files/EEI_apsaimn_sistema_2018_04_03.pdf" </w:instrText>
      </w:r>
      <w:r>
        <w:fldChar w:fldCharType="separate"/>
      </w:r>
      <w:r w:rsidRPr="00B8274E">
        <w:rPr>
          <w:rStyle w:val="Hyperlink"/>
        </w:rPr>
        <w:t>http://www.vvd.gov.lv/public/fs/CKFinderJava/files/EEI_apsaimn_sistema_2018_04_03.pdf</w:t>
      </w:r>
      <w:r>
        <w:fldChar w:fldCharType="end"/>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01117661"/>
      <w:docPartObj>
        <w:docPartGallery w:val="Page Numbers (Top of Page)"/>
        <w:docPartUnique/>
      </w:docPartObj>
    </w:sdtPr>
    <w:sdtEndPr>
      <w:rPr>
        <w:rFonts w:ascii="Times New Roman" w:hAnsi="Times New Roman" w:cs="Times New Roman"/>
        <w:noProof/>
        <w:sz w:val="24"/>
        <w:szCs w:val="20"/>
      </w:rPr>
    </w:sdtEndPr>
    <w:sdtContent>
      <w:p w:rsidR="003F4AF0" w:rsidRPr="00C25B49" w14:paraId="78D0E036"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C208F">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F9C0E4F"/>
    <w:multiLevelType w:val="hybridMultilevel"/>
    <w:tmpl w:val="454E447C"/>
    <w:lvl w:ilvl="0">
      <w:start w:val="1199"/>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258B0F60"/>
    <w:multiLevelType w:val="hybridMultilevel"/>
    <w:tmpl w:val="38266D28"/>
    <w:lvl w:ilvl="0">
      <w:start w:val="1"/>
      <w:numFmt w:val="decimal"/>
      <w:lvlText w:val="%1)"/>
      <w:lvlJc w:val="left"/>
      <w:pPr>
        <w:ind w:left="589" w:hanging="435"/>
      </w:pPr>
      <w:rPr>
        <w:rFonts w:hint="default"/>
      </w:rPr>
    </w:lvl>
    <w:lvl w:ilvl="1" w:tentative="1">
      <w:start w:val="1"/>
      <w:numFmt w:val="lowerLetter"/>
      <w:lvlText w:val="%2."/>
      <w:lvlJc w:val="left"/>
      <w:pPr>
        <w:ind w:left="1234" w:hanging="360"/>
      </w:pPr>
    </w:lvl>
    <w:lvl w:ilvl="2" w:tentative="1">
      <w:start w:val="1"/>
      <w:numFmt w:val="lowerRoman"/>
      <w:lvlText w:val="%3."/>
      <w:lvlJc w:val="right"/>
      <w:pPr>
        <w:ind w:left="1954" w:hanging="180"/>
      </w:pPr>
    </w:lvl>
    <w:lvl w:ilvl="3" w:tentative="1">
      <w:start w:val="1"/>
      <w:numFmt w:val="decimal"/>
      <w:lvlText w:val="%4."/>
      <w:lvlJc w:val="left"/>
      <w:pPr>
        <w:ind w:left="2674" w:hanging="360"/>
      </w:pPr>
    </w:lvl>
    <w:lvl w:ilvl="4" w:tentative="1">
      <w:start w:val="1"/>
      <w:numFmt w:val="lowerLetter"/>
      <w:lvlText w:val="%5."/>
      <w:lvlJc w:val="left"/>
      <w:pPr>
        <w:ind w:left="3394" w:hanging="360"/>
      </w:pPr>
    </w:lvl>
    <w:lvl w:ilvl="5" w:tentative="1">
      <w:start w:val="1"/>
      <w:numFmt w:val="lowerRoman"/>
      <w:lvlText w:val="%6."/>
      <w:lvlJc w:val="right"/>
      <w:pPr>
        <w:ind w:left="4114" w:hanging="180"/>
      </w:pPr>
    </w:lvl>
    <w:lvl w:ilvl="6" w:tentative="1">
      <w:start w:val="1"/>
      <w:numFmt w:val="decimal"/>
      <w:lvlText w:val="%7."/>
      <w:lvlJc w:val="left"/>
      <w:pPr>
        <w:ind w:left="4834" w:hanging="360"/>
      </w:pPr>
    </w:lvl>
    <w:lvl w:ilvl="7" w:tentative="1">
      <w:start w:val="1"/>
      <w:numFmt w:val="lowerLetter"/>
      <w:lvlText w:val="%8."/>
      <w:lvlJc w:val="left"/>
      <w:pPr>
        <w:ind w:left="5554" w:hanging="360"/>
      </w:pPr>
    </w:lvl>
    <w:lvl w:ilvl="8" w:tentative="1">
      <w:start w:val="1"/>
      <w:numFmt w:val="lowerRoman"/>
      <w:lvlText w:val="%9."/>
      <w:lvlJc w:val="right"/>
      <w:pPr>
        <w:ind w:left="6274" w:hanging="180"/>
      </w:pPr>
    </w:lvl>
  </w:abstractNum>
  <w:abstractNum w:abstractNumId="2" w15:restartNumberingAfterBreak="1">
    <w:nsid w:val="615E27EB"/>
    <w:multiLevelType w:val="hybridMultilevel"/>
    <w:tmpl w:val="222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794B7B1C"/>
    <w:multiLevelType w:val="hybridMultilevel"/>
    <w:tmpl w:val="84541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87"/>
    <w:rsid w:val="00001C2E"/>
    <w:rsid w:val="00064909"/>
    <w:rsid w:val="00070EA7"/>
    <w:rsid w:val="000C7A62"/>
    <w:rsid w:val="000D6C3A"/>
    <w:rsid w:val="000F3AE4"/>
    <w:rsid w:val="0011007A"/>
    <w:rsid w:val="001147F9"/>
    <w:rsid w:val="00130EDB"/>
    <w:rsid w:val="00134399"/>
    <w:rsid w:val="00160D04"/>
    <w:rsid w:val="00161844"/>
    <w:rsid w:val="00181262"/>
    <w:rsid w:val="001E518C"/>
    <w:rsid w:val="00207EA3"/>
    <w:rsid w:val="002209AB"/>
    <w:rsid w:val="00234ECC"/>
    <w:rsid w:val="00265A7E"/>
    <w:rsid w:val="00276600"/>
    <w:rsid w:val="0028647E"/>
    <w:rsid w:val="002A40DF"/>
    <w:rsid w:val="002A5E0D"/>
    <w:rsid w:val="002C208F"/>
    <w:rsid w:val="002E26DD"/>
    <w:rsid w:val="002E6AA8"/>
    <w:rsid w:val="002F3A45"/>
    <w:rsid w:val="00354D2A"/>
    <w:rsid w:val="00374402"/>
    <w:rsid w:val="00391485"/>
    <w:rsid w:val="003C1E5B"/>
    <w:rsid w:val="003C4D63"/>
    <w:rsid w:val="003C6576"/>
    <w:rsid w:val="003E277A"/>
    <w:rsid w:val="003F4AF0"/>
    <w:rsid w:val="00440623"/>
    <w:rsid w:val="00442058"/>
    <w:rsid w:val="00457188"/>
    <w:rsid w:val="0048120A"/>
    <w:rsid w:val="004931BD"/>
    <w:rsid w:val="004C734B"/>
    <w:rsid w:val="004F26D1"/>
    <w:rsid w:val="0054519B"/>
    <w:rsid w:val="00582A11"/>
    <w:rsid w:val="006246B1"/>
    <w:rsid w:val="00627CF9"/>
    <w:rsid w:val="006441B0"/>
    <w:rsid w:val="00645390"/>
    <w:rsid w:val="00660C1A"/>
    <w:rsid w:val="0066734C"/>
    <w:rsid w:val="006D0B2E"/>
    <w:rsid w:val="00706193"/>
    <w:rsid w:val="0072313A"/>
    <w:rsid w:val="00824887"/>
    <w:rsid w:val="00855E19"/>
    <w:rsid w:val="008563BE"/>
    <w:rsid w:val="00892C9E"/>
    <w:rsid w:val="00894C55"/>
    <w:rsid w:val="00901AE5"/>
    <w:rsid w:val="00930EBB"/>
    <w:rsid w:val="00944F89"/>
    <w:rsid w:val="00951C5A"/>
    <w:rsid w:val="009637B1"/>
    <w:rsid w:val="009A2654"/>
    <w:rsid w:val="009B3197"/>
    <w:rsid w:val="009C0A44"/>
    <w:rsid w:val="009C389B"/>
    <w:rsid w:val="009C780B"/>
    <w:rsid w:val="00A56C4B"/>
    <w:rsid w:val="00A73130"/>
    <w:rsid w:val="00A807BA"/>
    <w:rsid w:val="00A94F79"/>
    <w:rsid w:val="00B02655"/>
    <w:rsid w:val="00B15D47"/>
    <w:rsid w:val="00B367A8"/>
    <w:rsid w:val="00B51880"/>
    <w:rsid w:val="00B8274E"/>
    <w:rsid w:val="00BD28F0"/>
    <w:rsid w:val="00C079BB"/>
    <w:rsid w:val="00C25B49"/>
    <w:rsid w:val="00C611A0"/>
    <w:rsid w:val="00D110B1"/>
    <w:rsid w:val="00D3270C"/>
    <w:rsid w:val="00D80CE1"/>
    <w:rsid w:val="00DF42F3"/>
    <w:rsid w:val="00E23A42"/>
    <w:rsid w:val="00E5323B"/>
    <w:rsid w:val="00E67392"/>
    <w:rsid w:val="00EB6EA3"/>
    <w:rsid w:val="00F419AC"/>
    <w:rsid w:val="00F53BC4"/>
    <w:rsid w:val="00F67EC0"/>
    <w:rsid w:val="00FB050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E8C3A2B-70A2-42AD-BBBF-198C205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887"/>
    <w:rPr>
      <w:color w:val="0000FF"/>
      <w:u w:val="single"/>
    </w:rPr>
  </w:style>
  <w:style w:type="paragraph" w:styleId="Header">
    <w:name w:val="header"/>
    <w:basedOn w:val="Normal"/>
    <w:link w:val="HeaderChar"/>
    <w:uiPriority w:val="99"/>
    <w:unhideWhenUsed/>
    <w:rsid w:val="008248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4887"/>
  </w:style>
  <w:style w:type="paragraph" w:styleId="Footer">
    <w:name w:val="footer"/>
    <w:basedOn w:val="Normal"/>
    <w:link w:val="FooterChar"/>
    <w:uiPriority w:val="99"/>
    <w:unhideWhenUsed/>
    <w:rsid w:val="008248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4887"/>
  </w:style>
  <w:style w:type="table" w:styleId="TableGrid">
    <w:name w:val="Table Grid"/>
    <w:basedOn w:val="TableNormal"/>
    <w:uiPriority w:val="39"/>
    <w:rsid w:val="0082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248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824887"/>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24887"/>
    <w:pPr>
      <w:ind w:left="720"/>
      <w:contextualSpacing/>
    </w:pPr>
  </w:style>
  <w:style w:type="character" w:styleId="Strong">
    <w:name w:val="Strong"/>
    <w:basedOn w:val="DefaultParagraphFont"/>
    <w:qFormat/>
    <w:rsid w:val="00824887"/>
    <w:rPr>
      <w:b/>
      <w:bCs/>
    </w:rPr>
  </w:style>
  <w:style w:type="paragraph" w:customStyle="1" w:styleId="naisf">
    <w:name w:val="naisf"/>
    <w:basedOn w:val="Normal"/>
    <w:rsid w:val="0082488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824887"/>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824887"/>
    <w:rPr>
      <w:sz w:val="16"/>
      <w:szCs w:val="16"/>
    </w:rPr>
  </w:style>
  <w:style w:type="paragraph" w:styleId="CommentText">
    <w:name w:val="annotation text"/>
    <w:basedOn w:val="Normal"/>
    <w:link w:val="CommentTextChar"/>
    <w:uiPriority w:val="99"/>
    <w:semiHidden/>
    <w:unhideWhenUsed/>
    <w:rsid w:val="00824887"/>
    <w:pPr>
      <w:spacing w:line="240" w:lineRule="auto"/>
    </w:pPr>
    <w:rPr>
      <w:sz w:val="20"/>
      <w:szCs w:val="20"/>
    </w:rPr>
  </w:style>
  <w:style w:type="character" w:customStyle="1" w:styleId="CommentTextChar">
    <w:name w:val="Comment Text Char"/>
    <w:basedOn w:val="DefaultParagraphFont"/>
    <w:link w:val="CommentText"/>
    <w:uiPriority w:val="99"/>
    <w:semiHidden/>
    <w:rsid w:val="00824887"/>
    <w:rPr>
      <w:sz w:val="20"/>
      <w:szCs w:val="20"/>
    </w:rPr>
  </w:style>
  <w:style w:type="paragraph" w:styleId="BalloonText">
    <w:name w:val="Balloon Text"/>
    <w:basedOn w:val="Normal"/>
    <w:link w:val="BalloonTextChar"/>
    <w:uiPriority w:val="99"/>
    <w:semiHidden/>
    <w:unhideWhenUsed/>
    <w:rsid w:val="00824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887"/>
    <w:rPr>
      <w:rFonts w:ascii="Segoe UI" w:hAnsi="Segoe UI" w:cs="Segoe UI"/>
      <w:sz w:val="18"/>
      <w:szCs w:val="18"/>
    </w:rPr>
  </w:style>
  <w:style w:type="paragraph" w:styleId="FootnoteText">
    <w:name w:val="footnote text"/>
    <w:basedOn w:val="Normal"/>
    <w:link w:val="FootnoteTextChar"/>
    <w:uiPriority w:val="99"/>
    <w:semiHidden/>
    <w:unhideWhenUsed/>
    <w:rsid w:val="00374402"/>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37440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74402"/>
    <w:rPr>
      <w:vertAlign w:val="superscript"/>
    </w:rPr>
  </w:style>
  <w:style w:type="character" w:styleId="FollowedHyperlink">
    <w:name w:val="FollowedHyperlink"/>
    <w:basedOn w:val="DefaultParagraphFont"/>
    <w:uiPriority w:val="99"/>
    <w:semiHidden/>
    <w:unhideWhenUsed/>
    <w:rsid w:val="000F3AE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3270C"/>
    <w:rPr>
      <w:b/>
      <w:bCs/>
    </w:rPr>
  </w:style>
  <w:style w:type="character" w:customStyle="1" w:styleId="CommentSubjectChar">
    <w:name w:val="Comment Subject Char"/>
    <w:basedOn w:val="CommentTextChar"/>
    <w:link w:val="CommentSubject"/>
    <w:uiPriority w:val="99"/>
    <w:semiHidden/>
    <w:rsid w:val="00D327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7A987-63FA-4513-80AA-7FAEED4C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8097</Words>
  <Characters>4616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Doniņa</dc:creator>
  <cp:lastModifiedBy>Madara Gaile</cp:lastModifiedBy>
  <cp:revision>10</cp:revision>
  <dcterms:created xsi:type="dcterms:W3CDTF">2018-06-11T10:08:00Z</dcterms:created>
  <dcterms:modified xsi:type="dcterms:W3CDTF">2018-06-19T07:05:00Z</dcterms:modified>
</cp:coreProperties>
</file>