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pPr w:leftFromText="180" w:rightFromText="180" w:vertAnchor="page" w:horzAnchor="margin" w:tblpY="631"/>
        <w:tblW w:w="15588" w:type="dxa"/>
        <w:tblLook w:val="04A0"/>
      </w:tblPr>
      <w:tblGrid>
        <w:gridCol w:w="1910"/>
        <w:gridCol w:w="5871"/>
        <w:gridCol w:w="4517"/>
        <w:gridCol w:w="3290"/>
      </w:tblGrid>
      <w:tr w14:paraId="55372A01" w14:textId="77777777" w:rsidTr="007C1176">
        <w:tblPrEx>
          <w:tblW w:w="15588" w:type="dxa"/>
          <w:tblLook w:val="04A0"/>
        </w:tblPrEx>
        <w:trPr>
          <w:trHeight w:val="848"/>
        </w:trPr>
        <w:tc>
          <w:tcPr>
            <w:tcW w:w="155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800" w:rsidRPr="00285725" w:rsidP="007C1176" w14:paraId="30B55EC5" w14:textId="77777777">
            <w:pPr>
              <w:pStyle w:val="tvhtm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85725">
              <w:rPr>
                <w:sz w:val="28"/>
                <w:szCs w:val="28"/>
              </w:rPr>
              <w:t>2.pielikums</w:t>
            </w:r>
          </w:p>
          <w:p w:rsidR="009A1800" w:rsidRPr="00285725" w:rsidP="007C1176" w14:paraId="39016AEB" w14:textId="57BA0C81">
            <w:pPr>
              <w:pStyle w:val="tvhtm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85725">
              <w:rPr>
                <w:sz w:val="28"/>
                <w:szCs w:val="28"/>
              </w:rPr>
              <w:t>Ministru kabineta</w:t>
            </w:r>
          </w:p>
          <w:p w:rsidR="009A1800" w:rsidRPr="00285725" w:rsidP="007C1176" w14:paraId="05A3AC1E" w14:textId="74216B25">
            <w:pPr>
              <w:pStyle w:val="tvhtm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85725">
              <w:rPr>
                <w:sz w:val="28"/>
                <w:szCs w:val="28"/>
              </w:rPr>
              <w:t xml:space="preserve">2018.gada__._______ </w:t>
            </w:r>
            <w:r w:rsidRPr="00285725">
              <w:rPr>
                <w:sz w:val="28"/>
                <w:szCs w:val="28"/>
              </w:rPr>
              <w:t>noteikumiem</w:t>
            </w:r>
            <w:r w:rsidRPr="00285725" w:rsidR="00EA0C84">
              <w:rPr>
                <w:sz w:val="28"/>
                <w:szCs w:val="28"/>
              </w:rPr>
              <w:t xml:space="preserve"> Nr. </w:t>
            </w:r>
            <w:r w:rsidR="00285725">
              <w:rPr>
                <w:sz w:val="28"/>
                <w:szCs w:val="28"/>
              </w:rPr>
              <w:t>____</w:t>
            </w:r>
          </w:p>
          <w:p w:rsidR="00285725" w:rsidP="007C1176" w14:paraId="16767DE6" w14:textId="77777777">
            <w:pPr>
              <w:pStyle w:val="tvhtm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A1800" w:rsidRPr="00C57D5B" w:rsidP="007C1176" w14:paraId="0379F3B6" w14:textId="4F046C8E">
            <w:pPr>
              <w:pStyle w:val="tvhtm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57D5B">
              <w:rPr>
                <w:b/>
                <w:sz w:val="28"/>
                <w:szCs w:val="28"/>
              </w:rPr>
              <w:t>Veselības stāvokļa uzraudzība s</w:t>
            </w:r>
            <w:r w:rsidRPr="00C57D5B" w:rsidR="00D93C2D">
              <w:rPr>
                <w:b/>
                <w:sz w:val="28"/>
                <w:szCs w:val="28"/>
              </w:rPr>
              <w:t xml:space="preserve">irds un asinsvadu slimību </w:t>
            </w:r>
            <w:r w:rsidRPr="00C57D5B">
              <w:rPr>
                <w:b/>
                <w:sz w:val="28"/>
                <w:szCs w:val="28"/>
              </w:rPr>
              <w:t>profilakses ietvaros</w:t>
            </w:r>
          </w:p>
          <w:p w:rsidR="00AB3D09" w:rsidRPr="00285725" w:rsidP="007C1176" w14:paraId="550FAB9B" w14:textId="36AC1A4E">
            <w:pPr>
              <w:pStyle w:val="tvhtml"/>
              <w:spacing w:before="0" w:beforeAutospacing="0" w:after="0" w:afterAutospacing="0"/>
              <w:jc w:val="center"/>
            </w:pPr>
          </w:p>
        </w:tc>
      </w:tr>
      <w:tr w14:paraId="5DE07AD8" w14:textId="77777777" w:rsidTr="007C1176">
        <w:tblPrEx>
          <w:tblW w:w="15588" w:type="dxa"/>
          <w:tblLook w:val="04A0"/>
        </w:tblPrEx>
        <w:tc>
          <w:tcPr>
            <w:tcW w:w="1910" w:type="dxa"/>
            <w:shd w:val="clear" w:color="auto" w:fill="auto"/>
            <w:vAlign w:val="center"/>
          </w:tcPr>
          <w:p w:rsidR="00B76858" w:rsidRPr="00285725" w:rsidP="007C1176" w14:paraId="0F9CE0A3" w14:textId="77777777">
            <w:pPr>
              <w:pStyle w:val="tvhtml"/>
              <w:jc w:val="center"/>
              <w:rPr>
                <w:b/>
              </w:rPr>
            </w:pPr>
            <w:r w:rsidRPr="00285725">
              <w:rPr>
                <w:b/>
              </w:rPr>
              <w:t>Riska grupa</w:t>
            </w:r>
          </w:p>
        </w:tc>
        <w:tc>
          <w:tcPr>
            <w:tcW w:w="5871" w:type="dxa"/>
            <w:shd w:val="clear" w:color="auto" w:fill="auto"/>
            <w:vAlign w:val="center"/>
          </w:tcPr>
          <w:p w:rsidR="00B76858" w:rsidRPr="00285725" w:rsidP="007C1176" w14:paraId="30D8567A" w14:textId="09B7B226">
            <w:pPr>
              <w:pStyle w:val="tvhtml"/>
              <w:jc w:val="center"/>
              <w:rPr>
                <w:b/>
              </w:rPr>
            </w:pPr>
            <w:r w:rsidRPr="00285725">
              <w:rPr>
                <w:b/>
              </w:rPr>
              <w:t>Atkārtoti izmeklējumi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B76858" w:rsidRPr="00285725" w:rsidP="007C1176" w14:paraId="767A6686" w14:textId="142ECAFB">
            <w:pPr>
              <w:pStyle w:val="tvhtml"/>
              <w:jc w:val="center"/>
              <w:rPr>
                <w:b/>
              </w:rPr>
            </w:pPr>
            <w:r w:rsidRPr="00285725">
              <w:rPr>
                <w:b/>
              </w:rPr>
              <w:t>Terapija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B76858" w:rsidRPr="00285725" w:rsidP="007C1176" w14:paraId="50BC2B93" w14:textId="41F4C9F5">
            <w:pPr>
              <w:pStyle w:val="tvhtml"/>
              <w:jc w:val="center"/>
              <w:rPr>
                <w:b/>
              </w:rPr>
            </w:pPr>
            <w:r w:rsidRPr="00285725">
              <w:rPr>
                <w:b/>
              </w:rPr>
              <w:t xml:space="preserve">Atkārtota vīzītes </w:t>
            </w:r>
          </w:p>
        </w:tc>
      </w:tr>
      <w:tr w14:paraId="2951E32E" w14:textId="77777777" w:rsidTr="007C1176">
        <w:tblPrEx>
          <w:tblW w:w="15588" w:type="dxa"/>
          <w:tblLook w:val="04A0"/>
        </w:tblPrEx>
        <w:tc>
          <w:tcPr>
            <w:tcW w:w="1910" w:type="dxa"/>
            <w:shd w:val="clear" w:color="auto" w:fill="auto"/>
          </w:tcPr>
          <w:p w:rsidR="0044086D" w:rsidRPr="00285725" w:rsidP="007C1176" w14:paraId="07D5A583" w14:textId="63E68255">
            <w:pPr>
              <w:pStyle w:val="tvhtml"/>
              <w:jc w:val="both"/>
              <w:rPr>
                <w:b/>
              </w:rPr>
            </w:pPr>
            <w:r w:rsidRPr="00285725">
              <w:rPr>
                <w:b/>
              </w:rPr>
              <w:t>1.</w:t>
            </w:r>
            <w:r w:rsidRPr="00285725" w:rsidR="00EB1410">
              <w:rPr>
                <w:b/>
              </w:rPr>
              <w:t xml:space="preserve"> Sirds un asinsvadu slimību </w:t>
            </w:r>
            <w:r w:rsidRPr="00285725" w:rsidR="00D93C2D">
              <w:rPr>
                <w:b/>
              </w:rPr>
              <w:t>riska vērtējums</w:t>
            </w:r>
            <w:r w:rsidRPr="00285725" w:rsidR="00EB1410">
              <w:rPr>
                <w:b/>
              </w:rPr>
              <w:t xml:space="preserve"> (SCORE) zem 1% </w:t>
            </w:r>
          </w:p>
        </w:tc>
        <w:tc>
          <w:tcPr>
            <w:tcW w:w="5871" w:type="dxa"/>
            <w:shd w:val="clear" w:color="auto" w:fill="auto"/>
          </w:tcPr>
          <w:p w:rsidR="0044086D" w:rsidRPr="00285725" w:rsidP="007C1176" w14:paraId="566CA203" w14:textId="5569BC08">
            <w:pPr>
              <w:pStyle w:val="tvhtml"/>
              <w:spacing w:before="0" w:beforeAutospacing="0" w:after="0" w:afterAutospacing="0"/>
              <w:jc w:val="both"/>
            </w:pPr>
            <w:r w:rsidRPr="00285725">
              <w:t>1.1.Veic šādus izmeklējumus:</w:t>
            </w:r>
          </w:p>
          <w:p w:rsidR="005273D8" w:rsidRPr="00285725" w:rsidP="007C1176" w14:paraId="21B528CB" w14:textId="1EF6BDDE">
            <w:pPr>
              <w:pStyle w:val="tvhtml"/>
              <w:spacing w:before="0" w:beforeAutospacing="0" w:after="0" w:afterAutospacing="0"/>
              <w:jc w:val="both"/>
            </w:pPr>
            <w:r w:rsidRPr="00285725">
              <w:t>1.1.1.</w:t>
            </w:r>
            <w:r w:rsidRPr="00285725" w:rsidR="00511F6D">
              <w:t xml:space="preserve"> </w:t>
            </w:r>
            <w:r w:rsidRPr="00285725">
              <w:t>asinsspiediena mērījumus vienu reizi gadā</w:t>
            </w:r>
            <w:r w:rsidR="005225D3">
              <w:t xml:space="preserve"> </w:t>
            </w:r>
            <w:r w:rsidRPr="005225D3" w:rsidR="005225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225D3" w:rsidR="005225D3">
              <w:t>ģimenes ārsta profilaktiskās apskates ietvaros</w:t>
            </w:r>
            <w:r w:rsidRPr="00285725">
              <w:t>;</w:t>
            </w:r>
          </w:p>
          <w:p w:rsidR="005273D8" w:rsidRPr="00285725" w:rsidP="007C1176" w14:paraId="11900317" w14:textId="58FFAABB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1.1.2. </w:t>
            </w:r>
            <w:r w:rsidRPr="00285725" w:rsidR="000A67D4">
              <w:t xml:space="preserve">kopējais holesterīns un glikoze </w:t>
            </w:r>
            <w:r w:rsidRPr="00285725">
              <w:t>reizi piecos gados;</w:t>
            </w:r>
          </w:p>
          <w:p w:rsidR="005273D8" w:rsidRPr="00285725" w:rsidP="007C1176" w14:paraId="1DD390B1" w14:textId="0B5DDFE7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1.1.3. </w:t>
            </w:r>
            <w:r w:rsidRPr="00285725">
              <w:t>ja paaugstināts asinsspiediens un nav uzsākta terapija, tad regulāra paškontrole</w:t>
            </w:r>
            <w:r w:rsidRPr="00285725" w:rsidR="00DC4351">
              <w:t xml:space="preserve"> vai ambulatora asinsspiediena </w:t>
            </w:r>
            <w:r w:rsidRPr="00285725" w:rsidR="00DC4351">
              <w:t>monitorēšana</w:t>
            </w:r>
            <w:r w:rsidRPr="00285725" w:rsidR="00DC4351">
              <w:t xml:space="preserve"> 3-</w:t>
            </w:r>
            <w:r w:rsidRPr="00285725" w:rsidR="0098416C">
              <w:t>6 mēnešu laikā</w:t>
            </w:r>
            <w:r w:rsidRPr="00285725">
              <w:t>;</w:t>
            </w:r>
          </w:p>
          <w:p w:rsidR="0044086D" w:rsidRPr="00285725" w:rsidP="007C1176" w14:paraId="3D639E36" w14:textId="15B62D66">
            <w:pPr>
              <w:pStyle w:val="tvhtml"/>
              <w:spacing w:before="0" w:beforeAutospacing="0" w:after="0" w:afterAutospacing="0"/>
              <w:jc w:val="both"/>
            </w:pPr>
            <w:r w:rsidRPr="00285725">
              <w:t>1.1.</w:t>
            </w:r>
            <w:r w:rsidRPr="00285725" w:rsidR="00511F6D">
              <w:t>4</w:t>
            </w:r>
            <w:r w:rsidRPr="00285725">
              <w:t xml:space="preserve">. ja </w:t>
            </w:r>
            <w:r w:rsidRPr="00285725" w:rsidR="002B39C7">
              <w:t xml:space="preserve">paaugstināts asinsspiediens un ir uzsākta terapija, tad regulāra paškontrole </w:t>
            </w:r>
            <w:r w:rsidRPr="00285725" w:rsidR="000A331C">
              <w:t>4</w:t>
            </w:r>
            <w:r w:rsidRPr="00285725" w:rsidR="004A17B8">
              <w:t xml:space="preserve"> līdz </w:t>
            </w:r>
            <w:r w:rsidRPr="00285725" w:rsidR="000A331C">
              <w:t>8</w:t>
            </w:r>
            <w:r w:rsidRPr="00285725" w:rsidR="004A17B8">
              <w:t xml:space="preserve"> </w:t>
            </w:r>
            <w:r w:rsidRPr="00285725" w:rsidR="000A331C">
              <w:t>nedēļu</w:t>
            </w:r>
            <w:r w:rsidRPr="00285725" w:rsidR="004A17B8">
              <w:t xml:space="preserve"> laikā </w:t>
            </w:r>
            <w:r w:rsidRPr="00285725" w:rsidR="002B39C7">
              <w:t>vai</w:t>
            </w:r>
            <w:r w:rsidRPr="00285725" w:rsidR="00EB1410">
              <w:t>, ja tas nav iespējams, tad</w:t>
            </w:r>
            <w:r w:rsidRPr="00285725" w:rsidR="002B39C7">
              <w:t xml:space="preserve"> ambulatora asinsspiediena </w:t>
            </w:r>
            <w:r w:rsidRPr="00285725" w:rsidR="00EB1410">
              <w:t>novē</w:t>
            </w:r>
            <w:r w:rsidRPr="00285725" w:rsidR="002B39C7">
              <w:t>r</w:t>
            </w:r>
            <w:r w:rsidRPr="00285725" w:rsidR="00EB1410">
              <w:t>o</w:t>
            </w:r>
            <w:r w:rsidRPr="00285725" w:rsidR="002B39C7">
              <w:t>šana</w:t>
            </w:r>
            <w:r w:rsidRPr="00285725" w:rsidR="00F97281">
              <w:t xml:space="preserve"> no</w:t>
            </w:r>
            <w:r w:rsidRPr="00285725" w:rsidR="002B39C7">
              <w:t xml:space="preserve"> </w:t>
            </w:r>
            <w:r w:rsidRPr="00285725" w:rsidR="000A331C">
              <w:t>4</w:t>
            </w:r>
            <w:r w:rsidRPr="00285725" w:rsidR="002B39C7">
              <w:t xml:space="preserve"> līdz </w:t>
            </w:r>
            <w:r w:rsidRPr="00285725" w:rsidR="000A331C">
              <w:t>8</w:t>
            </w:r>
            <w:r w:rsidRPr="00285725" w:rsidR="002B39C7">
              <w:t xml:space="preserve"> </w:t>
            </w:r>
            <w:r w:rsidRPr="00285725" w:rsidR="000A331C">
              <w:t>nedēļām</w:t>
            </w:r>
            <w:r w:rsidRPr="00285725" w:rsidR="00EB1410">
              <w:t xml:space="preserve"> ārstniecības iestādē</w:t>
            </w:r>
            <w:r w:rsidRPr="00285725" w:rsidR="00484740">
              <w:t>.</w:t>
            </w:r>
          </w:p>
        </w:tc>
        <w:tc>
          <w:tcPr>
            <w:tcW w:w="4517" w:type="dxa"/>
            <w:shd w:val="clear" w:color="auto" w:fill="auto"/>
          </w:tcPr>
          <w:p w:rsidR="0044086D" w:rsidRPr="00285725" w:rsidP="007C1176" w14:paraId="6467CD24" w14:textId="7216AE1B">
            <w:pPr>
              <w:pStyle w:val="tvhtml"/>
              <w:spacing w:before="0" w:beforeAutospacing="0" w:after="0" w:afterAutospacing="0"/>
              <w:jc w:val="both"/>
            </w:pPr>
            <w:r w:rsidRPr="00285725">
              <w:t>1.2. Ja terapijas mērķis na</w:t>
            </w:r>
            <w:r w:rsidRPr="00285725" w:rsidR="005C4436">
              <w:t>v sasniegts veic šādas izmaiņas</w:t>
            </w:r>
            <w:r w:rsidRPr="00285725" w:rsidR="00EB1410">
              <w:t xml:space="preserve"> </w:t>
            </w:r>
            <w:r w:rsidRPr="00285725">
              <w:t>antihipertensīvajā terapijā:</w:t>
            </w:r>
          </w:p>
          <w:p w:rsidR="0044086D" w:rsidRPr="00285725" w:rsidP="007C1176" w14:paraId="7D35C2EE" w14:textId="458A2EA2">
            <w:pPr>
              <w:pStyle w:val="tvhtml"/>
              <w:spacing w:before="0" w:beforeAutospacing="0" w:after="0" w:afterAutospacing="0"/>
              <w:jc w:val="both"/>
            </w:pPr>
            <w:r w:rsidRPr="00285725">
              <w:t>1.2.1.</w:t>
            </w:r>
            <w:r w:rsidRPr="00285725" w:rsidR="00484740">
              <w:t xml:space="preserve"> </w:t>
            </w:r>
            <w:r w:rsidRPr="00285725">
              <w:t>nozīmētā terapija tiek pārskatīta;</w:t>
            </w:r>
          </w:p>
          <w:p w:rsidR="0044086D" w:rsidRPr="00285725" w:rsidP="007C1176" w14:paraId="580D00B5" w14:textId="6D058A26">
            <w:pPr>
              <w:pStyle w:val="tvhtml"/>
              <w:spacing w:before="0" w:beforeAutospacing="0" w:after="0" w:afterAutospacing="0"/>
              <w:jc w:val="both"/>
            </w:pPr>
            <w:r w:rsidRPr="00285725">
              <w:t>1.2.2.</w:t>
            </w:r>
            <w:r w:rsidRPr="00285725" w:rsidR="00484740">
              <w:t xml:space="preserve"> </w:t>
            </w:r>
            <w:r w:rsidRPr="00285725">
              <w:t xml:space="preserve">gadījumos, kad terapija nav uzsākta – atkārtoti izvērtē </w:t>
            </w:r>
            <w:r w:rsidRPr="00285725" w:rsidR="00666070">
              <w:t>sirds un asinsvadu slimību</w:t>
            </w:r>
            <w:r w:rsidRPr="00285725">
              <w:t xml:space="preserve"> risku un izvērtē indikācijas antihip</w:t>
            </w:r>
            <w:r w:rsidRPr="00285725">
              <w:t>ertensīvās terapijas uzsākšanai;</w:t>
            </w:r>
          </w:p>
          <w:p w:rsidR="005225D3" w:rsidRPr="005602E2" w:rsidP="007C1176" w14:paraId="31B960C0" w14:textId="22E936A2">
            <w:pPr>
              <w:pStyle w:val="tvhtml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85725">
              <w:t>1.2.3</w:t>
            </w:r>
            <w:r w:rsidRPr="005602E2">
              <w:t>.</w:t>
            </w:r>
            <w:r w:rsidRPr="005602E2" w:rsidR="00484740">
              <w:t xml:space="preserve"> </w:t>
            </w:r>
            <w:r w:rsidRPr="005602E2" w:rsidR="003B39DB">
              <w:t>nozīmē kardiologa konsultāciju, ja tiek konstatēta 3.pakāpes arteriāla hipertensija (</w:t>
            </w:r>
            <w:r w:rsidRPr="005602E2">
              <w:t xml:space="preserve">vismaz divās dažādās vizītēs pacienta </w:t>
            </w:r>
            <w:r w:rsidRPr="005602E2">
              <w:t>sistoliskais</w:t>
            </w:r>
            <w:r w:rsidRPr="005602E2">
              <w:t xml:space="preserve"> asinsspiediens ir virs 180 </w:t>
            </w:r>
            <w:r w:rsidRPr="005602E2">
              <w:t>mmHg</w:t>
            </w:r>
            <w:r w:rsidRPr="005602E2">
              <w:t xml:space="preserve"> vai </w:t>
            </w:r>
            <w:r w:rsidRPr="005602E2">
              <w:t>diastoliskais</w:t>
            </w:r>
            <w:r w:rsidRPr="005602E2">
              <w:t xml:space="preserve"> asinsspiediens ir virs 110 </w:t>
            </w:r>
            <w:r w:rsidRPr="005602E2">
              <w:t>mmHg</w:t>
            </w:r>
            <w:r w:rsidRPr="005602E2" w:rsidR="003B39DB">
              <w:t xml:space="preserve">) vai ir aizdomas par rezistentu hipertensiju (trīs mēnešu laikā nav izdevies sasniegt terapijas mērķi ar vismaz trīs pirmās rindas antihipertensīviem līdzekļiem, no kuriem vismaz viens ir </w:t>
            </w:r>
            <w:r w:rsidRPr="005602E2" w:rsidR="003B39DB">
              <w:t>diurētiķis</w:t>
            </w:r>
            <w:r w:rsidRPr="005602E2" w:rsidR="003B39DB">
              <w:t>) vai ir aizdomas par sekundāru hipertensiju</w:t>
            </w:r>
            <w:r w:rsidRPr="005602E2">
              <w:t>.</w:t>
            </w:r>
            <w:r w:rsidRPr="005602E2" w:rsidR="0044086D">
              <w:t xml:space="preserve"> </w:t>
            </w:r>
          </w:p>
        </w:tc>
        <w:tc>
          <w:tcPr>
            <w:tcW w:w="3290" w:type="dxa"/>
            <w:shd w:val="clear" w:color="auto" w:fill="auto"/>
          </w:tcPr>
          <w:p w:rsidR="0044086D" w:rsidRPr="00285725" w:rsidP="007C1176" w14:paraId="7296D811" w14:textId="5F251E34">
            <w:pPr>
              <w:pStyle w:val="tvhtml"/>
              <w:spacing w:before="0" w:beforeAutospacing="0" w:after="0" w:afterAutospacing="0"/>
              <w:jc w:val="both"/>
            </w:pPr>
            <w:r w:rsidRPr="00285725">
              <w:t>1.3.Ja terapijas mērķis:</w:t>
            </w:r>
          </w:p>
          <w:p w:rsidR="0044086D" w:rsidRPr="00285725" w:rsidP="007C1176" w14:paraId="6A9915DE" w14:textId="0E91692F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1.3.1. </w:t>
            </w:r>
            <w:r w:rsidRPr="00285725" w:rsidR="000A331C">
              <w:t xml:space="preserve">ir </w:t>
            </w:r>
            <w:r w:rsidRPr="00285725">
              <w:t>sasnieg</w:t>
            </w:r>
            <w:r w:rsidRPr="00285725" w:rsidR="00EA5AAE">
              <w:t xml:space="preserve">ts, atkārtotu vizīti  </w:t>
            </w:r>
            <w:r w:rsidRPr="00285725" w:rsidR="00E1693A">
              <w:t xml:space="preserve">plāno </w:t>
            </w:r>
            <w:r w:rsidRPr="00285725" w:rsidR="00EA5AAE">
              <w:t xml:space="preserve">un </w:t>
            </w:r>
            <w:r w:rsidRPr="00285725">
              <w:t xml:space="preserve">antihipertensīvo terapiju </w:t>
            </w:r>
            <w:r w:rsidRPr="00285725" w:rsidR="00E1693A">
              <w:t xml:space="preserve">izvērtē </w:t>
            </w:r>
            <w:r w:rsidRPr="00285725">
              <w:t>vienu reizi gadā.</w:t>
            </w:r>
          </w:p>
          <w:p w:rsidR="0044086D" w:rsidRPr="00285725" w:rsidP="007C1176" w14:paraId="154FEDD6" w14:textId="714A6F7F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1.3.2. </w:t>
            </w:r>
            <w:r w:rsidRPr="00285725">
              <w:t xml:space="preserve">netiek sasniegts, </w:t>
            </w:r>
            <w:r w:rsidRPr="00285725" w:rsidR="00E1693A">
              <w:t>atkārtotu vizīti plāno un antihipertensīvo terapiju izvērtē</w:t>
            </w:r>
            <w:r w:rsidRPr="00285725">
              <w:t xml:space="preserve"> pēc 4-8 nedēļām.</w:t>
            </w:r>
          </w:p>
          <w:p w:rsidR="0044086D" w:rsidRPr="00285725" w:rsidP="007C1176" w14:paraId="2FC16524" w14:textId="65546AEC">
            <w:pPr>
              <w:pStyle w:val="tvhtml"/>
              <w:spacing w:before="0" w:beforeAutospacing="0" w:after="0" w:afterAutospacing="0"/>
              <w:ind w:left="720"/>
            </w:pPr>
          </w:p>
        </w:tc>
      </w:tr>
      <w:tr w14:paraId="5C55BC03" w14:textId="77777777" w:rsidTr="007C1176">
        <w:tblPrEx>
          <w:tblW w:w="15588" w:type="dxa"/>
          <w:tblLook w:val="04A0"/>
        </w:tblPrEx>
        <w:tc>
          <w:tcPr>
            <w:tcW w:w="1910" w:type="dxa"/>
            <w:shd w:val="clear" w:color="auto" w:fill="auto"/>
          </w:tcPr>
          <w:p w:rsidR="000B28B8" w:rsidRPr="00285725" w:rsidP="007C1176" w14:paraId="413A410F" w14:textId="2472FBE1">
            <w:pPr>
              <w:pStyle w:val="tvhtml"/>
              <w:spacing w:before="0" w:beforeAutospacing="0" w:after="0" w:afterAutospacing="0"/>
              <w:jc w:val="both"/>
              <w:rPr>
                <w:b/>
              </w:rPr>
            </w:pPr>
            <w:r w:rsidRPr="00285725">
              <w:rPr>
                <w:b/>
              </w:rPr>
              <w:t>2.</w:t>
            </w:r>
            <w:r w:rsidRPr="00285725" w:rsidR="002415F2">
              <w:rPr>
                <w:b/>
              </w:rPr>
              <w:t xml:space="preserve"> </w:t>
            </w:r>
            <w:r w:rsidRPr="00285725" w:rsidR="00EB1410">
              <w:rPr>
                <w:b/>
              </w:rPr>
              <w:t xml:space="preserve"> Sirds un asinsvadu slimību </w:t>
            </w:r>
            <w:r w:rsidRPr="00285725" w:rsidR="00D93C2D">
              <w:rPr>
                <w:b/>
              </w:rPr>
              <w:t>riska vērtējums</w:t>
            </w:r>
            <w:r w:rsidRPr="00285725" w:rsidR="00EB1410">
              <w:rPr>
                <w:b/>
              </w:rPr>
              <w:t xml:space="preserve"> (SCORE) </w:t>
            </w:r>
            <w:r w:rsidRPr="00C57D5B" w:rsidR="00CB62FB">
              <w:rPr>
                <w:b/>
              </w:rPr>
              <w:t>virs 1</w:t>
            </w:r>
            <w:r w:rsidRPr="00C57D5B" w:rsidR="00EB1410">
              <w:rPr>
                <w:b/>
              </w:rPr>
              <w:t xml:space="preserve">% </w:t>
            </w:r>
            <w:r w:rsidRPr="00C57D5B" w:rsidR="002415F2">
              <w:rPr>
                <w:b/>
              </w:rPr>
              <w:t xml:space="preserve">un/vai kopējais </w:t>
            </w:r>
            <w:r w:rsidRPr="00285725" w:rsidR="002415F2">
              <w:rPr>
                <w:b/>
              </w:rPr>
              <w:t xml:space="preserve">holesterīns </w:t>
            </w:r>
            <w:r w:rsidRPr="00285725" w:rsidR="008679A0">
              <w:rPr>
                <w:b/>
              </w:rPr>
              <w:t xml:space="preserve">virs </w:t>
            </w:r>
            <w:r w:rsidRPr="00285725" w:rsidR="002415F2">
              <w:rPr>
                <w:b/>
              </w:rPr>
              <w:t>7mmol/L</w:t>
            </w:r>
            <w:r w:rsidR="00CB62FB">
              <w:rPr>
                <w:b/>
              </w:rPr>
              <w:t>,</w:t>
            </w:r>
            <w:r w:rsidRPr="00285725" w:rsidR="002415F2">
              <w:rPr>
                <w:b/>
              </w:rPr>
              <w:t xml:space="preserve"> vai agrīna (l</w:t>
            </w:r>
            <w:r w:rsidRPr="00285725" w:rsidR="00155FB1">
              <w:rPr>
                <w:b/>
              </w:rPr>
              <w:t xml:space="preserve">īdz 50 </w:t>
            </w:r>
            <w:r w:rsidRPr="00285725" w:rsidR="00155FB1">
              <w:rPr>
                <w:b/>
              </w:rPr>
              <w:t>gadu vecumam) kardiovaskulārā saslimšana</w:t>
            </w:r>
            <w:r w:rsidRPr="00285725" w:rsidR="00EB1410">
              <w:rPr>
                <w:b/>
              </w:rPr>
              <w:t xml:space="preserve"> ģimenē</w:t>
            </w:r>
          </w:p>
          <w:p w:rsidR="002415F2" w:rsidRPr="00285725" w:rsidP="007C1176" w14:paraId="7D09B310" w14:textId="7E22310E">
            <w:pPr>
              <w:pStyle w:val="tvhtml"/>
              <w:rPr>
                <w:b/>
              </w:rPr>
            </w:pPr>
          </w:p>
        </w:tc>
        <w:tc>
          <w:tcPr>
            <w:tcW w:w="5871" w:type="dxa"/>
            <w:shd w:val="clear" w:color="auto" w:fill="auto"/>
          </w:tcPr>
          <w:p w:rsidR="0044086D" w:rsidRPr="00285725" w:rsidP="007C1176" w14:paraId="591BC0D2" w14:textId="77777777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2.1.Veic šādus izmeklējumus:</w:t>
            </w:r>
          </w:p>
          <w:p w:rsidR="0044086D" w:rsidRPr="00285725" w:rsidP="007C1176" w14:paraId="18C12038" w14:textId="00F2A5A6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2.1.1. ja sasniegts terapijas mērķis, pielietojot </w:t>
            </w:r>
            <w:r w:rsidRPr="00285725" w:rsidR="00B105B6">
              <w:t>lipīdu pazeminošo</w:t>
            </w:r>
            <w:r w:rsidRPr="00285725">
              <w:t xml:space="preserve"> terapiju, veic asins bioķīmisko analīzi un atkārtoti izvērtē vienu reizi gadā:</w:t>
            </w:r>
          </w:p>
          <w:p w:rsidR="0044086D" w:rsidRPr="00285725" w:rsidP="007C1176" w14:paraId="43FDB559" w14:textId="2E88328A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2.1.1.1.</w:t>
            </w:r>
            <w:r w:rsidRPr="00285725" w:rsidR="00484740">
              <w:t xml:space="preserve"> </w:t>
            </w:r>
            <w:r w:rsidRPr="00285725">
              <w:t xml:space="preserve">lipīdu frakcijas (kopējais holesterīns, </w:t>
            </w:r>
            <w:r w:rsidRPr="00285725">
              <w:t>triglicerīdi</w:t>
            </w:r>
            <w:r w:rsidRPr="00285725">
              <w:t xml:space="preserve">, augsta blīvuma </w:t>
            </w:r>
            <w:r w:rsidRPr="00285725">
              <w:t>lipoprot</w:t>
            </w:r>
            <w:r w:rsidRPr="00285725" w:rsidR="00B105B6">
              <w:t>eīnu</w:t>
            </w:r>
            <w:r w:rsidRPr="00285725" w:rsidR="00B105B6">
              <w:t xml:space="preserve">, zema blīvuma </w:t>
            </w:r>
            <w:r w:rsidRPr="00285725" w:rsidR="00B105B6">
              <w:t>lipoproteīnu</w:t>
            </w:r>
            <w:r w:rsidRPr="00285725">
              <w:t>);</w:t>
            </w:r>
          </w:p>
          <w:p w:rsidR="00801CD2" w:rsidRPr="00285725" w:rsidP="007C1176" w14:paraId="32B810B2" w14:textId="32EC028D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2.1.1.2.</w:t>
            </w:r>
            <w:r w:rsidRPr="00285725" w:rsidR="00484740">
              <w:t xml:space="preserve"> </w:t>
            </w:r>
            <w:r w:rsidRPr="00285725" w:rsidR="0044086D">
              <w:t>alanīnaminotransferāzi</w:t>
            </w:r>
            <w:r w:rsidRPr="00285725" w:rsidR="0044086D">
              <w:t>;</w:t>
            </w:r>
          </w:p>
          <w:p w:rsidR="0044086D" w:rsidRPr="00285725" w:rsidP="007C1176" w14:paraId="115A445E" w14:textId="5C115821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2.1.1.3.</w:t>
            </w:r>
            <w:r w:rsidRPr="00285725" w:rsidR="00484740">
              <w:t xml:space="preserve"> </w:t>
            </w:r>
            <w:r w:rsidRPr="00285725" w:rsidR="006060B4">
              <w:t>kreatīnfosfokināzi</w:t>
            </w:r>
            <w:r w:rsidRPr="00285725" w:rsidR="006060B4">
              <w:t>.</w:t>
            </w:r>
          </w:p>
          <w:p w:rsidR="0044086D" w:rsidRPr="00285725" w:rsidP="007C1176" w14:paraId="4EFD8C03" w14:textId="14C95350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2.1.2. ja sasniegts terapijas mērķis, pielietojot antihipertensīvo terapiju,</w:t>
            </w:r>
            <w:r w:rsidRPr="00285725" w:rsidR="000B28B8">
              <w:t xml:space="preserve"> veic asinsspiediena mērījumus </w:t>
            </w:r>
            <w:r w:rsidRPr="00285725" w:rsidR="000B28B8">
              <w:t>vienu reizi gadā un</w:t>
            </w:r>
            <w:r w:rsidRPr="00285725">
              <w:t xml:space="preserve"> </w:t>
            </w:r>
            <w:r w:rsidRPr="00285725" w:rsidR="00B105B6">
              <w:t xml:space="preserve">rekomendē </w:t>
            </w:r>
            <w:r w:rsidRPr="00285725" w:rsidR="000B28B8">
              <w:t xml:space="preserve">pacientam </w:t>
            </w:r>
            <w:r w:rsidRPr="00285725" w:rsidR="00B105B6">
              <w:t>veikt regulāru paškontroli viena gada laikā</w:t>
            </w:r>
            <w:r w:rsidRPr="00285725" w:rsidR="00F60227">
              <w:t>;</w:t>
            </w:r>
            <w:r w:rsidRPr="00285725">
              <w:t xml:space="preserve"> </w:t>
            </w:r>
          </w:p>
          <w:p w:rsidR="0044086D" w:rsidRPr="00285725" w:rsidP="007C1176" w14:paraId="6FF11BF7" w14:textId="3CCB7B29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2.1.3. </w:t>
            </w:r>
            <w:r w:rsidRPr="00285725">
              <w:t xml:space="preserve">ja terapijas mērķis netiek sasniegts pielietojot </w:t>
            </w:r>
            <w:r w:rsidRPr="00285725" w:rsidR="00B105B6">
              <w:t>lipīdu pazeminošu terapiju</w:t>
            </w:r>
            <w:r w:rsidRPr="00285725" w:rsidR="00CB6D31">
              <w:t>,</w:t>
            </w:r>
            <w:r w:rsidRPr="00285725">
              <w:t xml:space="preserve"> pēc 4-8 nedēļām veic asins bioķīmisko analīzi un atkārtoti izvērtē:</w:t>
            </w:r>
          </w:p>
          <w:p w:rsidR="0044086D" w:rsidRPr="00285725" w:rsidP="007C1176" w14:paraId="0FCABA82" w14:textId="6540B8E5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2.1.3.1.</w:t>
            </w:r>
            <w:r w:rsidRPr="00285725" w:rsidR="00484740">
              <w:t xml:space="preserve"> </w:t>
            </w:r>
            <w:r w:rsidRPr="00285725">
              <w:t xml:space="preserve">lipīdu frakcijas (kopējais holesterīns, </w:t>
            </w:r>
            <w:r w:rsidRPr="00285725">
              <w:t>triglicerīdi</w:t>
            </w:r>
            <w:r w:rsidRPr="00285725">
              <w:t xml:space="preserve">, augsta blīvuma </w:t>
            </w:r>
            <w:r w:rsidRPr="00285725">
              <w:t>lipoprot</w:t>
            </w:r>
            <w:r w:rsidRPr="00285725" w:rsidR="00B105B6">
              <w:t>eīnu</w:t>
            </w:r>
            <w:r w:rsidRPr="00285725" w:rsidR="00B105B6">
              <w:t xml:space="preserve">, zema blīvuma </w:t>
            </w:r>
            <w:r w:rsidRPr="00285725" w:rsidR="00B105B6">
              <w:t>lipoproteīnu</w:t>
            </w:r>
            <w:r w:rsidRPr="00285725">
              <w:t>);</w:t>
            </w:r>
          </w:p>
          <w:p w:rsidR="0044086D" w:rsidRPr="00285725" w:rsidP="007C1176" w14:paraId="6F61D6BB" w14:textId="7F0223B2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2.1.3.2.</w:t>
            </w:r>
            <w:r w:rsidRPr="00285725" w:rsidR="00484740">
              <w:t xml:space="preserve"> </w:t>
            </w:r>
            <w:r w:rsidRPr="00285725">
              <w:t>alanīnaminotransferāzi</w:t>
            </w:r>
            <w:r w:rsidRPr="00285725">
              <w:t>;</w:t>
            </w:r>
          </w:p>
          <w:p w:rsidR="0044086D" w:rsidRPr="00285725" w:rsidP="007C1176" w14:paraId="1777A50B" w14:textId="79296C45">
            <w:pPr>
              <w:pStyle w:val="tvhtml"/>
              <w:spacing w:before="0" w:beforeAutospacing="0" w:after="0" w:afterAutospacing="0"/>
              <w:jc w:val="both"/>
            </w:pPr>
            <w:r w:rsidRPr="00285725">
              <w:t>2.1.3.3.</w:t>
            </w:r>
            <w:r w:rsidRPr="00285725" w:rsidR="00484740">
              <w:t xml:space="preserve"> </w:t>
            </w:r>
            <w:r w:rsidRPr="00285725" w:rsidR="003E3569">
              <w:t>kreatīnfosfokināzi</w:t>
            </w:r>
            <w:r w:rsidRPr="00285725" w:rsidR="003E3569">
              <w:t>.</w:t>
            </w:r>
          </w:p>
          <w:p w:rsidR="0044086D" w:rsidRPr="00285725" w:rsidP="007C1176" w14:paraId="64035A0E" w14:textId="49C24305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 </w:t>
            </w:r>
            <w:r w:rsidRPr="00285725">
              <w:t>2.1.4. ja terapijas mērķis netiek sasniegts pielietojot antihipertensīvo terapiju</w:t>
            </w:r>
            <w:r w:rsidRPr="00285725" w:rsidR="00801CD2">
              <w:t>,</w:t>
            </w:r>
            <w:r w:rsidRPr="00285725">
              <w:t xml:space="preserve"> </w:t>
            </w:r>
            <w:r w:rsidRPr="00285725" w:rsidR="00B105B6">
              <w:t xml:space="preserve">tad </w:t>
            </w:r>
            <w:r w:rsidRPr="00285725" w:rsidR="00EB1410">
              <w:t xml:space="preserve">regulāra paškontrole 4 līdz 8 nedēļu laikā vai, ja tas nav iespējams, tad ambulatora asinsspiediena novērošana </w:t>
            </w:r>
            <w:r w:rsidRPr="00285725" w:rsidR="00F97281">
              <w:t xml:space="preserve">no </w:t>
            </w:r>
            <w:r w:rsidRPr="00285725" w:rsidR="00EB1410">
              <w:t>4 līdz 8 nedēļām ārstniecības iestādē.</w:t>
            </w:r>
          </w:p>
          <w:p w:rsidR="0044086D" w:rsidRPr="00285725" w:rsidP="007C1176" w14:paraId="1CB616F5" w14:textId="77777777">
            <w:pPr>
              <w:pStyle w:val="tvhtml"/>
            </w:pPr>
          </w:p>
        </w:tc>
        <w:tc>
          <w:tcPr>
            <w:tcW w:w="4517" w:type="dxa"/>
            <w:shd w:val="clear" w:color="auto" w:fill="auto"/>
          </w:tcPr>
          <w:p w:rsidR="005225D3" w:rsidRPr="005602E2" w:rsidP="007C1176" w14:paraId="4F3EF778" w14:textId="67A01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Ja terapijas mērķis nav sasniegts</w:t>
            </w:r>
            <w:r w:rsidR="003067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 šādas 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terapijā:</w:t>
            </w:r>
          </w:p>
          <w:p w:rsidR="005225D3" w:rsidRPr="005225D3" w:rsidP="007C1176" w14:paraId="3DA887E4" w14:textId="7777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2.2.1. ja pielietota lipīdu pazeminoša terapija, palielina 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statīna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devu,  vai nozīmē kardiologa konsultāciju, ja palielinot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statīna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devu, netiek sasniegts terapijas primārais mērķis (zema blīvuma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lipoproteīnu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koncentrācija ir zemāka par 3,0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mmol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/L pie SCORE 1- 4% vai ir zemāka par 2,6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mmol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/L pie SCORE 5-9% vai ir zemāka par 1,8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mmol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/L pie SCORE 10% un vairāk) vai sekundārais mērķis (ne-augsta blīvuma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lipoproteīnu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koncentrācija ir zemāka par 3,8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mmol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/L pie SCORE 1-4% vai zemāka par 3,4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mmol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/L pie SCORE 5-9% vai zemāka par 2,6 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mmol</w:t>
            </w:r>
            <w:r w:rsidRPr="005225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/L pie SCORE 10% un vairāk); </w:t>
            </w:r>
          </w:p>
          <w:p w:rsidR="005225D3" w:rsidRPr="005602E2" w:rsidP="007C1176" w14:paraId="057212BE" w14:textId="7777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2.2.2. ja pielietota antihipertensīvā terapija,  tiek pārskatīta nozīmētā ārstēšana vai  nozīmē kardiologa konsultāciju, ja tiek konstatēta 3.pakāpes arteriāla hipertensija (vismaz divās dažādās vizītēs pacienta 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sistoliskais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asinsspiediens ir virs 180 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mmHg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diastoliskais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asinsspiediens ir virs 110 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mmHg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vai ir aizdomas par rezistentu hipertensiju (trīs mēnešu laikā nav izdevies sasniegt terapijas mērķi ar vismaz trīs pirmās rindas antihipertensīviem līdzekļiem, no kuriem vismaz viens ir 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diurētiķis</w:t>
            </w: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vai ir aizdomas par sekundāru hipertensiju;</w:t>
            </w:r>
          </w:p>
          <w:p w:rsidR="0044086D" w:rsidRPr="005225D3" w:rsidP="007C1176" w14:paraId="109B7392" w14:textId="49FBD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2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 gadījumos, kad terapija nav uzsākta – atkārtoti izvērtē sirds un asinsvadu slimību risku un izvērtē indikācijas lipīdu  pazeminošas un/vai antihipertensīvās terapijas uzsākšanai</w:t>
            </w:r>
            <w:r w:rsidRPr="005602E2">
              <w:t>.</w:t>
            </w:r>
          </w:p>
        </w:tc>
        <w:tc>
          <w:tcPr>
            <w:tcW w:w="3290" w:type="dxa"/>
            <w:shd w:val="clear" w:color="auto" w:fill="auto"/>
          </w:tcPr>
          <w:p w:rsidR="0044086D" w:rsidRPr="00285725" w:rsidP="007C1176" w14:paraId="6939F237" w14:textId="6011E1F3">
            <w:pPr>
              <w:pStyle w:val="tvhtml"/>
              <w:spacing w:before="0" w:beforeAutospacing="0" w:after="0" w:afterAutospacing="0"/>
              <w:jc w:val="both"/>
            </w:pPr>
            <w:r w:rsidRPr="00285725">
              <w:t>2.3.Ja terapijas mērķis:</w:t>
            </w:r>
          </w:p>
          <w:p w:rsidR="00557B81" w:rsidRPr="00285725" w:rsidP="007C1176" w14:paraId="5DAC5BCB" w14:textId="0ABB14E2">
            <w:pPr>
              <w:pStyle w:val="tvhtml"/>
              <w:spacing w:before="0" w:beforeAutospacing="0" w:after="0" w:afterAutospacing="0"/>
              <w:jc w:val="both"/>
            </w:pPr>
            <w:r w:rsidRPr="00285725">
              <w:t>2.3.</w:t>
            </w:r>
            <w:r w:rsidRPr="00285725" w:rsidR="005C4436">
              <w:t xml:space="preserve">1. </w:t>
            </w:r>
            <w:r w:rsidRPr="00285725" w:rsidR="00A00899">
              <w:t xml:space="preserve">ir </w:t>
            </w:r>
            <w:r w:rsidRPr="00285725" w:rsidR="005C4436">
              <w:t>sasniegts, atkārtotu vizīti</w:t>
            </w:r>
            <w:r w:rsidRPr="00285725" w:rsidR="00A00899">
              <w:t>,</w:t>
            </w:r>
            <w:r w:rsidRPr="00285725" w:rsidR="005C4436">
              <w:t xml:space="preserve"> </w:t>
            </w:r>
            <w:r w:rsidRPr="00285725">
              <w:t>pielietojot:</w:t>
            </w:r>
          </w:p>
          <w:p w:rsidR="0044086D" w:rsidRPr="00285725" w:rsidP="007C1176" w14:paraId="0C0331F1" w14:textId="3FB933F2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2.3.1.1.lipīdu pazeminošu terapiju, plāno </w:t>
            </w:r>
            <w:r w:rsidRPr="00285725">
              <w:t>vienu reizi gadā;</w:t>
            </w:r>
          </w:p>
          <w:p w:rsidR="0044086D" w:rsidRPr="00285725" w:rsidP="007C1176" w14:paraId="719F9BED" w14:textId="29160098">
            <w:pPr>
              <w:pStyle w:val="tvhtml"/>
              <w:spacing w:before="0" w:beforeAutospacing="0" w:after="0" w:afterAutospacing="0"/>
              <w:jc w:val="both"/>
            </w:pPr>
            <w:r w:rsidRPr="00285725">
              <w:t>2.3.1.2. antihipertensīvo terapiju</w:t>
            </w:r>
            <w:r w:rsidRPr="00285725" w:rsidR="00A00899">
              <w:t>,</w:t>
            </w:r>
            <w:r w:rsidRPr="00285725">
              <w:t xml:space="preserve"> plāno divas reizes gadā pirmajā gadā</w:t>
            </w:r>
            <w:r w:rsidRPr="00285725" w:rsidR="00A00899">
              <w:t xml:space="preserve"> un </w:t>
            </w:r>
            <w:r w:rsidRPr="00285725">
              <w:t>pēc tam vienu reizi gadā.</w:t>
            </w:r>
          </w:p>
          <w:p w:rsidR="0044086D" w:rsidRPr="00285725" w:rsidP="007C1176" w14:paraId="132DC7D7" w14:textId="18635909">
            <w:pPr>
              <w:pStyle w:val="tvhtml"/>
              <w:spacing w:before="0" w:beforeAutospacing="0" w:after="0" w:afterAutospacing="0"/>
              <w:jc w:val="both"/>
            </w:pPr>
            <w:r w:rsidRPr="00285725">
              <w:t>2.3.2. netiek sasniegts, atkārtotu vizīti</w:t>
            </w:r>
            <w:r w:rsidRPr="00285725" w:rsidR="00A00899">
              <w:t>,</w:t>
            </w:r>
            <w:r w:rsidRPr="00285725">
              <w:t xml:space="preserve"> pielietojot:</w:t>
            </w:r>
          </w:p>
          <w:p w:rsidR="0044086D" w:rsidRPr="00285725" w:rsidP="007C1176" w14:paraId="5E583694" w14:textId="365B64E5">
            <w:pPr>
              <w:pStyle w:val="tvhtml"/>
              <w:spacing w:before="0" w:beforeAutospacing="0" w:after="0" w:afterAutospacing="0"/>
              <w:jc w:val="both"/>
            </w:pPr>
            <w:r w:rsidRPr="00285725">
              <w:t xml:space="preserve">2.3.2.1. </w:t>
            </w:r>
            <w:r w:rsidRPr="00285725" w:rsidR="00557B81">
              <w:t xml:space="preserve">lipīdu pazeminošu </w:t>
            </w:r>
            <w:r w:rsidRPr="00285725">
              <w:t>terapiju</w:t>
            </w:r>
            <w:r w:rsidRPr="00285725" w:rsidR="00A00899">
              <w:t>,</w:t>
            </w:r>
            <w:r w:rsidRPr="00285725">
              <w:t xml:space="preserve"> plāno pēc 4-8 nedēļām;</w:t>
            </w:r>
          </w:p>
          <w:p w:rsidR="0044086D" w:rsidRPr="00285725" w:rsidP="007C1176" w14:paraId="7932C3CC" w14:textId="6B3A68A0">
            <w:pPr>
              <w:pStyle w:val="tvhtml"/>
              <w:spacing w:before="0" w:beforeAutospacing="0" w:after="0" w:afterAutospacing="0"/>
              <w:jc w:val="both"/>
            </w:pPr>
            <w:r w:rsidRPr="00285725">
              <w:t>2.3.2.2. antihipertensīvo terapiju</w:t>
            </w:r>
            <w:r w:rsidRPr="00285725" w:rsidR="00A00899">
              <w:t>,</w:t>
            </w:r>
            <w:r w:rsidRPr="00285725">
              <w:t xml:space="preserve"> plāno pēc 4-8 nedēļām.</w:t>
            </w:r>
          </w:p>
          <w:p w:rsidR="0044086D" w:rsidRPr="00285725" w:rsidP="007C1176" w14:paraId="37769C44" w14:textId="77777777">
            <w:pPr>
              <w:pStyle w:val="tvhtml"/>
              <w:spacing w:before="0" w:beforeAutospacing="0" w:after="0" w:afterAutospacing="0"/>
            </w:pPr>
          </w:p>
        </w:tc>
      </w:tr>
    </w:tbl>
    <w:p w:rsidR="006E14CF" w:rsidRPr="006E14CF" w:rsidP="006E14CF" w14:paraId="00419B8E" w14:textId="54349641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E14CF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6E14C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556AB1" w:rsidRPr="00556AB1" w:rsidP="006E14CF" w14:paraId="71F04EE0" w14:textId="1BC2918E">
      <w:pPr>
        <w:spacing w:before="240"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E14CF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 ministrs</w:t>
      </w: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>Kaspars Gerhards</w:t>
      </w:r>
    </w:p>
    <w:p w:rsidR="006E14CF" w:rsidRPr="006E14CF" w:rsidP="006E14CF" w14:paraId="759E4C28" w14:textId="609F98F2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>Iesniedzējs: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6E14CF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6E14C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7C1176" w:rsidP="007C1176" w14:paraId="539B9D03" w14:textId="77777777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E14CF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 ministrs</w:t>
      </w:r>
      <w:r w:rsidRPr="00556AB1" w:rsidR="00556AB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56AB1" w:rsidR="00556AB1">
        <w:rPr>
          <w:rFonts w:ascii="Times New Roman" w:eastAsia="Calibri" w:hAnsi="Times New Roman" w:cs="Times New Roman"/>
          <w:sz w:val="28"/>
          <w:szCs w:val="28"/>
          <w:lang w:eastAsia="lv-LV"/>
        </w:rPr>
        <w:t>Kaspars Gerhards</w:t>
      </w:r>
    </w:p>
    <w:p w:rsidR="00285725" w:rsidRPr="00556AB1" w:rsidP="007C1176" w14:paraId="7D7297FF" w14:textId="390B9070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sekretārs</w:t>
      </w:r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7C117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7C117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7C117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7C117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7C117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7C117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Pr="00556AB1">
        <w:rPr>
          <w:rFonts w:ascii="Times New Roman" w:eastAsia="Calibri" w:hAnsi="Times New Roman" w:cs="Times New Roman"/>
          <w:sz w:val="28"/>
          <w:szCs w:val="28"/>
          <w:lang w:eastAsia="lv-LV"/>
        </w:rPr>
        <w:t>Aivars Lapiņš</w:t>
      </w:r>
    </w:p>
    <w:sectPr w:rsidSect="00AF3B82">
      <w:headerReference w:type="default" r:id="rId5"/>
      <w:footerReference w:type="default" r:id="rId6"/>
      <w:footerReference w:type="firs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725" w:rsidRPr="00285725" w14:paraId="462DBFAF" w14:textId="37A947B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VMnotp2</w:t>
    </w:r>
    <w:r w:rsidR="00CB62FB">
      <w:rPr>
        <w:rFonts w:ascii="Times New Roman" w:hAnsi="Times New Roman" w:cs="Times New Roman"/>
        <w:sz w:val="24"/>
        <w:szCs w:val="24"/>
      </w:rPr>
      <w:t>_</w:t>
    </w:r>
    <w:r w:rsidR="00804A48">
      <w:rPr>
        <w:rFonts w:ascii="Times New Roman" w:hAnsi="Times New Roman" w:cs="Times New Roman"/>
        <w:sz w:val="24"/>
        <w:szCs w:val="24"/>
      </w:rPr>
      <w:t>19</w:t>
    </w:r>
    <w:r w:rsidR="00FC1BF9">
      <w:rPr>
        <w:rFonts w:ascii="Times New Roman" w:hAnsi="Times New Roman" w:cs="Times New Roman"/>
        <w:sz w:val="24"/>
        <w:szCs w:val="24"/>
      </w:rPr>
      <w:t>07</w:t>
    </w:r>
    <w:r w:rsidRPr="00285725">
      <w:rPr>
        <w:rFonts w:ascii="Times New Roman" w:hAnsi="Times New Roman" w:cs="Times New Roman"/>
        <w:sz w:val="24"/>
        <w:szCs w:val="24"/>
      </w:rPr>
      <w:t>18_SAS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74F" w:rsidRPr="00F8774F" w14:paraId="12E10455" w14:textId="01A680C8">
    <w:pPr>
      <w:pStyle w:val="Footer"/>
      <w:rPr>
        <w:rFonts w:ascii="Times New Roman" w:hAnsi="Times New Roman" w:cs="Times New Roman"/>
        <w:sz w:val="24"/>
        <w:szCs w:val="24"/>
      </w:rPr>
    </w:pPr>
    <w:r w:rsidRPr="00F8774F">
      <w:rPr>
        <w:rFonts w:ascii="Times New Roman" w:hAnsi="Times New Roman" w:cs="Times New Roman"/>
        <w:sz w:val="24"/>
        <w:szCs w:val="24"/>
      </w:rPr>
      <w:t>VMnotp2_</w:t>
    </w:r>
    <w:r w:rsidR="00804A48">
      <w:rPr>
        <w:rFonts w:ascii="Times New Roman" w:hAnsi="Times New Roman" w:cs="Times New Roman"/>
        <w:sz w:val="24"/>
        <w:szCs w:val="24"/>
      </w:rPr>
      <w:t>19</w:t>
    </w:r>
    <w:r w:rsidR="00FC1BF9">
      <w:rPr>
        <w:rFonts w:ascii="Times New Roman" w:hAnsi="Times New Roman" w:cs="Times New Roman"/>
        <w:sz w:val="24"/>
        <w:szCs w:val="24"/>
      </w:rPr>
      <w:t>07</w:t>
    </w:r>
    <w:r w:rsidRPr="00F8774F">
      <w:rPr>
        <w:rFonts w:ascii="Times New Roman" w:hAnsi="Times New Roman" w:cs="Times New Roman"/>
        <w:sz w:val="24"/>
        <w:szCs w:val="24"/>
      </w:rPr>
      <w:t>18_SAS</w:t>
    </w:r>
  </w:p>
  <w:p w:rsidR="00F8774F" w14:paraId="2CD2179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0809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8774F" w:rsidRPr="00F8774F" w14:paraId="21692421" w14:textId="077E410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77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7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77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1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77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774F" w14:paraId="7E6D21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1D114E"/>
    <w:multiLevelType w:val="hybridMultilevel"/>
    <w:tmpl w:val="09EAC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3D6782"/>
    <w:multiLevelType w:val="hybridMultilevel"/>
    <w:tmpl w:val="E1CAA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B857AFD"/>
    <w:multiLevelType w:val="hybridMultilevel"/>
    <w:tmpl w:val="3606E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5FB48CA"/>
    <w:multiLevelType w:val="hybridMultilevel"/>
    <w:tmpl w:val="84D43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F33045"/>
    <w:multiLevelType w:val="hybridMultilevel"/>
    <w:tmpl w:val="1E68E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BB40B3"/>
    <w:multiLevelType w:val="hybridMultilevel"/>
    <w:tmpl w:val="A57AD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3F45E53"/>
    <w:multiLevelType w:val="hybridMultilevel"/>
    <w:tmpl w:val="BDF4BC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4CC32FD"/>
    <w:multiLevelType w:val="hybridMultilevel"/>
    <w:tmpl w:val="7DE2DEF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1">
    <w:nsid w:val="3B1252A7"/>
    <w:multiLevelType w:val="hybridMultilevel"/>
    <w:tmpl w:val="45F09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9B3FEB"/>
    <w:multiLevelType w:val="hybridMultilevel"/>
    <w:tmpl w:val="A4A02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9643AA1"/>
    <w:multiLevelType w:val="hybridMultilevel"/>
    <w:tmpl w:val="4C04A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B5D60D0"/>
    <w:multiLevelType w:val="hybridMultilevel"/>
    <w:tmpl w:val="9C0E2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BD03B64"/>
    <w:multiLevelType w:val="hybridMultilevel"/>
    <w:tmpl w:val="C4C675E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1">
    <w:nsid w:val="532B5CCD"/>
    <w:multiLevelType w:val="hybridMultilevel"/>
    <w:tmpl w:val="F9F4D00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1">
    <w:nsid w:val="6D7D2760"/>
    <w:multiLevelType w:val="hybridMultilevel"/>
    <w:tmpl w:val="A798D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624103F"/>
    <w:multiLevelType w:val="hybridMultilevel"/>
    <w:tmpl w:val="F45E6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7"/>
    <w:rsid w:val="00003F00"/>
    <w:rsid w:val="00062C1C"/>
    <w:rsid w:val="0006713D"/>
    <w:rsid w:val="0008099D"/>
    <w:rsid w:val="000A331C"/>
    <w:rsid w:val="000A67D4"/>
    <w:rsid w:val="000B28B8"/>
    <w:rsid w:val="000B3F56"/>
    <w:rsid w:val="000D2052"/>
    <w:rsid w:val="000E0D52"/>
    <w:rsid w:val="000E2AAC"/>
    <w:rsid w:val="00134227"/>
    <w:rsid w:val="00155FB1"/>
    <w:rsid w:val="0018429A"/>
    <w:rsid w:val="001A3F2C"/>
    <w:rsid w:val="001A5BD8"/>
    <w:rsid w:val="002415F2"/>
    <w:rsid w:val="00242037"/>
    <w:rsid w:val="00283B4E"/>
    <w:rsid w:val="00285725"/>
    <w:rsid w:val="002B39C7"/>
    <w:rsid w:val="002D5A39"/>
    <w:rsid w:val="002E06A3"/>
    <w:rsid w:val="002E3842"/>
    <w:rsid w:val="00306758"/>
    <w:rsid w:val="0032418B"/>
    <w:rsid w:val="00344143"/>
    <w:rsid w:val="003842EC"/>
    <w:rsid w:val="003A6CF6"/>
    <w:rsid w:val="003B39DB"/>
    <w:rsid w:val="003E3569"/>
    <w:rsid w:val="003E5207"/>
    <w:rsid w:val="00417DA0"/>
    <w:rsid w:val="0042543E"/>
    <w:rsid w:val="0044086D"/>
    <w:rsid w:val="00452226"/>
    <w:rsid w:val="00484740"/>
    <w:rsid w:val="00487F62"/>
    <w:rsid w:val="004A17B8"/>
    <w:rsid w:val="004C221F"/>
    <w:rsid w:val="004E2AA3"/>
    <w:rsid w:val="005022B5"/>
    <w:rsid w:val="0050251C"/>
    <w:rsid w:val="00511F6D"/>
    <w:rsid w:val="005225D3"/>
    <w:rsid w:val="005273D8"/>
    <w:rsid w:val="00556AB1"/>
    <w:rsid w:val="00557B81"/>
    <w:rsid w:val="005602E2"/>
    <w:rsid w:val="00566872"/>
    <w:rsid w:val="005C4436"/>
    <w:rsid w:val="005D454C"/>
    <w:rsid w:val="006060B4"/>
    <w:rsid w:val="00610A37"/>
    <w:rsid w:val="006210CB"/>
    <w:rsid w:val="00645AA5"/>
    <w:rsid w:val="006549EC"/>
    <w:rsid w:val="00660BAB"/>
    <w:rsid w:val="00661B2F"/>
    <w:rsid w:val="00666070"/>
    <w:rsid w:val="0067474A"/>
    <w:rsid w:val="006C138A"/>
    <w:rsid w:val="006D3B65"/>
    <w:rsid w:val="006D4B93"/>
    <w:rsid w:val="006E14CF"/>
    <w:rsid w:val="006E2339"/>
    <w:rsid w:val="006E650B"/>
    <w:rsid w:val="006F70D6"/>
    <w:rsid w:val="00703539"/>
    <w:rsid w:val="007104C7"/>
    <w:rsid w:val="00721A78"/>
    <w:rsid w:val="007232C8"/>
    <w:rsid w:val="007334D2"/>
    <w:rsid w:val="0076428A"/>
    <w:rsid w:val="007C1176"/>
    <w:rsid w:val="007C50AA"/>
    <w:rsid w:val="007D79BA"/>
    <w:rsid w:val="007E2E19"/>
    <w:rsid w:val="007F2F82"/>
    <w:rsid w:val="00801A78"/>
    <w:rsid w:val="00801CD2"/>
    <w:rsid w:val="00804A48"/>
    <w:rsid w:val="008176C0"/>
    <w:rsid w:val="00841B15"/>
    <w:rsid w:val="008679A0"/>
    <w:rsid w:val="008A2640"/>
    <w:rsid w:val="008A641E"/>
    <w:rsid w:val="0091329A"/>
    <w:rsid w:val="00937F91"/>
    <w:rsid w:val="009416A7"/>
    <w:rsid w:val="00963B5E"/>
    <w:rsid w:val="00975C91"/>
    <w:rsid w:val="0098416C"/>
    <w:rsid w:val="009A11D4"/>
    <w:rsid w:val="009A1800"/>
    <w:rsid w:val="009B40DF"/>
    <w:rsid w:val="009F6970"/>
    <w:rsid w:val="00A00899"/>
    <w:rsid w:val="00A3206B"/>
    <w:rsid w:val="00A32D49"/>
    <w:rsid w:val="00AA5FA3"/>
    <w:rsid w:val="00AB3D09"/>
    <w:rsid w:val="00AF3B82"/>
    <w:rsid w:val="00B105B6"/>
    <w:rsid w:val="00B2172E"/>
    <w:rsid w:val="00B67934"/>
    <w:rsid w:val="00B76858"/>
    <w:rsid w:val="00BA0B54"/>
    <w:rsid w:val="00BF289C"/>
    <w:rsid w:val="00C01B2C"/>
    <w:rsid w:val="00C04C52"/>
    <w:rsid w:val="00C076AF"/>
    <w:rsid w:val="00C44895"/>
    <w:rsid w:val="00C54428"/>
    <w:rsid w:val="00C55720"/>
    <w:rsid w:val="00C57D5B"/>
    <w:rsid w:val="00C67C18"/>
    <w:rsid w:val="00C82C3A"/>
    <w:rsid w:val="00CA1081"/>
    <w:rsid w:val="00CB62FB"/>
    <w:rsid w:val="00CB6D31"/>
    <w:rsid w:val="00CB7D1B"/>
    <w:rsid w:val="00CE0B5F"/>
    <w:rsid w:val="00D27B1B"/>
    <w:rsid w:val="00D93C2D"/>
    <w:rsid w:val="00DA1E63"/>
    <w:rsid w:val="00DA327B"/>
    <w:rsid w:val="00DC4351"/>
    <w:rsid w:val="00DF51EC"/>
    <w:rsid w:val="00E07F36"/>
    <w:rsid w:val="00E1693A"/>
    <w:rsid w:val="00E27F66"/>
    <w:rsid w:val="00E33A90"/>
    <w:rsid w:val="00E357E9"/>
    <w:rsid w:val="00E36245"/>
    <w:rsid w:val="00E65ADC"/>
    <w:rsid w:val="00E72E1E"/>
    <w:rsid w:val="00E96F43"/>
    <w:rsid w:val="00EA0C84"/>
    <w:rsid w:val="00EA5AAE"/>
    <w:rsid w:val="00EB1410"/>
    <w:rsid w:val="00EE143C"/>
    <w:rsid w:val="00EF2153"/>
    <w:rsid w:val="00F60227"/>
    <w:rsid w:val="00F6156A"/>
    <w:rsid w:val="00F83118"/>
    <w:rsid w:val="00F8774F"/>
    <w:rsid w:val="00F95732"/>
    <w:rsid w:val="00F97281"/>
    <w:rsid w:val="00FC1BF9"/>
    <w:rsid w:val="00FE240B"/>
    <w:rsid w:val="00FF7DF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D9B5DD-92E9-482D-B647-0883553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2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2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2153"/>
    <w:pPr>
      <w:spacing w:after="0" w:line="240" w:lineRule="auto"/>
    </w:pPr>
  </w:style>
  <w:style w:type="paragraph" w:customStyle="1" w:styleId="Parasts1">
    <w:name w:val="Parasts1"/>
    <w:qFormat/>
    <w:rsid w:val="006D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8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25"/>
  </w:style>
  <w:style w:type="paragraph" w:styleId="Footer">
    <w:name w:val="footer"/>
    <w:basedOn w:val="Normal"/>
    <w:link w:val="FooterChar"/>
    <w:uiPriority w:val="99"/>
    <w:unhideWhenUsed/>
    <w:rsid w:val="0028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25"/>
  </w:style>
  <w:style w:type="table" w:customStyle="1" w:styleId="TableGrid1">
    <w:name w:val="Table Grid1"/>
    <w:basedOn w:val="TableNormal"/>
    <w:next w:val="TableGrid"/>
    <w:uiPriority w:val="59"/>
    <w:rsid w:val="00285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AB6B-3DD6-4C8B-BE5D-8F530AA0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3296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VM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LSkuja</dc:creator>
  <dc:description>L.Skuja_x000D_
67876189, liene.skuja@vm.gov.lv</dc:description>
  <cp:lastModifiedBy>Signe Vītoliņa</cp:lastModifiedBy>
  <cp:revision>29</cp:revision>
  <cp:lastPrinted>2018-03-29T16:49:00Z</cp:lastPrinted>
  <dcterms:created xsi:type="dcterms:W3CDTF">2018-04-19T14:14:00Z</dcterms:created>
  <dcterms:modified xsi:type="dcterms:W3CDTF">2018-07-19T08:07:00Z</dcterms:modified>
</cp:coreProperties>
</file>