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64" w:rsidRPr="00226964" w:rsidRDefault="00226964" w:rsidP="00226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6964">
        <w:rPr>
          <w:rFonts w:ascii="Times New Roman" w:eastAsia="Calibri" w:hAnsi="Times New Roman" w:cs="Times New Roman"/>
          <w:b/>
          <w:sz w:val="28"/>
          <w:szCs w:val="28"/>
        </w:rPr>
        <w:t>Ministru kabineta noteikumu projekta „Grozījumi Ministru kabineta 2010. gada 28. decembra noteikumos Nr.</w:t>
      </w:r>
      <w:r w:rsidR="00000AE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226964">
        <w:rPr>
          <w:rFonts w:ascii="Times New Roman" w:eastAsia="Calibri" w:hAnsi="Times New Roman" w:cs="Times New Roman"/>
          <w:b/>
          <w:sz w:val="28"/>
          <w:szCs w:val="28"/>
        </w:rPr>
        <w:t>1229 „Noteikumi par šķirnes atšķirīguma, viendabīguma un stabilitātes pārbaudi”” sākotnējās ietekmes novērtējuma ziņojums (anotācija)</w:t>
      </w:r>
    </w:p>
    <w:p w:rsidR="00894C55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10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5"/>
        <w:gridCol w:w="5158"/>
      </w:tblGrid>
      <w:tr w:rsidR="00A901C0" w:rsidRPr="00914976" w:rsidTr="00CD6E4A">
        <w:trPr>
          <w:cantSplit/>
        </w:trPr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:rsidR="00A901C0" w:rsidRPr="00914976" w:rsidRDefault="00A901C0" w:rsidP="00CD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976">
              <w:rPr>
                <w:rFonts w:ascii="Times New Roman" w:hAnsi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A901C0" w:rsidRPr="00914976" w:rsidTr="00CD6E4A">
        <w:trPr>
          <w:cantSplit/>
        </w:trPr>
        <w:tc>
          <w:tcPr>
            <w:tcW w:w="4111" w:type="dxa"/>
            <w:shd w:val="clear" w:color="auto" w:fill="FFFFFF"/>
            <w:hideMark/>
          </w:tcPr>
          <w:p w:rsidR="00A901C0" w:rsidRPr="00914976" w:rsidRDefault="00A901C0" w:rsidP="00CD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976">
              <w:rPr>
                <w:rFonts w:ascii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103" w:type="dxa"/>
            <w:shd w:val="clear" w:color="auto" w:fill="FFFFFF"/>
          </w:tcPr>
          <w:p w:rsidR="00A901C0" w:rsidRPr="007314FA" w:rsidRDefault="00A901C0" w:rsidP="00CD6E4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901C0" w:rsidRPr="00894C55" w:rsidRDefault="00A901C0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130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82"/>
        <w:gridCol w:w="2146"/>
        <w:gridCol w:w="6628"/>
      </w:tblGrid>
      <w:tr w:rsidR="00894C55" w:rsidRPr="00894C55" w:rsidTr="00BB58C6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53957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05395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I.</w:t>
            </w:r>
            <w:r w:rsidR="0050178F" w:rsidRPr="0005395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05395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894C55" w:rsidTr="00BB58C6">
        <w:trPr>
          <w:trHeight w:val="324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3957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395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53957" w:rsidRDefault="00226964" w:rsidP="00F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 šķirņu aizsardzības likuma 18.</w:t>
            </w:r>
            <w:r w:rsidR="00DC55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3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piektā daļa</w:t>
            </w:r>
          </w:p>
        </w:tc>
      </w:tr>
      <w:tr w:rsidR="00894C55" w:rsidRPr="00894C55" w:rsidTr="00F20D77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7E0781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E078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26964" w:rsidRPr="00387EC7" w:rsidRDefault="00226964" w:rsidP="00226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81">
              <w:rPr>
                <w:rFonts w:ascii="Times New Roman" w:eastAsia="Calibri" w:hAnsi="Times New Roman" w:cs="Times New Roman"/>
                <w:sz w:val="24"/>
                <w:szCs w:val="24"/>
              </w:rPr>
              <w:t>Patlaban ir spēkā Ministru kabineta 2010. gada 28. decembra noteikumi Nr.1229 „Noteikumi par šķirnes atšķirīguma, viendabīguma un stabilitātes pārbaudi” (tu</w:t>
            </w:r>
            <w:r w:rsidR="009E1688" w:rsidRPr="007E0781">
              <w:rPr>
                <w:rFonts w:ascii="Times New Roman" w:eastAsia="Calibri" w:hAnsi="Times New Roman" w:cs="Times New Roman"/>
                <w:sz w:val="24"/>
                <w:szCs w:val="24"/>
              </w:rPr>
              <w:t>rpmāk – noteikumi Nr.1229). 2018</w:t>
            </w:r>
            <w:r w:rsidRPr="007E0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gada </w:t>
            </w:r>
            <w:r w:rsidR="009E1688" w:rsidRPr="007E07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E1688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janvā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 ir pieņemta Komisijas Īstenošanas </w:t>
            </w:r>
            <w:r w:rsidR="001753F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irektīva 201</w:t>
            </w:r>
            <w:r w:rsidR="009E1688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9E1688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00/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ES, ar ko groza Direktīvu 2003/90/EK un Direktīvu 2003/91/EK, kurās nosaka attiecīgi Padomes Direktīvas 2002/53/EK 7. panta un Padomes Direktīvas 2002/55/EK 7. panta īstenošanas pasākumus attiecībā uz obligāti pārbaudāmajām pazīmēm un konkrētu lauksaimniecības augu sugu šķirņu un dārzeņu sugu šķirņu obligātajiem pārbaudes nosacījumiem (turpmāk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70C77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Komisijas Direktīva 201</w:t>
            </w:r>
            <w:r w:rsidR="009E1688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9E1688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/ES).</w:t>
            </w:r>
          </w:p>
          <w:p w:rsidR="000562B8" w:rsidRPr="00387EC7" w:rsidRDefault="00226964" w:rsidP="00056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Lai pārņemtu Komisijas Direktīvas 201</w:t>
            </w:r>
            <w:r w:rsidR="009E1688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9E1688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/ES prasības, noteikumu projektā tiek precizēti Kopienas Augu šķirņu biroja (</w:t>
            </w:r>
            <w:r w:rsidR="0082246A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turpmāk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2246A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9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CPVO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) protokoli un Starptautiskās jaunu augu šķirņu aizsardzības savienības (</w:t>
            </w:r>
            <w:r w:rsidR="0082246A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turpmāk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2246A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9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UPOV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vadlīnijas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341601">
              <w:rPr>
                <w:rFonts w:ascii="Times New Roman" w:eastAsia="Calibri" w:hAnsi="Times New Roman" w:cs="Times New Roman"/>
                <w:sz w:val="24"/>
                <w:szCs w:val="24"/>
              </w:rPr>
              <w:t>ādām</w:t>
            </w:r>
            <w:r w:rsidR="00AB6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laukaugu un dārzeņu sugām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kā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387" w:rsidRPr="00541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Pisum sativum</w:t>
            </w:r>
            <w:r w:rsidR="00313387" w:rsidRPr="00313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13387" w:rsidRPr="00313387">
              <w:rPr>
                <w:rFonts w:ascii="Times New Roman" w:eastAsia="Calibri" w:hAnsi="Times New Roman" w:cs="Times New Roman"/>
                <w:sz w:val="24"/>
                <w:szCs w:val="24"/>
              </w:rPr>
              <w:t>ējas zirņi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(TP 7/2 </w:t>
            </w:r>
            <w:r w:rsidR="00313387" w:rsidRPr="00313387">
              <w:rPr>
                <w:rFonts w:ascii="Times New Roman" w:eastAsia="Calibri" w:hAnsi="Times New Roman" w:cs="Times New Roman"/>
                <w:sz w:val="24"/>
                <w:szCs w:val="24"/>
              </w:rPr>
              <w:t>rev.2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12F5" w:rsidRPr="00541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Poa pratensis</w:t>
            </w:r>
            <w:r w:rsidR="005412F5" w:rsidRP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pļavas skarene (TP </w:t>
            </w:r>
            <w:r w:rsidR="005412F5" w:rsidRPr="005412F5">
              <w:rPr>
                <w:rFonts w:ascii="Times New Roman" w:eastAsia="Calibri" w:hAnsi="Times New Roman" w:cs="Times New Roman"/>
                <w:sz w:val="24"/>
                <w:szCs w:val="24"/>
              </w:rPr>
              <w:t>033/1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412F5">
              <w:t xml:space="preserve"> </w:t>
            </w:r>
            <w:r w:rsidR="005412F5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Raphanus sativus</w:t>
            </w:r>
            <w:r w:rsidR="005412F5" w:rsidRP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var. </w:t>
            </w:r>
            <w:r w:rsidR="005412F5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oleiformis</w:t>
            </w:r>
            <w:r w:rsidR="005412F5" w:rsidRP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eļļas rutki (</w:t>
            </w:r>
            <w:r w:rsidR="005412F5" w:rsidRPr="005412F5">
              <w:rPr>
                <w:rFonts w:ascii="Times New Roman" w:eastAsia="Calibri" w:hAnsi="Times New Roman" w:cs="Times New Roman"/>
                <w:sz w:val="24"/>
                <w:szCs w:val="24"/>
              </w:rPr>
              <w:t>TP 178/1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412F5">
              <w:t xml:space="preserve"> </w:t>
            </w:r>
            <w:r w:rsidR="005412F5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Glycine max</w:t>
            </w:r>
            <w:r w:rsidR="005412F5" w:rsidRP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(L.) Merr.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– 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oja 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412F5" w:rsidRPr="005412F5">
              <w:rPr>
                <w:rFonts w:ascii="Times New Roman" w:eastAsia="Calibri" w:hAnsi="Times New Roman" w:cs="Times New Roman"/>
                <w:sz w:val="24"/>
                <w:szCs w:val="24"/>
              </w:rPr>
              <w:t>TP 80/1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412F5">
              <w:t xml:space="preserve"> </w:t>
            </w:r>
            <w:r w:rsidR="005412F5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Sinapsis alba</w:t>
            </w:r>
            <w:r w:rsidR="00116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altās sinepes 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412F5" w:rsidRPr="005412F5">
              <w:rPr>
                <w:rFonts w:ascii="Times New Roman" w:eastAsia="Calibri" w:hAnsi="Times New Roman" w:cs="Times New Roman"/>
                <w:sz w:val="24"/>
                <w:szCs w:val="24"/>
              </w:rPr>
              <w:t>TP 179/1</w:t>
            </w:r>
            <w:r w:rsidR="005412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 tuberosum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  <w:r w:rsidR="00116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artupeļi 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TP 23/3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 oleracea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116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116E7C">
              <w:rPr>
                <w:rFonts w:ascii="Times New Roman" w:eastAsia="Calibri" w:hAnsi="Times New Roman" w:cs="Times New Roman"/>
                <w:sz w:val="24"/>
                <w:szCs w:val="24"/>
              </w:rPr>
              <w:t>iedkāposti 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(TP</w:t>
            </w:r>
            <w:r w:rsidR="00116E7C">
              <w:rPr>
                <w:rFonts w:ascii="Times New Roman" w:eastAsia="Calibri" w:hAnsi="Times New Roman" w:cs="Times New Roman"/>
                <w:sz w:val="24"/>
                <w:szCs w:val="24"/>
              </w:rPr>
              <w:t> 45/2 rev. 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6E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 oleracea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="00116E7C">
              <w:rPr>
                <w:rFonts w:ascii="Times New Roman" w:eastAsia="Calibri" w:hAnsi="Times New Roman" w:cs="Times New Roman"/>
                <w:sz w:val="24"/>
                <w:szCs w:val="24"/>
              </w:rPr>
              <w:t>rokoļi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TP 151/2 rev. 2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 oleracea</w:t>
            </w:r>
            <w:r w:rsidR="0049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95A22">
              <w:rPr>
                <w:rFonts w:ascii="Times New Roman" w:eastAsia="Calibri" w:hAnsi="Times New Roman" w:cs="Times New Roman"/>
                <w:sz w:val="24"/>
                <w:szCs w:val="24"/>
              </w:rPr>
              <w:t>riseles kāposti (rožkāposti)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TP 54/2 rev. 2</w:t>
            </w:r>
            <w:r w:rsidR="00495A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 oleracea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kolrābji (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TP 65/1 rev. 2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 oleracea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savojas kāposti (virziņkāposti) (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TP 48/3 rev. 2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 oleracea</w:t>
            </w:r>
            <w:r w:rsidR="003D67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altie un sarkanie g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alviņkāposti (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TP 48/3 rev. 2</w:t>
            </w:r>
            <w:r w:rsidR="00495A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Capsicum annuum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aprika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TP 76/2 rev. 2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Lactuca sativa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– 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ārza salāti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9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TP 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13/5 rev. 2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6E64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Pisum sativum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(partim)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zirņi, izņemot sējas zirņ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E6E64" w:rsidRPr="00AE6E64">
              <w:rPr>
                <w:rFonts w:ascii="Times New Roman" w:eastAsia="Calibri" w:hAnsi="Times New Roman" w:cs="Times New Roman"/>
                <w:sz w:val="24"/>
                <w:szCs w:val="24"/>
              </w:rPr>
              <w:t>TP 7/2 rev. 2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 lycopersicum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x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 habrochaites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Knapp &amp; D. M.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Spooner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 lycopersicum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x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 peruvianum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(L.)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Mill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 lycopersicum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x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 cheesmaniae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(L. Ridley)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Fosberg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>omātu potcelmi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>TP 294/1 rev. 2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13B2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Spinacia oleracea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>pināti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513B2" w:rsidRPr="002513B2">
              <w:rPr>
                <w:rFonts w:ascii="Times New Roman" w:eastAsia="Calibri" w:hAnsi="Times New Roman" w:cs="Times New Roman"/>
                <w:sz w:val="24"/>
                <w:szCs w:val="24"/>
              </w:rPr>
              <w:t>TP 55/5 rev. 2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</w:t>
            </w:r>
            <w:r w:rsidR="0025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2FDB" w:rsidRPr="00BE6C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Cucurbita maxima</w:t>
            </w:r>
            <w:r w:rsidR="00912FDB" w:rsidRP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Duchesne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lielaugļu ķirbji</w:t>
            </w:r>
            <w:r w:rsidR="00912FDB" w:rsidRP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>(TP</w:t>
            </w:r>
            <w:r w:rsidR="00912FDB" w:rsidRPr="00912FDB">
              <w:rPr>
                <w:rFonts w:ascii="Times New Roman" w:eastAsia="Calibri" w:hAnsi="Times New Roman" w:cs="Times New Roman"/>
                <w:sz w:val="24"/>
                <w:szCs w:val="24"/>
              </w:rPr>
              <w:t>155/1</w:t>
            </w:r>
            <w:r w:rsidR="003515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72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2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="004568E2"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zstājot ar jauniem protokoliem </w:t>
            </w:r>
            <w:r w:rsidRPr="00387EC7">
              <w:rPr>
                <w:rFonts w:ascii="Times New Roman" w:eastAsia="Calibri" w:hAnsi="Times New Roman" w:cs="Times New Roman"/>
                <w:sz w:val="24"/>
                <w:szCs w:val="24"/>
              </w:rPr>
              <w:t>vai vadlīnijām.</w:t>
            </w:r>
          </w:p>
          <w:p w:rsidR="007E0781" w:rsidRDefault="00E62C64" w:rsidP="00C60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EC7">
              <w:rPr>
                <w:rFonts w:ascii="Times New Roman" w:hAnsi="Times New Roman"/>
                <w:sz w:val="24"/>
                <w:szCs w:val="24"/>
              </w:rPr>
              <w:t>N</w:t>
            </w:r>
            <w:r w:rsidR="00E606D7" w:rsidRPr="0006521D">
              <w:rPr>
                <w:rFonts w:ascii="Times New Roman" w:hAnsi="Times New Roman"/>
                <w:sz w:val="24"/>
                <w:szCs w:val="24"/>
              </w:rPr>
              <w:t xml:space="preserve">oteikumu projektā ir </w:t>
            </w:r>
            <w:r w:rsidRPr="007E0781">
              <w:rPr>
                <w:rFonts w:ascii="Times New Roman" w:hAnsi="Times New Roman"/>
                <w:sz w:val="24"/>
                <w:szCs w:val="24"/>
              </w:rPr>
              <w:t>iekļaut</w:t>
            </w:r>
            <w:r w:rsidR="0081685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9A6450">
              <w:rPr>
                <w:rFonts w:ascii="Times New Roman" w:hAnsi="Times New Roman"/>
                <w:sz w:val="24"/>
                <w:szCs w:val="24"/>
              </w:rPr>
              <w:t xml:space="preserve">arī </w:t>
            </w:r>
            <w:r w:rsidR="00816857" w:rsidRPr="006E7CD0">
              <w:rPr>
                <w:rFonts w:ascii="Times New Roman" w:hAnsi="Times New Roman" w:cs="Times New Roman"/>
                <w:sz w:val="24"/>
                <w:szCs w:val="24"/>
              </w:rPr>
              <w:t>griķi (</w:t>
            </w:r>
            <w:r w:rsidR="00816857" w:rsidRPr="006E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Fagopyrum esculentum Moench)</w:t>
            </w:r>
            <w:r w:rsidR="00216652">
              <w:rPr>
                <w:rFonts w:ascii="Times New Roman" w:hAnsi="Times New Roman"/>
                <w:sz w:val="24"/>
                <w:szCs w:val="24"/>
              </w:rPr>
              <w:t>,</w:t>
            </w:r>
            <w:r w:rsidR="00E606D7" w:rsidRPr="007E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652" w:rsidRPr="00216652">
              <w:rPr>
                <w:rFonts w:ascii="Times New Roman" w:hAnsi="Times New Roman"/>
                <w:sz w:val="24"/>
                <w:szCs w:val="24"/>
              </w:rPr>
              <w:t>k</w:t>
            </w:r>
            <w:r w:rsidR="003D6739">
              <w:rPr>
                <w:rFonts w:ascii="Times New Roman" w:hAnsi="Times New Roman"/>
                <w:sz w:val="24"/>
                <w:szCs w:val="24"/>
              </w:rPr>
              <w:t>as</w:t>
            </w:r>
            <w:r w:rsidR="00216652" w:rsidRPr="00216652">
              <w:rPr>
                <w:rFonts w:ascii="Times New Roman" w:hAnsi="Times New Roman"/>
                <w:sz w:val="24"/>
                <w:szCs w:val="24"/>
              </w:rPr>
              <w:t xml:space="preserve"> nav </w:t>
            </w:r>
            <w:r w:rsidR="00A7286D">
              <w:rPr>
                <w:rFonts w:ascii="Times New Roman" w:hAnsi="Times New Roman"/>
                <w:sz w:val="24"/>
                <w:szCs w:val="24"/>
              </w:rPr>
              <w:t xml:space="preserve">minēti </w:t>
            </w:r>
            <w:r w:rsidR="00216652" w:rsidRPr="00216652">
              <w:rPr>
                <w:rFonts w:ascii="Times New Roman" w:hAnsi="Times New Roman"/>
                <w:sz w:val="24"/>
                <w:szCs w:val="24"/>
              </w:rPr>
              <w:t>Komi</w:t>
            </w:r>
            <w:r w:rsidR="00AE23FF">
              <w:rPr>
                <w:rFonts w:ascii="Times New Roman" w:hAnsi="Times New Roman"/>
                <w:sz w:val="24"/>
                <w:szCs w:val="24"/>
              </w:rPr>
              <w:t>sijas Direktīvā 2018/100/ES</w:t>
            </w:r>
            <w:r w:rsidR="003D6739">
              <w:rPr>
                <w:rFonts w:ascii="Times New Roman" w:hAnsi="Times New Roman"/>
                <w:sz w:val="24"/>
                <w:szCs w:val="24"/>
              </w:rPr>
              <w:t xml:space="preserve"> (u</w:t>
            </w:r>
            <w:r w:rsidR="00B83851">
              <w:rPr>
                <w:rFonts w:ascii="Times New Roman" w:hAnsi="Times New Roman"/>
                <w:sz w:val="24"/>
                <w:szCs w:val="24"/>
              </w:rPr>
              <w:t xml:space="preserve">z griķiem attiecas </w:t>
            </w:r>
            <w:r w:rsidR="00816857" w:rsidRPr="006E7CD0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</w:t>
            </w:r>
            <w:r w:rsidR="00816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857" w:rsidRPr="00B0628C">
              <w:rPr>
                <w:rFonts w:ascii="Times New Roman" w:hAnsi="Times New Roman" w:cs="Times New Roman"/>
                <w:bCs/>
                <w:sz w:val="24"/>
                <w:szCs w:val="24"/>
              </w:rPr>
              <w:t>2007.</w:t>
            </w:r>
            <w:r w:rsidR="00A72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857" w:rsidRPr="00B0628C">
              <w:rPr>
                <w:rFonts w:ascii="Times New Roman" w:hAnsi="Times New Roman" w:cs="Times New Roman"/>
                <w:bCs/>
                <w:sz w:val="24"/>
                <w:szCs w:val="24"/>
              </w:rPr>
              <w:t>gada 13.</w:t>
            </w:r>
            <w:r w:rsidR="00A72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857" w:rsidRPr="00B06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februāra </w:t>
            </w:r>
            <w:r w:rsidR="00816857" w:rsidRPr="00B062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noteikum</w:t>
            </w:r>
            <w:r w:rsidR="0016726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16857" w:rsidRPr="00B06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</w:t>
            </w:r>
            <w:r w:rsidR="00A72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857" w:rsidRPr="00B0628C">
              <w:rPr>
                <w:rFonts w:ascii="Times New Roman" w:hAnsi="Times New Roman" w:cs="Times New Roman"/>
                <w:bCs/>
                <w:sz w:val="24"/>
                <w:szCs w:val="24"/>
              </w:rPr>
              <w:t>120 "Labības sēklaudzēšanas un sēklu tirdzniecības noteikumi"</w:t>
            </w:r>
            <w:r w:rsidR="003D6739"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  <w:r w:rsidR="00816857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D42E8D">
              <w:rPr>
                <w:rFonts w:ascii="Times New Roman" w:hAnsi="Times New Roman"/>
                <w:bCs/>
                <w:sz w:val="24"/>
                <w:szCs w:val="24"/>
              </w:rPr>
              <w:t xml:space="preserve"> d</w:t>
            </w:r>
            <w:r w:rsidR="00F20D77" w:rsidRPr="00F20D77">
              <w:rPr>
                <w:rFonts w:ascii="Times New Roman" w:hAnsi="Times New Roman"/>
                <w:bCs/>
                <w:sz w:val="24"/>
                <w:szCs w:val="24"/>
              </w:rPr>
              <w:t>illes</w:t>
            </w:r>
            <w:r w:rsidR="00F20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73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20D77" w:rsidRPr="004D4B38">
              <w:rPr>
                <w:rFonts w:ascii="Times New Roman" w:hAnsi="Times New Roman"/>
                <w:bCs/>
                <w:i/>
                <w:sz w:val="24"/>
                <w:szCs w:val="24"/>
              </w:rPr>
              <w:t>Anethum graveolens</w:t>
            </w:r>
            <w:r w:rsidR="00F20D77">
              <w:rPr>
                <w:rFonts w:ascii="Times New Roman" w:hAnsi="Times New Roman"/>
                <w:bCs/>
                <w:sz w:val="24"/>
                <w:szCs w:val="24"/>
              </w:rPr>
              <w:t xml:space="preserve"> L</w:t>
            </w:r>
            <w:r w:rsidR="003D6739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 w:rsidR="00D42E8D">
              <w:rPr>
                <w:rFonts w:ascii="Times New Roman" w:hAnsi="Times New Roman"/>
                <w:bCs/>
                <w:sz w:val="24"/>
                <w:szCs w:val="24"/>
              </w:rPr>
              <w:t>, uz kurām neattiecas</w:t>
            </w:r>
            <w:r w:rsidR="00CF6E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6857">
              <w:rPr>
                <w:rFonts w:ascii="Times New Roman" w:hAnsi="Times New Roman"/>
                <w:bCs/>
                <w:sz w:val="24"/>
                <w:szCs w:val="24"/>
              </w:rPr>
              <w:t xml:space="preserve">sēklaudzēšanas normatīvie akti. Minētas sugas </w:t>
            </w:r>
            <w:r w:rsidR="003D6739">
              <w:rPr>
                <w:rFonts w:ascii="Times New Roman" w:hAnsi="Times New Roman"/>
                <w:bCs/>
                <w:sz w:val="24"/>
                <w:szCs w:val="24"/>
              </w:rPr>
              <w:t xml:space="preserve">ir </w:t>
            </w:r>
            <w:r w:rsidR="00816857">
              <w:rPr>
                <w:rFonts w:ascii="Times New Roman" w:hAnsi="Times New Roman"/>
                <w:bCs/>
                <w:sz w:val="24"/>
                <w:szCs w:val="24"/>
              </w:rPr>
              <w:t>iekļautas noteikumu projektā, jo</w:t>
            </w:r>
            <w:r w:rsidR="00592E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2430">
              <w:rPr>
                <w:rFonts w:ascii="Times New Roman" w:hAnsi="Times New Roman"/>
                <w:bCs/>
                <w:sz w:val="24"/>
                <w:szCs w:val="24"/>
              </w:rPr>
              <w:t xml:space="preserve">Latvijā </w:t>
            </w:r>
            <w:r w:rsidR="003D6739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  <w:r w:rsidR="002A2430">
              <w:rPr>
                <w:rFonts w:ascii="Times New Roman" w:hAnsi="Times New Roman"/>
                <w:bCs/>
                <w:sz w:val="24"/>
                <w:szCs w:val="24"/>
              </w:rPr>
              <w:t>ti</w:t>
            </w:r>
            <w:r w:rsidR="00CF6E33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2A2430">
              <w:rPr>
                <w:rFonts w:ascii="Times New Roman" w:hAnsi="Times New Roman"/>
                <w:bCs/>
                <w:sz w:val="24"/>
                <w:szCs w:val="24"/>
              </w:rPr>
              <w:t>k š</w:t>
            </w:r>
            <w:r w:rsidR="00816857">
              <w:rPr>
                <w:rFonts w:ascii="Times New Roman" w:hAnsi="Times New Roman"/>
                <w:bCs/>
                <w:sz w:val="24"/>
                <w:szCs w:val="24"/>
              </w:rPr>
              <w:t xml:space="preserve">o </w:t>
            </w:r>
            <w:r w:rsidR="002A2430">
              <w:rPr>
                <w:rFonts w:ascii="Times New Roman" w:hAnsi="Times New Roman"/>
                <w:bCs/>
                <w:sz w:val="24"/>
                <w:szCs w:val="24"/>
              </w:rPr>
              <w:t>sug</w:t>
            </w:r>
            <w:r w:rsidR="00816857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2A2430">
              <w:rPr>
                <w:rFonts w:ascii="Times New Roman" w:hAnsi="Times New Roman"/>
                <w:bCs/>
                <w:sz w:val="24"/>
                <w:szCs w:val="24"/>
              </w:rPr>
              <w:t xml:space="preserve"> selekcija</w:t>
            </w:r>
            <w:r w:rsidR="003D673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F6E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739">
              <w:rPr>
                <w:rFonts w:ascii="Times New Roman" w:hAnsi="Times New Roman"/>
                <w:sz w:val="24"/>
                <w:szCs w:val="24"/>
              </w:rPr>
              <w:t>l</w:t>
            </w:r>
            <w:r w:rsidRPr="007E0781">
              <w:rPr>
                <w:rFonts w:ascii="Times New Roman" w:hAnsi="Times New Roman"/>
                <w:sz w:val="24"/>
                <w:szCs w:val="24"/>
              </w:rPr>
              <w:t>ai selekcionā</w:t>
            </w:r>
            <w:r w:rsidR="002A2430">
              <w:rPr>
                <w:rFonts w:ascii="Times New Roman" w:hAnsi="Times New Roman"/>
                <w:sz w:val="24"/>
                <w:szCs w:val="24"/>
              </w:rPr>
              <w:t>rs</w:t>
            </w:r>
            <w:r w:rsidRPr="007E0781">
              <w:rPr>
                <w:rFonts w:ascii="Times New Roman" w:hAnsi="Times New Roman"/>
                <w:sz w:val="24"/>
                <w:szCs w:val="24"/>
              </w:rPr>
              <w:t>, k</w:t>
            </w:r>
            <w:r w:rsidR="003D6739">
              <w:rPr>
                <w:rFonts w:ascii="Times New Roman" w:hAnsi="Times New Roman"/>
                <w:sz w:val="24"/>
                <w:szCs w:val="24"/>
              </w:rPr>
              <w:t>as</w:t>
            </w:r>
            <w:r w:rsidRPr="007E0781">
              <w:rPr>
                <w:rFonts w:ascii="Times New Roman" w:hAnsi="Times New Roman"/>
                <w:sz w:val="24"/>
                <w:szCs w:val="24"/>
              </w:rPr>
              <w:t xml:space="preserve"> vēlas iekļaut šķirni Latvijas augu šķirņu katalogā</w:t>
            </w:r>
            <w:r w:rsidR="004D3DAB" w:rsidRPr="007E0781">
              <w:rPr>
                <w:rFonts w:ascii="Times New Roman" w:hAnsi="Times New Roman"/>
                <w:sz w:val="24"/>
                <w:szCs w:val="24"/>
              </w:rPr>
              <w:t>,</w:t>
            </w:r>
            <w:r w:rsidRPr="007E0781">
              <w:rPr>
                <w:rFonts w:ascii="Times New Roman" w:hAnsi="Times New Roman"/>
                <w:sz w:val="24"/>
                <w:szCs w:val="24"/>
              </w:rPr>
              <w:t xml:space="preserve"> zinātu</w:t>
            </w:r>
            <w:r w:rsidR="003D6739">
              <w:rPr>
                <w:rFonts w:ascii="Times New Roman" w:hAnsi="Times New Roman"/>
                <w:sz w:val="24"/>
                <w:szCs w:val="24"/>
              </w:rPr>
              <w:t>,</w:t>
            </w:r>
            <w:r w:rsidRPr="007E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739">
              <w:rPr>
                <w:rFonts w:ascii="Times New Roman" w:hAnsi="Times New Roman"/>
                <w:sz w:val="24"/>
                <w:szCs w:val="24"/>
              </w:rPr>
              <w:t>pēc kuriem</w:t>
            </w:r>
            <w:r w:rsidRPr="007E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D3DAB" w:rsidRPr="00E779AC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CPVO</w:t>
            </w:r>
            <w:r w:rsidRPr="007E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protokoliem vai </w:t>
            </w:r>
            <w:r w:rsidR="004D3DAB" w:rsidRPr="00E779AC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UPOV</w:t>
            </w:r>
            <w:r w:rsidRPr="007E0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vadlīnijām</w:t>
            </w:r>
            <w:r w:rsidRPr="007E0781">
              <w:rPr>
                <w:rFonts w:ascii="Times New Roman" w:hAnsi="Times New Roman"/>
                <w:sz w:val="24"/>
                <w:szCs w:val="24"/>
              </w:rPr>
              <w:t xml:space="preserve"> ir jāveic šķirnes atšķirīguma, vienda</w:t>
            </w:r>
            <w:r w:rsidR="00C603AF" w:rsidRPr="007E0781">
              <w:rPr>
                <w:rFonts w:ascii="Times New Roman" w:hAnsi="Times New Roman"/>
                <w:sz w:val="24"/>
                <w:szCs w:val="24"/>
              </w:rPr>
              <w:t>bīguma un stabilitātes pārbaude</w:t>
            </w:r>
            <w:r w:rsidR="00816857">
              <w:rPr>
                <w:rFonts w:ascii="Times New Roman" w:hAnsi="Times New Roman"/>
                <w:sz w:val="24"/>
                <w:szCs w:val="24"/>
              </w:rPr>
              <w:t>.</w:t>
            </w:r>
            <w:r w:rsidR="00CF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8DC" w:rsidRDefault="00341601" w:rsidP="00D5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n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</w:t>
            </w:r>
            <w:r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 tiek 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svītro</w:t>
            </w:r>
            <w:r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378DC" w:rsidRPr="006E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Papaver somniferum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L. </w:t>
            </w:r>
            <w:r w:rsidR="003D6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A728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miega magones (TG/166/4</w:t>
            </w:r>
            <w:r w:rsidR="003D6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09.04.2014.), jo Latvijā atbil</w:t>
            </w:r>
            <w:r w:rsidR="00756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oši </w:t>
            </w:r>
            <w:r w:rsidR="00756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„Par n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arkotisko un psihotropo vielu un zāļu likumīgās aprites </w:t>
            </w:r>
            <w:r w:rsidR="00756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kārtību” 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pantā noteiktajam</w:t>
            </w:r>
            <w:r w:rsidR="003D6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tās</w:t>
            </w:r>
            <w:r w:rsidR="003378DC" w:rsidRP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aizliegts audzēt</w:t>
            </w:r>
            <w:r w:rsidR="006E4A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378DC" w:rsidRPr="004605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3378DC" w:rsidRPr="003378DC" w:rsidRDefault="000562B8" w:rsidP="00505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Līdz ar noteikumu projekta pieņemšanu pilnībā tiks pārņemta Komisijas Direktīva 201</w:t>
            </w:r>
            <w:r w:rsidR="00C408B5"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C408B5"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/ES</w:t>
            </w:r>
            <w:r w:rsidR="00505A7B"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. D</w:t>
            </w:r>
            <w:r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irektīvas normas</w:t>
            </w:r>
            <w:r w:rsidR="00505A7B"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būtu jāpārņem</w:t>
            </w:r>
            <w:r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 vēlāk kā līdz 201</w:t>
            </w:r>
            <w:r w:rsidR="00C408B5"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. gada 3</w:t>
            </w:r>
            <w:r w:rsidR="00C408B5"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="00C408B5"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august</w:t>
            </w:r>
            <w:r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>am,</w:t>
            </w:r>
            <w:r w:rsidR="00505A7B" w:rsidRPr="00A20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taču saskaņā ar Ministru kabineta 2018. gada 27. marta sēdes protokola Nr.17 46.§ 11.2. apakšpunktu tās ir jāpārņem līdz 2018. gada 1. augustam. </w:t>
            </w:r>
          </w:p>
        </w:tc>
      </w:tr>
      <w:tr w:rsidR="00076676" w:rsidRPr="00076676" w:rsidTr="000A483D">
        <w:trPr>
          <w:trHeight w:val="372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E762F3" w:rsidRDefault="00E762F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62F3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un Valsts augu aizsardzības dienests</w:t>
            </w:r>
          </w:p>
        </w:tc>
      </w:tr>
      <w:tr w:rsidR="00076676" w:rsidRPr="00076676" w:rsidTr="000A483D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3D6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894C55" w:rsidRPr="00076676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4"/>
        <w:gridCol w:w="2827"/>
        <w:gridCol w:w="5837"/>
      </w:tblGrid>
      <w:tr w:rsidR="00076676" w:rsidRPr="00076676" w:rsidTr="0020699D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76676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07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7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076676" w:rsidRPr="00076676" w:rsidTr="0020699D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94C55" w:rsidRPr="00076676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attiecas uz selekcionāriem.</w:t>
            </w:r>
          </w:p>
        </w:tc>
      </w:tr>
      <w:tr w:rsidR="00076676" w:rsidRPr="00076676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10503C" w:rsidP="001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tiesiskais regulējums nemaina līdzšinējo administratīvo procedūru. Noteikumu projekts neuzliek papildu administratīvo slogu selekcionāriem, jo neparedz papildu informācijas sniegšanas vai uzglabāšanas pienākumus.</w:t>
            </w:r>
          </w:p>
        </w:tc>
      </w:tr>
      <w:tr w:rsidR="00894C55" w:rsidRPr="00894C55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C44823" w:rsidRPr="00894C55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4823" w:rsidRPr="00894C55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4823" w:rsidRPr="00894C55" w:rsidRDefault="00C4482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11F58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44823" w:rsidRDefault="00C44823" w:rsidP="0089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823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894C55" w:rsidRPr="00894C55" w:rsidTr="0020699D">
        <w:trPr>
          <w:trHeight w:val="276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94C55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</w:t>
            </w:r>
            <w:r w:rsidR="00894C55"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94C55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  <w:r w:rsidR="003D673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10503C" w:rsidRDefault="0010503C" w:rsidP="001050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tbl>
      <w:tblPr>
        <w:tblStyle w:val="Reatabula1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73277" w:rsidRPr="00673277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7" w:rsidRPr="00673277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77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673277" w:rsidRPr="00673277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7" w:rsidRPr="00673277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673277" w:rsidRDefault="00673277" w:rsidP="006732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0BD6" w:rsidRPr="00673277" w:rsidRDefault="00080BD6" w:rsidP="006732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2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73277" w:rsidRPr="00673277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7" w:rsidRPr="00673277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77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673277" w:rsidRPr="00673277" w:rsidTr="00CD6E4A">
        <w:trPr>
          <w:trHeight w:val="2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7" w:rsidRPr="00673277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10503C" w:rsidRPr="00894C55" w:rsidRDefault="0010503C" w:rsidP="0064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3"/>
        <w:gridCol w:w="2646"/>
        <w:gridCol w:w="6019"/>
      </w:tblGrid>
      <w:tr w:rsidR="00894C55" w:rsidRPr="00894C55" w:rsidTr="0020699D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894C55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V.</w:t>
            </w:r>
            <w:r w:rsidR="003E079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894C55" w:rsidRPr="00894C55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Saistības pret Eiropas </w:t>
            </w: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Savienību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A51596" w:rsidP="001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 xml:space="preserve">Komisijas Direktīva 2018/100/ES. Direktīvas normas ir 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jā</w:t>
            </w:r>
            <w:r w:rsidR="0075683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pārņem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normatīvais akts jā</w:t>
            </w:r>
            <w:r w:rsidR="00A7286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pieņem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jāpublicē ne vēlāk kā līdz 2018. gada 1. augustam.</w:t>
            </w:r>
          </w:p>
        </w:tc>
      </w:tr>
      <w:tr w:rsidR="00894C55" w:rsidRPr="00894C55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10503C" w:rsidP="00F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94C55" w:rsidRPr="00894C55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3D6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14"/>
        <w:gridCol w:w="2006"/>
        <w:gridCol w:w="2553"/>
        <w:gridCol w:w="2465"/>
      </w:tblGrid>
      <w:tr w:rsidR="00894C55" w:rsidRPr="00894C55" w:rsidTr="0020699D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1.</w:t>
            </w:r>
            <w:r w:rsidR="003E079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tabula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894C55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8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Direktīva 201</w:t>
            </w:r>
            <w:r w:rsidR="00673277"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/1</w:t>
            </w:r>
            <w:r w:rsidR="00673277"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//ES.</w:t>
            </w:r>
          </w:p>
        </w:tc>
      </w:tr>
      <w:tr w:rsidR="00894C55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7667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7667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7667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76676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894C55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80B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BD6">
              <w:rPr>
                <w:rFonts w:ascii="Times New Roman" w:eastAsia="Times New Roman" w:hAnsi="Times New Roman" w:cs="Times New Roman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80B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BD6">
              <w:rPr>
                <w:rFonts w:ascii="Times New Roman" w:eastAsia="Times New Roman" w:hAnsi="Times New Roman" w:cs="Times New Roman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80B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BD6">
              <w:rPr>
                <w:rFonts w:ascii="Times New Roman" w:eastAsia="Times New Roman" w:hAnsi="Times New Roman" w:cs="Times New Roman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:rsidR="00894C55" w:rsidRPr="00080BD6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BD6">
              <w:rPr>
                <w:rFonts w:ascii="Times New Roman" w:eastAsia="Times New Roman" w:hAnsi="Times New Roman" w:cs="Times New Roman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94C55" w:rsidRPr="00080BD6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BD6">
              <w:rPr>
                <w:rFonts w:ascii="Times New Roman" w:eastAsia="Times New Roman" w:hAnsi="Times New Roman" w:cs="Times New Roman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80BD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BD6">
              <w:rPr>
                <w:rFonts w:ascii="Times New Roman" w:eastAsia="Times New Roman" w:hAnsi="Times New Roman" w:cs="Times New Roman"/>
                <w:lang w:eastAsia="lv-LV"/>
              </w:rPr>
              <w:t>Informācija par to, vai šīs tabulas B ailē minētās projekta vienības paredz stingrākas prasības nekā šīs tabulas A ailē minētās ES tiesību akta vienības.</w:t>
            </w:r>
          </w:p>
          <w:p w:rsidR="00894C55" w:rsidRPr="00080BD6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BD6">
              <w:rPr>
                <w:rFonts w:ascii="Times New Roman" w:eastAsia="Times New Roman" w:hAnsi="Times New Roman" w:cs="Times New Roman"/>
                <w:lang w:eastAsia="lv-LV"/>
              </w:rPr>
              <w:t>Ja projekts satur stingrākas prasības nekā attiecīgais ES tiesību akts, norāda pamatojumu un samērīgumu.</w:t>
            </w:r>
          </w:p>
          <w:p w:rsidR="00894C55" w:rsidRPr="00080BD6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BD6">
              <w:rPr>
                <w:rFonts w:ascii="Times New Roman" w:eastAsia="Times New Roman" w:hAnsi="Times New Roman" w:cs="Times New Roman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402C1C" w:rsidRPr="00894C55" w:rsidTr="0020699D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076676">
              <w:rPr>
                <w:rFonts w:ascii="Times New Roman" w:hAnsi="Times New Roman"/>
                <w:b/>
                <w:lang w:eastAsia="lv-LV"/>
              </w:rPr>
              <w:t xml:space="preserve">Komisijas Direktīva </w:t>
            </w:r>
            <w:r w:rsidRPr="0007667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73277" w:rsidRPr="000766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76676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673277" w:rsidRPr="000766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76676">
              <w:rPr>
                <w:rFonts w:ascii="Times New Roman" w:hAnsi="Times New Roman"/>
                <w:b/>
                <w:lang w:eastAsia="lv-LV"/>
              </w:rPr>
              <w:t>/ES</w:t>
            </w:r>
          </w:p>
        </w:tc>
      </w:tr>
      <w:tr w:rsidR="00402C1C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1. pants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 xml:space="preserve">1.2.apakšpunkts (1.pielikuma </w:t>
            </w:r>
          </w:p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I nodaļa)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402C1C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2. pants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 xml:space="preserve">1.2.apakšpunkts (1.pielikuma </w:t>
            </w:r>
          </w:p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II nodaļa)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402C1C" w:rsidRPr="00894C55" w:rsidTr="00E779AC">
        <w:trPr>
          <w:trHeight w:val="1148"/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3. pants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 xml:space="preserve">Minētā norma </w:t>
            </w:r>
            <w:r w:rsidRPr="00076676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 xml:space="preserve">paredz dalībvalstīm izvēles iespēju attiecībā par tās pārņemšanu. 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402C1C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4. panta pirmā daļa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 xml:space="preserve">Nav jāpārņem, </w:t>
            </w:r>
            <w:r w:rsidRPr="00076676">
              <w:rPr>
                <w:rFonts w:ascii="Times New Roman" w:hAnsi="Times New Roman"/>
                <w:sz w:val="24"/>
                <w:szCs w:val="24"/>
              </w:rPr>
              <w:lastRenderedPageBreak/>
              <w:t>noteikts termiņš normatīvo aktu pieņemšanai un publicēšanai.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lastRenderedPageBreak/>
              <w:t>Nav attiecināms.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402C1C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4. panta otrā daļa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2. punkts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402C1C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4. panta trešā daļa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1.1. apakšpunkts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  <w:r w:rsidRPr="00076676" w:rsidDel="004E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2C1C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5. pants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Nav jāpārņem, noteikta spēkā stāšanās kārtība.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402C1C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6. pants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Nav jāpārņem, minēti direktīvas adresāti.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02C1C" w:rsidRPr="00076676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76676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894C55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8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E20BBB" w:rsidP="0040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hAnsi="Times New Roman"/>
                <w:sz w:val="24"/>
                <w:szCs w:val="24"/>
                <w:lang w:eastAsia="lv-LV"/>
              </w:rPr>
              <w:t>Komisijas Direktīvas 2018/100/ES 3.</w:t>
            </w:r>
            <w:r w:rsidR="0075683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76676">
              <w:rPr>
                <w:rFonts w:ascii="Times New Roman" w:hAnsi="Times New Roman"/>
                <w:sz w:val="24"/>
                <w:szCs w:val="24"/>
                <w:lang w:eastAsia="lv-LV"/>
              </w:rPr>
              <w:t>pantā ir paredzēta izvēles iespēja dalībvalstīm noteikt prasības attiecībā uz pārbaudēm, kas sāktas pirms 2018.</w:t>
            </w:r>
            <w:r w:rsidR="00A728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76676">
              <w:rPr>
                <w:rFonts w:ascii="Times New Roman" w:hAnsi="Times New Roman"/>
                <w:sz w:val="24"/>
                <w:szCs w:val="24"/>
                <w:lang w:eastAsia="lv-LV"/>
              </w:rPr>
              <w:t>gada 1.</w:t>
            </w:r>
            <w:r w:rsidR="00A728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76676">
              <w:rPr>
                <w:rFonts w:ascii="Times New Roman" w:hAnsi="Times New Roman"/>
                <w:sz w:val="24"/>
                <w:szCs w:val="24"/>
                <w:lang w:eastAsia="lv-LV"/>
              </w:rPr>
              <w:t>septembra. Dalībvalstis var piemērot Direktīvu 2003/90/EK un Direktīvu 2003/91 EK tajā redakcijā, kāda bija pirms grozījumu izdarīšanas ar Komisijas Direktīvu 2018/100/ES. Šī panta izvēle Latvijai nav jāpārņem, jo Latvijā laukaugu un dārzeņu sugām netiek veiktas atšķirīguma, viendabīguma un stabilitātes pārbaudes.</w:t>
            </w:r>
          </w:p>
        </w:tc>
      </w:tr>
      <w:tr w:rsidR="00894C55" w:rsidRPr="0098337B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7A3E" w:rsidRPr="00076676" w:rsidRDefault="00CE7A3E" w:rsidP="00CE7A3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Noteikumu projekts nesatur valsts normatīvajos aktos noteiktās tehniskās prasības un nav paziņojams Eiropas Komisijai kā tehnisko noteikumu projekts atbilstoši Ministru kabineta 2010.</w:t>
            </w:r>
            <w:r w:rsidR="0006521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23.</w:t>
            </w:r>
            <w:r w:rsidR="0006521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februāra instrukcijai Nr.1 „Kārtība, kādā valsts pārvaldes iestādes sniedz informāciju par tehnisko noteikumu projektu”.</w:t>
            </w:r>
          </w:p>
          <w:p w:rsidR="004605EC" w:rsidRPr="003378DC" w:rsidRDefault="00CE7A3E" w:rsidP="00E779A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 Direktīvas 201</w:t>
            </w:r>
            <w:r w:rsidR="00680AAD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/1</w:t>
            </w:r>
            <w:r w:rsidR="00680AAD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00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/E</w:t>
            </w:r>
            <w:r w:rsidR="005825D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pielikuma A daļas netiks pārņemtas dažu sugu pārbaudes vadlīnijas. Saskaņā ar Komisijas</w:t>
            </w:r>
            <w:r w:rsidR="00B743D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43D0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2017. gada 16. marta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43D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Īstenošanas l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ēmumu 201</w:t>
            </w:r>
            <w:r w:rsidR="00680AAD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  <w:r w:rsidR="00680AAD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478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/ES, ar ko Bulgāriju, Čehiju, Dāniju, Vāciju, Igauniju, Īriju, Spāniju, Franciju, Kipru, Latviju, Lietuvu, Maltu, Nīderlandi, Poliju, Slovēniju, Slovākiju, Somiju, Zviedriju un Apvienoto Karalisti atbrīvo no pienākuma konkrētām sugām piemērot Padomes Direktīvas 66/401/EEK, 66/402/EEK, 68/193/EEK, 1999/105/EK, 2002/54/EK, 2002/55/EK un 2002/57/EK attiecīgi par lopbarības augu sēklu, graudaugu sēklu, vīnogulāju veģetatīvās pavairošanas materiāla, meža reproduktīvā materiāla, biešu sēklu, dārzeņu sēklu un eļļas augu un šķiedraugu sēklu tirdzniecību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D6739" w:rsidRPr="00E779A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un ar kuru atceļ Komisijas Lēmumu 2010/680/ES</w:t>
            </w:r>
            <w:r w:rsidR="003D673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Latvija ir atbrīvota no tādu sugu pārņemšanas savos normatīvajos aktos</w:t>
            </w:r>
            <w:r w:rsidR="004050A3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25DA"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nav piemērotas Latvijas klimatiskajiem apstākļiem un ne</w:t>
            </w:r>
            <w:r w:rsidR="003D6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="005825DA"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</w:t>
            </w:r>
            <w:r w:rsidR="003D6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5825DA"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D6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tāpēc</w:t>
            </w:r>
            <w:r w:rsidR="005825DA"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nav pamata </w:t>
            </w:r>
            <w:r w:rsidR="00065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</w:t>
            </w:r>
            <w:r w:rsidR="005825DA"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521D">
              <w:rPr>
                <w:rFonts w:ascii="Times New Roman" w:hAnsi="Times New Roman"/>
                <w:sz w:val="24"/>
                <w:szCs w:val="24"/>
                <w:lang w:eastAsia="lv-LV"/>
              </w:rPr>
              <w:t>Komisijas Direktīvā</w:t>
            </w:r>
            <w:r w:rsidR="0006521D" w:rsidRPr="0007667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825DA" w:rsidRPr="00076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  <w:r w:rsidR="003A7A59" w:rsidRPr="000766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/100</w:t>
            </w:r>
            <w:r w:rsidR="00A7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/ES</w:t>
            </w:r>
            <w:r w:rsidR="005825DA"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esošo sugu šķirņu obligāti pārbaudāmās prasības tām sugām, kuras neaudzē Latvijā</w:t>
            </w:r>
            <w:r w:rsidR="006E7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A7A5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Atbrīvojums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attiecas</w:t>
            </w:r>
            <w:r w:rsidR="003A7A5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uz t</w:t>
            </w:r>
            <w:r w:rsidR="003A7A5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ādām sugām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kā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Agrostis canina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  <w:r w:rsidRPr="00076676">
              <w:rPr>
                <w:rFonts w:ascii="Calibri" w:eastAsia="Calibri" w:hAnsi="Calibri" w:cs="Times New Roman"/>
              </w:rPr>
              <w:t>.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– suņu smilga (TG/30/6, 12.10.1990.),</w:t>
            </w:r>
            <w:r w:rsidRPr="00076676">
              <w:rPr>
                <w:rFonts w:ascii="Calibri" w:eastAsia="Calibri" w:hAnsi="Calibri" w:cs="Times New Roman"/>
              </w:rPr>
              <w:t xml:space="preserve">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Bromus catharticus 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Vahl – akotu lāčauza,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Bromus sitchensis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Trin. – Sitkas lāčauza </w:t>
            </w:r>
            <w:r w:rsidRPr="00076676">
              <w:rPr>
                <w:rFonts w:ascii="Calibri" w:eastAsia="Calibri" w:hAnsi="Calibri" w:cs="Times New Roman"/>
              </w:rPr>
              <w:t>(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TG/180/3, 04.04.2001.), </w:t>
            </w:r>
            <w:r w:rsidR="00802A8A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doliata</w:t>
            </w:r>
            <w:r w:rsidR="007A49C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Carmign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7A49C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taisndzeloņu lucerna (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italica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(Mill.) Fiori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Itālijas lucerna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(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littoralis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Rohde ex Loisel.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piekrastes lucerna (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lupulina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apiņu lucerna (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murex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Willd.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dzeloņainā lucerna (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polymorpha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L.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–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zobainā lucerna (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rugosa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Desr.</w:t>
            </w:r>
            <w:r w:rsidR="002C65B9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krokainā lucerna (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scutellata</w:t>
            </w:r>
            <w:r w:rsidR="0098337B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(L.) Mill.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vairoga lucerna (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truncatula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Gaertn.</w:t>
            </w:r>
            <w:r w:rsidR="0098337B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nošķeltā lucerna (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Arachis hypogea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zemesrieksti (TG/93/3, 09.04.2014.),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Carthamus tinctorius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saflors (TP/134/3, 12.10.1990.),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Gossypium spp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 – kokvilna (TP/88/1, 19.04.2016.),</w:t>
            </w:r>
            <w:r w:rsidR="00CB7E41"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Oryza sativa</w:t>
            </w:r>
            <w:r w:rsidR="00CB7E41"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rīsi (TP/16/3, 01.10.2015.),</w:t>
            </w:r>
            <w:r w:rsidR="00802A8A"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Sorghum bicolor 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(L.) Moench – sorgo (TG/122/4, 25.03.2015.),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sudanense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(Piper) Stapf.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Drumonda sorgo/Sudānas zāle (TG/122/4, 25.</w:t>
            </w:r>
            <w:r w:rsidR="00656B5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3.2015.),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Sorghum bicolor 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(L.) Moench x </w:t>
            </w:r>
            <w:r w:rsidRPr="000766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sudanense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(Piper) Stapf </w:t>
            </w:r>
            <w:r w:rsidR="00C227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hibrīdi, kas radušies, krustojot </w:t>
            </w:r>
            <w:r w:rsidRPr="00E779A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bicolor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779A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sudanense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(TG/122/4, 25.</w:t>
            </w:r>
            <w:r w:rsidR="00E3727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Pr="0007667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3.2015.).</w:t>
            </w:r>
          </w:p>
        </w:tc>
      </w:tr>
      <w:tr w:rsidR="00894C55" w:rsidRPr="00894C55" w:rsidTr="0020699D">
        <w:trPr>
          <w:jc w:val="center"/>
        </w:trPr>
        <w:tc>
          <w:tcPr>
            <w:tcW w:w="1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Cita informācija</w:t>
            </w:r>
          </w:p>
        </w:tc>
        <w:tc>
          <w:tcPr>
            <w:tcW w:w="38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94C55" w:rsidRDefault="00CE7A3E" w:rsidP="00CE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E7A3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  <w:r w:rsidR="00C227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  <w:tr w:rsidR="00894C55" w:rsidRPr="00894C55" w:rsidTr="0020699D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</w:t>
            </w:r>
            <w:r w:rsidR="00816C1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tabula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646898" w:rsidRPr="00894C55" w:rsidTr="0020699D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46898" w:rsidRPr="00894C55" w:rsidRDefault="00CE7A3E" w:rsidP="00CE7A3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E7A3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646898" w:rsidRPr="00894C55" w:rsidRDefault="00646898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5"/>
        <w:gridCol w:w="2736"/>
        <w:gridCol w:w="5927"/>
      </w:tblGrid>
      <w:tr w:rsidR="00894C55" w:rsidRPr="00894C55" w:rsidTr="002F73FF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894C55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VI.</w:t>
            </w:r>
            <w:r w:rsidR="00816C1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076676" w:rsidRPr="00076676" w:rsidTr="002F73FF">
        <w:trPr>
          <w:trHeight w:val="43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55EF" w:rsidRDefault="006855EF" w:rsidP="006855EF">
            <w:pPr>
              <w:spacing w:after="0" w:line="240" w:lineRule="auto"/>
              <w:ind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satur tehniska rakstura normu grozījumus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tāpēc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 </w:t>
            </w: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nepieciešams saskaņot ar sabiedrisk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ajām</w:t>
            </w: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organizācijām.</w:t>
            </w:r>
          </w:p>
          <w:p w:rsidR="00894C55" w:rsidRPr="00076676" w:rsidRDefault="00894C55" w:rsidP="003D0139">
            <w:pPr>
              <w:spacing w:after="0" w:line="240" w:lineRule="auto"/>
              <w:ind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76676" w:rsidRPr="00076676" w:rsidTr="002F73FF">
        <w:trPr>
          <w:trHeight w:val="264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55EF" w:rsidRPr="00076676" w:rsidRDefault="006855EF">
            <w:pPr>
              <w:spacing w:after="0" w:line="240" w:lineRule="auto"/>
              <w:ind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cija par noteikumu projektu </w:t>
            </w:r>
            <w:r w:rsidR="00C22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2018. gada </w:t>
            </w:r>
            <w:r w:rsidR="00C2274F" w:rsidRPr="006A05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  <w:r w:rsidR="00C22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maijā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</w:t>
            </w: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ievietota Zemkopības ministrijas tīmekļvietnes www.zm.gov.lv sadaļā „Sabiedriskā apspriešana”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76676" w:rsidRPr="00076676" w:rsidTr="002F73FF">
        <w:trPr>
          <w:trHeight w:val="37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02E59" w:rsidRDefault="006610E5" w:rsidP="00802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tīmekļvietnē www.zm.gov.lv ievietoto noteikumu projektu iebildumi un priekšlikumi no sabiedrības netika saņemti.</w:t>
            </w:r>
          </w:p>
        </w:tc>
      </w:tr>
      <w:tr w:rsidR="00076676" w:rsidRPr="00076676" w:rsidTr="002F73FF">
        <w:trPr>
          <w:trHeight w:val="37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C3267B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C2274F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894C55" w:rsidRPr="00076676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4"/>
        <w:gridCol w:w="2770"/>
        <w:gridCol w:w="5894"/>
      </w:tblGrid>
      <w:tr w:rsidR="00076676" w:rsidRPr="00076676" w:rsidTr="0080539D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076676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07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07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076676" w:rsidRPr="00076676" w:rsidTr="00500C95">
        <w:trPr>
          <w:trHeight w:val="336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076676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076676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076676" w:rsidRDefault="00A91DC6" w:rsidP="00621582">
            <w:pPr>
              <w:spacing w:after="0" w:line="240" w:lineRule="auto"/>
              <w:ind w:left="90" w:right="199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hAnsi="Times New Roman"/>
                <w:sz w:val="24"/>
                <w:szCs w:val="24"/>
                <w:lang w:eastAsia="lv-LV"/>
              </w:rPr>
              <w:t>Izpildi nodrošinās Zemkopības ministrijas padotībā esošais Valsts augu aizsardzības dienests.</w:t>
            </w:r>
          </w:p>
        </w:tc>
      </w:tr>
      <w:tr w:rsidR="00076676" w:rsidRPr="00076676" w:rsidTr="00500C95">
        <w:trPr>
          <w:trHeight w:val="360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076676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076676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A91DC6" w:rsidRPr="00076676" w:rsidRDefault="00A91DC6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</w:t>
            </w: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1DC6" w:rsidRPr="00076676" w:rsidRDefault="00A91DC6" w:rsidP="00621582">
            <w:pPr>
              <w:pStyle w:val="Bezatstarpm"/>
              <w:ind w:left="110" w:right="199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Nav ietekmes uz pārvaldes funkcijām un institucionālo struktūru.</w:t>
            </w:r>
          </w:p>
          <w:p w:rsidR="001269DF" w:rsidRPr="001269DF" w:rsidRDefault="001269DF" w:rsidP="001269D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DF"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:rsidR="00A91DC6" w:rsidRPr="00076676" w:rsidRDefault="001269DF" w:rsidP="00A203E7">
            <w:pPr>
              <w:pStyle w:val="Bezatstarpm"/>
              <w:ind w:right="199"/>
              <w:jc w:val="both"/>
              <w:rPr>
                <w:lang w:eastAsia="lv-LV"/>
              </w:rPr>
            </w:pPr>
            <w:r w:rsidRPr="00A203E7">
              <w:rPr>
                <w:rFonts w:ascii="Times New Roman" w:hAnsi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076676" w:rsidRPr="00076676" w:rsidTr="00500C95">
        <w:trPr>
          <w:trHeight w:val="31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076676" w:rsidRDefault="00A91DC6" w:rsidP="00A9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227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7DA" w:rsidRDefault="009B57DA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7DA" w:rsidRDefault="009B57DA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6D" w:rsidRPr="00894C55" w:rsidRDefault="00A7286D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C6" w:rsidRPr="00CE095C" w:rsidRDefault="00A91DC6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DC6">
        <w:rPr>
          <w:rFonts w:ascii="Times New Roman" w:eastAsia="Calibri" w:hAnsi="Times New Roman" w:cs="Times New Roman"/>
          <w:sz w:val="28"/>
          <w:szCs w:val="24"/>
        </w:rPr>
        <w:t>Zemkopības ministr</w:t>
      </w:r>
      <w:r w:rsidR="00CE095C">
        <w:rPr>
          <w:rFonts w:ascii="Times New Roman" w:eastAsia="Calibri" w:hAnsi="Times New Roman" w:cs="Times New Roman"/>
          <w:sz w:val="28"/>
          <w:szCs w:val="24"/>
        </w:rPr>
        <w:t>a p.i.</w:t>
      </w:r>
      <w:r w:rsidRPr="00A91DC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91DC6">
        <w:rPr>
          <w:rFonts w:ascii="Times New Roman" w:eastAsia="Calibri" w:hAnsi="Times New Roman" w:cs="Times New Roman"/>
          <w:sz w:val="28"/>
          <w:szCs w:val="24"/>
        </w:rPr>
        <w:tab/>
      </w:r>
      <w:r w:rsidRPr="00A91DC6">
        <w:rPr>
          <w:rFonts w:ascii="Times New Roman" w:eastAsia="Calibri" w:hAnsi="Times New Roman" w:cs="Times New Roman"/>
          <w:sz w:val="28"/>
          <w:szCs w:val="24"/>
        </w:rPr>
        <w:tab/>
      </w:r>
      <w:r w:rsidRPr="00A91DC6">
        <w:rPr>
          <w:rFonts w:ascii="Times New Roman" w:eastAsia="Calibri" w:hAnsi="Times New Roman" w:cs="Times New Roman"/>
          <w:sz w:val="28"/>
          <w:szCs w:val="24"/>
        </w:rPr>
        <w:tab/>
      </w:r>
      <w:r w:rsidRPr="00A91DC6">
        <w:rPr>
          <w:rFonts w:ascii="Times New Roman" w:eastAsia="Calibri" w:hAnsi="Times New Roman" w:cs="Times New Roman"/>
          <w:sz w:val="28"/>
          <w:szCs w:val="24"/>
        </w:rPr>
        <w:tab/>
      </w:r>
      <w:r w:rsidRPr="00A91DC6">
        <w:rPr>
          <w:rFonts w:ascii="Times New Roman" w:eastAsia="Calibri" w:hAnsi="Times New Roman" w:cs="Times New Roman"/>
          <w:sz w:val="28"/>
          <w:szCs w:val="24"/>
        </w:rPr>
        <w:tab/>
      </w:r>
      <w:r w:rsidRPr="00A91DC6">
        <w:rPr>
          <w:rFonts w:ascii="Times New Roman" w:eastAsia="Calibri" w:hAnsi="Times New Roman" w:cs="Times New Roman"/>
          <w:sz w:val="28"/>
          <w:szCs w:val="24"/>
        </w:rPr>
        <w:tab/>
      </w:r>
      <w:r w:rsidRPr="00A91DC6">
        <w:rPr>
          <w:rFonts w:ascii="Times New Roman" w:eastAsia="Calibri" w:hAnsi="Times New Roman" w:cs="Times New Roman"/>
          <w:sz w:val="28"/>
          <w:szCs w:val="24"/>
        </w:rPr>
        <w:tab/>
      </w:r>
      <w:r w:rsidR="00CE095C" w:rsidRPr="00CE095C">
        <w:rPr>
          <w:rFonts w:ascii="Times New Roman" w:eastAsia="Calibri" w:hAnsi="Times New Roman" w:cs="Times New Roman"/>
          <w:bCs/>
          <w:sz w:val="28"/>
          <w:szCs w:val="28"/>
        </w:rPr>
        <w:t>Uldis Augulis</w:t>
      </w:r>
    </w:p>
    <w:p w:rsidR="00A7286D" w:rsidRDefault="00A7286D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7286D" w:rsidRDefault="00A7286D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7286D" w:rsidRPr="007A6338" w:rsidRDefault="00A7286D" w:rsidP="003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ministrijas valsts sekretāre</w:t>
      </w: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27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A6338">
        <w:rPr>
          <w:rFonts w:ascii="Times New Roman" w:eastAsia="Times New Roman" w:hAnsi="Times New Roman" w:cs="Times New Roman"/>
          <w:sz w:val="28"/>
          <w:szCs w:val="28"/>
          <w:lang w:eastAsia="lv-LV"/>
        </w:rPr>
        <w:t>Dace Lucaua</w:t>
      </w:r>
    </w:p>
    <w:p w:rsidR="00A7286D" w:rsidRDefault="00A7286D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7107A" w:rsidRDefault="0067107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7107A" w:rsidRDefault="0067107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9B57DA" w:rsidRPr="00A91DC6" w:rsidRDefault="009B57DA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  <w:bookmarkStart w:id="0" w:name="_GoBack"/>
      <w:bookmarkEnd w:id="0"/>
    </w:p>
    <w:p w:rsidR="00A91DC6" w:rsidRDefault="00A91DC6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:rsidR="00A91DC6" w:rsidRPr="009B57DA" w:rsidRDefault="00A91DC6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7DA">
        <w:rPr>
          <w:rFonts w:ascii="Times New Roman" w:eastAsia="Calibri" w:hAnsi="Times New Roman" w:cs="Times New Roman"/>
          <w:sz w:val="24"/>
          <w:szCs w:val="24"/>
        </w:rPr>
        <w:t xml:space="preserve">Magone 67027258 </w:t>
      </w:r>
    </w:p>
    <w:p w:rsidR="00894C55" w:rsidRPr="009B57DA" w:rsidRDefault="009B57DA" w:rsidP="00F1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753F6" w:rsidRPr="009B57DA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ilze.magone@zm.gov.lv</w:t>
        </w:r>
      </w:hyperlink>
    </w:p>
    <w:sectPr w:rsidR="00894C55" w:rsidRPr="009B57DA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B3" w:rsidRDefault="00113BB3" w:rsidP="00894C55">
      <w:pPr>
        <w:spacing w:after="0" w:line="240" w:lineRule="auto"/>
      </w:pPr>
      <w:r>
        <w:separator/>
      </w:r>
    </w:p>
  </w:endnote>
  <w:endnote w:type="continuationSeparator" w:id="0">
    <w:p w:rsidR="00113BB3" w:rsidRDefault="00113BB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55" w:rsidRPr="009B57DA" w:rsidRDefault="009B57DA" w:rsidP="009B57DA">
    <w:pPr>
      <w:pStyle w:val="Kjene"/>
    </w:pPr>
    <w:r w:rsidRPr="009B57DA">
      <w:rPr>
        <w:rFonts w:ascii="Times New Roman" w:hAnsi="Times New Roman" w:cs="Times New Roman"/>
        <w:sz w:val="20"/>
        <w:szCs w:val="20"/>
      </w:rPr>
      <w:t>ZManot_290618_AVSparb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Pr="009B57DA" w:rsidRDefault="009B57DA" w:rsidP="009B57DA">
    <w:pPr>
      <w:pStyle w:val="Kjene"/>
    </w:pPr>
    <w:r w:rsidRPr="009B57DA">
      <w:rPr>
        <w:rFonts w:ascii="Times New Roman" w:hAnsi="Times New Roman" w:cs="Times New Roman"/>
        <w:sz w:val="20"/>
        <w:szCs w:val="20"/>
      </w:rPr>
      <w:t>ZManot_290618_AVSparb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B3" w:rsidRDefault="00113BB3" w:rsidP="00894C55">
      <w:pPr>
        <w:spacing w:after="0" w:line="240" w:lineRule="auto"/>
      </w:pPr>
      <w:r>
        <w:separator/>
      </w:r>
    </w:p>
  </w:footnote>
  <w:footnote w:type="continuationSeparator" w:id="0">
    <w:p w:rsidR="00113BB3" w:rsidRDefault="00113BB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57DA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094F"/>
    <w:multiLevelType w:val="hybridMultilevel"/>
    <w:tmpl w:val="ECC6E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0AE0"/>
    <w:rsid w:val="00021E4B"/>
    <w:rsid w:val="00034D62"/>
    <w:rsid w:val="00050C0D"/>
    <w:rsid w:val="00053957"/>
    <w:rsid w:val="000562B8"/>
    <w:rsid w:val="0006521D"/>
    <w:rsid w:val="00076676"/>
    <w:rsid w:val="00080BD6"/>
    <w:rsid w:val="000A2EE3"/>
    <w:rsid w:val="000A3A25"/>
    <w:rsid w:val="000A483D"/>
    <w:rsid w:val="000C44B6"/>
    <w:rsid w:val="000C4960"/>
    <w:rsid w:val="000C6797"/>
    <w:rsid w:val="000C7F7B"/>
    <w:rsid w:val="000D0D9E"/>
    <w:rsid w:val="000D3C6C"/>
    <w:rsid w:val="000E0362"/>
    <w:rsid w:val="000F092D"/>
    <w:rsid w:val="0010503C"/>
    <w:rsid w:val="00105AA7"/>
    <w:rsid w:val="00113BB3"/>
    <w:rsid w:val="00116E7C"/>
    <w:rsid w:val="001269DF"/>
    <w:rsid w:val="00135101"/>
    <w:rsid w:val="00161508"/>
    <w:rsid w:val="00167261"/>
    <w:rsid w:val="001753F6"/>
    <w:rsid w:val="001C0F4A"/>
    <w:rsid w:val="001C1906"/>
    <w:rsid w:val="001E7EC3"/>
    <w:rsid w:val="0020699D"/>
    <w:rsid w:val="00216652"/>
    <w:rsid w:val="002244B8"/>
    <w:rsid w:val="0022511C"/>
    <w:rsid w:val="00226964"/>
    <w:rsid w:val="00232192"/>
    <w:rsid w:val="002341DA"/>
    <w:rsid w:val="002375E7"/>
    <w:rsid w:val="00241FCD"/>
    <w:rsid w:val="00243426"/>
    <w:rsid w:val="002513B2"/>
    <w:rsid w:val="00267CE4"/>
    <w:rsid w:val="00274DD9"/>
    <w:rsid w:val="002802A1"/>
    <w:rsid w:val="00296584"/>
    <w:rsid w:val="002A2430"/>
    <w:rsid w:val="002C65B9"/>
    <w:rsid w:val="002E1C05"/>
    <w:rsid w:val="002F1B12"/>
    <w:rsid w:val="002F73FF"/>
    <w:rsid w:val="00313387"/>
    <w:rsid w:val="00314552"/>
    <w:rsid w:val="003378DC"/>
    <w:rsid w:val="003407A5"/>
    <w:rsid w:val="00341601"/>
    <w:rsid w:val="00351525"/>
    <w:rsid w:val="0036502D"/>
    <w:rsid w:val="00385880"/>
    <w:rsid w:val="00387EC7"/>
    <w:rsid w:val="003A6DAE"/>
    <w:rsid w:val="003A7A59"/>
    <w:rsid w:val="003B0BF9"/>
    <w:rsid w:val="003B37AC"/>
    <w:rsid w:val="003B75EB"/>
    <w:rsid w:val="003C018D"/>
    <w:rsid w:val="003C0BBE"/>
    <w:rsid w:val="003D0139"/>
    <w:rsid w:val="003D0524"/>
    <w:rsid w:val="003D6739"/>
    <w:rsid w:val="003E0791"/>
    <w:rsid w:val="003F28AC"/>
    <w:rsid w:val="003F669C"/>
    <w:rsid w:val="003F718C"/>
    <w:rsid w:val="00402C1C"/>
    <w:rsid w:val="004050A3"/>
    <w:rsid w:val="004229AA"/>
    <w:rsid w:val="00422B69"/>
    <w:rsid w:val="004269D2"/>
    <w:rsid w:val="004454FE"/>
    <w:rsid w:val="004568E2"/>
    <w:rsid w:val="00456DB3"/>
    <w:rsid w:val="004605EC"/>
    <w:rsid w:val="00471F27"/>
    <w:rsid w:val="00495A22"/>
    <w:rsid w:val="00497BBC"/>
    <w:rsid w:val="004A0BDF"/>
    <w:rsid w:val="004B7E11"/>
    <w:rsid w:val="004C115A"/>
    <w:rsid w:val="004D0CE5"/>
    <w:rsid w:val="004D3DAB"/>
    <w:rsid w:val="004D4B38"/>
    <w:rsid w:val="004D548B"/>
    <w:rsid w:val="00500C95"/>
    <w:rsid w:val="0050178F"/>
    <w:rsid w:val="00505A7B"/>
    <w:rsid w:val="00516329"/>
    <w:rsid w:val="00540DC3"/>
    <w:rsid w:val="005412F5"/>
    <w:rsid w:val="00547B88"/>
    <w:rsid w:val="00554FB7"/>
    <w:rsid w:val="0056030B"/>
    <w:rsid w:val="00562B94"/>
    <w:rsid w:val="00570205"/>
    <w:rsid w:val="005825DA"/>
    <w:rsid w:val="005868C9"/>
    <w:rsid w:val="00592E52"/>
    <w:rsid w:val="005B14B4"/>
    <w:rsid w:val="005B3F2B"/>
    <w:rsid w:val="005D5EE5"/>
    <w:rsid w:val="005D6DD2"/>
    <w:rsid w:val="005E602E"/>
    <w:rsid w:val="0061005D"/>
    <w:rsid w:val="006102A2"/>
    <w:rsid w:val="00621582"/>
    <w:rsid w:val="006263E1"/>
    <w:rsid w:val="00627054"/>
    <w:rsid w:val="00646898"/>
    <w:rsid w:val="00656B50"/>
    <w:rsid w:val="006609EB"/>
    <w:rsid w:val="00660A83"/>
    <w:rsid w:val="006610E5"/>
    <w:rsid w:val="0066756A"/>
    <w:rsid w:val="00670ED3"/>
    <w:rsid w:val="0067107A"/>
    <w:rsid w:val="00672495"/>
    <w:rsid w:val="00673277"/>
    <w:rsid w:val="006804D4"/>
    <w:rsid w:val="00680AAD"/>
    <w:rsid w:val="006855EF"/>
    <w:rsid w:val="00692CA0"/>
    <w:rsid w:val="00693399"/>
    <w:rsid w:val="006A0524"/>
    <w:rsid w:val="006D30E2"/>
    <w:rsid w:val="006E1081"/>
    <w:rsid w:val="006E3F2B"/>
    <w:rsid w:val="006E4AAA"/>
    <w:rsid w:val="006E7CD0"/>
    <w:rsid w:val="006E7F83"/>
    <w:rsid w:val="00720585"/>
    <w:rsid w:val="007230EB"/>
    <w:rsid w:val="00732312"/>
    <w:rsid w:val="007362B2"/>
    <w:rsid w:val="00756836"/>
    <w:rsid w:val="007648B7"/>
    <w:rsid w:val="00773AF6"/>
    <w:rsid w:val="00787D05"/>
    <w:rsid w:val="00795F71"/>
    <w:rsid w:val="007A49C9"/>
    <w:rsid w:val="007D32ED"/>
    <w:rsid w:val="007E0781"/>
    <w:rsid w:val="007E73AB"/>
    <w:rsid w:val="00801F7E"/>
    <w:rsid w:val="00802A8A"/>
    <w:rsid w:val="00802E59"/>
    <w:rsid w:val="0080539D"/>
    <w:rsid w:val="00807194"/>
    <w:rsid w:val="00813B67"/>
    <w:rsid w:val="00816857"/>
    <w:rsid w:val="00816C11"/>
    <w:rsid w:val="0082246A"/>
    <w:rsid w:val="00841CA5"/>
    <w:rsid w:val="00875F50"/>
    <w:rsid w:val="0088397C"/>
    <w:rsid w:val="00894C55"/>
    <w:rsid w:val="008A1878"/>
    <w:rsid w:val="008B0F6C"/>
    <w:rsid w:val="008C4638"/>
    <w:rsid w:val="008F5F6F"/>
    <w:rsid w:val="008F7F79"/>
    <w:rsid w:val="00912FDB"/>
    <w:rsid w:val="00936C93"/>
    <w:rsid w:val="00940A9B"/>
    <w:rsid w:val="00962F7C"/>
    <w:rsid w:val="00970C77"/>
    <w:rsid w:val="0098337B"/>
    <w:rsid w:val="009A2654"/>
    <w:rsid w:val="009A6450"/>
    <w:rsid w:val="009B207B"/>
    <w:rsid w:val="009B57DA"/>
    <w:rsid w:val="009E1688"/>
    <w:rsid w:val="009E2AFB"/>
    <w:rsid w:val="00A203E7"/>
    <w:rsid w:val="00A20A0D"/>
    <w:rsid w:val="00A23660"/>
    <w:rsid w:val="00A460DC"/>
    <w:rsid w:val="00A51596"/>
    <w:rsid w:val="00A523C6"/>
    <w:rsid w:val="00A6073E"/>
    <w:rsid w:val="00A62BF1"/>
    <w:rsid w:val="00A7286D"/>
    <w:rsid w:val="00A77961"/>
    <w:rsid w:val="00A901C0"/>
    <w:rsid w:val="00A90DFB"/>
    <w:rsid w:val="00A91DC6"/>
    <w:rsid w:val="00A9383C"/>
    <w:rsid w:val="00A96163"/>
    <w:rsid w:val="00A97B10"/>
    <w:rsid w:val="00AB6D0E"/>
    <w:rsid w:val="00AD1441"/>
    <w:rsid w:val="00AE23FF"/>
    <w:rsid w:val="00AE5567"/>
    <w:rsid w:val="00AE6E64"/>
    <w:rsid w:val="00AE7A2A"/>
    <w:rsid w:val="00B0628C"/>
    <w:rsid w:val="00B16480"/>
    <w:rsid w:val="00B21461"/>
    <w:rsid w:val="00B2165C"/>
    <w:rsid w:val="00B268D9"/>
    <w:rsid w:val="00B505DA"/>
    <w:rsid w:val="00B62D29"/>
    <w:rsid w:val="00B63167"/>
    <w:rsid w:val="00B672C4"/>
    <w:rsid w:val="00B743D0"/>
    <w:rsid w:val="00B82D5D"/>
    <w:rsid w:val="00B83851"/>
    <w:rsid w:val="00B944B2"/>
    <w:rsid w:val="00BA20AA"/>
    <w:rsid w:val="00BB58C6"/>
    <w:rsid w:val="00BC379C"/>
    <w:rsid w:val="00BD2273"/>
    <w:rsid w:val="00BD4425"/>
    <w:rsid w:val="00BE59CC"/>
    <w:rsid w:val="00BE6C0F"/>
    <w:rsid w:val="00BF7FEF"/>
    <w:rsid w:val="00C2274F"/>
    <w:rsid w:val="00C25B49"/>
    <w:rsid w:val="00C2775D"/>
    <w:rsid w:val="00C3267B"/>
    <w:rsid w:val="00C32878"/>
    <w:rsid w:val="00C408B5"/>
    <w:rsid w:val="00C44823"/>
    <w:rsid w:val="00C45B05"/>
    <w:rsid w:val="00C503D0"/>
    <w:rsid w:val="00C5687A"/>
    <w:rsid w:val="00C603AF"/>
    <w:rsid w:val="00C640B3"/>
    <w:rsid w:val="00C668E3"/>
    <w:rsid w:val="00C80CB4"/>
    <w:rsid w:val="00C93493"/>
    <w:rsid w:val="00CA494E"/>
    <w:rsid w:val="00CB7E41"/>
    <w:rsid w:val="00CC4117"/>
    <w:rsid w:val="00CE095C"/>
    <w:rsid w:val="00CE5657"/>
    <w:rsid w:val="00CE7A3E"/>
    <w:rsid w:val="00CF0427"/>
    <w:rsid w:val="00CF05BE"/>
    <w:rsid w:val="00CF547C"/>
    <w:rsid w:val="00CF6E33"/>
    <w:rsid w:val="00CF7AD8"/>
    <w:rsid w:val="00D01CAA"/>
    <w:rsid w:val="00D0567E"/>
    <w:rsid w:val="00D133F8"/>
    <w:rsid w:val="00D14A3E"/>
    <w:rsid w:val="00D207F5"/>
    <w:rsid w:val="00D42E8D"/>
    <w:rsid w:val="00D45FB1"/>
    <w:rsid w:val="00D54CDF"/>
    <w:rsid w:val="00D7656C"/>
    <w:rsid w:val="00D95266"/>
    <w:rsid w:val="00DA58BA"/>
    <w:rsid w:val="00DB0C45"/>
    <w:rsid w:val="00DC554A"/>
    <w:rsid w:val="00DC7FF4"/>
    <w:rsid w:val="00DE0EE4"/>
    <w:rsid w:val="00DE56A9"/>
    <w:rsid w:val="00DF4CB7"/>
    <w:rsid w:val="00DF7848"/>
    <w:rsid w:val="00E00C6C"/>
    <w:rsid w:val="00E12E13"/>
    <w:rsid w:val="00E16471"/>
    <w:rsid w:val="00E20BBB"/>
    <w:rsid w:val="00E3306D"/>
    <w:rsid w:val="00E3716B"/>
    <w:rsid w:val="00E3727E"/>
    <w:rsid w:val="00E45E82"/>
    <w:rsid w:val="00E60227"/>
    <w:rsid w:val="00E606D7"/>
    <w:rsid w:val="00E62C64"/>
    <w:rsid w:val="00E762F3"/>
    <w:rsid w:val="00E779AC"/>
    <w:rsid w:val="00E8749E"/>
    <w:rsid w:val="00E90C01"/>
    <w:rsid w:val="00EA486E"/>
    <w:rsid w:val="00EC2ABB"/>
    <w:rsid w:val="00EE0B2F"/>
    <w:rsid w:val="00EE26F5"/>
    <w:rsid w:val="00F03325"/>
    <w:rsid w:val="00F05F3E"/>
    <w:rsid w:val="00F16ACB"/>
    <w:rsid w:val="00F20D77"/>
    <w:rsid w:val="00F33225"/>
    <w:rsid w:val="00F5707F"/>
    <w:rsid w:val="00F57B0C"/>
    <w:rsid w:val="00F7589F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FB2FF2-AC80-4BE8-A9E0-6CA50A30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ezatstarpm">
    <w:name w:val="No Spacing"/>
    <w:link w:val="BezatstarpmRakstz"/>
    <w:uiPriority w:val="1"/>
    <w:qFormat/>
    <w:rsid w:val="00402C1C"/>
    <w:pPr>
      <w:spacing w:after="0" w:line="240" w:lineRule="auto"/>
    </w:pPr>
    <w:rPr>
      <w:rFonts w:ascii="Calibri" w:eastAsia="Calibri" w:hAnsi="Calibri" w:cs="Times New Roman"/>
    </w:rPr>
  </w:style>
  <w:style w:type="character" w:styleId="Izteiksmgs">
    <w:name w:val="Strong"/>
    <w:uiPriority w:val="22"/>
    <w:qFormat/>
    <w:rsid w:val="00402C1C"/>
    <w:rPr>
      <w:b/>
      <w:bCs/>
    </w:rPr>
  </w:style>
  <w:style w:type="character" w:styleId="Komentraatsauce">
    <w:name w:val="annotation reference"/>
    <w:basedOn w:val="Noklusjumarindkopasfonts"/>
    <w:semiHidden/>
    <w:unhideWhenUsed/>
    <w:rsid w:val="008224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24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24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24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246A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9E2AFB"/>
    <w:pPr>
      <w:ind w:left="720"/>
      <w:contextualSpacing/>
    </w:pPr>
  </w:style>
  <w:style w:type="paragraph" w:styleId="Prskatjums">
    <w:name w:val="Revision"/>
    <w:hidden/>
    <w:uiPriority w:val="99"/>
    <w:semiHidden/>
    <w:rsid w:val="00D54CDF"/>
    <w:pPr>
      <w:spacing w:after="0" w:line="240" w:lineRule="auto"/>
    </w:pPr>
  </w:style>
  <w:style w:type="table" w:customStyle="1" w:styleId="Reatabula1">
    <w:name w:val="Režģa tabula1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6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uiPriority w:val="1"/>
    <w:locked/>
    <w:rsid w:val="001269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magone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8339</Words>
  <Characters>4754</Characters>
  <Application>Microsoft Office Word</Application>
  <DocSecurity>0</DocSecurity>
  <Lines>39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2010.gada 28.decembra noteikumos Nr.1229 „Noteikumi par šķirnes atšķirīguma, viendabīguma un stabilitātes pārbaudi”” sākotnējās ietekmes novērtējuma ziņojums (anotācija)</vt:lpstr>
      <vt:lpstr>Tiesību akta nosaukums</vt:lpstr>
    </vt:vector>
  </TitlesOfParts>
  <Company>Zemkopības ministrija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28.decembra noteikumos Nr.1229 „Noteikumi par šķirnes atšķirīguma, viendabīguma un stabilitātes pārbaudi”” sākotnējās ietekmes novērtējuma ziņojums (anotācija)</dc:title>
  <dc:subject>Anotācija</dc:subject>
  <dc:creator>Vārds Uzvārds;Ilze.Magone@zm.gov.lv</dc:creator>
  <dc:description>Magone 67027258 
Ilze.Magone@zm.gov.lv</dc:description>
  <cp:lastModifiedBy>Sanita Žagare</cp:lastModifiedBy>
  <cp:revision>11</cp:revision>
  <dcterms:created xsi:type="dcterms:W3CDTF">2018-06-29T09:08:00Z</dcterms:created>
  <dcterms:modified xsi:type="dcterms:W3CDTF">2018-06-29T10:37:00Z</dcterms:modified>
</cp:coreProperties>
</file>