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F327B" w:rsidRPr="00043D88" w:rsidP="00951692" w14:paraId="61A9B40B" w14:textId="77777777">
      <w:pPr>
        <w:jc w:val="center"/>
        <w:rPr>
          <w:b/>
        </w:rPr>
      </w:pPr>
      <w:r w:rsidRPr="00043D88">
        <w:rPr>
          <w:b/>
        </w:rPr>
        <w:t xml:space="preserve">Ministru kabineta </w:t>
      </w:r>
      <w:r w:rsidRPr="00043D88" w:rsidR="00DB1264">
        <w:rPr>
          <w:b/>
        </w:rPr>
        <w:t>rīkojuma</w:t>
      </w:r>
    </w:p>
    <w:p w:rsidR="009F327B" w:rsidRPr="00043D88" w:rsidP="00951692" w14:paraId="466CF25F" w14:textId="0390AA39">
      <w:pPr>
        <w:jc w:val="center"/>
        <w:rPr>
          <w:b/>
        </w:rPr>
      </w:pPr>
      <w:r w:rsidRPr="00043D88">
        <w:rPr>
          <w:b/>
        </w:rPr>
        <w:t>„</w:t>
      </w:r>
      <w:r w:rsidRPr="00043D88">
        <w:rPr>
          <w:b/>
          <w:bCs/>
        </w:rPr>
        <w:t>Par Latvijas Nacionālo bruņoto spēku vienību un ārvals</w:t>
      </w:r>
      <w:r w:rsidRPr="00043D88" w:rsidR="00A9525C">
        <w:rPr>
          <w:b/>
          <w:bCs/>
        </w:rPr>
        <w:t>tu bruņoto spēku vienību kopēj</w:t>
      </w:r>
      <w:r w:rsidRPr="00043D88">
        <w:rPr>
          <w:b/>
          <w:bCs/>
        </w:rPr>
        <w:t xml:space="preserve">ām militārajām mācībām </w:t>
      </w:r>
      <w:r w:rsidR="00BD0EBA">
        <w:rPr>
          <w:b/>
          <w:bCs/>
        </w:rPr>
        <w:t>ārvalstīs</w:t>
      </w:r>
      <w:r w:rsidRPr="00043D88">
        <w:rPr>
          <w:b/>
          <w:bCs/>
        </w:rPr>
        <w:t>”</w:t>
      </w:r>
    </w:p>
    <w:p w:rsidR="005C67D1" w:rsidRPr="00043D88" w:rsidP="00951692" w14:paraId="5C9B0153" w14:textId="77777777">
      <w:pPr>
        <w:jc w:val="center"/>
        <w:rPr>
          <w:b/>
        </w:rPr>
      </w:pPr>
      <w:r w:rsidRPr="00043D88">
        <w:rPr>
          <w:b/>
        </w:rPr>
        <w:t xml:space="preserve">projekta </w:t>
      </w:r>
      <w:r w:rsidRPr="00043D88" w:rsidR="00E26E55">
        <w:rPr>
          <w:b/>
        </w:rPr>
        <w:t>sākotnējās ietekmes novērtējuma ziņojums (</w:t>
      </w:r>
      <w:r w:rsidRPr="00043D88" w:rsidR="00BC0098">
        <w:rPr>
          <w:b/>
        </w:rPr>
        <w:t>anotācija</w:t>
      </w:r>
      <w:r w:rsidRPr="00043D88" w:rsidR="00E26E55">
        <w:rPr>
          <w:b/>
        </w:rPr>
        <w:t>)</w:t>
      </w:r>
    </w:p>
    <w:p w:rsidR="00BC0098" w:rsidRPr="00043D88" w:rsidP="00951692" w14:paraId="418EACB0" w14:textId="7777777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3262"/>
        <w:gridCol w:w="5799"/>
      </w:tblGrid>
      <w:tr w14:paraId="6A889FFE" w14:textId="77777777" w:rsidTr="002957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957E9" w:rsidRPr="00043D88" w:rsidP="00951692" w14:paraId="1983A61F" w14:textId="77777777">
            <w:pPr>
              <w:jc w:val="center"/>
              <w:rPr>
                <w:b/>
                <w:iCs/>
                <w:lang w:eastAsia="en-US"/>
              </w:rPr>
            </w:pPr>
            <w:r w:rsidRPr="00043D88">
              <w:rPr>
                <w:b/>
                <w:iCs/>
                <w:lang w:eastAsia="en-US"/>
              </w:rPr>
              <w:t>Tiesību akta projekta anotācijas kopsavilkums</w:t>
            </w:r>
          </w:p>
        </w:tc>
      </w:tr>
      <w:tr w14:paraId="4E0EF30B" w14:textId="77777777" w:rsidTr="002957E9">
        <w:tblPrEx>
          <w:tblW w:w="5000" w:type="pct"/>
          <w:shd w:val="clear" w:color="auto" w:fill="FFFFFF"/>
          <w:tblCellMar>
            <w:top w:w="28" w:type="dxa"/>
            <w:left w:w="28" w:type="dxa"/>
            <w:bottom w:w="28" w:type="dxa"/>
            <w:right w:w="28" w:type="dxa"/>
          </w:tblCellMar>
          <w:tblLook w:val="04A0"/>
        </w:tblPrEx>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2957E9" w:rsidRPr="00043D88" w:rsidP="00951692" w14:paraId="166EBDF9" w14:textId="77777777">
            <w:pPr>
              <w:rPr>
                <w:iCs/>
                <w:lang w:eastAsia="en-US"/>
              </w:rPr>
            </w:pPr>
            <w:r w:rsidRPr="00043D88">
              <w:rPr>
                <w:iCs/>
                <w:lang w:eastAsia="en-U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2957E9" w:rsidRPr="00043D88" w:rsidP="00043D88" w14:paraId="317AC61C" w14:textId="77777777">
            <w:pPr>
              <w:jc w:val="both"/>
              <w:rPr>
                <w:i/>
                <w:iCs/>
                <w:lang w:eastAsia="en-US"/>
              </w:rPr>
            </w:pPr>
            <w:r w:rsidRPr="00043D88">
              <w:rPr>
                <w:lang w:eastAsia="en-US"/>
              </w:rPr>
              <w:t>Anotācijas I sadaļas 2. punkts nepārsniedz divas lapaspuses.</w:t>
            </w:r>
          </w:p>
        </w:tc>
      </w:tr>
    </w:tbl>
    <w:p w:rsidR="002957E9" w:rsidRPr="00043D88" w:rsidP="00951692" w14:paraId="2E8EC2CA" w14:textId="7777777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279"/>
        <w:gridCol w:w="1843"/>
        <w:gridCol w:w="6939"/>
      </w:tblGrid>
      <w:tr w14:paraId="118A52CE" w14:textId="77777777" w:rsidTr="00541A46">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957E9" w:rsidRPr="00043D88" w:rsidP="00951692" w14:paraId="35D39866" w14:textId="77777777">
            <w:pPr>
              <w:jc w:val="center"/>
              <w:rPr>
                <w:b/>
                <w:bCs/>
                <w:lang w:eastAsia="en-US"/>
              </w:rPr>
            </w:pPr>
            <w:r w:rsidRPr="00043D88">
              <w:rPr>
                <w:b/>
                <w:bCs/>
                <w:lang w:eastAsia="en-US"/>
              </w:rPr>
              <w:t>I. Tiesību akta projekta izstrādes nepieciešamība</w:t>
            </w:r>
          </w:p>
        </w:tc>
      </w:tr>
      <w:tr w14:paraId="181FE1CD" w14:textId="77777777" w:rsidTr="00541A46">
        <w:tblPrEx>
          <w:tblW w:w="5000" w:type="pct"/>
          <w:tblLayout w:type="fixed"/>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043D88" w:rsidP="00951692" w14:paraId="029762D6" w14:textId="77777777">
            <w:pPr>
              <w:jc w:val="center"/>
              <w:rPr>
                <w:lang w:eastAsia="en-US"/>
              </w:rPr>
            </w:pPr>
            <w:r w:rsidRPr="00043D88">
              <w:rPr>
                <w:lang w:eastAsia="en-US"/>
              </w:rPr>
              <w:t>1.</w:t>
            </w:r>
          </w:p>
        </w:tc>
        <w:tc>
          <w:tcPr>
            <w:tcW w:w="1017" w:type="pct"/>
            <w:tcBorders>
              <w:top w:val="single" w:sz="4" w:space="0" w:color="auto"/>
              <w:left w:val="single" w:sz="4" w:space="0" w:color="auto"/>
              <w:bottom w:val="single" w:sz="4" w:space="0" w:color="auto"/>
              <w:right w:val="single" w:sz="4" w:space="0" w:color="auto"/>
            </w:tcBorders>
            <w:hideMark/>
          </w:tcPr>
          <w:p w:rsidR="002957E9" w:rsidRPr="00043D88" w:rsidP="00541A46" w14:paraId="04B74F7D" w14:textId="77777777">
            <w:pPr>
              <w:jc w:val="both"/>
              <w:rPr>
                <w:lang w:eastAsia="en-US"/>
              </w:rPr>
            </w:pPr>
            <w:r w:rsidRPr="00043D88">
              <w:rPr>
                <w:lang w:eastAsia="en-US"/>
              </w:rPr>
              <w:t>Pamatojums</w:t>
            </w:r>
          </w:p>
        </w:tc>
        <w:tc>
          <w:tcPr>
            <w:tcW w:w="3829" w:type="pct"/>
            <w:tcBorders>
              <w:top w:val="single" w:sz="4" w:space="0" w:color="auto"/>
              <w:left w:val="single" w:sz="4" w:space="0" w:color="auto"/>
              <w:bottom w:val="single" w:sz="4" w:space="0" w:color="auto"/>
              <w:right w:val="single" w:sz="4" w:space="0" w:color="auto"/>
            </w:tcBorders>
            <w:hideMark/>
          </w:tcPr>
          <w:p w:rsidR="002957E9" w:rsidRPr="00043D88" w:rsidP="00951692" w14:paraId="0771142E" w14:textId="6385612D">
            <w:pPr>
              <w:ind w:firstLine="693"/>
              <w:jc w:val="both"/>
              <w:rPr>
                <w:lang w:eastAsia="en-US"/>
              </w:rPr>
            </w:pPr>
            <w:r w:rsidRPr="00043D88">
              <w:t>2016. gada Deklarācijas par Māra Kučinska vadītā Ministru kabineta iecerēto d</w:t>
            </w:r>
            <w:r w:rsidR="006475DD">
              <w:t>arbību 79. punkts – līdzdarbot</w:t>
            </w:r>
            <w:r w:rsidRPr="00043D88">
              <w:t>ies Ziemeļatlantijas līguma organizācijas (turpmāk – NATO) kolektīvās aizsardzības sistēmas stiprināšanas pasākumos, nodrošinot uzņemošās valsts atbalstu sabiedroto spēku klātbūtnei Latvijas teritorijā, paplašinot sabiedroto spēku uzņemšanai nepieciešamo infrastruktūru un apmācību iespējas, kā arī piedaloties starptautiskajās mācībās, misijās un operācijās.</w:t>
            </w:r>
          </w:p>
        </w:tc>
      </w:tr>
      <w:tr w14:paraId="1EC28954" w14:textId="77777777" w:rsidTr="00D03621">
        <w:tblPrEx>
          <w:tblW w:w="5000" w:type="pct"/>
          <w:tblLayout w:type="fixed"/>
          <w:tblCellMar>
            <w:top w:w="30" w:type="dxa"/>
            <w:left w:w="30" w:type="dxa"/>
            <w:bottom w:w="30" w:type="dxa"/>
            <w:right w:w="30" w:type="dxa"/>
          </w:tblCellMar>
          <w:tblLook w:val="04A0"/>
        </w:tblPrEx>
        <w:tc>
          <w:tcPr>
            <w:tcW w:w="154" w:type="pct"/>
            <w:tcBorders>
              <w:top w:val="single" w:sz="4" w:space="0" w:color="auto"/>
              <w:left w:val="single" w:sz="4" w:space="0" w:color="auto"/>
              <w:bottom w:val="single" w:sz="4" w:space="0" w:color="auto"/>
              <w:right w:val="single" w:sz="4" w:space="0" w:color="auto"/>
            </w:tcBorders>
            <w:hideMark/>
          </w:tcPr>
          <w:p w:rsidR="002957E9" w:rsidRPr="00043D88" w:rsidP="00951692" w14:paraId="1A26296E" w14:textId="77777777">
            <w:pPr>
              <w:jc w:val="center"/>
              <w:rPr>
                <w:lang w:eastAsia="en-US"/>
              </w:rPr>
            </w:pPr>
            <w:r w:rsidRPr="00043D88">
              <w:rPr>
                <w:lang w:eastAsia="en-US"/>
              </w:rPr>
              <w:t>2.</w:t>
            </w:r>
          </w:p>
        </w:tc>
        <w:tc>
          <w:tcPr>
            <w:tcW w:w="1017" w:type="pct"/>
            <w:tcBorders>
              <w:top w:val="single" w:sz="4" w:space="0" w:color="auto"/>
              <w:left w:val="single" w:sz="4" w:space="0" w:color="auto"/>
              <w:bottom w:val="single" w:sz="4" w:space="0" w:color="auto"/>
              <w:right w:val="single" w:sz="4" w:space="0" w:color="auto"/>
            </w:tcBorders>
            <w:hideMark/>
          </w:tcPr>
          <w:p w:rsidR="002957E9" w:rsidRPr="00043D88" w:rsidP="00541A46" w14:paraId="45101722" w14:textId="77777777">
            <w:pPr>
              <w:jc w:val="both"/>
              <w:rPr>
                <w:lang w:eastAsia="en-US"/>
              </w:rPr>
            </w:pPr>
            <w:r w:rsidRPr="00043D88">
              <w:rPr>
                <w:lang w:eastAsia="en-US"/>
              </w:rPr>
              <w:t>Pašreizējā situācija un problēmas, kuru risināšanai tiesību akta projekts izstrādāts, tiesiskā regulējuma mērķis un būtība</w:t>
            </w:r>
          </w:p>
        </w:tc>
        <w:tc>
          <w:tcPr>
            <w:tcW w:w="3829" w:type="pct"/>
            <w:tcBorders>
              <w:top w:val="single" w:sz="4" w:space="0" w:color="auto"/>
              <w:left w:val="single" w:sz="4" w:space="0" w:color="auto"/>
              <w:bottom w:val="single" w:sz="4" w:space="0" w:color="auto"/>
              <w:right w:val="single" w:sz="4" w:space="0" w:color="auto"/>
            </w:tcBorders>
            <w:hideMark/>
          </w:tcPr>
          <w:p w:rsidR="00BD0EBA" w:rsidP="00BD0EBA" w14:paraId="0B9C26E2" w14:textId="7A24AA95">
            <w:pPr>
              <w:ind w:firstLine="537"/>
              <w:jc w:val="both"/>
              <w:rPr>
                <w:u w:val="single"/>
              </w:rPr>
            </w:pPr>
            <w:r w:rsidRPr="004C3EE6">
              <w:t>No</w:t>
            </w:r>
            <w:r w:rsidR="006475DD">
              <w:t xml:space="preserve"> š.g. 1</w:t>
            </w:r>
            <w:r w:rsidRPr="004C3EE6">
              <w:t>. </w:t>
            </w:r>
            <w:r w:rsidR="00F10D4C">
              <w:t xml:space="preserve">septembra </w:t>
            </w:r>
            <w:r w:rsidRPr="004C3EE6">
              <w:t xml:space="preserve">līdz </w:t>
            </w:r>
            <w:r w:rsidR="006475DD">
              <w:t>18</w:t>
            </w:r>
            <w:r w:rsidR="00366F05">
              <w:t>. </w:t>
            </w:r>
            <w:r w:rsidR="006475DD">
              <w:t>septembrim</w:t>
            </w:r>
            <w:r w:rsidRPr="004C3EE6">
              <w:t xml:space="preserve"> </w:t>
            </w:r>
            <w:r>
              <w:t xml:space="preserve">Gruzijā plānotas </w:t>
            </w:r>
            <w:r w:rsidRPr="004A352E" w:rsidR="00943FE7">
              <w:t xml:space="preserve">taktiskā līmeņa miera uzturēšanas un atbalsta operāciju plānošanas un vadīšanas </w:t>
            </w:r>
            <w:r w:rsidRPr="004A352E">
              <w:t xml:space="preserve"> </w:t>
            </w:r>
            <w:r w:rsidRPr="00BD0EBA">
              <w:t>mili</w:t>
            </w:r>
            <w:r>
              <w:t>tārās mācības „AGILE SPIRIT 18</w:t>
            </w:r>
            <w:r w:rsidRPr="00BD0EBA">
              <w:t>”.</w:t>
            </w:r>
            <w:r>
              <w:rPr>
                <w:u w:val="single"/>
              </w:rPr>
              <w:t xml:space="preserve"> </w:t>
            </w:r>
          </w:p>
          <w:p w:rsidR="007A6830" w:rsidRPr="003C1143" w:rsidP="00D03621" w14:paraId="7C651765" w14:textId="199FB43E">
            <w:pPr>
              <w:ind w:firstLine="690"/>
              <w:jc w:val="both"/>
            </w:pPr>
            <w:r>
              <w:t>Daudznacionālajās m</w:t>
            </w:r>
            <w:r w:rsidRPr="00557AC2">
              <w:t>ili</w:t>
            </w:r>
            <w:r>
              <w:t>tārajās mācībās „AGILE SPIRIT</w:t>
            </w:r>
            <w:r>
              <w:t xml:space="preserve"> 18</w:t>
            </w:r>
            <w:r>
              <w:t xml:space="preserve">” plāno </w:t>
            </w:r>
            <w:r w:rsidRPr="00802FC5">
              <w:t>piedalī</w:t>
            </w:r>
            <w:r>
              <w:t>t</w:t>
            </w:r>
            <w:r w:rsidRPr="00802FC5">
              <w:t xml:space="preserve">ies </w:t>
            </w:r>
            <w:r w:rsidRPr="002579D8">
              <w:t xml:space="preserve">NATO un </w:t>
            </w:r>
            <w:r>
              <w:t>“Partnerattiecības – mieram”</w:t>
            </w:r>
            <w:r w:rsidRPr="002579D8">
              <w:t xml:space="preserve"> dalībvalstu militārās vienības no </w:t>
            </w:r>
            <w:r w:rsidRPr="004A352E">
              <w:t>Latvijas</w:t>
            </w:r>
            <w:r w:rsidRPr="004A352E" w:rsidR="004A352E">
              <w:t>,</w:t>
            </w:r>
            <w:r w:rsidRPr="004A352E">
              <w:t xml:space="preserve"> </w:t>
            </w:r>
            <w:r w:rsidRPr="003C1143" w:rsidR="004A352E">
              <w:t>Gruzijas</w:t>
            </w:r>
            <w:r w:rsidRPr="003C1143" w:rsidR="003C1143">
              <w:t xml:space="preserve"> un</w:t>
            </w:r>
            <w:r w:rsidRPr="003C1143" w:rsidR="004A352E">
              <w:rPr>
                <w:bCs/>
              </w:rPr>
              <w:t xml:space="preserve"> Amerikas Savienotajām Valstīm</w:t>
            </w:r>
            <w:r w:rsidRPr="003C1143" w:rsidR="00D03621">
              <w:t xml:space="preserve">, lai </w:t>
            </w:r>
            <w:r w:rsidRPr="003C1143">
              <w:t xml:space="preserve">veicinātu reģionālo stabilitāti un drošību, nostiprinātu partneru kapacitāti un veicinātu uzticību, </w:t>
            </w:r>
            <w:r w:rsidRPr="003C1143" w:rsidR="0019110D">
              <w:t>uzl</w:t>
            </w:r>
            <w:r w:rsidRPr="003C1143">
              <w:t>abo</w:t>
            </w:r>
            <w:r w:rsidRPr="003C1143">
              <w:t>jot</w:t>
            </w:r>
            <w:r w:rsidRPr="003C1143" w:rsidR="00D03621">
              <w:t xml:space="preserve"> sadarbību starp </w:t>
            </w:r>
            <w:r w:rsidRPr="003C1143">
              <w:t>NATO dalībvalstu un “Partnerattiecības – mieram” dalībvalstu bruņotajiem spēkiem</w:t>
            </w:r>
            <w:r w:rsidRPr="003C1143" w:rsidR="00D03621">
              <w:t xml:space="preserve">. </w:t>
            </w:r>
          </w:p>
          <w:p w:rsidR="007A6830" w:rsidRPr="0052391F" w:rsidP="00D03621" w14:paraId="1B85243A" w14:textId="2E7932E3">
            <w:pPr>
              <w:ind w:firstLine="690"/>
              <w:jc w:val="both"/>
            </w:pPr>
            <w:r w:rsidRPr="003C1143">
              <w:t>Latvijas Nacionālie bruņotie spēki</w:t>
            </w:r>
            <w:r w:rsidRPr="003C1143" w:rsidR="00586A29">
              <w:t xml:space="preserve"> plāno piedalīties mācībās </w:t>
            </w:r>
            <w:r w:rsidRPr="003C1143">
              <w:t>„AGILE SPIRIT 18”</w:t>
            </w:r>
            <w:r w:rsidR="009630EA">
              <w:t>, lai</w:t>
            </w:r>
            <w:r w:rsidRPr="003C1143" w:rsidR="00586A29">
              <w:t xml:space="preserve"> pilnveidot</w:t>
            </w:r>
            <w:r w:rsidR="009630EA">
              <w:t>u</w:t>
            </w:r>
            <w:r w:rsidRPr="003C1143" w:rsidR="00586A29">
              <w:t xml:space="preserve"> </w:t>
            </w:r>
            <w:r w:rsidRPr="003C1143" w:rsidR="004A352E">
              <w:t>štāba virsnieku spējas plānot un vadīt plaša spektra miera uzturēšanas un atbalsta operācijas daudznacionālā vidē.</w:t>
            </w:r>
          </w:p>
          <w:p w:rsidR="009400EF" w:rsidRPr="007E02D0" w:rsidP="009400EF" w14:paraId="41908888" w14:textId="77777777">
            <w:pPr>
              <w:ind w:firstLine="537"/>
              <w:jc w:val="both"/>
              <w:rPr>
                <w:color w:val="000000"/>
              </w:rPr>
            </w:pPr>
            <w:r w:rsidRPr="007E02D0">
              <w:rPr>
                <w:color w:val="000000"/>
              </w:rPr>
              <w:t>Gruzija nav Ziemeļatlantijas līguma organizācijas dalībvalsts, bet piedalās programmā „Partnerattiecības – mieram”.</w:t>
            </w:r>
          </w:p>
          <w:p w:rsidR="002957E9" w:rsidRPr="00043D88" w:rsidP="009400EF" w14:paraId="2F4C576C" w14:textId="4E05FA0B">
            <w:pPr>
              <w:ind w:firstLine="690"/>
              <w:jc w:val="both"/>
              <w:rPr>
                <w:lang w:eastAsia="en-US"/>
              </w:rPr>
            </w:pPr>
            <w:r w:rsidRPr="007E02D0">
              <w:rPr>
                <w:color w:val="000000"/>
              </w:rPr>
              <w:t>Saskaņā ar likuma “Latvijas Nacionālo bruņoto spēku piedalīšanās starptautiskajās operācijās” 9.</w:t>
            </w:r>
            <w:r w:rsidR="006475DD">
              <w:rPr>
                <w:color w:val="000000"/>
              </w:rPr>
              <w:t> </w:t>
            </w:r>
            <w:r w:rsidRPr="007E02D0">
              <w:rPr>
                <w:color w:val="000000"/>
              </w:rPr>
              <w:t>panta trešo daļu lēmumu par Latvijas Nacionālo bruņoto spēku vienību un ārvalstu bruņoto spēku piedalīšanos kopējās militārajās mācībās ārvalstīs, kuras nav Ziemeļatlantijas līguma organizācijas vai Eiropas Savienības dalībvalstis, pieņem Ministru kabinets.</w:t>
            </w:r>
          </w:p>
        </w:tc>
      </w:tr>
      <w:tr w14:paraId="22D3907B" w14:textId="77777777" w:rsidTr="00541A46">
        <w:tblPrEx>
          <w:tblW w:w="5000" w:type="pct"/>
          <w:tblLayout w:type="fixed"/>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043D88" w:rsidP="00951692" w14:paraId="281B0CBF" w14:textId="77777777">
            <w:pPr>
              <w:jc w:val="center"/>
              <w:rPr>
                <w:lang w:eastAsia="en-US"/>
              </w:rPr>
            </w:pPr>
            <w:r w:rsidRPr="00043D88">
              <w:rPr>
                <w:lang w:eastAsia="en-US"/>
              </w:rPr>
              <w:t>3.</w:t>
            </w:r>
          </w:p>
        </w:tc>
        <w:tc>
          <w:tcPr>
            <w:tcW w:w="1017" w:type="pct"/>
            <w:tcBorders>
              <w:top w:val="single" w:sz="4" w:space="0" w:color="auto"/>
              <w:left w:val="single" w:sz="4" w:space="0" w:color="auto"/>
              <w:bottom w:val="single" w:sz="4" w:space="0" w:color="auto"/>
              <w:right w:val="single" w:sz="4" w:space="0" w:color="auto"/>
            </w:tcBorders>
            <w:hideMark/>
          </w:tcPr>
          <w:p w:rsidR="002957E9" w:rsidRPr="00043D88" w:rsidP="00951692" w14:paraId="30C4BBD4" w14:textId="77777777">
            <w:pPr>
              <w:rPr>
                <w:lang w:eastAsia="en-US"/>
              </w:rPr>
            </w:pPr>
            <w:r w:rsidRPr="00043D88">
              <w:rPr>
                <w:lang w:eastAsia="en-US"/>
              </w:rPr>
              <w:t>Projekta izstrādē iesaistītās institūcijas un publiskas personas kapitālsabiedrības</w:t>
            </w:r>
          </w:p>
        </w:tc>
        <w:tc>
          <w:tcPr>
            <w:tcW w:w="3829" w:type="pct"/>
            <w:tcBorders>
              <w:top w:val="single" w:sz="4" w:space="0" w:color="auto"/>
              <w:left w:val="single" w:sz="4" w:space="0" w:color="auto"/>
              <w:bottom w:val="single" w:sz="4" w:space="0" w:color="auto"/>
              <w:right w:val="single" w:sz="4" w:space="0" w:color="auto"/>
            </w:tcBorders>
            <w:hideMark/>
          </w:tcPr>
          <w:p w:rsidR="002957E9" w:rsidRPr="00043D88" w:rsidP="00951692" w14:paraId="06666F96" w14:textId="77777777">
            <w:pPr>
              <w:ind w:firstLine="690"/>
              <w:jc w:val="both"/>
              <w:rPr>
                <w:lang w:eastAsia="en-US"/>
              </w:rPr>
            </w:pPr>
            <w:r w:rsidRPr="00043D88">
              <w:t xml:space="preserve">Ministru kabineta rīkojuma projektu ir izstrādājusi Aizsardzības </w:t>
            </w:r>
            <w:r w:rsidRPr="00043D88">
              <w:rPr>
                <w:color w:val="000000"/>
              </w:rPr>
              <w:t>ministrija</w:t>
            </w:r>
            <w:r w:rsidRPr="00043D88">
              <w:t>, sadarbojoties ar Nacionālajiem bruņotajiem spēkiem.</w:t>
            </w:r>
          </w:p>
        </w:tc>
      </w:tr>
      <w:tr w14:paraId="1920943C" w14:textId="77777777" w:rsidTr="00541A46">
        <w:tblPrEx>
          <w:tblW w:w="5000" w:type="pct"/>
          <w:tblLayout w:type="fixed"/>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043D88" w:rsidP="00951692" w14:paraId="295A80FF" w14:textId="77777777">
            <w:pPr>
              <w:jc w:val="center"/>
              <w:rPr>
                <w:lang w:eastAsia="en-US"/>
              </w:rPr>
            </w:pPr>
            <w:r w:rsidRPr="00043D88">
              <w:rPr>
                <w:lang w:eastAsia="en-US"/>
              </w:rPr>
              <w:t>4.</w:t>
            </w:r>
          </w:p>
        </w:tc>
        <w:tc>
          <w:tcPr>
            <w:tcW w:w="1017" w:type="pct"/>
            <w:tcBorders>
              <w:top w:val="single" w:sz="4" w:space="0" w:color="auto"/>
              <w:left w:val="single" w:sz="4" w:space="0" w:color="auto"/>
              <w:bottom w:val="single" w:sz="4" w:space="0" w:color="auto"/>
              <w:right w:val="single" w:sz="4" w:space="0" w:color="auto"/>
            </w:tcBorders>
            <w:hideMark/>
          </w:tcPr>
          <w:p w:rsidR="002957E9" w:rsidRPr="00043D88" w:rsidP="00951692" w14:paraId="101386F7" w14:textId="77777777">
            <w:pPr>
              <w:rPr>
                <w:lang w:eastAsia="en-US"/>
              </w:rPr>
            </w:pPr>
            <w:r w:rsidRPr="00043D88">
              <w:rPr>
                <w:lang w:eastAsia="en-US"/>
              </w:rPr>
              <w:t>Cita informācija</w:t>
            </w:r>
          </w:p>
        </w:tc>
        <w:tc>
          <w:tcPr>
            <w:tcW w:w="3829" w:type="pct"/>
            <w:tcBorders>
              <w:top w:val="single" w:sz="4" w:space="0" w:color="auto"/>
              <w:left w:val="single" w:sz="4" w:space="0" w:color="auto"/>
              <w:bottom w:val="single" w:sz="4" w:space="0" w:color="auto"/>
              <w:right w:val="single" w:sz="4" w:space="0" w:color="auto"/>
            </w:tcBorders>
            <w:hideMark/>
          </w:tcPr>
          <w:p w:rsidR="00B7773B" w:rsidRPr="00043D88" w:rsidP="00951692" w14:paraId="582D5A6A" w14:textId="2F272F8C">
            <w:pPr>
              <w:ind w:firstLine="693"/>
              <w:jc w:val="both"/>
            </w:pPr>
            <w:r w:rsidRPr="00043D88">
              <w:t>Ministru kabineta rī</w:t>
            </w:r>
            <w:r w:rsidR="00366F05">
              <w:t>kojuma projekts attiecas uz 16. </w:t>
            </w:r>
            <w:r w:rsidRPr="00043D88">
              <w:t>politikas jomu – valsts aizsardzības politiku.</w:t>
            </w:r>
          </w:p>
          <w:p w:rsidR="002957E9" w:rsidRPr="00043D88" w:rsidP="00951692" w14:paraId="5EF2868C" w14:textId="6AC2D42B">
            <w:pPr>
              <w:ind w:firstLine="693"/>
              <w:jc w:val="both"/>
              <w:rPr>
                <w:lang w:eastAsia="en-US"/>
              </w:rPr>
            </w:pPr>
            <w:r w:rsidRPr="00043D88">
              <w:t>Ministru kabineta rīkojuma projekta izpildi 2018. gadā Aizsardzības ministrija nodrošinās atbilstoši piešķirtajiem valsts budžeta līdzekļiem</w:t>
            </w:r>
            <w:r w:rsidR="00366F05">
              <w:t xml:space="preserve"> no budžeta programmas 22.00.00 </w:t>
            </w:r>
            <w:r w:rsidRPr="00043D88">
              <w:t xml:space="preserve">„Nacionālie bruņotie </w:t>
            </w:r>
            <w:r w:rsidR="00366F05">
              <w:t>spēki” apakšprogrammas 22.12.00 </w:t>
            </w:r>
            <w:r w:rsidRPr="00043D88">
              <w:t>„Nacionālo bruņoto spēku uzturēšana”.</w:t>
            </w:r>
          </w:p>
        </w:tc>
      </w:tr>
    </w:tbl>
    <w:p w:rsidR="002957E9" w:rsidRPr="00043D88" w:rsidP="00951692" w14:paraId="11E38071" w14:textId="7777777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5B35F08B" w14:textId="77777777" w:rsidTr="002957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rsidR="002957E9" w:rsidRPr="00043D88" w:rsidP="00951692" w14:paraId="5FC31CD5" w14:textId="77777777">
            <w:pPr>
              <w:jc w:val="center"/>
              <w:rPr>
                <w:b/>
                <w:bCs/>
                <w:lang w:eastAsia="en-US"/>
              </w:rPr>
            </w:pPr>
            <w:r w:rsidRPr="00043D88">
              <w:rPr>
                <w:b/>
                <w:bCs/>
                <w:lang w:eastAsia="en-US"/>
              </w:rPr>
              <w:t>II. Tiesību akta projekta ietekme uz sabiedrību, tautsaimniecības attīstību un administratīvo slogu</w:t>
            </w:r>
          </w:p>
        </w:tc>
      </w:tr>
      <w:tr w14:paraId="769390D3" w14:textId="77777777" w:rsidTr="002957E9">
        <w:tblPrEx>
          <w:tblW w:w="5000" w:type="pct"/>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hideMark/>
          </w:tcPr>
          <w:p w:rsidR="002957E9" w:rsidRPr="00043D88" w:rsidP="00951692" w14:paraId="3F59E42E" w14:textId="7AA1F040">
            <w:pPr>
              <w:pStyle w:val="Default"/>
              <w:jc w:val="center"/>
              <w:rPr>
                <w:color w:val="auto"/>
              </w:rPr>
            </w:pPr>
            <w:r w:rsidRPr="00043D88">
              <w:rPr>
                <w:color w:val="auto"/>
              </w:rPr>
              <w:t>Projekts šo jomu neskar</w:t>
            </w:r>
            <w:r w:rsidR="009630EA">
              <w:rPr>
                <w:color w:val="auto"/>
              </w:rPr>
              <w:t>.</w:t>
            </w:r>
          </w:p>
        </w:tc>
      </w:tr>
    </w:tbl>
    <w:p w:rsidR="002957E9" w:rsidRPr="00043D88" w:rsidP="00951692" w14:paraId="1627DFDF" w14:textId="77777777">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9061"/>
      </w:tblGrid>
      <w:tr w14:paraId="0BEBEB91" w14:textId="77777777" w:rsidTr="002957E9">
        <w:tblPrEx>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rsidR="002957E9" w:rsidRPr="00043D88" w:rsidP="00951692" w14:paraId="12C4332C" w14:textId="77777777">
            <w:pPr>
              <w:jc w:val="center"/>
              <w:rPr>
                <w:b/>
                <w:bCs/>
                <w:lang w:eastAsia="en-US"/>
              </w:rPr>
            </w:pPr>
            <w:r w:rsidRPr="00043D88">
              <w:rPr>
                <w:b/>
                <w:bCs/>
                <w:lang w:eastAsia="en-US"/>
              </w:rPr>
              <w:t>III. Tiesību akta projekta ietekme uz valsts budžetu un pašvaldību budžetiem</w:t>
            </w:r>
          </w:p>
        </w:tc>
      </w:tr>
      <w:tr w14:paraId="6E8C7AE4" w14:textId="77777777" w:rsidTr="006F240B">
        <w:tblPrEx>
          <w:tblW w:w="5000" w:type="pct"/>
          <w:tblInd w:w="-2" w:type="dxa"/>
          <w:tblLayout w:type="fixed"/>
          <w:tblCellMar>
            <w:top w:w="28" w:type="dxa"/>
            <w:left w:w="28" w:type="dxa"/>
            <w:bottom w:w="28" w:type="dxa"/>
            <w:right w:w="28" w:type="dxa"/>
          </w:tblCellMar>
          <w:tblLook w:val="04A0"/>
        </w:tblPrEx>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rsidR="002957E9" w:rsidRPr="00043D88" w:rsidP="00951692" w14:paraId="74B8BF36" w14:textId="0C78FB15">
            <w:pPr>
              <w:pStyle w:val="Default"/>
              <w:jc w:val="center"/>
              <w:rPr>
                <w:lang w:eastAsia="en-US"/>
              </w:rPr>
            </w:pPr>
            <w:r w:rsidRPr="00043D88">
              <w:rPr>
                <w:color w:val="auto"/>
              </w:rPr>
              <w:t>Projekts šo jomu neskar</w:t>
            </w:r>
            <w:r w:rsidR="009630EA">
              <w:rPr>
                <w:color w:val="auto"/>
              </w:rPr>
              <w:t>.</w:t>
            </w:r>
          </w:p>
        </w:tc>
      </w:tr>
      <w:tr w14:paraId="03C26FBA" w14:textId="77777777" w:rsidTr="002957E9">
        <w:tblPrEx>
          <w:tblW w:w="5000" w:type="pct"/>
          <w:tblInd w:w="-2" w:type="dxa"/>
          <w:tblLayout w:type="fixed"/>
          <w:tblCellMar>
            <w:top w:w="28" w:type="dxa"/>
            <w:left w:w="28" w:type="dxa"/>
            <w:bottom w:w="28" w:type="dxa"/>
            <w:right w:w="28" w:type="dxa"/>
          </w:tblCellMar>
          <w:tblLook w:val="04A0"/>
        </w:tblPrEx>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2957E9" w:rsidRPr="00043D88" w:rsidP="00951692" w14:paraId="1E537BD5" w14:textId="77777777">
            <w:pPr>
              <w:jc w:val="center"/>
              <w:rPr>
                <w:b/>
                <w:bCs/>
                <w:lang w:eastAsia="en-US"/>
              </w:rPr>
            </w:pPr>
            <w:r w:rsidRPr="00043D88">
              <w:rPr>
                <w:b/>
                <w:bCs/>
                <w:lang w:eastAsia="en-US"/>
              </w:rPr>
              <w:t>IV. Tiesību akta projekta ietekme uz spēkā esošo tiesību normu sistēmu</w:t>
            </w:r>
          </w:p>
        </w:tc>
      </w:tr>
      <w:tr w14:paraId="4E965367" w14:textId="77777777" w:rsidTr="00917CDF">
        <w:tblPrEx>
          <w:tblW w:w="5000" w:type="pct"/>
          <w:tblInd w:w="-2" w:type="dxa"/>
          <w:tblLayout w:type="fixed"/>
          <w:tblCellMar>
            <w:top w:w="28" w:type="dxa"/>
            <w:left w:w="28" w:type="dxa"/>
            <w:bottom w:w="28" w:type="dxa"/>
            <w:right w:w="28" w:type="dxa"/>
          </w:tblCellMar>
          <w:tblLook w:val="04A0"/>
        </w:tblPrEx>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786682" w:rsidRPr="00043D88" w:rsidP="00951692" w14:paraId="5544E1C6" w14:textId="748142C4">
            <w:pPr>
              <w:pStyle w:val="Default"/>
              <w:jc w:val="center"/>
              <w:rPr>
                <w:color w:val="auto"/>
              </w:rPr>
            </w:pPr>
            <w:r w:rsidRPr="00043D88">
              <w:rPr>
                <w:color w:val="auto"/>
              </w:rPr>
              <w:t>Projekts šo jomu neskar</w:t>
            </w:r>
            <w:r w:rsidR="009630EA">
              <w:rPr>
                <w:color w:val="auto"/>
              </w:rPr>
              <w:t>.</w:t>
            </w:r>
          </w:p>
        </w:tc>
      </w:tr>
    </w:tbl>
    <w:p w:rsidR="002957E9" w:rsidRPr="00043D88" w:rsidP="00951692" w14:paraId="780A7486" w14:textId="7777777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63D2FE89" w14:textId="77777777" w:rsidTr="002957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rsidR="002957E9" w:rsidRPr="00043D88" w:rsidP="00951692" w14:paraId="44253E47" w14:textId="77777777">
            <w:pPr>
              <w:jc w:val="center"/>
              <w:rPr>
                <w:b/>
                <w:bCs/>
                <w:lang w:eastAsia="en-US"/>
              </w:rPr>
            </w:pPr>
            <w:r w:rsidRPr="00043D88">
              <w:rPr>
                <w:b/>
                <w:bCs/>
                <w:lang w:eastAsia="en-US"/>
              </w:rPr>
              <w:t>V. Tiesību akta projekta atbilstība Latvijas Republikas starptautiskajām saistībām</w:t>
            </w:r>
          </w:p>
        </w:tc>
      </w:tr>
      <w:tr w14:paraId="155AE082" w14:textId="77777777" w:rsidTr="00786682">
        <w:tblPrEx>
          <w:tblW w:w="5000" w:type="pct"/>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tcPr>
          <w:p w:rsidR="00786682" w:rsidRPr="00043D88" w:rsidP="00951692" w14:paraId="307BB852" w14:textId="280BB212">
            <w:pPr>
              <w:pStyle w:val="Default"/>
              <w:jc w:val="center"/>
              <w:rPr>
                <w:color w:val="auto"/>
              </w:rPr>
            </w:pPr>
            <w:r w:rsidRPr="00043D88">
              <w:rPr>
                <w:color w:val="auto"/>
              </w:rPr>
              <w:t>Projekts šo jomu neskar</w:t>
            </w:r>
            <w:r w:rsidR="009630EA">
              <w:rPr>
                <w:color w:val="auto"/>
              </w:rPr>
              <w:t>.</w:t>
            </w:r>
          </w:p>
        </w:tc>
      </w:tr>
    </w:tbl>
    <w:p w:rsidR="002957E9" w:rsidRPr="00043D88" w:rsidP="00951692" w14:paraId="5A638FFA" w14:textId="7777777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9061"/>
      </w:tblGrid>
      <w:tr w14:paraId="1D538458" w14:textId="77777777" w:rsidTr="002957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rsidR="002957E9" w:rsidRPr="00043D88" w:rsidP="00951692" w14:paraId="38973EDD" w14:textId="77777777">
            <w:pPr>
              <w:jc w:val="center"/>
              <w:rPr>
                <w:b/>
                <w:bCs/>
                <w:lang w:eastAsia="en-US"/>
              </w:rPr>
            </w:pPr>
            <w:r w:rsidRPr="00043D88">
              <w:rPr>
                <w:b/>
                <w:bCs/>
                <w:lang w:eastAsia="en-US"/>
              </w:rPr>
              <w:t>VI. Sabiedrības līdzdalība un komunikācijas aktivitātes</w:t>
            </w:r>
          </w:p>
        </w:tc>
      </w:tr>
      <w:tr w14:paraId="7B3488EC" w14:textId="77777777" w:rsidTr="00786682">
        <w:tblPrEx>
          <w:tblW w:w="5000" w:type="pct"/>
          <w:tblCellMar>
            <w:top w:w="30" w:type="dxa"/>
            <w:left w:w="30" w:type="dxa"/>
            <w:bottom w:w="30" w:type="dxa"/>
            <w:right w:w="30" w:type="dxa"/>
          </w:tblCellMar>
          <w:tblLook w:val="04A0"/>
        </w:tblPrEx>
        <w:trPr>
          <w:cantSplit/>
        </w:trPr>
        <w:tc>
          <w:tcPr>
            <w:tcW w:w="5000" w:type="pct"/>
            <w:tcBorders>
              <w:top w:val="single" w:sz="4" w:space="0" w:color="auto"/>
              <w:left w:val="single" w:sz="4" w:space="0" w:color="auto"/>
              <w:bottom w:val="single" w:sz="4" w:space="0" w:color="auto"/>
              <w:right w:val="single" w:sz="4" w:space="0" w:color="auto"/>
            </w:tcBorders>
            <w:hideMark/>
          </w:tcPr>
          <w:p w:rsidR="00786682" w:rsidRPr="00043D88" w:rsidP="00951692" w14:paraId="2808F891" w14:textId="2F4ADC88">
            <w:pPr>
              <w:jc w:val="center"/>
              <w:rPr>
                <w:lang w:eastAsia="en-US"/>
              </w:rPr>
            </w:pPr>
            <w:r w:rsidRPr="00043D88">
              <w:t>Projekts šo jomu neskar</w:t>
            </w:r>
            <w:r w:rsidR="009630EA">
              <w:t>.</w:t>
            </w:r>
          </w:p>
        </w:tc>
      </w:tr>
    </w:tbl>
    <w:p w:rsidR="002957E9" w:rsidRPr="00043D88" w:rsidP="00951692" w14:paraId="2975B30E" w14:textId="77777777">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79"/>
        <w:gridCol w:w="2965"/>
        <w:gridCol w:w="5817"/>
      </w:tblGrid>
      <w:tr w14:paraId="2731C9BD" w14:textId="77777777" w:rsidTr="002957E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2957E9" w:rsidRPr="00043D88" w:rsidP="00951692" w14:paraId="2362FA87" w14:textId="77777777">
            <w:pPr>
              <w:jc w:val="center"/>
              <w:rPr>
                <w:b/>
                <w:bCs/>
                <w:lang w:eastAsia="en-US"/>
              </w:rPr>
            </w:pPr>
            <w:r w:rsidRPr="00043D88">
              <w:rPr>
                <w:b/>
                <w:bCs/>
                <w:lang w:eastAsia="en-US"/>
              </w:rPr>
              <w:t>VII. Tiesību akta projekta izpildes nodrošināšana un tās ietekme uz institūcijām</w:t>
            </w:r>
          </w:p>
        </w:tc>
      </w:tr>
      <w:tr w14:paraId="1ECF78AB" w14:textId="77777777" w:rsidTr="00541A46">
        <w:tblPrEx>
          <w:tblW w:w="5000" w:type="pct"/>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043D88" w:rsidP="00951692" w14:paraId="3C151015" w14:textId="77777777">
            <w:pPr>
              <w:jc w:val="center"/>
              <w:rPr>
                <w:lang w:eastAsia="en-US"/>
              </w:rPr>
            </w:pPr>
            <w:r w:rsidRPr="00043D88">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rsidR="002957E9" w:rsidRPr="00043D88" w:rsidP="00951692" w14:paraId="0F16C6DB" w14:textId="77777777">
            <w:pPr>
              <w:rPr>
                <w:lang w:eastAsia="en-US"/>
              </w:rPr>
            </w:pPr>
            <w:r w:rsidRPr="00043D88">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rsidR="002957E9" w:rsidRPr="00043D88" w:rsidP="00951692" w14:paraId="77D76F23" w14:textId="77777777">
            <w:pPr>
              <w:rPr>
                <w:lang w:eastAsia="en-US"/>
              </w:rPr>
            </w:pPr>
            <w:r w:rsidRPr="00043D88">
              <w:t>Aizsardzības ministrija un Nacionālie bruņotie spēki.</w:t>
            </w:r>
          </w:p>
        </w:tc>
      </w:tr>
      <w:tr w14:paraId="533D199B" w14:textId="77777777" w:rsidTr="00541A46">
        <w:tblPrEx>
          <w:tblW w:w="5000" w:type="pct"/>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043D88" w:rsidP="00951692" w14:paraId="185501C7" w14:textId="77777777">
            <w:pPr>
              <w:jc w:val="center"/>
              <w:rPr>
                <w:lang w:eastAsia="en-US"/>
              </w:rPr>
            </w:pPr>
            <w:r w:rsidRPr="00043D88">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rsidR="002957E9" w:rsidRPr="00043D88" w:rsidP="00951692" w14:paraId="1031F7FA" w14:textId="77777777">
            <w:pPr>
              <w:rPr>
                <w:lang w:eastAsia="en-US"/>
              </w:rPr>
            </w:pPr>
            <w:r w:rsidRPr="00043D88">
              <w:rPr>
                <w:lang w:eastAsia="en-US"/>
              </w:rPr>
              <w:t>Projekta izpildes ietekme uz pārvaldes funkcijām un institucionālo struktūru.</w:t>
            </w:r>
            <w:r w:rsidRPr="00043D88">
              <w:rPr>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rsidR="002957E9" w:rsidRPr="00043D88" w:rsidP="00951692" w14:paraId="6802ECA3" w14:textId="77777777">
            <w:pPr>
              <w:rPr>
                <w:lang w:eastAsia="en-US"/>
              </w:rPr>
            </w:pPr>
            <w:r w:rsidRPr="00043D88">
              <w:t>Projekta izpilde notiks esošo pārvaldes funkciju ietvaros.</w:t>
            </w:r>
          </w:p>
        </w:tc>
      </w:tr>
      <w:tr w14:paraId="253BA946" w14:textId="77777777" w:rsidTr="00541A46">
        <w:tblPrEx>
          <w:tblW w:w="5000" w:type="pct"/>
          <w:tblCellMar>
            <w:top w:w="30" w:type="dxa"/>
            <w:left w:w="30" w:type="dxa"/>
            <w:bottom w:w="30" w:type="dxa"/>
            <w:right w:w="30" w:type="dxa"/>
          </w:tblCellMar>
          <w:tblLook w:val="04A0"/>
        </w:tblPrEx>
        <w:trPr>
          <w:cantSplit/>
        </w:trPr>
        <w:tc>
          <w:tcPr>
            <w:tcW w:w="154" w:type="pct"/>
            <w:tcBorders>
              <w:top w:val="single" w:sz="4" w:space="0" w:color="auto"/>
              <w:left w:val="single" w:sz="4" w:space="0" w:color="auto"/>
              <w:bottom w:val="single" w:sz="4" w:space="0" w:color="auto"/>
              <w:right w:val="single" w:sz="4" w:space="0" w:color="auto"/>
            </w:tcBorders>
            <w:hideMark/>
          </w:tcPr>
          <w:p w:rsidR="002957E9" w:rsidRPr="00043D88" w:rsidP="00951692" w14:paraId="6A0C3AD4" w14:textId="77777777">
            <w:pPr>
              <w:jc w:val="center"/>
              <w:rPr>
                <w:lang w:eastAsia="en-US"/>
              </w:rPr>
            </w:pPr>
            <w:r w:rsidRPr="00043D88">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rsidR="002957E9" w:rsidRPr="00043D88" w:rsidP="00951692" w14:paraId="7239C9F4" w14:textId="77777777">
            <w:pPr>
              <w:rPr>
                <w:lang w:eastAsia="en-US"/>
              </w:rPr>
            </w:pPr>
            <w:r w:rsidRPr="00043D88">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2957E9" w:rsidRPr="00043D88" w:rsidP="00951692" w14:paraId="2E0587E8" w14:textId="6E0F81EF">
            <w:pPr>
              <w:rPr>
                <w:lang w:eastAsia="en-US"/>
              </w:rPr>
            </w:pPr>
            <w:r w:rsidRPr="00043D88">
              <w:t>Nav</w:t>
            </w:r>
            <w:r w:rsidR="00185192">
              <w:t>.</w:t>
            </w:r>
            <w:bookmarkStart w:id="0" w:name="_GoBack"/>
            <w:bookmarkEnd w:id="0"/>
          </w:p>
        </w:tc>
      </w:tr>
    </w:tbl>
    <w:p w:rsidR="002957E9" w:rsidRPr="00043D88" w:rsidP="00951692" w14:paraId="7CD99BAC" w14:textId="77777777"/>
    <w:p w:rsidR="0046182A" w:rsidRPr="00043D88" w:rsidP="00951692" w14:paraId="43360CFF" w14:textId="77777777"/>
    <w:p w:rsidR="00886717" w:rsidRPr="00417E9C" w:rsidP="00886717" w14:paraId="14546048" w14:textId="77777777">
      <w:pPr>
        <w:jc w:val="both"/>
      </w:pPr>
      <w:r w:rsidRPr="00417E9C">
        <w:t xml:space="preserve">Aizsardzības ministra </w:t>
      </w:r>
      <w:r>
        <w:t>p.i</w:t>
      </w:r>
      <w:r>
        <w:t>.</w:t>
      </w:r>
      <w:r w:rsidRPr="00417E9C">
        <w:t xml:space="preserve"> -</w:t>
      </w:r>
      <w:r>
        <w:t xml:space="preserve"> </w:t>
      </w:r>
    </w:p>
    <w:p w:rsidR="00886717" w:rsidRPr="00417E9C" w:rsidP="00886717" w14:paraId="03FE5EAF" w14:textId="77777777">
      <w:pPr>
        <w:jc w:val="both"/>
      </w:pPr>
      <w:r w:rsidRPr="00417E9C">
        <w:t xml:space="preserve">iekšlietu ministrs </w:t>
      </w:r>
      <w:r>
        <w:t xml:space="preserve">                                                                                                 R. </w:t>
      </w:r>
      <w:r w:rsidRPr="00417E9C">
        <w:t>Kozlovskis</w:t>
      </w:r>
    </w:p>
    <w:p w:rsidR="001525AD" w:rsidP="00951692" w14:paraId="2FB9689E" w14:textId="79544A91">
      <w:pPr>
        <w:tabs>
          <w:tab w:val="left" w:pos="3675"/>
        </w:tabs>
        <w:ind w:right="71"/>
        <w:rPr>
          <w:sz w:val="26"/>
          <w:szCs w:val="26"/>
        </w:rPr>
      </w:pPr>
    </w:p>
    <w:p w:rsidR="00043D88" w:rsidP="00951692" w14:paraId="31BDA413" w14:textId="18035BB2">
      <w:pPr>
        <w:tabs>
          <w:tab w:val="left" w:pos="3675"/>
        </w:tabs>
        <w:ind w:right="71"/>
        <w:rPr>
          <w:sz w:val="26"/>
          <w:szCs w:val="26"/>
        </w:rPr>
      </w:pPr>
    </w:p>
    <w:p w:rsidR="00043D88" w:rsidP="00951692" w14:paraId="53E17BF4" w14:textId="1D74FA56">
      <w:pPr>
        <w:tabs>
          <w:tab w:val="left" w:pos="3675"/>
        </w:tabs>
        <w:ind w:right="71"/>
        <w:rPr>
          <w:sz w:val="26"/>
          <w:szCs w:val="26"/>
        </w:rPr>
      </w:pPr>
    </w:p>
    <w:p w:rsidR="00043D88" w:rsidP="00951692" w14:paraId="2BB47D2D" w14:textId="6A6560CE">
      <w:pPr>
        <w:tabs>
          <w:tab w:val="left" w:pos="3675"/>
        </w:tabs>
        <w:ind w:right="71"/>
        <w:rPr>
          <w:sz w:val="26"/>
          <w:szCs w:val="26"/>
        </w:rPr>
      </w:pPr>
    </w:p>
    <w:p w:rsidR="00043D88" w:rsidP="00951692" w14:paraId="1C47E9C4" w14:textId="3AF8756B">
      <w:pPr>
        <w:tabs>
          <w:tab w:val="left" w:pos="3675"/>
        </w:tabs>
        <w:ind w:right="71"/>
        <w:rPr>
          <w:sz w:val="26"/>
          <w:szCs w:val="26"/>
        </w:rPr>
      </w:pPr>
    </w:p>
    <w:p w:rsidR="00F579DC" w:rsidRPr="006475DD" w:rsidP="00951692" w14:paraId="76EF3A68" w14:textId="6D58A049">
      <w:pPr>
        <w:jc w:val="both"/>
        <w:rPr>
          <w:sz w:val="20"/>
          <w:szCs w:val="20"/>
        </w:rPr>
      </w:pPr>
      <w:r>
        <w:rPr>
          <w:sz w:val="20"/>
          <w:szCs w:val="20"/>
        </w:rPr>
        <w:t xml:space="preserve">A. </w:t>
      </w:r>
      <w:r w:rsidRPr="006475DD">
        <w:rPr>
          <w:sz w:val="20"/>
          <w:szCs w:val="20"/>
        </w:rPr>
        <w:t>Ņikitina</w:t>
      </w:r>
      <w:r>
        <w:rPr>
          <w:sz w:val="20"/>
          <w:szCs w:val="20"/>
        </w:rPr>
        <w:t>,</w:t>
      </w:r>
      <w:r w:rsidRPr="006475DD">
        <w:rPr>
          <w:sz w:val="20"/>
          <w:szCs w:val="20"/>
        </w:rPr>
        <w:t xml:space="preserve"> 67335249</w:t>
      </w:r>
    </w:p>
    <w:p w:rsidR="009E31A2" w:rsidRPr="00E44307" w:rsidP="00951692" w14:paraId="52A08CC9" w14:textId="77777777">
      <w:pPr>
        <w:tabs>
          <w:tab w:val="left" w:pos="7797"/>
        </w:tabs>
        <w:jc w:val="both"/>
        <w:rPr>
          <w:sz w:val="18"/>
          <w:szCs w:val="18"/>
        </w:rPr>
      </w:pPr>
      <w:r>
        <w:fldChar w:fldCharType="begin"/>
      </w:r>
      <w:r>
        <w:instrText xml:space="preserve"> HYPERLINK "mailto:anzelika.nikitina@mod.gov.lv" </w:instrText>
      </w:r>
      <w:r>
        <w:fldChar w:fldCharType="separate"/>
      </w:r>
      <w:r w:rsidRPr="006475DD" w:rsidR="00F579DC">
        <w:rPr>
          <w:rStyle w:val="Hyperlink"/>
          <w:color w:val="auto"/>
          <w:sz w:val="20"/>
          <w:szCs w:val="20"/>
          <w:u w:val="none"/>
        </w:rPr>
        <w:t>anzelika.nikitina@mod.gov.lv</w:t>
      </w:r>
      <w:r>
        <w:fldChar w:fldCharType="end"/>
      </w:r>
    </w:p>
    <w:sectPr w:rsidSect="00C40A51">
      <w:headerReference w:type="even" r:id="rId5"/>
      <w:headerReference w:type="default" r:id="rId6"/>
      <w:footerReference w:type="default" r:id="rId7"/>
      <w:footerReference w:type="first" r:id="rId8"/>
      <w:pgSz w:w="11906" w:h="16838"/>
      <w:pgMar w:top="1258" w:right="1134" w:bottom="1134" w:left="1701" w:header="709" w:footer="32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3656" w:rsidRPr="00A33656" w:rsidP="00B36A3D" w14:paraId="1DD8443D" w14:textId="5127E0BF">
    <w:pPr>
      <w:jc w:val="both"/>
      <w:rPr>
        <w:sz w:val="20"/>
        <w:szCs w:val="20"/>
      </w:rPr>
    </w:pPr>
    <w:r w:rsidRPr="00F121F1">
      <w:rPr>
        <w:sz w:val="20"/>
        <w:szCs w:val="20"/>
        <w:lang w:val="de-DE"/>
      </w:rPr>
      <w:t>A</w:t>
    </w:r>
    <w:r w:rsidR="00886717">
      <w:rPr>
        <w:sz w:val="20"/>
        <w:szCs w:val="20"/>
        <w:lang w:val="de-DE"/>
      </w:rPr>
      <w:t>IMAnot_1707</w:t>
    </w:r>
    <w:r w:rsidR="00190353">
      <w:rPr>
        <w:sz w:val="20"/>
        <w:szCs w:val="20"/>
        <w:lang w:val="de-DE"/>
      </w:rPr>
      <w:t>18</w:t>
    </w:r>
    <w:r w:rsidRPr="00F121F1">
      <w:rPr>
        <w:sz w:val="20"/>
        <w:szCs w:val="20"/>
        <w:lang w:val="de-DE"/>
      </w:rPr>
      <w:t>_</w:t>
    </w:r>
    <w:r w:rsidR="00043D88">
      <w:rPr>
        <w:sz w:val="20"/>
        <w:szCs w:val="20"/>
        <w:lang w:val="de-DE"/>
      </w:rPr>
      <w:t>MilMac</w:t>
    </w:r>
    <w:r w:rsidR="00BD0EBA">
      <w:rPr>
        <w:sz w:val="20"/>
        <w:szCs w:val="20"/>
        <w:lang w:val="de-DE"/>
      </w:rPr>
      <w:t>Gruzija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530" w:rsidRPr="00A33656" w:rsidP="00190353" w14:paraId="05365B6F" w14:textId="64315C94">
    <w:pPr>
      <w:jc w:val="both"/>
      <w:rPr>
        <w:sz w:val="20"/>
        <w:szCs w:val="20"/>
      </w:rPr>
    </w:pPr>
    <w:r w:rsidRPr="00F121F1">
      <w:rPr>
        <w:sz w:val="20"/>
        <w:szCs w:val="20"/>
        <w:lang w:val="de-DE"/>
      </w:rPr>
      <w:t>A</w:t>
    </w:r>
    <w:r w:rsidR="00190353">
      <w:rPr>
        <w:sz w:val="20"/>
        <w:szCs w:val="20"/>
        <w:lang w:val="de-DE"/>
      </w:rPr>
      <w:t>IMA</w:t>
    </w:r>
    <w:r w:rsidR="009B6198">
      <w:rPr>
        <w:sz w:val="20"/>
        <w:szCs w:val="20"/>
        <w:lang w:val="de-DE"/>
      </w:rPr>
      <w:t>not_</w:t>
    </w:r>
    <w:r w:rsidR="00886717">
      <w:rPr>
        <w:sz w:val="20"/>
        <w:szCs w:val="20"/>
        <w:lang w:val="de-DE"/>
      </w:rPr>
      <w:t>160718</w:t>
    </w:r>
    <w:r w:rsidRPr="00F121F1">
      <w:rPr>
        <w:sz w:val="20"/>
        <w:szCs w:val="20"/>
        <w:lang w:val="de-DE"/>
      </w:rPr>
      <w:t>_</w:t>
    </w:r>
    <w:r w:rsidR="00043D88">
      <w:rPr>
        <w:sz w:val="20"/>
        <w:szCs w:val="20"/>
        <w:lang w:val="de-DE"/>
      </w:rPr>
      <w:t>MilMac</w:t>
    </w:r>
    <w:r w:rsidR="00BD0EBA">
      <w:rPr>
        <w:sz w:val="20"/>
        <w:szCs w:val="20"/>
        <w:lang w:val="de-DE"/>
      </w:rPr>
      <w:t>Gruzija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530" w:rsidP="001746D1" w14:paraId="3FBDA428"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75530" w14:paraId="694F6C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530" w:rsidP="001746D1" w14:paraId="134088CB" w14:textId="7EBEB6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375530" w14:paraId="2DCCA0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1157B88"/>
    <w:multiLevelType w:val="hybridMultilevel"/>
    <w:tmpl w:val="DC623F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1">
    <w:nsid w:val="457D1490"/>
    <w:multiLevelType w:val="hybridMultilevel"/>
    <w:tmpl w:val="2C44B70C"/>
    <w:lvl w:ilvl="0">
      <w:start w:val="1"/>
      <w:numFmt w:val="decimal"/>
      <w:lvlText w:val="%1."/>
      <w:lvlJc w:val="left"/>
      <w:pPr>
        <w:tabs>
          <w:tab w:val="num" w:pos="2130"/>
        </w:tabs>
        <w:ind w:left="2130" w:hanging="123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15:restartNumberingAfterBreak="1">
    <w:nsid w:val="4AFA2215"/>
    <w:multiLevelType w:val="hybridMultilevel"/>
    <w:tmpl w:val="5C0A45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743B5D37"/>
    <w:multiLevelType w:val="hybridMultilevel"/>
    <w:tmpl w:val="838CFE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22DF8"/>
    <w:rsid w:val="000233E3"/>
    <w:rsid w:val="0002346D"/>
    <w:rsid w:val="00042F84"/>
    <w:rsid w:val="00043D88"/>
    <w:rsid w:val="00045D44"/>
    <w:rsid w:val="00047640"/>
    <w:rsid w:val="000521A4"/>
    <w:rsid w:val="00055970"/>
    <w:rsid w:val="0006471F"/>
    <w:rsid w:val="000703CD"/>
    <w:rsid w:val="00072E47"/>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3575"/>
    <w:rsid w:val="00134F93"/>
    <w:rsid w:val="0014176F"/>
    <w:rsid w:val="00152163"/>
    <w:rsid w:val="001525AD"/>
    <w:rsid w:val="00173FE4"/>
    <w:rsid w:val="001746D1"/>
    <w:rsid w:val="00180C1B"/>
    <w:rsid w:val="00185192"/>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51141"/>
    <w:rsid w:val="002579D8"/>
    <w:rsid w:val="00265B47"/>
    <w:rsid w:val="00271274"/>
    <w:rsid w:val="00283C8C"/>
    <w:rsid w:val="00290FA9"/>
    <w:rsid w:val="002957E9"/>
    <w:rsid w:val="002A3E7F"/>
    <w:rsid w:val="002B1218"/>
    <w:rsid w:val="002B1989"/>
    <w:rsid w:val="002C545B"/>
    <w:rsid w:val="002C68E6"/>
    <w:rsid w:val="002C79FB"/>
    <w:rsid w:val="002C7DE6"/>
    <w:rsid w:val="002D21CA"/>
    <w:rsid w:val="002D7006"/>
    <w:rsid w:val="002D70D1"/>
    <w:rsid w:val="002E3757"/>
    <w:rsid w:val="002E5C86"/>
    <w:rsid w:val="002F5C25"/>
    <w:rsid w:val="002F5C68"/>
    <w:rsid w:val="00302A1C"/>
    <w:rsid w:val="003045D2"/>
    <w:rsid w:val="00307019"/>
    <w:rsid w:val="003144C2"/>
    <w:rsid w:val="00316BE8"/>
    <w:rsid w:val="00320399"/>
    <w:rsid w:val="00324382"/>
    <w:rsid w:val="0032456E"/>
    <w:rsid w:val="00327A93"/>
    <w:rsid w:val="00340D88"/>
    <w:rsid w:val="00346262"/>
    <w:rsid w:val="00351DA8"/>
    <w:rsid w:val="0035526A"/>
    <w:rsid w:val="003568D8"/>
    <w:rsid w:val="00357C34"/>
    <w:rsid w:val="00362EE0"/>
    <w:rsid w:val="0036332B"/>
    <w:rsid w:val="00366F05"/>
    <w:rsid w:val="003678E5"/>
    <w:rsid w:val="00375530"/>
    <w:rsid w:val="003847FF"/>
    <w:rsid w:val="0038711F"/>
    <w:rsid w:val="00391BF9"/>
    <w:rsid w:val="003960C4"/>
    <w:rsid w:val="00396D46"/>
    <w:rsid w:val="003A6632"/>
    <w:rsid w:val="003B2197"/>
    <w:rsid w:val="003B6863"/>
    <w:rsid w:val="003C1143"/>
    <w:rsid w:val="003C12C0"/>
    <w:rsid w:val="003C42D8"/>
    <w:rsid w:val="003C4FEE"/>
    <w:rsid w:val="003E1757"/>
    <w:rsid w:val="003E6106"/>
    <w:rsid w:val="003F4D83"/>
    <w:rsid w:val="0040096F"/>
    <w:rsid w:val="00401BE1"/>
    <w:rsid w:val="00417E9C"/>
    <w:rsid w:val="004369FA"/>
    <w:rsid w:val="0044042C"/>
    <w:rsid w:val="0046182A"/>
    <w:rsid w:val="00462B83"/>
    <w:rsid w:val="00464245"/>
    <w:rsid w:val="00464699"/>
    <w:rsid w:val="004674FE"/>
    <w:rsid w:val="0047207F"/>
    <w:rsid w:val="00485090"/>
    <w:rsid w:val="00490C6D"/>
    <w:rsid w:val="004A0FDF"/>
    <w:rsid w:val="004A352E"/>
    <w:rsid w:val="004B310E"/>
    <w:rsid w:val="004B4D17"/>
    <w:rsid w:val="004C3EE6"/>
    <w:rsid w:val="004D3D85"/>
    <w:rsid w:val="004D4853"/>
    <w:rsid w:val="004D6BD4"/>
    <w:rsid w:val="004E15DE"/>
    <w:rsid w:val="004E424C"/>
    <w:rsid w:val="004F20FC"/>
    <w:rsid w:val="004F43F1"/>
    <w:rsid w:val="004F760D"/>
    <w:rsid w:val="0052391F"/>
    <w:rsid w:val="00531D2F"/>
    <w:rsid w:val="005344EF"/>
    <w:rsid w:val="00536C79"/>
    <w:rsid w:val="00541A46"/>
    <w:rsid w:val="00543EC4"/>
    <w:rsid w:val="00550123"/>
    <w:rsid w:val="00554BF0"/>
    <w:rsid w:val="00556C0F"/>
    <w:rsid w:val="005570E8"/>
    <w:rsid w:val="00557AC2"/>
    <w:rsid w:val="0056325F"/>
    <w:rsid w:val="005653E7"/>
    <w:rsid w:val="00570E39"/>
    <w:rsid w:val="00586A29"/>
    <w:rsid w:val="00592235"/>
    <w:rsid w:val="005A71BE"/>
    <w:rsid w:val="005B61AA"/>
    <w:rsid w:val="005C67D1"/>
    <w:rsid w:val="005D1157"/>
    <w:rsid w:val="005D2ACF"/>
    <w:rsid w:val="005D41F1"/>
    <w:rsid w:val="005E30C3"/>
    <w:rsid w:val="005F5381"/>
    <w:rsid w:val="005F5782"/>
    <w:rsid w:val="00602A9E"/>
    <w:rsid w:val="0060783D"/>
    <w:rsid w:val="00614AD0"/>
    <w:rsid w:val="00625237"/>
    <w:rsid w:val="00627EF7"/>
    <w:rsid w:val="006355EA"/>
    <w:rsid w:val="00643092"/>
    <w:rsid w:val="006475DD"/>
    <w:rsid w:val="00655AA8"/>
    <w:rsid w:val="00660F14"/>
    <w:rsid w:val="00662C17"/>
    <w:rsid w:val="00666EA2"/>
    <w:rsid w:val="00675D6C"/>
    <w:rsid w:val="0069347B"/>
    <w:rsid w:val="00697829"/>
    <w:rsid w:val="00697CB8"/>
    <w:rsid w:val="006A1496"/>
    <w:rsid w:val="006A28C0"/>
    <w:rsid w:val="006A401B"/>
    <w:rsid w:val="006C4905"/>
    <w:rsid w:val="006C6FA4"/>
    <w:rsid w:val="006D752F"/>
    <w:rsid w:val="006E4DB7"/>
    <w:rsid w:val="006F358D"/>
    <w:rsid w:val="00702148"/>
    <w:rsid w:val="00713139"/>
    <w:rsid w:val="007158A9"/>
    <w:rsid w:val="0072174D"/>
    <w:rsid w:val="007219BD"/>
    <w:rsid w:val="007516E6"/>
    <w:rsid w:val="00751EAE"/>
    <w:rsid w:val="00766CF8"/>
    <w:rsid w:val="007735E0"/>
    <w:rsid w:val="0077386B"/>
    <w:rsid w:val="00783558"/>
    <w:rsid w:val="00786682"/>
    <w:rsid w:val="0079003B"/>
    <w:rsid w:val="007909E4"/>
    <w:rsid w:val="0079365D"/>
    <w:rsid w:val="007A111F"/>
    <w:rsid w:val="007A1298"/>
    <w:rsid w:val="007A3EAD"/>
    <w:rsid w:val="007A6830"/>
    <w:rsid w:val="007B3FE9"/>
    <w:rsid w:val="007B4BBA"/>
    <w:rsid w:val="007B52D7"/>
    <w:rsid w:val="007C0202"/>
    <w:rsid w:val="007C31B4"/>
    <w:rsid w:val="007C5843"/>
    <w:rsid w:val="007D18E2"/>
    <w:rsid w:val="007D2AAD"/>
    <w:rsid w:val="007E02D0"/>
    <w:rsid w:val="007F225B"/>
    <w:rsid w:val="00802FC5"/>
    <w:rsid w:val="008156C6"/>
    <w:rsid w:val="00833672"/>
    <w:rsid w:val="0083615B"/>
    <w:rsid w:val="0083794A"/>
    <w:rsid w:val="008415D6"/>
    <w:rsid w:val="00853236"/>
    <w:rsid w:val="0085495B"/>
    <w:rsid w:val="00857F8A"/>
    <w:rsid w:val="00864373"/>
    <w:rsid w:val="00866E1B"/>
    <w:rsid w:val="00871C99"/>
    <w:rsid w:val="00883284"/>
    <w:rsid w:val="00885338"/>
    <w:rsid w:val="00886717"/>
    <w:rsid w:val="00887707"/>
    <w:rsid w:val="008933F6"/>
    <w:rsid w:val="008975F1"/>
    <w:rsid w:val="008A797E"/>
    <w:rsid w:val="008B645E"/>
    <w:rsid w:val="008C44A6"/>
    <w:rsid w:val="008D0017"/>
    <w:rsid w:val="008F3879"/>
    <w:rsid w:val="008F5640"/>
    <w:rsid w:val="009122F0"/>
    <w:rsid w:val="00913C72"/>
    <w:rsid w:val="00915660"/>
    <w:rsid w:val="00921E29"/>
    <w:rsid w:val="00924D1A"/>
    <w:rsid w:val="009320BB"/>
    <w:rsid w:val="009400EF"/>
    <w:rsid w:val="00941DEA"/>
    <w:rsid w:val="00943FE7"/>
    <w:rsid w:val="00951692"/>
    <w:rsid w:val="009567ED"/>
    <w:rsid w:val="00956BD2"/>
    <w:rsid w:val="009630EA"/>
    <w:rsid w:val="0097053A"/>
    <w:rsid w:val="00971309"/>
    <w:rsid w:val="009814AD"/>
    <w:rsid w:val="00985581"/>
    <w:rsid w:val="009A7B1A"/>
    <w:rsid w:val="009B5A51"/>
    <w:rsid w:val="009B6198"/>
    <w:rsid w:val="009C02D1"/>
    <w:rsid w:val="009D7B7F"/>
    <w:rsid w:val="009E31A2"/>
    <w:rsid w:val="009F08EE"/>
    <w:rsid w:val="009F327B"/>
    <w:rsid w:val="009F3F2E"/>
    <w:rsid w:val="009F7332"/>
    <w:rsid w:val="00A00D4E"/>
    <w:rsid w:val="00A06A34"/>
    <w:rsid w:val="00A1143F"/>
    <w:rsid w:val="00A16613"/>
    <w:rsid w:val="00A279AF"/>
    <w:rsid w:val="00A31D72"/>
    <w:rsid w:val="00A33656"/>
    <w:rsid w:val="00A3713C"/>
    <w:rsid w:val="00A37EE0"/>
    <w:rsid w:val="00A41A91"/>
    <w:rsid w:val="00A44AD2"/>
    <w:rsid w:val="00A571D7"/>
    <w:rsid w:val="00A70527"/>
    <w:rsid w:val="00A826CA"/>
    <w:rsid w:val="00A94D8F"/>
    <w:rsid w:val="00A9525C"/>
    <w:rsid w:val="00AA01EE"/>
    <w:rsid w:val="00AA6F50"/>
    <w:rsid w:val="00AB6117"/>
    <w:rsid w:val="00AC14B1"/>
    <w:rsid w:val="00AD21DE"/>
    <w:rsid w:val="00AD2307"/>
    <w:rsid w:val="00AF2437"/>
    <w:rsid w:val="00AF2E12"/>
    <w:rsid w:val="00AF4771"/>
    <w:rsid w:val="00AF5B15"/>
    <w:rsid w:val="00B03A34"/>
    <w:rsid w:val="00B127D5"/>
    <w:rsid w:val="00B13249"/>
    <w:rsid w:val="00B16986"/>
    <w:rsid w:val="00B23BCA"/>
    <w:rsid w:val="00B274FE"/>
    <w:rsid w:val="00B31AB3"/>
    <w:rsid w:val="00B328B5"/>
    <w:rsid w:val="00B32BED"/>
    <w:rsid w:val="00B341F6"/>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6F76"/>
    <w:rsid w:val="00BC0098"/>
    <w:rsid w:val="00BC0C8E"/>
    <w:rsid w:val="00BD05A4"/>
    <w:rsid w:val="00BD0764"/>
    <w:rsid w:val="00BD0EBA"/>
    <w:rsid w:val="00BD3581"/>
    <w:rsid w:val="00BE1971"/>
    <w:rsid w:val="00BF23B1"/>
    <w:rsid w:val="00C01F5B"/>
    <w:rsid w:val="00C146D1"/>
    <w:rsid w:val="00C14E26"/>
    <w:rsid w:val="00C1659D"/>
    <w:rsid w:val="00C16F39"/>
    <w:rsid w:val="00C23FD6"/>
    <w:rsid w:val="00C32827"/>
    <w:rsid w:val="00C32E9C"/>
    <w:rsid w:val="00C360A1"/>
    <w:rsid w:val="00C40A51"/>
    <w:rsid w:val="00C4202F"/>
    <w:rsid w:val="00C43262"/>
    <w:rsid w:val="00C52719"/>
    <w:rsid w:val="00C552B5"/>
    <w:rsid w:val="00C601ED"/>
    <w:rsid w:val="00C613A3"/>
    <w:rsid w:val="00C6364A"/>
    <w:rsid w:val="00C7482E"/>
    <w:rsid w:val="00C92DFC"/>
    <w:rsid w:val="00CA7005"/>
    <w:rsid w:val="00CB349E"/>
    <w:rsid w:val="00CB36E0"/>
    <w:rsid w:val="00CB5860"/>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DEB"/>
    <w:rsid w:val="00D632AB"/>
    <w:rsid w:val="00D66835"/>
    <w:rsid w:val="00D80600"/>
    <w:rsid w:val="00D87A21"/>
    <w:rsid w:val="00DA5CB0"/>
    <w:rsid w:val="00DB1264"/>
    <w:rsid w:val="00DB3AA1"/>
    <w:rsid w:val="00DB4C6C"/>
    <w:rsid w:val="00DB5A50"/>
    <w:rsid w:val="00DC78EB"/>
    <w:rsid w:val="00DD08DC"/>
    <w:rsid w:val="00DD5678"/>
    <w:rsid w:val="00DE0E31"/>
    <w:rsid w:val="00DE45DC"/>
    <w:rsid w:val="00DE4F97"/>
    <w:rsid w:val="00DE592A"/>
    <w:rsid w:val="00E00A8E"/>
    <w:rsid w:val="00E1240D"/>
    <w:rsid w:val="00E12990"/>
    <w:rsid w:val="00E166A9"/>
    <w:rsid w:val="00E16B26"/>
    <w:rsid w:val="00E26E55"/>
    <w:rsid w:val="00E3774D"/>
    <w:rsid w:val="00E40974"/>
    <w:rsid w:val="00E43629"/>
    <w:rsid w:val="00E44307"/>
    <w:rsid w:val="00E44510"/>
    <w:rsid w:val="00E5315E"/>
    <w:rsid w:val="00E54FBD"/>
    <w:rsid w:val="00E7018D"/>
    <w:rsid w:val="00E7665D"/>
    <w:rsid w:val="00E77E6E"/>
    <w:rsid w:val="00E90067"/>
    <w:rsid w:val="00E92697"/>
    <w:rsid w:val="00E941F5"/>
    <w:rsid w:val="00E944BB"/>
    <w:rsid w:val="00E9469D"/>
    <w:rsid w:val="00EB5A01"/>
    <w:rsid w:val="00EB75A1"/>
    <w:rsid w:val="00EC475E"/>
    <w:rsid w:val="00ED21B1"/>
    <w:rsid w:val="00ED44F3"/>
    <w:rsid w:val="00EE20AC"/>
    <w:rsid w:val="00EE2AA2"/>
    <w:rsid w:val="00F07E0D"/>
    <w:rsid w:val="00F10D4C"/>
    <w:rsid w:val="00F121F1"/>
    <w:rsid w:val="00F133EC"/>
    <w:rsid w:val="00F17228"/>
    <w:rsid w:val="00F21D87"/>
    <w:rsid w:val="00F222C1"/>
    <w:rsid w:val="00F277CB"/>
    <w:rsid w:val="00F324F1"/>
    <w:rsid w:val="00F364FB"/>
    <w:rsid w:val="00F41308"/>
    <w:rsid w:val="00F51F57"/>
    <w:rsid w:val="00F552C8"/>
    <w:rsid w:val="00F560DF"/>
    <w:rsid w:val="00F579DC"/>
    <w:rsid w:val="00F57B34"/>
    <w:rsid w:val="00F60402"/>
    <w:rsid w:val="00F74C92"/>
    <w:rsid w:val="00F76575"/>
    <w:rsid w:val="00F767C1"/>
    <w:rsid w:val="00F772DB"/>
    <w:rsid w:val="00FA2FF5"/>
    <w:rsid w:val="00FA5469"/>
    <w:rsid w:val="00FA6464"/>
    <w:rsid w:val="00FA7435"/>
    <w:rsid w:val="00FB44FD"/>
    <w:rsid w:val="00FB5FC8"/>
    <w:rsid w:val="00FD72D9"/>
    <w:rsid w:val="00FE439A"/>
    <w:rsid w:val="00FE5D87"/>
    <w:rsid w:val="00FE6D4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96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AA88-CA3E-4D5A-8433-111D7877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2670</Words>
  <Characters>1523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ārvalstīs</vt:lpstr>
    </vt:vector>
  </TitlesOfParts>
  <Manager>Juridiskais departaments</Manager>
  <Company>Aizsardzības ministrija</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ārvalstīs</dc:title>
  <dc:subject>Ministru kabineta rīkojuma projekta sākotnējās ietekmes novērtējuma ziņojums (anotācija)</dc:subject>
  <dc:creator>A.Ņikitina</dc:creator>
  <dc:description>67335249, anzelika.nikitina@mod.gov.lv</dc:description>
  <cp:lastModifiedBy>Anželika Ņikitina</cp:lastModifiedBy>
  <cp:revision>6</cp:revision>
  <cp:lastPrinted>2017-05-10T04:27:00Z</cp:lastPrinted>
  <dcterms:created xsi:type="dcterms:W3CDTF">2018-06-06T09:15:00Z</dcterms:created>
  <dcterms:modified xsi:type="dcterms:W3CDTF">2018-07-17T07:12:00Z</dcterms:modified>
</cp:coreProperties>
</file>