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00B38" w:rsidRPr="00300B38" w:rsidP="00300B38" w14:paraId="0B966927" w14:textId="04F06B27">
      <w:pPr>
        <w:jc w:val="center"/>
        <w:rPr>
          <w:b/>
          <w:bCs/>
          <w:sz w:val="26"/>
          <w:szCs w:val="26"/>
        </w:rPr>
      </w:pPr>
      <w:r>
        <w:rPr>
          <w:b/>
          <w:bCs/>
          <w:sz w:val="26"/>
          <w:szCs w:val="26"/>
        </w:rPr>
        <w:t>Ministru kabineta noteikumu projekta</w:t>
      </w:r>
      <w:r w:rsidR="0082669F">
        <w:rPr>
          <w:b/>
          <w:bCs/>
          <w:sz w:val="26"/>
          <w:szCs w:val="26"/>
        </w:rPr>
        <w:t xml:space="preserve"> </w:t>
      </w:r>
      <w:r>
        <w:rPr>
          <w:b/>
          <w:bCs/>
          <w:sz w:val="26"/>
          <w:szCs w:val="26"/>
        </w:rPr>
        <w:t>“</w:t>
      </w:r>
      <w:r w:rsidRPr="00300B38">
        <w:rPr>
          <w:b/>
          <w:bCs/>
          <w:sz w:val="26"/>
          <w:szCs w:val="26"/>
        </w:rPr>
        <w:t>Grozījums Ministru kabineta 2010.gada 3.augusta noteikumos Nr.724 "Dzelzceļa tehniskās ekspluatācijas noteikumi"</w:t>
      </w:r>
      <w:r>
        <w:rPr>
          <w:b/>
          <w:bCs/>
          <w:sz w:val="26"/>
          <w:szCs w:val="26"/>
        </w:rPr>
        <w:t>”</w:t>
      </w:r>
      <w:bookmarkStart w:id="0" w:name="_GoBack"/>
      <w:bookmarkEnd w:id="0"/>
    </w:p>
    <w:p w:rsidR="00AF7E9E" w:rsidRPr="0082669F" w:rsidP="008E454E" w14:paraId="405ED08E" w14:textId="771539DE">
      <w:pPr>
        <w:jc w:val="center"/>
        <w:rPr>
          <w:b/>
          <w:bCs/>
          <w:sz w:val="26"/>
          <w:szCs w:val="26"/>
        </w:rPr>
      </w:pPr>
      <w:r w:rsidRPr="0096230A">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1A4050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0B3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96F50"/>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5CA"/>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454E"/>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B2C3-E26B-4E9F-B719-948DEAFE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6883</Words>
  <Characters>3924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2018-06-27T12:36:00Z</dcterms:created>
  <dcterms:modified xsi:type="dcterms:W3CDTF">2018-06-27T12:37:00Z</dcterms:modified>
</cp:coreProperties>
</file>