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411AD" w14:textId="77777777" w:rsidR="00BA0797" w:rsidRPr="00DF4E87" w:rsidRDefault="00BA0797" w:rsidP="00BA0797">
      <w:pPr>
        <w:spacing w:after="0"/>
        <w:jc w:val="center"/>
        <w:rPr>
          <w:rFonts w:eastAsia="Times New Roman"/>
          <w:b/>
          <w:bCs/>
          <w:lang w:eastAsia="lv-LV"/>
        </w:rPr>
      </w:pPr>
      <w:r w:rsidRPr="00DF4E87">
        <w:rPr>
          <w:rFonts w:eastAsia="Times New Roman"/>
          <w:b/>
          <w:bCs/>
          <w:lang w:eastAsia="lv-LV"/>
        </w:rPr>
        <w:t>Ministru kabineta noteikumu projekta</w:t>
      </w:r>
    </w:p>
    <w:p w14:paraId="620411AE" w14:textId="70289420" w:rsidR="00BA0797" w:rsidRPr="00DF4E87" w:rsidRDefault="00BA0797" w:rsidP="00BA0797">
      <w:pPr>
        <w:spacing w:after="0"/>
        <w:jc w:val="center"/>
        <w:rPr>
          <w:rFonts w:eastAsia="Times New Roman"/>
          <w:b/>
          <w:bCs/>
          <w:lang w:eastAsia="lv-LV"/>
        </w:rPr>
      </w:pPr>
      <w:r w:rsidRPr="00DF4E87">
        <w:rPr>
          <w:rFonts w:eastAsia="Times New Roman"/>
          <w:b/>
          <w:bCs/>
          <w:lang w:eastAsia="lv-LV"/>
        </w:rPr>
        <w:t>„</w:t>
      </w:r>
      <w:r w:rsidR="000633CE" w:rsidRPr="00DF4E87">
        <w:rPr>
          <w:rFonts w:eastAsia="Times New Roman"/>
          <w:b/>
          <w:bCs/>
          <w:lang w:eastAsia="lv-LV"/>
        </w:rPr>
        <w:t>Civilās aviācijas gaisa kuģ</w:t>
      </w:r>
      <w:r w:rsidR="00FB29A0" w:rsidRPr="00DF4E87">
        <w:rPr>
          <w:rFonts w:eastAsia="Times New Roman"/>
          <w:b/>
          <w:bCs/>
          <w:lang w:eastAsia="lv-LV"/>
        </w:rPr>
        <w:t>a</w:t>
      </w:r>
      <w:r w:rsidR="000633CE" w:rsidRPr="00DF4E87">
        <w:rPr>
          <w:rFonts w:eastAsia="Times New Roman"/>
          <w:b/>
          <w:bCs/>
          <w:lang w:eastAsia="lv-LV"/>
        </w:rPr>
        <w:t xml:space="preserve"> salona apkalpes locekļu un to apmācību sniedzēju sertificēšanas kārtība</w:t>
      </w:r>
      <w:r w:rsidRPr="00DF4E87">
        <w:rPr>
          <w:rFonts w:eastAsia="Times New Roman"/>
          <w:b/>
          <w:bCs/>
          <w:lang w:eastAsia="lv-LV"/>
        </w:rPr>
        <w:t>”</w:t>
      </w:r>
    </w:p>
    <w:p w14:paraId="620411AF" w14:textId="77777777" w:rsidR="008C0EDC" w:rsidRPr="00DF4E87" w:rsidRDefault="00BA0797" w:rsidP="00BA0797">
      <w:pPr>
        <w:spacing w:after="0"/>
        <w:jc w:val="center"/>
        <w:rPr>
          <w:rFonts w:eastAsia="Times New Roman"/>
          <w:b/>
          <w:bCs/>
          <w:lang w:eastAsia="lv-LV"/>
        </w:rPr>
      </w:pPr>
      <w:r w:rsidRPr="00DF4E87">
        <w:rPr>
          <w:rFonts w:eastAsia="Times New Roman"/>
          <w:b/>
          <w:bCs/>
          <w:lang w:eastAsia="lv-LV"/>
        </w:rPr>
        <w:t>sākotnējās ietekmes novērtējuma ziņojums (anotācija)</w:t>
      </w:r>
    </w:p>
    <w:p w14:paraId="620411B0" w14:textId="77777777" w:rsidR="00BA0797" w:rsidRPr="00DF4E87" w:rsidRDefault="00BA0797" w:rsidP="00BA07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9"/>
        <w:gridCol w:w="5497"/>
      </w:tblGrid>
      <w:tr w:rsidR="000A6E86" w:rsidRPr="00DF4E87" w14:paraId="2DFAE6BF" w14:textId="77777777" w:rsidTr="009B0BD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76FDFE" w14:textId="77777777" w:rsidR="000A6E86" w:rsidRPr="00DF4E87" w:rsidRDefault="000A6E86" w:rsidP="009B0BDF">
            <w:pPr>
              <w:spacing w:before="100" w:beforeAutospacing="1" w:after="100" w:afterAutospacing="1"/>
              <w:jc w:val="center"/>
              <w:rPr>
                <w:rFonts w:eastAsia="Times New Roman"/>
                <w:b/>
                <w:bCs/>
                <w:lang w:eastAsia="lv-LV"/>
              </w:rPr>
            </w:pPr>
            <w:r w:rsidRPr="00DF4E87">
              <w:rPr>
                <w:rFonts w:eastAsia="Times New Roman"/>
                <w:b/>
                <w:bCs/>
                <w:lang w:eastAsia="lv-LV"/>
              </w:rPr>
              <w:t>Tiesību akta projekta anotācijas kopsavilkums</w:t>
            </w:r>
          </w:p>
        </w:tc>
      </w:tr>
      <w:tr w:rsidR="000A6E86" w:rsidRPr="00DF4E87" w14:paraId="6E03184A" w14:textId="77777777" w:rsidTr="009B0BDF">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0D72EF54" w14:textId="77777777" w:rsidR="000A6E86" w:rsidRPr="00DF4E87" w:rsidRDefault="000A6E86" w:rsidP="009B0BDF">
            <w:pPr>
              <w:spacing w:after="0"/>
              <w:rPr>
                <w:rFonts w:eastAsia="Times New Roman"/>
                <w:lang w:eastAsia="lv-LV"/>
              </w:rPr>
            </w:pPr>
            <w:r w:rsidRPr="00DF4E87">
              <w:rPr>
                <w:rFonts w:eastAsia="Times New Roman"/>
                <w:lang w:eastAsia="lv-LV"/>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hideMark/>
          </w:tcPr>
          <w:p w14:paraId="0D541700" w14:textId="0614C5DB" w:rsidR="000A6E86" w:rsidRPr="00DF4E87" w:rsidRDefault="000A6E86" w:rsidP="009B0BDF">
            <w:pPr>
              <w:spacing w:after="0"/>
              <w:rPr>
                <w:rFonts w:eastAsia="Times New Roman"/>
                <w:lang w:eastAsia="lv-LV"/>
              </w:rPr>
            </w:pPr>
            <w:r w:rsidRPr="00DF4E87">
              <w:rPr>
                <w:rFonts w:eastAsia="Times New Roman"/>
                <w:lang w:eastAsia="lv-LV"/>
              </w:rPr>
              <w:t>Nav  attiecināms.</w:t>
            </w:r>
          </w:p>
        </w:tc>
      </w:tr>
    </w:tbl>
    <w:p w14:paraId="5ED96EA8" w14:textId="77777777" w:rsidR="000A6E86" w:rsidRPr="00DF4E87" w:rsidRDefault="000A6E86" w:rsidP="00BA07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DF4E87" w14:paraId="620411B8"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0411B7" w14:textId="77777777" w:rsidR="008C0EDC" w:rsidRPr="00DF4E87" w:rsidRDefault="008C0EDC" w:rsidP="008C0EDC">
            <w:pPr>
              <w:spacing w:before="100" w:beforeAutospacing="1" w:after="100" w:afterAutospacing="1"/>
              <w:jc w:val="center"/>
              <w:rPr>
                <w:rFonts w:eastAsia="Times New Roman"/>
                <w:b/>
                <w:bCs/>
                <w:lang w:eastAsia="lv-LV"/>
              </w:rPr>
            </w:pPr>
            <w:r w:rsidRPr="00DF4E87">
              <w:rPr>
                <w:rFonts w:eastAsia="Times New Roman"/>
                <w:b/>
                <w:bCs/>
                <w:lang w:eastAsia="lv-LV"/>
              </w:rPr>
              <w:t>I. Tiesību akta projekta izstrādes nepieciešamība</w:t>
            </w:r>
          </w:p>
        </w:tc>
      </w:tr>
      <w:tr w:rsidR="008C0EDC" w:rsidRPr="00DF4E87" w14:paraId="620411BC" w14:textId="77777777" w:rsidTr="00FB29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1B9"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20411BA" w14:textId="77777777" w:rsidR="008C0EDC" w:rsidRPr="00DF4E87" w:rsidRDefault="008C0EDC" w:rsidP="008C0EDC">
            <w:pPr>
              <w:spacing w:after="0"/>
              <w:rPr>
                <w:rFonts w:eastAsia="Times New Roman"/>
                <w:lang w:eastAsia="lv-LV"/>
              </w:rPr>
            </w:pPr>
            <w:r w:rsidRPr="00DF4E87">
              <w:rPr>
                <w:rFonts w:eastAsia="Times New Roman"/>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620411BB" w14:textId="615DB148" w:rsidR="008C0EDC" w:rsidRPr="00DF4E87" w:rsidRDefault="00805357" w:rsidP="00CE3800">
            <w:pPr>
              <w:spacing w:after="0"/>
              <w:jc w:val="both"/>
              <w:rPr>
                <w:rFonts w:eastAsia="Times New Roman"/>
                <w:lang w:eastAsia="lv-LV"/>
              </w:rPr>
            </w:pPr>
            <w:r w:rsidRPr="00DF4E87">
              <w:rPr>
                <w:rFonts w:eastAsia="Times New Roman"/>
                <w:lang w:eastAsia="lv-LV"/>
              </w:rPr>
              <w:t xml:space="preserve">Likuma „Par aviāciju” </w:t>
            </w:r>
            <w:r w:rsidR="000633CE" w:rsidRPr="00DF4E87">
              <w:rPr>
                <w:rFonts w:eastAsia="Times New Roman"/>
                <w:lang w:eastAsia="lv-LV"/>
              </w:rPr>
              <w:t>30.panta otr</w:t>
            </w:r>
            <w:r w:rsidR="00061042" w:rsidRPr="00DF4E87">
              <w:rPr>
                <w:rFonts w:eastAsia="Times New Roman"/>
                <w:lang w:eastAsia="lv-LV"/>
              </w:rPr>
              <w:t>ā</w:t>
            </w:r>
            <w:r w:rsidR="000633CE" w:rsidRPr="00DF4E87">
              <w:rPr>
                <w:rFonts w:eastAsia="Times New Roman"/>
                <w:lang w:eastAsia="lv-LV"/>
              </w:rPr>
              <w:t xml:space="preserve"> daļa, 31.panta treš</w:t>
            </w:r>
            <w:r w:rsidR="00061042" w:rsidRPr="00DF4E87">
              <w:rPr>
                <w:rFonts w:eastAsia="Times New Roman"/>
                <w:lang w:eastAsia="lv-LV"/>
              </w:rPr>
              <w:t>ā</w:t>
            </w:r>
            <w:r w:rsidR="000633CE" w:rsidRPr="00DF4E87">
              <w:rPr>
                <w:rFonts w:eastAsia="Times New Roman"/>
                <w:lang w:eastAsia="lv-LV"/>
              </w:rPr>
              <w:t xml:space="preserve"> daļa, 32.panta ceturt</w:t>
            </w:r>
            <w:r w:rsidR="00061042" w:rsidRPr="00DF4E87">
              <w:rPr>
                <w:rFonts w:eastAsia="Times New Roman"/>
                <w:lang w:eastAsia="lv-LV"/>
              </w:rPr>
              <w:t>ā</w:t>
            </w:r>
            <w:r w:rsidR="000633CE" w:rsidRPr="00DF4E87">
              <w:rPr>
                <w:rFonts w:eastAsia="Times New Roman"/>
                <w:lang w:eastAsia="lv-LV"/>
              </w:rPr>
              <w:t xml:space="preserve"> daļa</w:t>
            </w:r>
            <w:r w:rsidRPr="00DF4E87">
              <w:rPr>
                <w:rFonts w:eastAsia="Times New Roman"/>
                <w:lang w:eastAsia="lv-LV"/>
              </w:rPr>
              <w:t>.</w:t>
            </w:r>
            <w:r w:rsidR="00A87F87" w:rsidRPr="00DF4E87">
              <w:rPr>
                <w:rFonts w:eastAsia="Times New Roman"/>
                <w:lang w:eastAsia="lv-LV"/>
              </w:rPr>
              <w:t xml:space="preserve"> Ministru prezidenta </w:t>
            </w:r>
            <w:proofErr w:type="spellStart"/>
            <w:r w:rsidR="00A87F87" w:rsidRPr="00DF4E87">
              <w:rPr>
                <w:rFonts w:eastAsia="Times New Roman"/>
                <w:lang w:eastAsia="lv-LV"/>
              </w:rPr>
              <w:t>M.Kučinska</w:t>
            </w:r>
            <w:proofErr w:type="spellEnd"/>
            <w:r w:rsidR="00A87F87" w:rsidRPr="00DF4E87">
              <w:rPr>
                <w:rFonts w:eastAsia="Times New Roman"/>
                <w:lang w:eastAsia="lv-LV"/>
              </w:rPr>
              <w:t xml:space="preserve"> 2017.gada 17.oktobra rezolūcija (Ministru kabineta 2017.gada 17.oktobra </w:t>
            </w:r>
            <w:proofErr w:type="spellStart"/>
            <w:r w:rsidR="00A87F87" w:rsidRPr="00DF4E87">
              <w:rPr>
                <w:rFonts w:eastAsia="Times New Roman"/>
                <w:lang w:eastAsia="lv-LV"/>
              </w:rPr>
              <w:t>protokollēmums</w:t>
            </w:r>
            <w:proofErr w:type="spellEnd"/>
            <w:r w:rsidR="00A87F87" w:rsidRPr="00DF4E87">
              <w:rPr>
                <w:rFonts w:eastAsia="Times New Roman"/>
                <w:lang w:eastAsia="lv-LV"/>
              </w:rPr>
              <w:t xml:space="preserve"> Nr.51 parag</w:t>
            </w:r>
            <w:r w:rsidR="00B72BCC" w:rsidRPr="00DF4E87">
              <w:rPr>
                <w:rFonts w:eastAsia="Times New Roman"/>
                <w:lang w:eastAsia="lv-LV"/>
              </w:rPr>
              <w:t>r</w:t>
            </w:r>
            <w:r w:rsidR="00A87F87" w:rsidRPr="00DF4E87">
              <w:rPr>
                <w:rFonts w:eastAsia="Times New Roman"/>
                <w:lang w:eastAsia="lv-LV"/>
              </w:rPr>
              <w:t>.15 2.punkts).</w:t>
            </w:r>
          </w:p>
        </w:tc>
      </w:tr>
      <w:tr w:rsidR="008C0EDC" w:rsidRPr="00DF4E87" w14:paraId="620411C6" w14:textId="77777777" w:rsidTr="00FB29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1BD"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20411BE" w14:textId="77777777" w:rsidR="008C0EDC" w:rsidRPr="00DF4E87" w:rsidRDefault="008C0EDC" w:rsidP="008C0EDC">
            <w:pPr>
              <w:spacing w:after="0"/>
              <w:rPr>
                <w:rFonts w:eastAsia="Times New Roman"/>
                <w:lang w:eastAsia="lv-LV"/>
              </w:rPr>
            </w:pPr>
            <w:r w:rsidRPr="00DF4E87">
              <w:rPr>
                <w:rFonts w:eastAsia="Times New Roman"/>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441003DA" w14:textId="009E10B2" w:rsidR="001878F2" w:rsidRPr="00DF4E87" w:rsidRDefault="001878F2" w:rsidP="00C2265B">
            <w:pPr>
              <w:spacing w:after="0"/>
              <w:jc w:val="both"/>
              <w:rPr>
                <w:rFonts w:eastAsia="Times New Roman"/>
                <w:lang w:eastAsia="lv-LV"/>
              </w:rPr>
            </w:pPr>
            <w:r w:rsidRPr="00DF4E87">
              <w:rPr>
                <w:rFonts w:eastAsia="Times New Roman"/>
                <w:lang w:eastAsia="lv-LV"/>
              </w:rPr>
              <w:t xml:space="preserve">Šobrīd kārtību, kādā sertificē </w:t>
            </w:r>
            <w:r w:rsidR="00F4470A" w:rsidRPr="00DF4E87">
              <w:rPr>
                <w:rFonts w:eastAsia="Times New Roman"/>
                <w:lang w:eastAsia="lv-LV"/>
              </w:rPr>
              <w:t xml:space="preserve">un uzrauga </w:t>
            </w:r>
            <w:r w:rsidRPr="00DF4E87">
              <w:rPr>
                <w:rFonts w:eastAsia="Times New Roman"/>
                <w:lang w:eastAsia="lv-LV"/>
              </w:rPr>
              <w:t xml:space="preserve">civilās aviācijas gaisa kuģa salona apkalpes locekļus </w:t>
            </w:r>
            <w:r w:rsidR="00DF532F" w:rsidRPr="00DF4E87">
              <w:rPr>
                <w:rFonts w:eastAsia="Times New Roman"/>
                <w:lang w:eastAsia="lv-LV"/>
              </w:rPr>
              <w:t xml:space="preserve">(turpmāk - salona apkalpes locekļi) </w:t>
            </w:r>
            <w:r w:rsidRPr="00DF4E87">
              <w:rPr>
                <w:rFonts w:eastAsia="Times New Roman"/>
                <w:lang w:eastAsia="lv-LV"/>
              </w:rPr>
              <w:t xml:space="preserve">un personas, kurām ir tiesības </w:t>
            </w:r>
            <w:r w:rsidR="00724F71" w:rsidRPr="00DF4E87">
              <w:rPr>
                <w:rFonts w:eastAsia="Times New Roman"/>
                <w:lang w:eastAsia="lv-LV"/>
              </w:rPr>
              <w:t>apmācīt</w:t>
            </w:r>
            <w:r w:rsidRPr="00DF4E87">
              <w:rPr>
                <w:rFonts w:eastAsia="Times New Roman"/>
                <w:lang w:eastAsia="lv-LV"/>
              </w:rPr>
              <w:t xml:space="preserve"> tos</w:t>
            </w:r>
            <w:r w:rsidR="005743C1" w:rsidRPr="00DF4E87">
              <w:rPr>
                <w:rFonts w:eastAsia="Times New Roman"/>
                <w:lang w:eastAsia="lv-LV"/>
              </w:rPr>
              <w:t xml:space="preserve"> (turpmāk - apmācību sniedzēji)</w:t>
            </w:r>
            <w:r w:rsidR="007E4B84" w:rsidRPr="00DF4E87">
              <w:rPr>
                <w:rFonts w:eastAsia="Times New Roman"/>
                <w:lang w:eastAsia="lv-LV"/>
              </w:rPr>
              <w:t>,</w:t>
            </w:r>
            <w:r w:rsidRPr="00DF4E87">
              <w:rPr>
                <w:rFonts w:eastAsia="Times New Roman"/>
                <w:lang w:eastAsia="lv-LV"/>
              </w:rPr>
              <w:t xml:space="preserve"> regulē Ministru kabineta 2013.gada 20.augusta noteikumi Nr.623 “Noteikumi par civilās aviācijas gaisa kuģa salona apkalpes locekļu sagatavošanu un apliecību izsniegšanu” (turpmāk – noteikumi Nr.623)</w:t>
            </w:r>
            <w:r w:rsidR="00AD3392" w:rsidRPr="00DF4E87">
              <w:rPr>
                <w:rFonts w:eastAsia="Times New Roman"/>
                <w:lang w:eastAsia="lv-LV"/>
              </w:rPr>
              <w:t xml:space="preserve"> un </w:t>
            </w:r>
            <w:r w:rsidRPr="00DF4E87">
              <w:rPr>
                <w:rFonts w:eastAsia="Times New Roman"/>
                <w:lang w:eastAsia="lv-LV"/>
              </w:rPr>
              <w:t xml:space="preserve">kārtību, kādā sertificē </w:t>
            </w:r>
            <w:r w:rsidR="00F4470A" w:rsidRPr="00DF4E87">
              <w:rPr>
                <w:rFonts w:eastAsia="Times New Roman"/>
                <w:lang w:eastAsia="lv-LV"/>
              </w:rPr>
              <w:t xml:space="preserve">un uzrauga </w:t>
            </w:r>
            <w:r w:rsidR="00493CB0" w:rsidRPr="00DF4E87">
              <w:rPr>
                <w:rFonts w:eastAsia="Times New Roman"/>
                <w:lang w:eastAsia="lv-LV"/>
              </w:rPr>
              <w:t>salona apkalpes locekļu</w:t>
            </w:r>
            <w:r w:rsidRPr="00DF4E87">
              <w:rPr>
                <w:rFonts w:eastAsia="Times New Roman"/>
                <w:lang w:eastAsia="lv-LV"/>
              </w:rPr>
              <w:t xml:space="preserve"> instruktorus </w:t>
            </w:r>
            <w:r w:rsidR="00493CB0" w:rsidRPr="00DF4E87">
              <w:rPr>
                <w:rFonts w:eastAsia="Times New Roman"/>
                <w:lang w:eastAsia="lv-LV"/>
              </w:rPr>
              <w:t xml:space="preserve">(turpmāk – instruktori) </w:t>
            </w:r>
            <w:r w:rsidRPr="00DF4E87">
              <w:rPr>
                <w:rFonts w:eastAsia="Times New Roman"/>
                <w:lang w:eastAsia="lv-LV"/>
              </w:rPr>
              <w:t>regulē Ministru kabineta 2012.gada 24.jūlija noteikumi Nr.496 ,,Noteikumi par kvalifikācijas prasībām personām, kas sagatavo civilās aviācijas salona apkalpes locekļus un lidojumu nodrošināšanas darbiniekus” (turpmāk – noteikumi Nr.496).</w:t>
            </w:r>
          </w:p>
          <w:p w14:paraId="0887862D" w14:textId="7DC4652B" w:rsidR="00D06B3E" w:rsidRPr="00DF4E87" w:rsidRDefault="00D06B3E" w:rsidP="00C2265B">
            <w:pPr>
              <w:spacing w:after="0"/>
              <w:jc w:val="both"/>
              <w:rPr>
                <w:rFonts w:eastAsia="Times New Roman"/>
                <w:lang w:eastAsia="lv-LV"/>
              </w:rPr>
            </w:pPr>
            <w:r w:rsidRPr="00DF4E87">
              <w:rPr>
                <w:rFonts w:eastAsia="Times New Roman"/>
                <w:lang w:eastAsia="lv-LV"/>
              </w:rPr>
              <w:t>2017.gada 17.oktobrī tika pieņemti Ministru kabineta noteikumi Nr.627 “Lidojumu nodrošināšanas darbinieku un to apmācību sniedzēju sertificēšanas kārtība” (turpmāk – noteikumi Nr.627)</w:t>
            </w:r>
            <w:r w:rsidR="00636456" w:rsidRPr="00DF4E87">
              <w:rPr>
                <w:rFonts w:eastAsia="Times New Roman"/>
                <w:lang w:eastAsia="lv-LV"/>
              </w:rPr>
              <w:t xml:space="preserve">. </w:t>
            </w:r>
            <w:r w:rsidR="0093301F" w:rsidRPr="00DF4E87">
              <w:rPr>
                <w:rFonts w:eastAsia="Times New Roman"/>
                <w:lang w:eastAsia="lv-LV"/>
              </w:rPr>
              <w:t xml:space="preserve">Ievērojot to, ka jautājumi, kas skar civilās aviācijas gaisa kuģa salona apkalpes locekļu sertificēšanas un apmācības jomu ir noregulēti divos normatīvos aktos </w:t>
            </w:r>
            <w:r w:rsidR="00D354F1" w:rsidRPr="00DF4E87">
              <w:rPr>
                <w:rFonts w:eastAsia="Times New Roman"/>
                <w:lang w:eastAsia="lv-LV"/>
              </w:rPr>
              <w:t xml:space="preserve">(noteikumos Nr.623 un noteikumos Nr.496) </w:t>
            </w:r>
            <w:r w:rsidR="00241590" w:rsidRPr="00DF4E87">
              <w:rPr>
                <w:rFonts w:eastAsia="Times New Roman"/>
                <w:lang w:eastAsia="lv-LV"/>
              </w:rPr>
              <w:t xml:space="preserve">un tie attiecas uz vienu regulējamo jautājumu, šos noteikumus ir  nepieciešams apvienot vienos noteikumos. Savukārt tā kā izdarīto grozījumu apjoms ir vairāk kā 50 %, tad ir nepieciešams izdot jaunus noteikumus. </w:t>
            </w:r>
            <w:r w:rsidR="00636456" w:rsidRPr="00DF4E87">
              <w:rPr>
                <w:rFonts w:eastAsia="Times New Roman"/>
                <w:lang w:eastAsia="lv-LV"/>
              </w:rPr>
              <w:t>Atbilstoši noteikumu Nr.627</w:t>
            </w:r>
            <w:r w:rsidRPr="00DF4E87">
              <w:rPr>
                <w:rFonts w:eastAsia="Times New Roman"/>
                <w:lang w:eastAsia="lv-LV"/>
              </w:rPr>
              <w:t xml:space="preserve"> </w:t>
            </w:r>
            <w:r w:rsidR="00636456" w:rsidRPr="00DF4E87">
              <w:rPr>
                <w:rFonts w:eastAsia="Times New Roman"/>
                <w:lang w:eastAsia="lv-LV"/>
              </w:rPr>
              <w:t xml:space="preserve">anotācijas IV sadaļas 1.punktam un Ministru prezidenta </w:t>
            </w:r>
            <w:proofErr w:type="spellStart"/>
            <w:r w:rsidR="00636456" w:rsidRPr="00DF4E87">
              <w:rPr>
                <w:rFonts w:eastAsia="Times New Roman"/>
                <w:lang w:eastAsia="lv-LV"/>
              </w:rPr>
              <w:t>M.Kučinska</w:t>
            </w:r>
            <w:proofErr w:type="spellEnd"/>
            <w:r w:rsidR="00636456" w:rsidRPr="00DF4E87">
              <w:rPr>
                <w:rFonts w:eastAsia="Times New Roman"/>
                <w:lang w:eastAsia="lv-LV"/>
              </w:rPr>
              <w:t xml:space="preserve"> 2017.gada 17.oktobra rezolūcijai (Ministru kabineta 2017.gada 17.oktobra </w:t>
            </w:r>
            <w:proofErr w:type="spellStart"/>
            <w:r w:rsidR="00636456" w:rsidRPr="00DF4E87">
              <w:rPr>
                <w:rFonts w:eastAsia="Times New Roman"/>
                <w:lang w:eastAsia="lv-LV"/>
              </w:rPr>
              <w:t>protokollēmums</w:t>
            </w:r>
            <w:proofErr w:type="spellEnd"/>
            <w:r w:rsidR="00636456" w:rsidRPr="00DF4E87">
              <w:rPr>
                <w:rFonts w:eastAsia="Times New Roman"/>
                <w:lang w:eastAsia="lv-LV"/>
              </w:rPr>
              <w:t xml:space="preserve"> Nr.51 parag.15 2.punkts) Satiksmes ministrija līdz 2018.gada 29.jūnijam izstrādā Ministru </w:t>
            </w:r>
            <w:r w:rsidR="00636456" w:rsidRPr="00DF4E87">
              <w:rPr>
                <w:rFonts w:eastAsia="Times New Roman"/>
                <w:lang w:eastAsia="lv-LV"/>
              </w:rPr>
              <w:lastRenderedPageBreak/>
              <w:t>kabineta noteikumu projektu “Gaisa kuģ</w:t>
            </w:r>
            <w:r w:rsidR="00FB29A0" w:rsidRPr="00DF4E87">
              <w:rPr>
                <w:rFonts w:eastAsia="Times New Roman"/>
                <w:lang w:eastAsia="lv-LV"/>
              </w:rPr>
              <w:t>a</w:t>
            </w:r>
            <w:r w:rsidR="00636456" w:rsidRPr="00DF4E87">
              <w:rPr>
                <w:rFonts w:eastAsia="Times New Roman"/>
                <w:lang w:eastAsia="lv-LV"/>
              </w:rPr>
              <w:t xml:space="preserve"> salona apkalpes locekļu un to apmācību sniedzēju sertificēšanas kārtība”, kurā paredz kārtīb</w:t>
            </w:r>
            <w:r w:rsidR="006B09E9" w:rsidRPr="00DF4E87">
              <w:rPr>
                <w:rFonts w:eastAsia="Times New Roman"/>
                <w:lang w:eastAsia="lv-LV"/>
              </w:rPr>
              <w:t>u</w:t>
            </w:r>
            <w:r w:rsidR="00636456" w:rsidRPr="00DF4E87">
              <w:rPr>
                <w:rFonts w:eastAsia="Times New Roman"/>
                <w:lang w:eastAsia="lv-LV"/>
              </w:rPr>
              <w:t xml:space="preserve">, kādā sertificē un uzrauga </w:t>
            </w:r>
            <w:r w:rsidR="00EC1B63" w:rsidRPr="00DF4E87">
              <w:rPr>
                <w:rFonts w:eastAsia="Times New Roman"/>
                <w:lang w:eastAsia="lv-LV"/>
              </w:rPr>
              <w:t xml:space="preserve">apmācību sniedzējus, </w:t>
            </w:r>
            <w:r w:rsidR="00636456" w:rsidRPr="00DF4E87">
              <w:rPr>
                <w:rFonts w:eastAsia="Times New Roman"/>
                <w:lang w:eastAsia="lv-LV"/>
              </w:rPr>
              <w:t>salona apkalpes locekļus un instruktorus.</w:t>
            </w:r>
          </w:p>
          <w:p w14:paraId="19520878" w14:textId="43005BAA" w:rsidR="00255AA3" w:rsidRPr="00DF4E87" w:rsidRDefault="0006195E" w:rsidP="0006195E">
            <w:pPr>
              <w:spacing w:after="0"/>
              <w:jc w:val="both"/>
            </w:pPr>
            <w:r w:rsidRPr="00DF4E87">
              <w:t>Ministru kabineta noteikumu projekts „Civilās aviācijas gaisa kuģ</w:t>
            </w:r>
            <w:r w:rsidR="00FB29A0" w:rsidRPr="00DF4E87">
              <w:t>a</w:t>
            </w:r>
            <w:r w:rsidRPr="00DF4E87">
              <w:t xml:space="preserve"> salona apkalpes locekļu un to apmācību sniedzēju sertificēšanas kārtība” (turpmāk – p</w:t>
            </w:r>
            <w:r w:rsidR="00255AA3" w:rsidRPr="00DF4E87">
              <w:t>rojekts</w:t>
            </w:r>
            <w:r w:rsidRPr="00DF4E87">
              <w:t>)</w:t>
            </w:r>
            <w:r w:rsidR="00255AA3" w:rsidRPr="00DF4E87">
              <w:t xml:space="preserve"> paredz noteikt:</w:t>
            </w:r>
          </w:p>
          <w:p w14:paraId="7B1BA78D" w14:textId="518A94D3" w:rsidR="00255AA3" w:rsidRPr="00DF4E87" w:rsidRDefault="00255AA3" w:rsidP="00255AA3">
            <w:pPr>
              <w:spacing w:after="0"/>
              <w:jc w:val="both"/>
            </w:pPr>
            <w:r w:rsidRPr="00DF4E87">
              <w:t>1. kārtību, kādā sertificē apmācību sniedzējus;</w:t>
            </w:r>
          </w:p>
          <w:p w14:paraId="6EF7C2C2" w14:textId="45FA705D" w:rsidR="00255AA3" w:rsidRPr="00DF4E87" w:rsidRDefault="00255AA3" w:rsidP="00255AA3">
            <w:pPr>
              <w:spacing w:after="0"/>
              <w:jc w:val="both"/>
            </w:pPr>
            <w:r w:rsidRPr="00DF4E87">
              <w:t>2. salona apkalpes loceklim un instruktoram izvirzāmās prasības;</w:t>
            </w:r>
          </w:p>
          <w:p w14:paraId="0D7156FA" w14:textId="3D39B6C9" w:rsidR="00255AA3" w:rsidRPr="00DF4E87" w:rsidRDefault="00255AA3" w:rsidP="00255AA3">
            <w:pPr>
              <w:spacing w:after="0"/>
              <w:jc w:val="both"/>
            </w:pPr>
            <w:r w:rsidRPr="00DF4E87">
              <w:t>3. kārtību, kādā izsniedzama salona apkalpes locekļa apliecība  un instruktora apliecība.</w:t>
            </w:r>
          </w:p>
          <w:p w14:paraId="620411C5" w14:textId="06F0A243" w:rsidR="008C0EDC" w:rsidRPr="00DF4E87" w:rsidRDefault="00A046F2" w:rsidP="00255AA3">
            <w:pPr>
              <w:spacing w:after="0"/>
              <w:jc w:val="both"/>
              <w:rPr>
                <w:rFonts w:eastAsia="Times New Roman"/>
                <w:lang w:eastAsia="lv-LV"/>
              </w:rPr>
            </w:pPr>
            <w:r w:rsidRPr="00DF4E87">
              <w:t xml:space="preserve">Šīs prasības pēc būtības neatšķiras no noteikumos </w:t>
            </w:r>
            <w:r w:rsidR="00255AA3" w:rsidRPr="00DF4E87">
              <w:t xml:space="preserve">Nr.623 un noteikumos Nr.496 </w:t>
            </w:r>
            <w:r w:rsidRPr="00DF4E87">
              <w:t>noteiktajām prasībām.</w:t>
            </w:r>
            <w:r w:rsidR="00805357" w:rsidRPr="00DF4E87">
              <w:rPr>
                <w:rFonts w:eastAsia="Times New Roman"/>
                <w:lang w:eastAsia="lv-LV"/>
              </w:rPr>
              <w:t xml:space="preserve"> </w:t>
            </w:r>
          </w:p>
        </w:tc>
      </w:tr>
      <w:tr w:rsidR="008C0EDC" w:rsidRPr="00DF4E87" w14:paraId="620411CA" w14:textId="77777777" w:rsidTr="00FB29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1C7"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20411C8" w14:textId="77777777" w:rsidR="008C0EDC" w:rsidRPr="00DF4E87" w:rsidRDefault="008C0EDC" w:rsidP="008C0EDC">
            <w:pPr>
              <w:spacing w:after="0"/>
              <w:rPr>
                <w:rFonts w:eastAsia="Times New Roman"/>
                <w:lang w:eastAsia="lv-LV"/>
              </w:rPr>
            </w:pPr>
            <w:r w:rsidRPr="00DF4E87">
              <w:rPr>
                <w:rFonts w:eastAsia="Times New Roman"/>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tcPr>
          <w:p w14:paraId="620411C9" w14:textId="559DD3FB" w:rsidR="008C0EDC" w:rsidRPr="00DF4E87" w:rsidRDefault="00147E2E" w:rsidP="00A26F2A">
            <w:pPr>
              <w:spacing w:after="0"/>
              <w:jc w:val="both"/>
              <w:rPr>
                <w:rFonts w:eastAsia="Times New Roman"/>
                <w:lang w:eastAsia="lv-LV"/>
              </w:rPr>
            </w:pPr>
            <w:r w:rsidRPr="00DF4E87">
              <w:rPr>
                <w:rFonts w:eastAsia="Times New Roman"/>
                <w:lang w:eastAsia="lv-LV"/>
              </w:rPr>
              <w:t xml:space="preserve">Satiksmes ministrija un </w:t>
            </w:r>
            <w:r w:rsidR="00A26F2A" w:rsidRPr="00DF4E87">
              <w:rPr>
                <w:rFonts w:eastAsia="Times New Roman"/>
                <w:lang w:eastAsia="lv-LV"/>
              </w:rPr>
              <w:t>valsts aģentūra “Civilās aviācijas aģentūra” (turpmāk - Civilās aviācijas aģentūra)</w:t>
            </w:r>
            <w:r w:rsidRPr="00DF4E87">
              <w:rPr>
                <w:rFonts w:eastAsia="Times New Roman"/>
                <w:lang w:eastAsia="lv-LV"/>
              </w:rPr>
              <w:t>.</w:t>
            </w:r>
          </w:p>
        </w:tc>
      </w:tr>
      <w:tr w:rsidR="008C0EDC" w:rsidRPr="00DF4E87" w14:paraId="620411CE" w14:textId="77777777" w:rsidTr="00FB29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1CB"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20411CC" w14:textId="77777777" w:rsidR="008C0EDC" w:rsidRPr="00DF4E87" w:rsidRDefault="008C0EDC" w:rsidP="008C0EDC">
            <w:pPr>
              <w:spacing w:after="0"/>
              <w:rPr>
                <w:rFonts w:eastAsia="Times New Roman"/>
                <w:lang w:eastAsia="lv-LV"/>
              </w:rPr>
            </w:pPr>
            <w:r w:rsidRPr="00DF4E87">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620411CD" w14:textId="77777777" w:rsidR="008C0EDC" w:rsidRPr="00DF4E87" w:rsidRDefault="00147E2E" w:rsidP="008C0EDC">
            <w:pPr>
              <w:spacing w:after="0"/>
              <w:rPr>
                <w:rFonts w:eastAsia="Times New Roman"/>
                <w:lang w:eastAsia="lv-LV"/>
              </w:rPr>
            </w:pPr>
            <w:r w:rsidRPr="00DF4E87">
              <w:rPr>
                <w:rFonts w:eastAsia="Times New Roman"/>
                <w:lang w:eastAsia="lv-LV"/>
              </w:rPr>
              <w:t>Nav.</w:t>
            </w:r>
          </w:p>
        </w:tc>
      </w:tr>
    </w:tbl>
    <w:p w14:paraId="620411CF" w14:textId="77777777" w:rsidR="008C0EDC" w:rsidRPr="00DF4E8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DF4E87" w14:paraId="620411D1"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0411D0" w14:textId="77777777" w:rsidR="008C0EDC" w:rsidRPr="00DF4E87" w:rsidRDefault="008C0EDC" w:rsidP="008C0EDC">
            <w:pPr>
              <w:spacing w:before="100" w:beforeAutospacing="1" w:after="100" w:afterAutospacing="1"/>
              <w:jc w:val="center"/>
              <w:rPr>
                <w:rFonts w:eastAsia="Times New Roman"/>
                <w:b/>
                <w:bCs/>
                <w:lang w:eastAsia="lv-LV"/>
              </w:rPr>
            </w:pPr>
            <w:r w:rsidRPr="00DF4E87">
              <w:rPr>
                <w:rFonts w:eastAsia="Times New Roman"/>
                <w:b/>
                <w:bCs/>
                <w:lang w:eastAsia="lv-LV"/>
              </w:rPr>
              <w:t>II. Tiesību akta projekta ietekme uz sabiedrību, tautsaimniecības attīstību un administratīvo slogu</w:t>
            </w:r>
          </w:p>
        </w:tc>
      </w:tr>
      <w:tr w:rsidR="008C0EDC" w:rsidRPr="00DF4E87" w14:paraId="620411D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D2"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0411D3" w14:textId="77777777" w:rsidR="008C0EDC" w:rsidRPr="00DF4E87" w:rsidRDefault="008C0EDC" w:rsidP="008C0EDC">
            <w:pPr>
              <w:spacing w:after="0"/>
              <w:rPr>
                <w:rFonts w:eastAsia="Times New Roman"/>
                <w:lang w:eastAsia="lv-LV"/>
              </w:rPr>
            </w:pPr>
            <w:r w:rsidRPr="00DF4E87">
              <w:rPr>
                <w:rFonts w:eastAsia="Times New Roman"/>
                <w:lang w:eastAsia="lv-LV"/>
              </w:rPr>
              <w:t xml:space="preserve">Sabiedrības </w:t>
            </w:r>
            <w:proofErr w:type="spellStart"/>
            <w:r w:rsidRPr="00DF4E87">
              <w:rPr>
                <w:rFonts w:eastAsia="Times New Roman"/>
                <w:lang w:eastAsia="lv-LV"/>
              </w:rPr>
              <w:t>mērķgrupas</w:t>
            </w:r>
            <w:proofErr w:type="spellEnd"/>
            <w:r w:rsidRPr="00DF4E87">
              <w:rPr>
                <w:rFonts w:eastAsia="Times New Roman"/>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51F3E63" w14:textId="4ECE3D74" w:rsidR="00033EBF" w:rsidRPr="00DF4E87" w:rsidRDefault="008F13CD" w:rsidP="00033EBF">
            <w:pPr>
              <w:spacing w:after="0"/>
              <w:jc w:val="both"/>
              <w:rPr>
                <w:rFonts w:eastAsia="Times New Roman"/>
                <w:lang w:eastAsia="lv-LV"/>
              </w:rPr>
            </w:pPr>
            <w:r w:rsidRPr="00DF4E87">
              <w:rPr>
                <w:rFonts w:eastAsia="Times New Roman"/>
                <w:lang w:eastAsia="lv-LV"/>
              </w:rPr>
              <w:t>P</w:t>
            </w:r>
            <w:r w:rsidR="00033EBF" w:rsidRPr="00DF4E87">
              <w:rPr>
                <w:rFonts w:eastAsia="Times New Roman"/>
                <w:lang w:eastAsia="lv-LV"/>
              </w:rPr>
              <w:t>rojekts attiecas uz:</w:t>
            </w:r>
          </w:p>
          <w:p w14:paraId="2AA92DF0" w14:textId="046E4D18" w:rsidR="00033EBF" w:rsidRPr="00DF4E87" w:rsidRDefault="00033EBF" w:rsidP="00033EBF">
            <w:pPr>
              <w:spacing w:after="0"/>
              <w:jc w:val="both"/>
              <w:rPr>
                <w:rFonts w:eastAsia="Times New Roman"/>
                <w:lang w:eastAsia="lv-LV"/>
              </w:rPr>
            </w:pPr>
            <w:r w:rsidRPr="00DF4E87">
              <w:rPr>
                <w:rFonts w:eastAsia="Times New Roman"/>
                <w:lang w:eastAsia="lv-LV"/>
              </w:rPr>
              <w:t>1. salona apkalpes locekļiem (</w:t>
            </w:r>
            <w:r w:rsidR="006B7E8E" w:rsidRPr="00DF4E87">
              <w:rPr>
                <w:rFonts w:eastAsia="Times New Roman"/>
                <w:lang w:eastAsia="lv-LV"/>
              </w:rPr>
              <w:t xml:space="preserve">1173 </w:t>
            </w:r>
            <w:r w:rsidRPr="00DF4E87">
              <w:rPr>
                <w:rFonts w:eastAsia="Times New Roman"/>
                <w:lang w:eastAsia="lv-LV"/>
              </w:rPr>
              <w:t>personas);</w:t>
            </w:r>
          </w:p>
          <w:p w14:paraId="37541F16" w14:textId="37A741BE" w:rsidR="00033EBF" w:rsidRPr="00DF4E87" w:rsidRDefault="00033EBF" w:rsidP="00033EBF">
            <w:pPr>
              <w:spacing w:after="0"/>
              <w:jc w:val="both"/>
              <w:rPr>
                <w:rFonts w:eastAsia="Times New Roman"/>
                <w:lang w:eastAsia="lv-LV"/>
              </w:rPr>
            </w:pPr>
            <w:r w:rsidRPr="00DF4E87">
              <w:rPr>
                <w:rFonts w:eastAsia="Times New Roman"/>
                <w:lang w:eastAsia="lv-LV"/>
              </w:rPr>
              <w:t>2. instruktoriem (</w:t>
            </w:r>
            <w:r w:rsidR="006B7E8E" w:rsidRPr="00DF4E87">
              <w:rPr>
                <w:rFonts w:eastAsia="Times New Roman"/>
                <w:lang w:eastAsia="lv-LV"/>
              </w:rPr>
              <w:t xml:space="preserve">70 </w:t>
            </w:r>
            <w:r w:rsidRPr="00DF4E87">
              <w:rPr>
                <w:rFonts w:eastAsia="Times New Roman"/>
                <w:lang w:eastAsia="lv-LV"/>
              </w:rPr>
              <w:t>personas);</w:t>
            </w:r>
          </w:p>
          <w:p w14:paraId="31397319" w14:textId="058B290D" w:rsidR="00033EBF" w:rsidRPr="00DF4E87" w:rsidRDefault="00033EBF" w:rsidP="00033EBF">
            <w:pPr>
              <w:spacing w:after="0"/>
              <w:jc w:val="both"/>
              <w:rPr>
                <w:rFonts w:eastAsia="Times New Roman"/>
                <w:lang w:eastAsia="lv-LV"/>
              </w:rPr>
            </w:pPr>
            <w:r w:rsidRPr="00DF4E87">
              <w:rPr>
                <w:rFonts w:eastAsia="Times New Roman"/>
                <w:lang w:eastAsia="lv-LV"/>
              </w:rPr>
              <w:t>3</w:t>
            </w:r>
            <w:r w:rsidR="001A70E0" w:rsidRPr="00DF4E87">
              <w:rPr>
                <w:rFonts w:eastAsia="Times New Roman"/>
                <w:lang w:eastAsia="lv-LV"/>
              </w:rPr>
              <w:t>. </w:t>
            </w:r>
            <w:r w:rsidRPr="00DF4E87">
              <w:rPr>
                <w:rFonts w:eastAsia="Times New Roman"/>
                <w:lang w:eastAsia="lv-LV"/>
              </w:rPr>
              <w:t xml:space="preserve">apmācību sniedzējiem – </w:t>
            </w:r>
            <w:r w:rsidR="006B7E8E" w:rsidRPr="00DF4E87">
              <w:rPr>
                <w:rFonts w:eastAsia="Times New Roman"/>
                <w:lang w:eastAsia="lv-LV"/>
              </w:rPr>
              <w:t>AS “</w:t>
            </w:r>
            <w:proofErr w:type="spellStart"/>
            <w:r w:rsidR="006B7E8E" w:rsidRPr="00DF4E87">
              <w:rPr>
                <w:rFonts w:eastAsia="Times New Roman"/>
                <w:lang w:eastAsia="lv-LV"/>
              </w:rPr>
              <w:t>Air</w:t>
            </w:r>
            <w:proofErr w:type="spellEnd"/>
            <w:r w:rsidR="006B7E8E" w:rsidRPr="00DF4E87">
              <w:rPr>
                <w:rFonts w:eastAsia="Times New Roman"/>
                <w:lang w:eastAsia="lv-LV"/>
              </w:rPr>
              <w:t xml:space="preserve"> </w:t>
            </w:r>
            <w:proofErr w:type="spellStart"/>
            <w:r w:rsidR="006B7E8E" w:rsidRPr="00DF4E87">
              <w:rPr>
                <w:rFonts w:eastAsia="Times New Roman"/>
                <w:lang w:eastAsia="lv-LV"/>
              </w:rPr>
              <w:t>Baltic</w:t>
            </w:r>
            <w:proofErr w:type="spellEnd"/>
            <w:r w:rsidR="006B7E8E" w:rsidRPr="00DF4E87">
              <w:rPr>
                <w:rFonts w:eastAsia="Times New Roman"/>
                <w:lang w:eastAsia="lv-LV"/>
              </w:rPr>
              <w:t xml:space="preserve"> </w:t>
            </w:r>
            <w:proofErr w:type="spellStart"/>
            <w:r w:rsidR="006B7E8E" w:rsidRPr="00DF4E87">
              <w:rPr>
                <w:rFonts w:eastAsia="Times New Roman"/>
                <w:lang w:eastAsia="lv-LV"/>
              </w:rPr>
              <w:t>Corporation</w:t>
            </w:r>
            <w:proofErr w:type="spellEnd"/>
            <w:r w:rsidR="006B7E8E" w:rsidRPr="00DF4E87">
              <w:rPr>
                <w:rFonts w:eastAsia="Times New Roman"/>
                <w:lang w:eastAsia="lv-LV"/>
              </w:rPr>
              <w:t>”, SIA “</w:t>
            </w:r>
            <w:proofErr w:type="spellStart"/>
            <w:r w:rsidR="006B7E8E" w:rsidRPr="00DF4E87">
              <w:rPr>
                <w:rFonts w:eastAsia="Times New Roman"/>
                <w:lang w:eastAsia="lv-LV"/>
              </w:rPr>
              <w:t>SmartLynx</w:t>
            </w:r>
            <w:proofErr w:type="spellEnd"/>
            <w:r w:rsidR="006B7E8E" w:rsidRPr="00DF4E87">
              <w:rPr>
                <w:rFonts w:eastAsia="Times New Roman"/>
                <w:lang w:eastAsia="lv-LV"/>
              </w:rPr>
              <w:t xml:space="preserve"> </w:t>
            </w:r>
            <w:proofErr w:type="spellStart"/>
            <w:r w:rsidR="006B7E8E" w:rsidRPr="00DF4E87">
              <w:rPr>
                <w:rFonts w:eastAsia="Times New Roman"/>
                <w:lang w:eastAsia="lv-LV"/>
              </w:rPr>
              <w:t>Airlines</w:t>
            </w:r>
            <w:proofErr w:type="spellEnd"/>
            <w:r w:rsidR="006B7E8E" w:rsidRPr="00DF4E87">
              <w:rPr>
                <w:rFonts w:eastAsia="Times New Roman"/>
                <w:lang w:eastAsia="lv-LV"/>
              </w:rPr>
              <w:t>”, SIA</w:t>
            </w:r>
            <w:r w:rsidR="003332FD" w:rsidRPr="00DF4E87">
              <w:rPr>
                <w:rFonts w:eastAsia="Times New Roman"/>
                <w:lang w:eastAsia="lv-LV"/>
              </w:rPr>
              <w:t> </w:t>
            </w:r>
            <w:r w:rsidR="006B7E8E" w:rsidRPr="00DF4E87">
              <w:rPr>
                <w:rFonts w:eastAsia="Times New Roman"/>
                <w:lang w:eastAsia="lv-LV"/>
              </w:rPr>
              <w:t>“</w:t>
            </w:r>
            <w:proofErr w:type="spellStart"/>
            <w:r w:rsidR="006B7E8E" w:rsidRPr="00DF4E87">
              <w:rPr>
                <w:rFonts w:eastAsia="Times New Roman"/>
                <w:lang w:eastAsia="lv-LV"/>
              </w:rPr>
              <w:t>PrimeraAir</w:t>
            </w:r>
            <w:proofErr w:type="spellEnd"/>
            <w:r w:rsidR="006B7E8E" w:rsidRPr="00DF4E87">
              <w:rPr>
                <w:rFonts w:eastAsia="Times New Roman"/>
                <w:lang w:eastAsia="lv-LV"/>
              </w:rPr>
              <w:t xml:space="preserve"> </w:t>
            </w:r>
            <w:proofErr w:type="spellStart"/>
            <w:r w:rsidR="006B7E8E" w:rsidRPr="00DF4E87">
              <w:rPr>
                <w:rFonts w:eastAsia="Times New Roman"/>
                <w:lang w:eastAsia="lv-LV"/>
              </w:rPr>
              <w:t>Nordic</w:t>
            </w:r>
            <w:proofErr w:type="spellEnd"/>
            <w:r w:rsidR="006B7E8E" w:rsidRPr="00DF4E87">
              <w:rPr>
                <w:rFonts w:eastAsia="Times New Roman"/>
                <w:lang w:eastAsia="lv-LV"/>
              </w:rPr>
              <w:t>”;</w:t>
            </w:r>
          </w:p>
          <w:p w14:paraId="04015356" w14:textId="1EACD994" w:rsidR="00033EBF" w:rsidRPr="00DF4E87" w:rsidRDefault="00033EBF" w:rsidP="00033EBF">
            <w:pPr>
              <w:spacing w:after="0"/>
              <w:jc w:val="both"/>
              <w:rPr>
                <w:rFonts w:eastAsia="Times New Roman"/>
                <w:lang w:eastAsia="lv-LV"/>
              </w:rPr>
            </w:pPr>
            <w:r w:rsidRPr="00DF4E87">
              <w:rPr>
                <w:rFonts w:eastAsia="Times New Roman"/>
                <w:lang w:eastAsia="lv-LV"/>
              </w:rPr>
              <w:t>4</w:t>
            </w:r>
            <w:r w:rsidR="001A70E0" w:rsidRPr="00DF4E87">
              <w:rPr>
                <w:rFonts w:eastAsia="Times New Roman"/>
                <w:lang w:eastAsia="lv-LV"/>
              </w:rPr>
              <w:t>. </w:t>
            </w:r>
            <w:r w:rsidRPr="00DF4E87">
              <w:rPr>
                <w:rFonts w:eastAsia="Times New Roman"/>
                <w:lang w:eastAsia="lv-LV"/>
              </w:rPr>
              <w:t>gaisa kuģ</w:t>
            </w:r>
            <w:r w:rsidR="00FB29A0" w:rsidRPr="00DF4E87">
              <w:rPr>
                <w:rFonts w:eastAsia="Times New Roman"/>
                <w:lang w:eastAsia="lv-LV"/>
              </w:rPr>
              <w:t>a</w:t>
            </w:r>
            <w:r w:rsidRPr="00DF4E87">
              <w:rPr>
                <w:rFonts w:eastAsia="Times New Roman"/>
                <w:lang w:eastAsia="lv-LV"/>
              </w:rPr>
              <w:t xml:space="preserve"> ekspluatantiem</w:t>
            </w:r>
            <w:r w:rsidR="0093301F" w:rsidRPr="00DF4E87">
              <w:rPr>
                <w:rFonts w:eastAsia="Times New Roman"/>
                <w:lang w:eastAsia="lv-LV"/>
              </w:rPr>
              <w:t xml:space="preserve"> (4)</w:t>
            </w:r>
            <w:r w:rsidRPr="00DF4E87">
              <w:rPr>
                <w:rFonts w:eastAsia="Times New Roman"/>
                <w:lang w:eastAsia="lv-LV"/>
              </w:rPr>
              <w:t>;</w:t>
            </w:r>
          </w:p>
          <w:p w14:paraId="620411D5" w14:textId="20A4A0F1" w:rsidR="008C0EDC" w:rsidRPr="00DF4E87" w:rsidRDefault="00033EBF" w:rsidP="001A70E0">
            <w:pPr>
              <w:spacing w:after="0"/>
              <w:jc w:val="both"/>
              <w:rPr>
                <w:rFonts w:eastAsia="Times New Roman"/>
                <w:lang w:eastAsia="lv-LV"/>
              </w:rPr>
            </w:pPr>
            <w:r w:rsidRPr="00DF4E87">
              <w:rPr>
                <w:rFonts w:eastAsia="Times New Roman"/>
                <w:lang w:eastAsia="lv-LV"/>
              </w:rPr>
              <w:t>5</w:t>
            </w:r>
            <w:r w:rsidR="001A70E0" w:rsidRPr="00DF4E87">
              <w:rPr>
                <w:rFonts w:eastAsia="Times New Roman"/>
                <w:lang w:eastAsia="lv-LV"/>
              </w:rPr>
              <w:t>. </w:t>
            </w:r>
            <w:r w:rsidRPr="00DF4E87">
              <w:rPr>
                <w:rFonts w:eastAsia="Times New Roman"/>
                <w:lang w:eastAsia="lv-LV"/>
              </w:rPr>
              <w:t>Civilās aviācijas aģentūru.</w:t>
            </w:r>
          </w:p>
        </w:tc>
      </w:tr>
      <w:tr w:rsidR="008C0EDC" w:rsidRPr="00DF4E87" w14:paraId="620411DA"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D7"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0411D8" w14:textId="77777777" w:rsidR="008C0EDC" w:rsidRPr="00DF4E87" w:rsidRDefault="008C0EDC" w:rsidP="008C0EDC">
            <w:pPr>
              <w:spacing w:after="0"/>
              <w:rPr>
                <w:rFonts w:eastAsia="Times New Roman"/>
                <w:lang w:eastAsia="lv-LV"/>
              </w:rPr>
            </w:pPr>
            <w:r w:rsidRPr="00DF4E87">
              <w:rPr>
                <w:rFonts w:eastAsia="Times New Roman"/>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4ED9187E" w14:textId="0F6EAB9B" w:rsidR="00422698" w:rsidRPr="00DF4E87" w:rsidRDefault="00422698" w:rsidP="00422698">
            <w:pPr>
              <w:spacing w:after="0"/>
              <w:jc w:val="both"/>
            </w:pPr>
            <w:r w:rsidRPr="00DF4E87">
              <w:t xml:space="preserve">Projekta tiesiskais regulējums pozitīvi ietekmēs tautsaimniecību un sabiedrības </w:t>
            </w:r>
            <w:proofErr w:type="spellStart"/>
            <w:r w:rsidRPr="00DF4E87">
              <w:t>mērķgrupas</w:t>
            </w:r>
            <w:proofErr w:type="spellEnd"/>
            <w:r w:rsidRPr="00DF4E87">
              <w:t>, ņemot vērā, ka padarīs skaidrāku un efektīvāku apmācību sniedzēju, salona apkalpes locekļu un instruktoru sertifikāciju un uzraudzību.</w:t>
            </w:r>
          </w:p>
          <w:p w14:paraId="620411D9" w14:textId="0201D9A7" w:rsidR="008C0EDC" w:rsidRPr="00DF4E87" w:rsidRDefault="008F13CD" w:rsidP="00BB066E">
            <w:pPr>
              <w:spacing w:after="0"/>
              <w:jc w:val="both"/>
              <w:rPr>
                <w:rFonts w:eastAsia="Times New Roman"/>
                <w:lang w:eastAsia="lv-LV"/>
              </w:rPr>
            </w:pPr>
            <w:r w:rsidRPr="00DF4E87">
              <w:t xml:space="preserve">Administratīvais slogs Civilās aviācijas aģentūrai nepieaug, jo tā uzraudzīja </w:t>
            </w:r>
            <w:r w:rsidR="00BB066E" w:rsidRPr="00DF4E87">
              <w:t>apmācību sniedzējus, salona apkalpes locekļus un instruktorus</w:t>
            </w:r>
            <w:r w:rsidRPr="00DF4E87">
              <w:t xml:space="preserve"> arī pirms noteikumu projekta izstrādes</w:t>
            </w:r>
            <w:r w:rsidR="00D976E5" w:rsidRPr="00DF4E87">
              <w:t>,</w:t>
            </w:r>
            <w:r w:rsidRPr="00DF4E87">
              <w:t xml:space="preserve"> noteikumu </w:t>
            </w:r>
            <w:r w:rsidR="00BB066E" w:rsidRPr="00DF4E87">
              <w:t xml:space="preserve">Nr.623 un noteikumu </w:t>
            </w:r>
            <w:r w:rsidRPr="00DF4E87">
              <w:t>Nr.496 darbības laikā.</w:t>
            </w:r>
          </w:p>
        </w:tc>
      </w:tr>
      <w:tr w:rsidR="008C0EDC" w:rsidRPr="00DF4E87" w14:paraId="620411D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DB"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0411DC" w14:textId="77777777" w:rsidR="008C0EDC" w:rsidRPr="00DF4E87" w:rsidRDefault="008C0EDC" w:rsidP="008C0EDC">
            <w:pPr>
              <w:spacing w:after="0"/>
              <w:rPr>
                <w:rFonts w:eastAsia="Times New Roman"/>
                <w:lang w:eastAsia="lv-LV"/>
              </w:rPr>
            </w:pPr>
            <w:r w:rsidRPr="00DF4E87">
              <w:rPr>
                <w:rFonts w:eastAsia="Times New Roman"/>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B645951" w14:textId="6829FBBE" w:rsidR="005A2CAC" w:rsidRPr="00DF4E87" w:rsidRDefault="005A2CAC" w:rsidP="005A2CAC">
            <w:pPr>
              <w:spacing w:after="0"/>
              <w:jc w:val="both"/>
              <w:rPr>
                <w:rFonts w:eastAsia="Times New Roman"/>
                <w:lang w:eastAsia="lv-LV"/>
              </w:rPr>
            </w:pPr>
            <w:r w:rsidRPr="00DF4E87">
              <w:rPr>
                <w:rFonts w:eastAsia="Times New Roman"/>
                <w:lang w:eastAsia="lv-LV"/>
              </w:rPr>
              <w:t xml:space="preserve">Administratīvās izmaksas, kas saistītas ar noteikumu projekta </w:t>
            </w:r>
            <w:r w:rsidR="009F3BB2" w:rsidRPr="00DF4E87">
              <w:rPr>
                <w:rFonts w:eastAsia="Times New Roman"/>
                <w:lang w:eastAsia="lv-LV"/>
              </w:rPr>
              <w:t>9</w:t>
            </w:r>
            <w:r w:rsidRPr="00DF4E87">
              <w:rPr>
                <w:rFonts w:eastAsia="Times New Roman"/>
                <w:lang w:eastAsia="lv-LV"/>
              </w:rPr>
              <w:t>.1.apakšpunktā minētā iesnieguma aizpildīšanu un iesniegšanu Civilās aviācijas aģentūrā, apmācību sniedzējiem nepārsniegs 2000 e</w:t>
            </w:r>
            <w:r w:rsidR="007702D1" w:rsidRPr="00DF4E87">
              <w:rPr>
                <w:rFonts w:eastAsia="Times New Roman"/>
                <w:lang w:eastAsia="lv-LV"/>
              </w:rPr>
              <w:t>i</w:t>
            </w:r>
            <w:r w:rsidRPr="00DF4E87">
              <w:rPr>
                <w:rFonts w:eastAsia="Times New Roman"/>
                <w:lang w:eastAsia="lv-LV"/>
              </w:rPr>
              <w:t>ro gadā. Administratīvās izmaksas, kas saistītas ar noteikumu projekta 1</w:t>
            </w:r>
            <w:r w:rsidR="009F3BB2" w:rsidRPr="00DF4E87">
              <w:rPr>
                <w:rFonts w:eastAsia="Times New Roman"/>
                <w:lang w:eastAsia="lv-LV"/>
              </w:rPr>
              <w:t>5</w:t>
            </w:r>
            <w:r w:rsidRPr="00DF4E87">
              <w:rPr>
                <w:rFonts w:eastAsia="Times New Roman"/>
                <w:lang w:eastAsia="lv-LV"/>
              </w:rPr>
              <w:t>.1. un 2</w:t>
            </w:r>
            <w:r w:rsidR="009F3BB2" w:rsidRPr="00DF4E87">
              <w:rPr>
                <w:rFonts w:eastAsia="Times New Roman"/>
                <w:lang w:eastAsia="lv-LV"/>
              </w:rPr>
              <w:t>4</w:t>
            </w:r>
            <w:r w:rsidRPr="00DF4E87">
              <w:rPr>
                <w:rFonts w:eastAsia="Times New Roman"/>
                <w:lang w:eastAsia="lv-LV"/>
              </w:rPr>
              <w:t xml:space="preserve">.1.apakšpunktā minēto iesniegumu </w:t>
            </w:r>
            <w:r w:rsidRPr="00DF4E87">
              <w:rPr>
                <w:rFonts w:eastAsia="Times New Roman"/>
                <w:lang w:eastAsia="lv-LV"/>
              </w:rPr>
              <w:lastRenderedPageBreak/>
              <w:t xml:space="preserve">aizpildīšanu un iesniegšanu Civilās aviācijas aģentūrā, </w:t>
            </w:r>
            <w:r w:rsidR="00303F02" w:rsidRPr="00DF4E87">
              <w:rPr>
                <w:rFonts w:eastAsia="Times New Roman"/>
                <w:lang w:eastAsia="lv-LV"/>
              </w:rPr>
              <w:t xml:space="preserve">salona apkalpes locekļiem un </w:t>
            </w:r>
            <w:r w:rsidRPr="00DF4E87">
              <w:rPr>
                <w:rFonts w:eastAsia="Times New Roman"/>
                <w:lang w:eastAsia="lv-LV"/>
              </w:rPr>
              <w:t>instruktoriem nepārsniegs 200 e</w:t>
            </w:r>
            <w:r w:rsidR="007702D1" w:rsidRPr="00DF4E87">
              <w:rPr>
                <w:rFonts w:eastAsia="Times New Roman"/>
                <w:lang w:eastAsia="lv-LV"/>
              </w:rPr>
              <w:t>i</w:t>
            </w:r>
            <w:r w:rsidRPr="00DF4E87">
              <w:rPr>
                <w:rFonts w:eastAsia="Times New Roman"/>
                <w:lang w:eastAsia="lv-LV"/>
              </w:rPr>
              <w:t>ro gadā.</w:t>
            </w:r>
          </w:p>
          <w:p w14:paraId="620411DD" w14:textId="3623322B" w:rsidR="008C0EDC" w:rsidRPr="00DF4E87" w:rsidRDefault="005A2CAC" w:rsidP="009F3BB2">
            <w:pPr>
              <w:spacing w:after="0"/>
              <w:jc w:val="both"/>
              <w:rPr>
                <w:rFonts w:eastAsia="Times New Roman"/>
                <w:lang w:eastAsia="lv-LV"/>
              </w:rPr>
            </w:pPr>
            <w:r w:rsidRPr="00DF4E87">
              <w:rPr>
                <w:rFonts w:eastAsia="Times New Roman"/>
                <w:lang w:eastAsia="lv-LV"/>
              </w:rPr>
              <w:t xml:space="preserve">Administratīvās izmaksas Civilās aviācijas aģentūrai, kuras darbinieks veiks informācijas sniegšanas, pieņemšanas, apkopošanas, apstrādes un uzglabāšanas pienākumus, kas saistīti ar noteikumu projekta </w:t>
            </w:r>
            <w:r w:rsidR="009F3BB2" w:rsidRPr="00DF4E87">
              <w:rPr>
                <w:rFonts w:eastAsia="Times New Roman"/>
                <w:lang w:eastAsia="lv-LV"/>
              </w:rPr>
              <w:t>9</w:t>
            </w:r>
            <w:r w:rsidRPr="00DF4E87">
              <w:rPr>
                <w:rFonts w:eastAsia="Times New Roman"/>
                <w:lang w:eastAsia="lv-LV"/>
              </w:rPr>
              <w:t>.1., 1</w:t>
            </w:r>
            <w:r w:rsidR="009F3BB2" w:rsidRPr="00DF4E87">
              <w:rPr>
                <w:rFonts w:eastAsia="Times New Roman"/>
                <w:lang w:eastAsia="lv-LV"/>
              </w:rPr>
              <w:t>5</w:t>
            </w:r>
            <w:r w:rsidRPr="00DF4E87">
              <w:rPr>
                <w:rFonts w:eastAsia="Times New Roman"/>
                <w:lang w:eastAsia="lv-LV"/>
              </w:rPr>
              <w:t>.1. un 2</w:t>
            </w:r>
            <w:r w:rsidR="009F3BB2" w:rsidRPr="00DF4E87">
              <w:rPr>
                <w:rFonts w:eastAsia="Times New Roman"/>
                <w:lang w:eastAsia="lv-LV"/>
              </w:rPr>
              <w:t>4</w:t>
            </w:r>
            <w:r w:rsidRPr="00DF4E87">
              <w:rPr>
                <w:rFonts w:eastAsia="Times New Roman"/>
                <w:lang w:eastAsia="lv-LV"/>
              </w:rPr>
              <w:t>.1.apakšpunktā minēto iesniegumu izskatīšanu, nepārsniegs 2000 e</w:t>
            </w:r>
            <w:r w:rsidR="007702D1" w:rsidRPr="00DF4E87">
              <w:rPr>
                <w:rFonts w:eastAsia="Times New Roman"/>
                <w:lang w:eastAsia="lv-LV"/>
              </w:rPr>
              <w:t>i</w:t>
            </w:r>
            <w:r w:rsidRPr="00DF4E87">
              <w:rPr>
                <w:rFonts w:eastAsia="Times New Roman"/>
                <w:lang w:eastAsia="lv-LV"/>
              </w:rPr>
              <w:t>ro gadā.</w:t>
            </w:r>
          </w:p>
        </w:tc>
      </w:tr>
      <w:tr w:rsidR="008C0EDC" w:rsidRPr="00DF4E87" w14:paraId="620411E2"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DF"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20411E0" w14:textId="77777777" w:rsidR="008C0EDC" w:rsidRPr="00DF4E87" w:rsidRDefault="008C0EDC" w:rsidP="008C0EDC">
            <w:pPr>
              <w:spacing w:after="0"/>
              <w:rPr>
                <w:rFonts w:eastAsia="Times New Roman"/>
                <w:lang w:eastAsia="lv-LV"/>
              </w:rPr>
            </w:pPr>
            <w:r w:rsidRPr="00DF4E87">
              <w:rPr>
                <w:rFonts w:eastAsia="Times New Roman"/>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20411E1" w14:textId="77777777" w:rsidR="008C0EDC" w:rsidRPr="00DF4E87" w:rsidRDefault="008374B6" w:rsidP="008C0EDC">
            <w:pPr>
              <w:spacing w:after="0"/>
              <w:rPr>
                <w:rFonts w:eastAsia="Times New Roman"/>
                <w:lang w:eastAsia="lv-LV"/>
              </w:rPr>
            </w:pPr>
            <w:r w:rsidRPr="00DF4E87">
              <w:rPr>
                <w:rFonts w:eastAsia="Times New Roman"/>
                <w:lang w:eastAsia="lv-LV"/>
              </w:rPr>
              <w:t>Nav  attiecināms.</w:t>
            </w:r>
          </w:p>
        </w:tc>
      </w:tr>
      <w:tr w:rsidR="008C0EDC" w:rsidRPr="00DF4E87" w14:paraId="620411E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E3"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20411E4" w14:textId="77777777" w:rsidR="008C0EDC" w:rsidRPr="00DF4E87" w:rsidRDefault="008C0EDC" w:rsidP="008C0EDC">
            <w:pPr>
              <w:spacing w:after="0"/>
              <w:rPr>
                <w:rFonts w:eastAsia="Times New Roman"/>
                <w:lang w:eastAsia="lv-LV"/>
              </w:rPr>
            </w:pPr>
            <w:r w:rsidRPr="00DF4E8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20411E5" w14:textId="77777777" w:rsidR="008C0EDC" w:rsidRPr="00DF4E87" w:rsidRDefault="008374B6" w:rsidP="008C0EDC">
            <w:pPr>
              <w:spacing w:after="0"/>
              <w:rPr>
                <w:rFonts w:eastAsia="Times New Roman"/>
                <w:lang w:eastAsia="lv-LV"/>
              </w:rPr>
            </w:pPr>
            <w:r w:rsidRPr="00DF4E87">
              <w:rPr>
                <w:rFonts w:eastAsia="Times New Roman"/>
                <w:lang w:eastAsia="lv-LV"/>
              </w:rPr>
              <w:t>Nav.</w:t>
            </w:r>
          </w:p>
        </w:tc>
      </w:tr>
    </w:tbl>
    <w:p w14:paraId="620411E7" w14:textId="77777777" w:rsidR="008C0EDC" w:rsidRPr="00DF4E8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8C0EDC" w:rsidRPr="00DF4E87" w14:paraId="620411E9" w14:textId="77777777" w:rsidTr="008C0E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411E8" w14:textId="77777777" w:rsidR="008C0EDC" w:rsidRPr="00DF4E87" w:rsidRDefault="008C0EDC" w:rsidP="008C0EDC">
            <w:pPr>
              <w:spacing w:before="100" w:beforeAutospacing="1" w:after="100" w:afterAutospacing="1"/>
              <w:jc w:val="center"/>
              <w:rPr>
                <w:rFonts w:eastAsia="Times New Roman"/>
                <w:b/>
                <w:bCs/>
                <w:lang w:eastAsia="lv-LV"/>
              </w:rPr>
            </w:pPr>
            <w:r w:rsidRPr="00DF4E87">
              <w:rPr>
                <w:rFonts w:eastAsia="Times New Roman"/>
                <w:b/>
                <w:bCs/>
                <w:lang w:eastAsia="lv-LV"/>
              </w:rPr>
              <w:t>III. Tiesību akta projekta ietekme uz valsts budžetu un pašvaldību budžetiem</w:t>
            </w:r>
          </w:p>
        </w:tc>
      </w:tr>
      <w:tr w:rsidR="00E47C0C" w:rsidRPr="00DF4E87" w14:paraId="620411EB" w14:textId="77777777" w:rsidTr="008C0E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0411EA" w14:textId="77777777" w:rsidR="00E47C0C" w:rsidRPr="00DF4E87" w:rsidRDefault="00E47C0C" w:rsidP="008C0EDC">
            <w:pPr>
              <w:spacing w:before="100" w:beforeAutospacing="1" w:after="100" w:afterAutospacing="1"/>
              <w:jc w:val="center"/>
              <w:rPr>
                <w:rFonts w:eastAsia="Times New Roman"/>
                <w:b/>
                <w:bCs/>
                <w:lang w:eastAsia="lv-LV"/>
              </w:rPr>
            </w:pPr>
            <w:r w:rsidRPr="00DF4E87">
              <w:rPr>
                <w:rFonts w:eastAsia="Times New Roman"/>
                <w:lang w:eastAsia="lv-LV"/>
              </w:rPr>
              <w:t>Projekts šo jomu neskar</w:t>
            </w:r>
            <w:r w:rsidR="000270AD" w:rsidRPr="00DF4E87">
              <w:rPr>
                <w:rFonts w:eastAsia="Times New Roman"/>
                <w:lang w:eastAsia="lv-LV"/>
              </w:rPr>
              <w:t>.</w:t>
            </w:r>
          </w:p>
        </w:tc>
      </w:tr>
    </w:tbl>
    <w:p w14:paraId="620411EC" w14:textId="77777777" w:rsidR="008C0EDC" w:rsidRPr="00DF4E8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B0579D" w:rsidRPr="00DF4E87" w14:paraId="7A57DAFD" w14:textId="77777777" w:rsidTr="00B057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8B72B" w14:textId="77777777" w:rsidR="00B0579D" w:rsidRPr="00DF4E87" w:rsidRDefault="00B0579D" w:rsidP="00B0579D">
            <w:pPr>
              <w:spacing w:before="100" w:beforeAutospacing="1" w:after="100" w:afterAutospacing="1" w:line="360" w:lineRule="auto"/>
              <w:ind w:firstLine="300"/>
              <w:jc w:val="center"/>
              <w:rPr>
                <w:rFonts w:eastAsia="Times New Roman"/>
                <w:b/>
                <w:bCs/>
                <w:lang w:eastAsia="lv-LV"/>
              </w:rPr>
            </w:pPr>
            <w:r w:rsidRPr="00DF4E87">
              <w:rPr>
                <w:rFonts w:eastAsia="Times New Roman"/>
                <w:b/>
                <w:bCs/>
                <w:lang w:eastAsia="lv-LV"/>
              </w:rPr>
              <w:t>IV. Tiesību akta projekta ietekme uz spēkā esošo tiesību normu sistēmu</w:t>
            </w:r>
          </w:p>
        </w:tc>
      </w:tr>
      <w:tr w:rsidR="00B0579D" w:rsidRPr="00DF4E87" w14:paraId="04BD5224" w14:textId="77777777" w:rsidTr="00B057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790B1B" w14:textId="0F5AF0FF" w:rsidR="00B0579D" w:rsidRPr="00DF4E87" w:rsidRDefault="00B0579D" w:rsidP="00B0579D">
            <w:pPr>
              <w:spacing w:before="100" w:beforeAutospacing="1" w:after="100" w:afterAutospacing="1" w:line="360" w:lineRule="auto"/>
              <w:jc w:val="center"/>
              <w:rPr>
                <w:rFonts w:eastAsia="Times New Roman"/>
                <w:color w:val="414142"/>
                <w:lang w:eastAsia="lv-LV"/>
              </w:rPr>
            </w:pPr>
            <w:r w:rsidRPr="00DF4E87">
              <w:rPr>
                <w:rFonts w:eastAsia="Times New Roman"/>
                <w:color w:val="414142"/>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ABD391" w14:textId="77777777" w:rsidR="00B0579D" w:rsidRPr="00DF4E87" w:rsidRDefault="00B0579D" w:rsidP="00B0579D">
            <w:pPr>
              <w:spacing w:after="0"/>
              <w:rPr>
                <w:rFonts w:eastAsia="Times New Roman"/>
                <w:lang w:eastAsia="lv-LV"/>
              </w:rPr>
            </w:pPr>
            <w:r w:rsidRPr="00DF4E87">
              <w:rPr>
                <w:rFonts w:eastAsia="Times New Roman"/>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E40F6CE" w14:textId="77777777" w:rsidR="00AC41E8" w:rsidRPr="00DF4E87" w:rsidRDefault="0006195E" w:rsidP="0006195E">
            <w:pPr>
              <w:spacing w:after="0"/>
              <w:jc w:val="both"/>
              <w:rPr>
                <w:rFonts w:eastAsia="Times New Roman"/>
                <w:lang w:eastAsia="lv-LV"/>
              </w:rPr>
            </w:pPr>
            <w:r w:rsidRPr="00DF4E87">
              <w:rPr>
                <w:rFonts w:eastAsia="Times New Roman"/>
                <w:lang w:eastAsia="lv-LV"/>
              </w:rPr>
              <w:t>Līdz ar projekta spēkā stāšanos tiks atzīti par spēku zaudējušiem</w:t>
            </w:r>
            <w:r w:rsidR="00AC41E8" w:rsidRPr="00DF4E87">
              <w:rPr>
                <w:rFonts w:eastAsia="Times New Roman"/>
                <w:lang w:eastAsia="lv-LV"/>
              </w:rPr>
              <w:t>:</w:t>
            </w:r>
          </w:p>
          <w:p w14:paraId="7E662FDD" w14:textId="4A9595B8" w:rsidR="00AC41E8" w:rsidRPr="00DF4E87" w:rsidRDefault="00AC41E8" w:rsidP="00AC41E8">
            <w:pPr>
              <w:spacing w:after="0"/>
              <w:jc w:val="both"/>
              <w:rPr>
                <w:rFonts w:eastAsia="Times New Roman"/>
                <w:lang w:eastAsia="lv-LV"/>
              </w:rPr>
            </w:pPr>
            <w:r w:rsidRPr="00DF4E87">
              <w:rPr>
                <w:rFonts w:eastAsia="Times New Roman"/>
                <w:lang w:eastAsia="lv-LV"/>
              </w:rPr>
              <w:t>1. Ministru kabineta 2013.gada 20.augusta noteikumi Nr.623 “Noteikumi par civilās aviācijas gaisa kuģa salona apkalpes locekļu sagatavošanu un apliecību izsniegšanu” (Latvijas Vēstnesis, 2013, 166.nr.);</w:t>
            </w:r>
          </w:p>
          <w:p w14:paraId="6FE02376" w14:textId="11D54A82" w:rsidR="00B0579D" w:rsidRPr="00DF4E87" w:rsidRDefault="00AC41E8" w:rsidP="00AC41E8">
            <w:pPr>
              <w:spacing w:after="0"/>
              <w:jc w:val="both"/>
              <w:rPr>
                <w:rFonts w:eastAsia="Times New Roman"/>
                <w:lang w:eastAsia="lv-LV"/>
              </w:rPr>
            </w:pPr>
            <w:r w:rsidRPr="00DF4E87">
              <w:rPr>
                <w:rFonts w:eastAsia="Times New Roman"/>
                <w:lang w:eastAsia="lv-LV"/>
              </w:rPr>
              <w:t>2. </w:t>
            </w:r>
            <w:r w:rsidR="0006195E" w:rsidRPr="00DF4E87">
              <w:rPr>
                <w:rFonts w:eastAsia="Times New Roman"/>
                <w:lang w:eastAsia="lv-LV"/>
              </w:rPr>
              <w:t>Ministru kabineta 2012.gada 24.jūlija noteikumi Nr.496 “Noteikumi par kvalifikācijas prasībām personām, kas sagatavo civilās aviācijas gaisa kuģa salona apkalpes locekļus un lidojumu nodrošināšanas darbiniekus” (Latvijas Vēstnesis, 2012, 117.nr.).</w:t>
            </w:r>
          </w:p>
        </w:tc>
      </w:tr>
      <w:tr w:rsidR="00B0579D" w:rsidRPr="00DF4E87" w14:paraId="4E726971" w14:textId="77777777" w:rsidTr="00B057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04F4AF" w14:textId="0D49146E" w:rsidR="00B0579D" w:rsidRPr="00DF4E87" w:rsidRDefault="00B0579D" w:rsidP="00B0579D">
            <w:pPr>
              <w:spacing w:before="100" w:beforeAutospacing="1" w:after="100" w:afterAutospacing="1" w:line="360" w:lineRule="auto"/>
              <w:jc w:val="center"/>
              <w:rPr>
                <w:rFonts w:eastAsia="Times New Roman"/>
                <w:color w:val="414142"/>
                <w:lang w:eastAsia="lv-LV"/>
              </w:rPr>
            </w:pPr>
            <w:r w:rsidRPr="00DF4E87">
              <w:rPr>
                <w:rFonts w:eastAsia="Times New Roman"/>
                <w:color w:val="414142"/>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2BD3F6" w14:textId="77777777" w:rsidR="00B0579D" w:rsidRPr="00DF4E87" w:rsidRDefault="00B0579D" w:rsidP="00B0579D">
            <w:pPr>
              <w:spacing w:after="0"/>
              <w:rPr>
                <w:rFonts w:eastAsia="Times New Roman"/>
                <w:lang w:eastAsia="lv-LV"/>
              </w:rPr>
            </w:pPr>
            <w:r w:rsidRPr="00DF4E87">
              <w:rPr>
                <w:rFonts w:eastAsia="Times New Roman"/>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F6F5DE8" w14:textId="6FD43302" w:rsidR="00B0579D" w:rsidRPr="00DF4E87" w:rsidRDefault="00B167D0" w:rsidP="00B0579D">
            <w:pPr>
              <w:spacing w:after="0"/>
              <w:rPr>
                <w:rFonts w:eastAsia="Times New Roman"/>
                <w:lang w:eastAsia="lv-LV"/>
              </w:rPr>
            </w:pPr>
            <w:r w:rsidRPr="00DF4E87">
              <w:rPr>
                <w:rFonts w:eastAsia="Times New Roman"/>
                <w:lang w:eastAsia="lv-LV"/>
              </w:rPr>
              <w:t>Nav  attiecināms.</w:t>
            </w:r>
          </w:p>
        </w:tc>
      </w:tr>
      <w:tr w:rsidR="00B0579D" w:rsidRPr="00DF4E87" w14:paraId="5C120C72" w14:textId="77777777" w:rsidTr="00B167D0">
        <w:trPr>
          <w:trHeight w:val="287"/>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43FDED" w14:textId="77777777" w:rsidR="00B0579D" w:rsidRPr="00DF4E87" w:rsidRDefault="00B0579D" w:rsidP="00B0579D">
            <w:pPr>
              <w:spacing w:before="100" w:beforeAutospacing="1" w:after="100" w:afterAutospacing="1" w:line="360" w:lineRule="auto"/>
              <w:jc w:val="center"/>
              <w:rPr>
                <w:rFonts w:eastAsia="Times New Roman"/>
                <w:color w:val="414142"/>
                <w:lang w:eastAsia="lv-LV"/>
              </w:rPr>
            </w:pPr>
            <w:r w:rsidRPr="00DF4E87">
              <w:rPr>
                <w:rFonts w:eastAsia="Times New Roman"/>
                <w:color w:val="414142"/>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7139D3" w14:textId="77777777" w:rsidR="00B0579D" w:rsidRPr="00DF4E87" w:rsidRDefault="00B0579D" w:rsidP="00B0579D">
            <w:pPr>
              <w:spacing w:after="0"/>
              <w:rPr>
                <w:rFonts w:eastAsia="Times New Roman"/>
                <w:lang w:eastAsia="lv-LV"/>
              </w:rPr>
            </w:pPr>
            <w:r w:rsidRPr="00DF4E8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C42D7F" w14:textId="22AC81F2" w:rsidR="00B0579D" w:rsidRPr="00DF4E87" w:rsidRDefault="00B167D0" w:rsidP="00B0579D">
            <w:pPr>
              <w:spacing w:after="0"/>
              <w:rPr>
                <w:rFonts w:eastAsia="Times New Roman"/>
                <w:lang w:eastAsia="lv-LV"/>
              </w:rPr>
            </w:pPr>
            <w:r w:rsidRPr="00DF4E87">
              <w:rPr>
                <w:rFonts w:eastAsia="Times New Roman"/>
                <w:lang w:eastAsia="lv-LV"/>
              </w:rPr>
              <w:t>Nav.</w:t>
            </w:r>
          </w:p>
        </w:tc>
      </w:tr>
    </w:tbl>
    <w:p w14:paraId="620411F1" w14:textId="77777777" w:rsidR="008C0EDC" w:rsidRPr="00DF4E8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DF4E87" w14:paraId="620411F3"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0411F2" w14:textId="77777777" w:rsidR="008C0EDC" w:rsidRPr="00DF4E87" w:rsidRDefault="008C0EDC" w:rsidP="008C0EDC">
            <w:pPr>
              <w:spacing w:before="100" w:beforeAutospacing="1" w:after="100" w:afterAutospacing="1"/>
              <w:jc w:val="center"/>
              <w:rPr>
                <w:rFonts w:eastAsia="Times New Roman"/>
                <w:b/>
                <w:bCs/>
                <w:lang w:eastAsia="lv-LV"/>
              </w:rPr>
            </w:pPr>
            <w:r w:rsidRPr="00DF4E87">
              <w:rPr>
                <w:rFonts w:eastAsia="Times New Roman"/>
                <w:b/>
                <w:bCs/>
                <w:lang w:eastAsia="lv-LV"/>
              </w:rPr>
              <w:t>V. Tiesību akta projekta atbilstība Latvijas Republikas starptautiskajām saistībām</w:t>
            </w:r>
          </w:p>
        </w:tc>
      </w:tr>
      <w:tr w:rsidR="008C0EDC" w:rsidRPr="00DF4E87" w14:paraId="620411F9"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F4"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0411F5" w14:textId="77777777" w:rsidR="008C0EDC" w:rsidRPr="00DF4E87" w:rsidRDefault="008C0EDC" w:rsidP="008C0EDC">
            <w:pPr>
              <w:spacing w:after="0"/>
              <w:rPr>
                <w:rFonts w:eastAsia="Times New Roman"/>
                <w:lang w:eastAsia="lv-LV"/>
              </w:rPr>
            </w:pPr>
            <w:r w:rsidRPr="00DF4E87">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620411F8" w14:textId="6A36D471" w:rsidR="00047BBC" w:rsidRPr="00DF4E87" w:rsidRDefault="00EC496F" w:rsidP="00F737FA">
            <w:pPr>
              <w:spacing w:after="0"/>
              <w:jc w:val="both"/>
              <w:rPr>
                <w:rFonts w:eastAsia="Times New Roman"/>
                <w:lang w:eastAsia="lv-LV"/>
              </w:rPr>
            </w:pPr>
            <w:r w:rsidRPr="00DF4E87">
              <w:rPr>
                <w:rFonts w:eastAsia="Times New Roman"/>
                <w:lang w:eastAsia="lv-LV"/>
              </w:rPr>
              <w:t>Eiropas Komisijas 2011.gada 3.novembra Regula (ES) Nr.1178/2011, ar ko nosaka tehniskās prasības un administratīvās procedūras attiecībā uz civilās aviācijas gaisa kuģa apkalpi atbilstīgi Eiropas Parlamenta un Padomes Regulai (EK) Nr.216/2008 (publicēta “Eiropas Savienības Oficiālajā Vēstnesī” L 311, 25.11.2011.)</w:t>
            </w:r>
            <w:r w:rsidR="007D4C75" w:rsidRPr="00DF4E87">
              <w:rPr>
                <w:rFonts w:eastAsia="Times New Roman"/>
                <w:lang w:eastAsia="lv-LV"/>
              </w:rPr>
              <w:t xml:space="preserve"> (turpmāk - regula Nr.1178/2011)</w:t>
            </w:r>
            <w:r w:rsidRPr="00DF4E87">
              <w:rPr>
                <w:rFonts w:eastAsia="Times New Roman"/>
                <w:lang w:eastAsia="lv-LV"/>
              </w:rPr>
              <w:t>.</w:t>
            </w:r>
          </w:p>
        </w:tc>
      </w:tr>
      <w:tr w:rsidR="008C0EDC" w:rsidRPr="00DF4E87" w14:paraId="620411F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FA"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0411FB" w14:textId="77777777" w:rsidR="008C0EDC" w:rsidRPr="00DF4E87" w:rsidRDefault="008C0EDC" w:rsidP="008C0EDC">
            <w:pPr>
              <w:spacing w:after="0"/>
              <w:rPr>
                <w:rFonts w:eastAsia="Times New Roman"/>
                <w:lang w:eastAsia="lv-LV"/>
              </w:rPr>
            </w:pPr>
            <w:r w:rsidRPr="00DF4E87">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620411FC" w14:textId="4CA2F9A6" w:rsidR="008C0EDC" w:rsidRPr="00DF4E87" w:rsidRDefault="00FA1AC8" w:rsidP="00FA1AC8">
            <w:pPr>
              <w:spacing w:after="0"/>
              <w:jc w:val="both"/>
              <w:rPr>
                <w:rFonts w:eastAsia="Times New Roman"/>
                <w:lang w:eastAsia="lv-LV"/>
              </w:rPr>
            </w:pPr>
            <w:r w:rsidRPr="00DF4E87">
              <w:rPr>
                <w:rFonts w:eastAsia="Times New Roman"/>
                <w:lang w:eastAsia="lv-LV"/>
              </w:rPr>
              <w:t xml:space="preserve">Saskaņā ar 1944.gada 7.decembra Konvenciju par starptautisko civilo aviāciju (Latvija </w:t>
            </w:r>
            <w:r w:rsidR="007C57C8" w:rsidRPr="00DF4E87">
              <w:rPr>
                <w:rFonts w:eastAsia="Times New Roman"/>
                <w:lang w:eastAsia="lv-LV"/>
              </w:rPr>
              <w:t>tai pievienojusies 1992.gada 3.</w:t>
            </w:r>
            <w:r w:rsidRPr="00DF4E87">
              <w:rPr>
                <w:rFonts w:eastAsia="Times New Roman"/>
                <w:lang w:eastAsia="lv-LV"/>
              </w:rPr>
              <w:t xml:space="preserve">jūnijā) Starptautiskās civilās aviācijas organizācija (ICAO) ir pilnvarota izdot standartus un </w:t>
            </w:r>
            <w:r w:rsidRPr="00DF4E87">
              <w:rPr>
                <w:rFonts w:eastAsia="Times New Roman"/>
                <w:lang w:eastAsia="lv-LV"/>
              </w:rPr>
              <w:lastRenderedPageBreak/>
              <w:t>rekomendācijas dažādās civilās aviācijas jomās. Latvijas Republikai kā Konvencijas dalībvalstij jānodrošina, lai minētās Konvencijas, kā arī Starptautiskās civilās aviācijas organizācijas (ICAO) prasības tiktu īstenotas.</w:t>
            </w:r>
          </w:p>
          <w:p w14:paraId="620411FD" w14:textId="1A884181" w:rsidR="00FA1AC8" w:rsidRPr="00DF4E87" w:rsidRDefault="009B3082" w:rsidP="0003269E">
            <w:pPr>
              <w:spacing w:after="0"/>
              <w:jc w:val="both"/>
              <w:rPr>
                <w:rFonts w:eastAsia="Times New Roman"/>
                <w:lang w:eastAsia="lv-LV"/>
              </w:rPr>
            </w:pPr>
            <w:r w:rsidRPr="00DF4E87">
              <w:rPr>
                <w:rFonts w:eastAsia="Times New Roman"/>
                <w:lang w:eastAsia="lv-LV"/>
              </w:rPr>
              <w:t>Starptautiskās civilās aviācijas organizācijas (ICAO) dokuments “Apmācību organizācijas apstiprināšanas rokasgrāmata” (</w:t>
            </w:r>
            <w:proofErr w:type="spellStart"/>
            <w:r w:rsidRPr="00DF4E87">
              <w:rPr>
                <w:rFonts w:eastAsia="Times New Roman"/>
                <w:lang w:eastAsia="lv-LV"/>
              </w:rPr>
              <w:t>Doc</w:t>
            </w:r>
            <w:proofErr w:type="spellEnd"/>
            <w:r w:rsidRPr="00DF4E87">
              <w:rPr>
                <w:rFonts w:eastAsia="Times New Roman"/>
                <w:lang w:eastAsia="lv-LV"/>
              </w:rPr>
              <w:t xml:space="preserve"> 9841) un dokuments “Salona apkalpes locekļu drošuma apmācības rokasgrāmata” (</w:t>
            </w:r>
            <w:proofErr w:type="spellStart"/>
            <w:r w:rsidRPr="00DF4E87">
              <w:rPr>
                <w:rFonts w:eastAsia="Times New Roman"/>
                <w:lang w:eastAsia="lv-LV"/>
              </w:rPr>
              <w:t>Doc</w:t>
            </w:r>
            <w:proofErr w:type="spellEnd"/>
            <w:r w:rsidRPr="00DF4E87">
              <w:rPr>
                <w:rFonts w:eastAsia="Times New Roman"/>
                <w:lang w:eastAsia="lv-LV"/>
              </w:rPr>
              <w:t xml:space="preserve"> 10002) nosaka</w:t>
            </w:r>
            <w:r w:rsidR="00157AF7" w:rsidRPr="00DF4E87">
              <w:rPr>
                <w:rFonts w:eastAsia="Times New Roman"/>
                <w:lang w:eastAsia="lv-LV"/>
              </w:rPr>
              <w:t>,</w:t>
            </w:r>
            <w:r w:rsidRPr="00DF4E87">
              <w:rPr>
                <w:rFonts w:eastAsia="Times New Roman"/>
                <w:lang w:eastAsia="lv-LV"/>
              </w:rPr>
              <w:t xml:space="preserve"> kādām prasībām ir jāatbilst apmācību sniedzēja darbības rokasgrāmatai.</w:t>
            </w:r>
          </w:p>
        </w:tc>
      </w:tr>
      <w:tr w:rsidR="008C0EDC" w:rsidRPr="00DF4E87" w14:paraId="62041202"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1FF"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2041200" w14:textId="77777777" w:rsidR="008C0EDC" w:rsidRPr="00DF4E87" w:rsidRDefault="008C0EDC" w:rsidP="008C0EDC">
            <w:pPr>
              <w:spacing w:after="0"/>
              <w:rPr>
                <w:rFonts w:eastAsia="Times New Roman"/>
                <w:lang w:eastAsia="lv-LV"/>
              </w:rPr>
            </w:pPr>
            <w:r w:rsidRPr="00DF4E8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5305ADF" w14:textId="77777777" w:rsidR="00C76770" w:rsidRPr="00DF4E87" w:rsidRDefault="00C76770" w:rsidP="00C76770">
            <w:pPr>
              <w:spacing w:after="0"/>
              <w:jc w:val="both"/>
              <w:rPr>
                <w:rFonts w:eastAsia="Times New Roman"/>
                <w:lang w:eastAsia="lv-LV"/>
              </w:rPr>
            </w:pPr>
            <w:r w:rsidRPr="00DF4E87">
              <w:rPr>
                <w:rFonts w:eastAsia="Times New Roman"/>
                <w:lang w:eastAsia="lv-LV"/>
              </w:rPr>
              <w:t>Starptautiskās civilās aviācijas organizācijas (ICAO) dokuments “Salona apkalpes locekļu drošuma apmācības rokasgrāmata” (</w:t>
            </w:r>
            <w:proofErr w:type="spellStart"/>
            <w:r w:rsidRPr="00DF4E87">
              <w:rPr>
                <w:rFonts w:eastAsia="Times New Roman"/>
                <w:lang w:eastAsia="lv-LV"/>
              </w:rPr>
              <w:t>Doc</w:t>
            </w:r>
            <w:proofErr w:type="spellEnd"/>
            <w:r w:rsidRPr="00DF4E87">
              <w:rPr>
                <w:rFonts w:eastAsia="Times New Roman"/>
                <w:lang w:eastAsia="lv-LV"/>
              </w:rPr>
              <w:t xml:space="preserve"> 10002) ir iedots tulkošanai Valsts valodas centram, pēc minētā dokumenta iztulkošanas tas atbilstoši projekta 12.3.apakšpunktam latviešu valodā tiks publicēts Civilās aviācijas aģentūras tīmekļa vietnē.</w:t>
            </w:r>
          </w:p>
          <w:p w14:paraId="5B1B0D2E" w14:textId="3D4B7FA8" w:rsidR="00C76770" w:rsidRPr="00DF4E87" w:rsidRDefault="00C76770" w:rsidP="00C76770">
            <w:pPr>
              <w:spacing w:after="0"/>
              <w:jc w:val="both"/>
              <w:rPr>
                <w:rFonts w:eastAsia="Times New Roman"/>
                <w:lang w:eastAsia="lv-LV"/>
              </w:rPr>
            </w:pPr>
            <w:r w:rsidRPr="00DF4E87">
              <w:rPr>
                <w:rFonts w:eastAsia="Times New Roman"/>
                <w:lang w:eastAsia="lv-LV"/>
              </w:rPr>
              <w:t>Projekta 25.punktā ir dota atsauce uz Eiropas Aviācijas drošības aģentūras dokumenta “Attiecīgie līdzekļi atbilstības panākšanai un vadlīnijas. ORO daļa” AMC3 ORO.CC.115 (e) punktu</w:t>
            </w:r>
            <w:r w:rsidR="00071FF4" w:rsidRPr="00DF4E87">
              <w:rPr>
                <w:rFonts w:eastAsia="Times New Roman"/>
                <w:lang w:eastAsia="lv-LV"/>
              </w:rPr>
              <w:t>, kurā noteikts, kādām papildu prasībām ir jāatbilst instruktoram, kas veic apmācību salona apkalpes locekļu darba optimizācijas jomā</w:t>
            </w:r>
            <w:r w:rsidRPr="00DF4E87">
              <w:rPr>
                <w:rFonts w:eastAsia="Times New Roman"/>
                <w:lang w:eastAsia="lv-LV"/>
              </w:rPr>
              <w:t>.</w:t>
            </w:r>
          </w:p>
          <w:p w14:paraId="03C1F41A" w14:textId="3803A32E" w:rsidR="00434C84" w:rsidRPr="00DF4E87" w:rsidRDefault="00C76770" w:rsidP="00434C84">
            <w:pPr>
              <w:spacing w:after="0"/>
              <w:jc w:val="both"/>
              <w:rPr>
                <w:rFonts w:eastAsia="Times New Roman"/>
                <w:lang w:eastAsia="lv-LV"/>
              </w:rPr>
            </w:pPr>
            <w:r w:rsidRPr="00DF4E87">
              <w:rPr>
                <w:rFonts w:eastAsia="Times New Roman"/>
                <w:lang w:eastAsia="lv-LV"/>
              </w:rPr>
              <w:t xml:space="preserve">Atbilstoši regulas Nr.216/2008 18.panta (c) punktam  Eiropas </w:t>
            </w:r>
            <w:r w:rsidR="00323971" w:rsidRPr="00DF4E87">
              <w:rPr>
                <w:rFonts w:eastAsia="Times New Roman"/>
                <w:lang w:eastAsia="lv-LV"/>
              </w:rPr>
              <w:t>a</w:t>
            </w:r>
            <w:r w:rsidRPr="00DF4E87">
              <w:rPr>
                <w:rFonts w:eastAsia="Times New Roman"/>
                <w:lang w:eastAsia="lv-LV"/>
              </w:rPr>
              <w:t xml:space="preserve">viācijas drošības aģentūra izdod sertificēšanas specifikācijas un pieļaujamos līdzekļus atbilstības panākšanai, </w:t>
            </w:r>
            <w:r w:rsidR="00434C84" w:rsidRPr="00DF4E87">
              <w:rPr>
                <w:rFonts w:eastAsia="Times New Roman"/>
                <w:lang w:eastAsia="lv-LV"/>
              </w:rPr>
              <w:t>kur tiek sniegtas norādes par šīs regulas un tās īstenošanas noteikumu piemērošanu, kā arī tiek izskaidrots kā izpildāmas īstenošanas regulas prasības.</w:t>
            </w:r>
          </w:p>
          <w:p w14:paraId="62041201" w14:textId="7E97EE47" w:rsidR="00D114D6" w:rsidRPr="00DF4E87" w:rsidRDefault="00C76770" w:rsidP="001A3518">
            <w:pPr>
              <w:spacing w:after="0"/>
              <w:jc w:val="both"/>
              <w:rPr>
                <w:rFonts w:eastAsia="Times New Roman"/>
                <w:lang w:eastAsia="lv-LV"/>
              </w:rPr>
            </w:pPr>
            <w:r w:rsidRPr="00DF4E87">
              <w:rPr>
                <w:rFonts w:eastAsia="Times New Roman"/>
                <w:lang w:eastAsia="lv-LV"/>
              </w:rPr>
              <w:t xml:space="preserve">Atbilstoši Ministru kabineta 2014.gada 23.decembra noteikumu Nr.822 “Civilās aviācijas gaisa kuģa ekspluatanta apliecības izsniegšanas kārtība” 4.2.apakšpunktam, regulas Nr.965/2012 prasību piemērošanai Civilās aviācijas aģentūras tīmekļa vietnē ir publicēts Eiropas </w:t>
            </w:r>
            <w:r w:rsidR="001A3518" w:rsidRPr="00DF4E87">
              <w:rPr>
                <w:rFonts w:eastAsia="Times New Roman"/>
                <w:lang w:eastAsia="lv-LV"/>
              </w:rPr>
              <w:t>a</w:t>
            </w:r>
            <w:r w:rsidRPr="00DF4E87">
              <w:rPr>
                <w:rFonts w:eastAsia="Times New Roman"/>
                <w:lang w:eastAsia="lv-LV"/>
              </w:rPr>
              <w:t>viācijas drošības aģentūras dokumenta “Attiecīgie līdzekļi atbilstības panākšanai un vadlīnijas. ORO daļa” tulkojumus latviešu valodā.</w:t>
            </w:r>
          </w:p>
        </w:tc>
      </w:tr>
    </w:tbl>
    <w:p w14:paraId="62041203" w14:textId="77777777" w:rsidR="008C0EDC" w:rsidRPr="00DF4E8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16"/>
        <w:gridCol w:w="1970"/>
        <w:gridCol w:w="521"/>
        <w:gridCol w:w="610"/>
        <w:gridCol w:w="1288"/>
        <w:gridCol w:w="2471"/>
      </w:tblGrid>
      <w:tr w:rsidR="008C0EDC" w:rsidRPr="00DF4E87" w14:paraId="62041205" w14:textId="77777777" w:rsidTr="008C0E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2041204" w14:textId="77777777" w:rsidR="008C0EDC" w:rsidRPr="00DF4E87" w:rsidRDefault="008C0EDC" w:rsidP="008C0EDC">
            <w:pPr>
              <w:spacing w:before="100" w:beforeAutospacing="1" w:after="100" w:afterAutospacing="1"/>
              <w:jc w:val="center"/>
              <w:rPr>
                <w:rFonts w:eastAsia="Times New Roman"/>
                <w:b/>
                <w:bCs/>
                <w:lang w:eastAsia="lv-LV"/>
              </w:rPr>
            </w:pPr>
            <w:r w:rsidRPr="00DF4E87">
              <w:rPr>
                <w:rFonts w:eastAsia="Times New Roman"/>
                <w:b/>
                <w:bCs/>
                <w:lang w:eastAsia="lv-LV"/>
              </w:rPr>
              <w:t>1. tabula</w:t>
            </w:r>
            <w:r w:rsidRPr="00DF4E87">
              <w:rPr>
                <w:rFonts w:eastAsia="Times New Roman"/>
                <w:b/>
                <w:bCs/>
                <w:lang w:eastAsia="lv-LV"/>
              </w:rPr>
              <w:br/>
              <w:t>Tiesību akta projekta atbilstība ES tiesību aktiem</w:t>
            </w:r>
          </w:p>
        </w:tc>
      </w:tr>
      <w:tr w:rsidR="008C0EDC" w:rsidRPr="00DF4E87" w14:paraId="62041208" w14:textId="77777777" w:rsidTr="00125515">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62041206" w14:textId="77777777" w:rsidR="008C0EDC" w:rsidRPr="00DF4E87" w:rsidRDefault="008C0EDC" w:rsidP="008C0EDC">
            <w:pPr>
              <w:spacing w:after="0"/>
              <w:rPr>
                <w:rFonts w:eastAsia="Times New Roman"/>
                <w:lang w:eastAsia="lv-LV"/>
              </w:rPr>
            </w:pPr>
            <w:r w:rsidRPr="00DF4E87">
              <w:rPr>
                <w:rFonts w:eastAsia="Times New Roman"/>
                <w:lang w:eastAsia="lv-LV"/>
              </w:rPr>
              <w:t>Attiecīgā ES tiesību akta datums, numurs un nosaukums</w:t>
            </w:r>
          </w:p>
        </w:tc>
        <w:tc>
          <w:tcPr>
            <w:tcW w:w="3713" w:type="pct"/>
            <w:gridSpan w:val="5"/>
            <w:tcBorders>
              <w:top w:val="outset" w:sz="6" w:space="0" w:color="auto"/>
              <w:left w:val="outset" w:sz="6" w:space="0" w:color="auto"/>
              <w:bottom w:val="outset" w:sz="6" w:space="0" w:color="auto"/>
              <w:right w:val="outset" w:sz="6" w:space="0" w:color="auto"/>
            </w:tcBorders>
            <w:hideMark/>
          </w:tcPr>
          <w:p w14:paraId="62041207" w14:textId="71A7BA4B" w:rsidR="008C0EDC" w:rsidRPr="00DF4E87" w:rsidRDefault="00F737FA" w:rsidP="00F737FA">
            <w:pPr>
              <w:spacing w:after="0"/>
              <w:jc w:val="both"/>
              <w:rPr>
                <w:rFonts w:eastAsia="Times New Roman"/>
                <w:lang w:eastAsia="lv-LV"/>
              </w:rPr>
            </w:pPr>
            <w:r w:rsidRPr="00DF4E87">
              <w:rPr>
                <w:rFonts w:eastAsia="Times New Roman"/>
                <w:lang w:eastAsia="lv-LV"/>
              </w:rPr>
              <w:t>Eiropas Komisijas 2011.gada 3.novembra Regula (ES) Nr.1178/2011, ar ko nosaka tehniskās prasības un administratīvās procedūras attiecībā uz civilās aviācijas gaisa kuģa apkalpi atbilstīgi Eiropas Parlamenta un Padomes Regulai (EK) Nr.216/2008 (publicēta “Eiropas Savienības Oficiālajā Vēstnesī” L 311, 25.11.2011.) (turpmāk - regula Nr.1178/2011).</w:t>
            </w:r>
          </w:p>
        </w:tc>
      </w:tr>
      <w:tr w:rsidR="006D0DE1" w:rsidRPr="00DF4E87" w14:paraId="6204120D"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vAlign w:val="center"/>
            <w:hideMark/>
          </w:tcPr>
          <w:p w14:paraId="62041209"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A</w:t>
            </w:r>
          </w:p>
        </w:tc>
        <w:tc>
          <w:tcPr>
            <w:tcW w:w="1058" w:type="pct"/>
            <w:tcBorders>
              <w:top w:val="outset" w:sz="6" w:space="0" w:color="auto"/>
              <w:left w:val="outset" w:sz="6" w:space="0" w:color="auto"/>
              <w:bottom w:val="outset" w:sz="6" w:space="0" w:color="auto"/>
              <w:right w:val="outset" w:sz="6" w:space="0" w:color="auto"/>
            </w:tcBorders>
            <w:vAlign w:val="center"/>
            <w:hideMark/>
          </w:tcPr>
          <w:p w14:paraId="6204120A"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B</w:t>
            </w:r>
          </w:p>
        </w:tc>
        <w:tc>
          <w:tcPr>
            <w:tcW w:w="1296" w:type="pct"/>
            <w:gridSpan w:val="3"/>
            <w:tcBorders>
              <w:top w:val="outset" w:sz="6" w:space="0" w:color="auto"/>
              <w:left w:val="outset" w:sz="6" w:space="0" w:color="auto"/>
              <w:bottom w:val="outset" w:sz="6" w:space="0" w:color="auto"/>
              <w:right w:val="outset" w:sz="6" w:space="0" w:color="auto"/>
            </w:tcBorders>
            <w:vAlign w:val="center"/>
            <w:hideMark/>
          </w:tcPr>
          <w:p w14:paraId="6204120B"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C</w:t>
            </w:r>
          </w:p>
        </w:tc>
        <w:tc>
          <w:tcPr>
            <w:tcW w:w="1327" w:type="pct"/>
            <w:tcBorders>
              <w:top w:val="outset" w:sz="6" w:space="0" w:color="auto"/>
              <w:left w:val="outset" w:sz="6" w:space="0" w:color="auto"/>
              <w:bottom w:val="outset" w:sz="6" w:space="0" w:color="auto"/>
              <w:right w:val="outset" w:sz="6" w:space="0" w:color="auto"/>
            </w:tcBorders>
            <w:vAlign w:val="center"/>
            <w:hideMark/>
          </w:tcPr>
          <w:p w14:paraId="6204120C"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D</w:t>
            </w:r>
          </w:p>
        </w:tc>
      </w:tr>
      <w:tr w:rsidR="006D0DE1" w:rsidRPr="00DF4E87" w14:paraId="62041212"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6204120E" w14:textId="77777777" w:rsidR="008C0EDC" w:rsidRPr="00DF4E87" w:rsidRDefault="008C0EDC" w:rsidP="008C0EDC">
            <w:pPr>
              <w:spacing w:after="0"/>
              <w:rPr>
                <w:rFonts w:eastAsia="Times New Roman"/>
                <w:lang w:eastAsia="lv-LV"/>
              </w:rPr>
            </w:pPr>
            <w:r w:rsidRPr="00DF4E87">
              <w:rPr>
                <w:rFonts w:eastAsia="Times New Roman"/>
                <w:lang w:eastAsia="lv-LV"/>
              </w:rPr>
              <w:lastRenderedPageBreak/>
              <w:t>Attiecīgā ES tiesību akta panta numurs (uzskaitot katru tiesību akta vienību - pantu, daļu, punktu, apakšpunktu)</w:t>
            </w:r>
          </w:p>
        </w:tc>
        <w:tc>
          <w:tcPr>
            <w:tcW w:w="1058" w:type="pct"/>
            <w:tcBorders>
              <w:top w:val="outset" w:sz="6" w:space="0" w:color="auto"/>
              <w:left w:val="outset" w:sz="6" w:space="0" w:color="auto"/>
              <w:bottom w:val="outset" w:sz="6" w:space="0" w:color="auto"/>
              <w:right w:val="outset" w:sz="6" w:space="0" w:color="auto"/>
            </w:tcBorders>
            <w:hideMark/>
          </w:tcPr>
          <w:p w14:paraId="6204120F" w14:textId="77777777" w:rsidR="008C0EDC" w:rsidRPr="00DF4E87" w:rsidRDefault="008C0EDC" w:rsidP="008C0EDC">
            <w:pPr>
              <w:spacing w:after="0"/>
              <w:rPr>
                <w:rFonts w:eastAsia="Times New Roman"/>
                <w:lang w:eastAsia="lv-LV"/>
              </w:rPr>
            </w:pPr>
            <w:r w:rsidRPr="00DF4E87">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296" w:type="pct"/>
            <w:gridSpan w:val="3"/>
            <w:tcBorders>
              <w:top w:val="outset" w:sz="6" w:space="0" w:color="auto"/>
              <w:left w:val="outset" w:sz="6" w:space="0" w:color="auto"/>
              <w:bottom w:val="outset" w:sz="6" w:space="0" w:color="auto"/>
              <w:right w:val="outset" w:sz="6" w:space="0" w:color="auto"/>
            </w:tcBorders>
            <w:hideMark/>
          </w:tcPr>
          <w:p w14:paraId="62041210" w14:textId="77777777" w:rsidR="008C0EDC" w:rsidRPr="00DF4E87" w:rsidRDefault="008C0EDC" w:rsidP="008C0EDC">
            <w:pPr>
              <w:spacing w:after="0"/>
              <w:rPr>
                <w:rFonts w:eastAsia="Times New Roman"/>
                <w:lang w:eastAsia="lv-LV"/>
              </w:rPr>
            </w:pPr>
            <w:r w:rsidRPr="00DF4E87">
              <w:rPr>
                <w:rFonts w:eastAsia="Times New Roman"/>
                <w:lang w:eastAsia="lv-LV"/>
              </w:rPr>
              <w:t>Informācija par to, vai šīs tabulas A ailē minētās ES tiesību akta vienības tiek pārņemtas vai ieviestas pilnībā vai daļēji.</w:t>
            </w:r>
            <w:r w:rsidRPr="00DF4E87">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DF4E87">
              <w:rPr>
                <w:rFonts w:eastAsia="Times New Roman"/>
                <w:lang w:eastAsia="lv-LV"/>
              </w:rPr>
              <w:br/>
              <w:t>Norāda institūciju, kas ir atbildīga par šo saistību izpildi pilnībā</w:t>
            </w:r>
          </w:p>
        </w:tc>
        <w:tc>
          <w:tcPr>
            <w:tcW w:w="1327" w:type="pct"/>
            <w:tcBorders>
              <w:top w:val="outset" w:sz="6" w:space="0" w:color="auto"/>
              <w:left w:val="outset" w:sz="6" w:space="0" w:color="auto"/>
              <w:bottom w:val="outset" w:sz="6" w:space="0" w:color="auto"/>
              <w:right w:val="outset" w:sz="6" w:space="0" w:color="auto"/>
            </w:tcBorders>
            <w:hideMark/>
          </w:tcPr>
          <w:p w14:paraId="62041211" w14:textId="77777777" w:rsidR="008C0EDC" w:rsidRPr="00DF4E87" w:rsidRDefault="008C0EDC" w:rsidP="008C0EDC">
            <w:pPr>
              <w:spacing w:after="0"/>
              <w:rPr>
                <w:rFonts w:eastAsia="Times New Roman"/>
                <w:lang w:eastAsia="lv-LV"/>
              </w:rPr>
            </w:pPr>
            <w:r w:rsidRPr="00DF4E87">
              <w:rPr>
                <w:rFonts w:eastAsia="Times New Roman"/>
                <w:lang w:eastAsia="lv-LV"/>
              </w:rPr>
              <w:t>Informācija par to, vai šīs tabulas B ailē minētās projekta vienības paredz stingrākas prasības nekā šīs tabulas A ailē minētās ES tiesību akta vienības.</w:t>
            </w:r>
            <w:r w:rsidRPr="00DF4E87">
              <w:rPr>
                <w:rFonts w:eastAsia="Times New Roman"/>
                <w:lang w:eastAsia="lv-LV"/>
              </w:rPr>
              <w:br/>
              <w:t>Ja projekts satur stingrākas prasības nekā attiecīgais ES tiesību akts, norāda pamatojumu un samērīgumu.</w:t>
            </w:r>
            <w:r w:rsidRPr="00DF4E87">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D0DE1" w:rsidRPr="00DF4E87" w14:paraId="62041218"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62041214" w14:textId="4E1F5230" w:rsidR="000E60B4" w:rsidRPr="00DF4E87" w:rsidRDefault="000E60B4" w:rsidP="00EC6EDB">
            <w:pPr>
              <w:spacing w:after="0"/>
              <w:rPr>
                <w:rFonts w:eastAsia="Times New Roman"/>
                <w:lang w:eastAsia="lv-LV"/>
              </w:rPr>
            </w:pPr>
            <w:r w:rsidRPr="00DF4E87">
              <w:rPr>
                <w:rFonts w:eastAsia="Times New Roman"/>
                <w:lang w:eastAsia="lv-LV"/>
              </w:rPr>
              <w:t>Regula</w:t>
            </w:r>
            <w:r w:rsidR="00EC6EDB" w:rsidRPr="00DF4E87">
              <w:rPr>
                <w:rFonts w:eastAsia="Times New Roman"/>
                <w:lang w:eastAsia="lv-LV"/>
              </w:rPr>
              <w:t>s</w:t>
            </w:r>
            <w:r w:rsidRPr="00DF4E87">
              <w:rPr>
                <w:rFonts w:eastAsia="Times New Roman"/>
                <w:lang w:eastAsia="lv-LV"/>
              </w:rPr>
              <w:t xml:space="preserve"> Nr.</w:t>
            </w:r>
            <w:r w:rsidR="00EC6EDB" w:rsidRPr="00DF4E87">
              <w:rPr>
                <w:rFonts w:eastAsia="Times New Roman"/>
                <w:lang w:eastAsia="lv-LV"/>
              </w:rPr>
              <w:t>1178/2011 2.pants</w:t>
            </w:r>
          </w:p>
        </w:tc>
        <w:tc>
          <w:tcPr>
            <w:tcW w:w="1058" w:type="pct"/>
            <w:tcBorders>
              <w:top w:val="outset" w:sz="6" w:space="0" w:color="auto"/>
              <w:left w:val="outset" w:sz="6" w:space="0" w:color="auto"/>
              <w:bottom w:val="outset" w:sz="6" w:space="0" w:color="auto"/>
              <w:right w:val="outset" w:sz="6" w:space="0" w:color="auto"/>
            </w:tcBorders>
          </w:tcPr>
          <w:p w14:paraId="62041215" w14:textId="4E25FCE0" w:rsidR="000E60B4" w:rsidRPr="00DF4E87" w:rsidRDefault="000E60B4" w:rsidP="008C0EDC">
            <w:pPr>
              <w:spacing w:after="0"/>
              <w:rPr>
                <w:rFonts w:eastAsia="Times New Roman"/>
                <w:lang w:eastAsia="lv-LV"/>
              </w:rPr>
            </w:pPr>
            <w:r w:rsidRPr="00DF4E87">
              <w:rPr>
                <w:rFonts w:eastAsia="Times New Roman"/>
                <w:lang w:eastAsia="lv-LV"/>
              </w:rPr>
              <w:t>2.</w:t>
            </w:r>
            <w:r w:rsidR="00EC6EDB" w:rsidRPr="00DF4E87">
              <w:rPr>
                <w:rFonts w:eastAsia="Times New Roman"/>
                <w:lang w:eastAsia="lv-LV"/>
              </w:rPr>
              <w:t>3.apakš</w:t>
            </w:r>
            <w:r w:rsidRPr="00DF4E87">
              <w:rPr>
                <w:rFonts w:eastAsia="Times New Roman"/>
                <w:lang w:eastAsia="lv-LV"/>
              </w:rPr>
              <w:t>punkts</w:t>
            </w:r>
          </w:p>
        </w:tc>
        <w:tc>
          <w:tcPr>
            <w:tcW w:w="1296" w:type="pct"/>
            <w:gridSpan w:val="3"/>
            <w:tcBorders>
              <w:top w:val="outset" w:sz="6" w:space="0" w:color="auto"/>
              <w:left w:val="outset" w:sz="6" w:space="0" w:color="auto"/>
              <w:bottom w:val="outset" w:sz="6" w:space="0" w:color="auto"/>
              <w:right w:val="outset" w:sz="6" w:space="0" w:color="auto"/>
            </w:tcBorders>
          </w:tcPr>
          <w:p w14:paraId="62041216" w14:textId="77777777" w:rsidR="000E60B4" w:rsidRPr="00DF4E87" w:rsidRDefault="000E60B4" w:rsidP="00AE1150">
            <w:r w:rsidRPr="00DF4E87">
              <w:t>Tiesību norma ieviesta pilnībā</w:t>
            </w:r>
          </w:p>
        </w:tc>
        <w:tc>
          <w:tcPr>
            <w:tcW w:w="1327" w:type="pct"/>
            <w:tcBorders>
              <w:top w:val="outset" w:sz="6" w:space="0" w:color="auto"/>
              <w:left w:val="outset" w:sz="6" w:space="0" w:color="auto"/>
              <w:bottom w:val="outset" w:sz="6" w:space="0" w:color="auto"/>
              <w:right w:val="outset" w:sz="6" w:space="0" w:color="auto"/>
            </w:tcBorders>
          </w:tcPr>
          <w:p w14:paraId="62041217" w14:textId="77777777" w:rsidR="000E60B4" w:rsidRPr="00DF4E87" w:rsidRDefault="000E60B4" w:rsidP="00AE1150">
            <w:r w:rsidRPr="00DF4E87">
              <w:t>Projekts stingrākas prasības neparedz</w:t>
            </w:r>
          </w:p>
        </w:tc>
      </w:tr>
      <w:tr w:rsidR="00150904" w:rsidRPr="00DF4E87" w14:paraId="40698804"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3653BC01" w14:textId="48357B9B" w:rsidR="00150904" w:rsidRPr="00DF4E87" w:rsidRDefault="00150904" w:rsidP="00150904">
            <w:pPr>
              <w:spacing w:after="0"/>
              <w:rPr>
                <w:rFonts w:eastAsia="Times New Roman"/>
                <w:lang w:eastAsia="lv-LV"/>
              </w:rPr>
            </w:pPr>
            <w:r w:rsidRPr="00DF4E87">
              <w:rPr>
                <w:rFonts w:eastAsia="Times New Roman"/>
                <w:lang w:eastAsia="lv-LV"/>
              </w:rPr>
              <w:t>Regulas Nr.1178/2011 V pielikuma CC.CCA.100.punkta b) apakšpunkta 2.</w:t>
            </w:r>
            <w:r w:rsidR="00323E2A" w:rsidRPr="00DF4E87">
              <w:rPr>
                <w:rFonts w:eastAsia="Times New Roman"/>
                <w:lang w:eastAsia="lv-LV"/>
              </w:rPr>
              <w:t>a</w:t>
            </w:r>
            <w:r w:rsidRPr="00DF4E87">
              <w:rPr>
                <w:rFonts w:eastAsia="Times New Roman"/>
                <w:lang w:eastAsia="lv-LV"/>
              </w:rPr>
              <w:t>pakšpunkts</w:t>
            </w:r>
          </w:p>
          <w:p w14:paraId="3379ACD4" w14:textId="35EA4DDF" w:rsidR="00323E2A" w:rsidRPr="00DF4E87" w:rsidRDefault="00323E2A" w:rsidP="00150904">
            <w:pPr>
              <w:spacing w:after="0"/>
              <w:rPr>
                <w:rFonts w:eastAsia="Times New Roman"/>
                <w:lang w:eastAsia="lv-LV"/>
              </w:rPr>
            </w:pPr>
            <w:r w:rsidRPr="00DF4E87">
              <w:rPr>
                <w:rFonts w:eastAsia="Times New Roman"/>
                <w:lang w:eastAsia="lv-LV"/>
              </w:rPr>
              <w:t>VI pielikuma ARA.CC.100.punkta b) apakšpunkta 2.apakšpunktā</w:t>
            </w:r>
          </w:p>
        </w:tc>
        <w:tc>
          <w:tcPr>
            <w:tcW w:w="1058" w:type="pct"/>
            <w:tcBorders>
              <w:top w:val="outset" w:sz="6" w:space="0" w:color="auto"/>
              <w:left w:val="outset" w:sz="6" w:space="0" w:color="auto"/>
              <w:bottom w:val="outset" w:sz="6" w:space="0" w:color="auto"/>
              <w:right w:val="outset" w:sz="6" w:space="0" w:color="auto"/>
            </w:tcBorders>
          </w:tcPr>
          <w:p w14:paraId="5DE80E57" w14:textId="7F48626D" w:rsidR="00150904" w:rsidRPr="00DF4E87" w:rsidRDefault="00150904" w:rsidP="009F3BB2">
            <w:pPr>
              <w:spacing w:after="0"/>
              <w:rPr>
                <w:rFonts w:eastAsia="Times New Roman"/>
                <w:lang w:eastAsia="lv-LV"/>
              </w:rPr>
            </w:pPr>
            <w:r w:rsidRPr="00DF4E87">
              <w:rPr>
                <w:rFonts w:eastAsia="Times New Roman"/>
                <w:lang w:eastAsia="lv-LV"/>
              </w:rPr>
              <w:t>1</w:t>
            </w:r>
            <w:r w:rsidR="009F3BB2" w:rsidRPr="00DF4E87">
              <w:rPr>
                <w:rFonts w:eastAsia="Times New Roman"/>
                <w:lang w:eastAsia="lv-LV"/>
              </w:rPr>
              <w:t>6</w:t>
            </w:r>
            <w:r w:rsidRPr="00DF4E87">
              <w:rPr>
                <w:rFonts w:eastAsia="Times New Roman"/>
                <w:lang w:eastAsia="lv-LV"/>
              </w:rPr>
              <w:t>.punkts</w:t>
            </w:r>
          </w:p>
        </w:tc>
        <w:tc>
          <w:tcPr>
            <w:tcW w:w="1296" w:type="pct"/>
            <w:gridSpan w:val="3"/>
            <w:tcBorders>
              <w:top w:val="outset" w:sz="6" w:space="0" w:color="auto"/>
              <w:left w:val="outset" w:sz="6" w:space="0" w:color="auto"/>
              <w:bottom w:val="outset" w:sz="6" w:space="0" w:color="auto"/>
              <w:right w:val="outset" w:sz="6" w:space="0" w:color="auto"/>
            </w:tcBorders>
          </w:tcPr>
          <w:p w14:paraId="2A7B0AD4" w14:textId="31203B90" w:rsidR="00150904" w:rsidRPr="00DF4E87" w:rsidRDefault="00150904" w:rsidP="00C45E26">
            <w:r w:rsidRPr="00DF4E87">
              <w:t>Tiesību norma ieviesta pilnībā</w:t>
            </w:r>
          </w:p>
        </w:tc>
        <w:tc>
          <w:tcPr>
            <w:tcW w:w="1327" w:type="pct"/>
            <w:tcBorders>
              <w:top w:val="outset" w:sz="6" w:space="0" w:color="auto"/>
              <w:left w:val="outset" w:sz="6" w:space="0" w:color="auto"/>
              <w:bottom w:val="outset" w:sz="6" w:space="0" w:color="auto"/>
              <w:right w:val="outset" w:sz="6" w:space="0" w:color="auto"/>
            </w:tcBorders>
          </w:tcPr>
          <w:p w14:paraId="4D5B3E15" w14:textId="3C99CEEA" w:rsidR="00150904" w:rsidRPr="00DF4E87" w:rsidRDefault="00150904" w:rsidP="00C45E26">
            <w:r w:rsidRPr="00DF4E87">
              <w:t>Projekts stingrākas prasības neparedz</w:t>
            </w:r>
          </w:p>
        </w:tc>
      </w:tr>
      <w:tr w:rsidR="00997485" w:rsidRPr="00DF4E87" w14:paraId="36AE5B0A"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031E9C44" w14:textId="77777777" w:rsidR="00D71163" w:rsidRPr="00DF4E87" w:rsidRDefault="00997485" w:rsidP="00D71163">
            <w:pPr>
              <w:spacing w:after="0"/>
              <w:rPr>
                <w:rFonts w:eastAsia="Times New Roman"/>
                <w:lang w:eastAsia="lv-LV"/>
              </w:rPr>
            </w:pPr>
            <w:r w:rsidRPr="00DF4E87">
              <w:rPr>
                <w:rFonts w:eastAsia="Times New Roman"/>
                <w:lang w:eastAsia="lv-LV"/>
              </w:rPr>
              <w:t xml:space="preserve">Regulas Nr.1178/2011 </w:t>
            </w:r>
            <w:r w:rsidR="00D71163" w:rsidRPr="00DF4E87">
              <w:rPr>
                <w:rFonts w:eastAsia="Times New Roman"/>
                <w:lang w:eastAsia="lv-LV"/>
              </w:rPr>
              <w:t>VI pielikuma ARA.CC.100.punkta C) apakšpunkta 2.apakšpunkts</w:t>
            </w:r>
          </w:p>
          <w:p w14:paraId="51BAC152" w14:textId="5893121E" w:rsidR="00D71163" w:rsidRPr="00DF4E87" w:rsidRDefault="00D71163" w:rsidP="00D71163">
            <w:pPr>
              <w:spacing w:after="0"/>
              <w:rPr>
                <w:rFonts w:eastAsia="Times New Roman"/>
                <w:lang w:eastAsia="lv-LV"/>
              </w:rPr>
            </w:pPr>
            <w:r w:rsidRPr="00DF4E87">
              <w:rPr>
                <w:rFonts w:eastAsia="Times New Roman"/>
                <w:lang w:eastAsia="lv-LV"/>
              </w:rPr>
              <w:t>VI pielikuma ARA.</w:t>
            </w:r>
            <w:r w:rsidRPr="00DF4E87">
              <w:t xml:space="preserve"> </w:t>
            </w:r>
            <w:r w:rsidRPr="00DF4E87">
              <w:rPr>
                <w:rFonts w:eastAsia="Times New Roman"/>
                <w:lang w:eastAsia="lv-LV"/>
              </w:rPr>
              <w:t xml:space="preserve">GEN.220.punkta b) apakšpunkts </w:t>
            </w:r>
          </w:p>
        </w:tc>
        <w:tc>
          <w:tcPr>
            <w:tcW w:w="1058" w:type="pct"/>
            <w:tcBorders>
              <w:top w:val="outset" w:sz="6" w:space="0" w:color="auto"/>
              <w:left w:val="outset" w:sz="6" w:space="0" w:color="auto"/>
              <w:bottom w:val="outset" w:sz="6" w:space="0" w:color="auto"/>
              <w:right w:val="outset" w:sz="6" w:space="0" w:color="auto"/>
            </w:tcBorders>
          </w:tcPr>
          <w:p w14:paraId="04974E0B" w14:textId="16F4E264" w:rsidR="00997485" w:rsidRPr="00DF4E87" w:rsidRDefault="009F3BB2" w:rsidP="00997485">
            <w:pPr>
              <w:spacing w:after="0"/>
              <w:rPr>
                <w:rFonts w:eastAsia="Times New Roman"/>
                <w:lang w:eastAsia="lv-LV"/>
              </w:rPr>
            </w:pPr>
            <w:r w:rsidRPr="00DF4E87">
              <w:rPr>
                <w:rFonts w:eastAsia="Times New Roman"/>
                <w:lang w:eastAsia="lv-LV"/>
              </w:rPr>
              <w:t>5</w:t>
            </w:r>
            <w:r w:rsidR="00997485" w:rsidRPr="00DF4E87">
              <w:rPr>
                <w:rFonts w:eastAsia="Times New Roman"/>
                <w:lang w:eastAsia="lv-LV"/>
              </w:rPr>
              <w:t>.punkts</w:t>
            </w:r>
          </w:p>
        </w:tc>
        <w:tc>
          <w:tcPr>
            <w:tcW w:w="1296" w:type="pct"/>
            <w:gridSpan w:val="3"/>
            <w:tcBorders>
              <w:top w:val="outset" w:sz="6" w:space="0" w:color="auto"/>
              <w:left w:val="outset" w:sz="6" w:space="0" w:color="auto"/>
              <w:bottom w:val="outset" w:sz="6" w:space="0" w:color="auto"/>
              <w:right w:val="outset" w:sz="6" w:space="0" w:color="auto"/>
            </w:tcBorders>
          </w:tcPr>
          <w:p w14:paraId="3B99BB03" w14:textId="379C775D" w:rsidR="00997485" w:rsidRPr="00DF4E87" w:rsidRDefault="00997485" w:rsidP="00C45E26">
            <w:r w:rsidRPr="00DF4E87">
              <w:t>Tiesību norma ieviesta pilnībā</w:t>
            </w:r>
          </w:p>
        </w:tc>
        <w:tc>
          <w:tcPr>
            <w:tcW w:w="1327" w:type="pct"/>
            <w:tcBorders>
              <w:top w:val="outset" w:sz="6" w:space="0" w:color="auto"/>
              <w:left w:val="outset" w:sz="6" w:space="0" w:color="auto"/>
              <w:bottom w:val="outset" w:sz="6" w:space="0" w:color="auto"/>
              <w:right w:val="outset" w:sz="6" w:space="0" w:color="auto"/>
            </w:tcBorders>
          </w:tcPr>
          <w:p w14:paraId="13A832B7" w14:textId="089BF26C" w:rsidR="00997485" w:rsidRPr="00DF4E87" w:rsidRDefault="00997485" w:rsidP="00C45E26">
            <w:r w:rsidRPr="00DF4E87">
              <w:t>Projekts stingrākas prasības neparedz</w:t>
            </w:r>
          </w:p>
        </w:tc>
      </w:tr>
      <w:tr w:rsidR="006D0DE1" w:rsidRPr="00DF4E87" w14:paraId="6204121D"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62041219" w14:textId="5D08B74D" w:rsidR="000E60B4" w:rsidRPr="00DF4E87" w:rsidRDefault="000E60B4" w:rsidP="00EC6EDB">
            <w:pPr>
              <w:spacing w:after="0"/>
              <w:rPr>
                <w:rFonts w:eastAsia="Times New Roman"/>
                <w:lang w:eastAsia="lv-LV"/>
              </w:rPr>
            </w:pPr>
            <w:r w:rsidRPr="00DF4E87">
              <w:rPr>
                <w:rFonts w:eastAsia="Times New Roman"/>
                <w:lang w:eastAsia="lv-LV"/>
              </w:rPr>
              <w:t>Regula</w:t>
            </w:r>
            <w:r w:rsidR="00EC6EDB" w:rsidRPr="00DF4E87">
              <w:rPr>
                <w:rFonts w:eastAsia="Times New Roman"/>
                <w:lang w:eastAsia="lv-LV"/>
              </w:rPr>
              <w:t>s</w:t>
            </w:r>
            <w:r w:rsidRPr="00DF4E87">
              <w:rPr>
                <w:rFonts w:eastAsia="Times New Roman"/>
                <w:lang w:eastAsia="lv-LV"/>
              </w:rPr>
              <w:t xml:space="preserve"> </w:t>
            </w:r>
            <w:r w:rsidR="00EC6EDB" w:rsidRPr="00DF4E87">
              <w:rPr>
                <w:rFonts w:eastAsia="Times New Roman"/>
                <w:lang w:eastAsia="lv-LV"/>
              </w:rPr>
              <w:t>Nr.1178/2011 VI pielikuma ARA.CC.200.punkts</w:t>
            </w:r>
          </w:p>
        </w:tc>
        <w:tc>
          <w:tcPr>
            <w:tcW w:w="1058" w:type="pct"/>
            <w:tcBorders>
              <w:top w:val="outset" w:sz="6" w:space="0" w:color="auto"/>
              <w:left w:val="outset" w:sz="6" w:space="0" w:color="auto"/>
              <w:bottom w:val="outset" w:sz="6" w:space="0" w:color="auto"/>
              <w:right w:val="outset" w:sz="6" w:space="0" w:color="auto"/>
            </w:tcBorders>
          </w:tcPr>
          <w:p w14:paraId="0E572B2A" w14:textId="4B9DD44B" w:rsidR="000E60B4" w:rsidRPr="00DF4E87" w:rsidRDefault="009F3BB2" w:rsidP="00EC6EDB">
            <w:pPr>
              <w:spacing w:after="0"/>
              <w:rPr>
                <w:rFonts w:eastAsia="Times New Roman"/>
                <w:lang w:eastAsia="lv-LV"/>
              </w:rPr>
            </w:pPr>
            <w:r w:rsidRPr="00DF4E87">
              <w:rPr>
                <w:rFonts w:eastAsia="Times New Roman"/>
                <w:lang w:eastAsia="lv-LV"/>
              </w:rPr>
              <w:t>7</w:t>
            </w:r>
            <w:r w:rsidR="00EC6EDB" w:rsidRPr="00DF4E87">
              <w:rPr>
                <w:rFonts w:eastAsia="Times New Roman"/>
                <w:lang w:eastAsia="lv-LV"/>
              </w:rPr>
              <w:t>.punkts</w:t>
            </w:r>
          </w:p>
          <w:p w14:paraId="7D003A00" w14:textId="00E62368" w:rsidR="00EC6EDB" w:rsidRPr="00DF4E87" w:rsidRDefault="009F3BB2" w:rsidP="00EC6EDB">
            <w:pPr>
              <w:spacing w:after="0"/>
              <w:rPr>
                <w:rFonts w:eastAsia="Times New Roman"/>
                <w:lang w:eastAsia="lv-LV"/>
              </w:rPr>
            </w:pPr>
            <w:r w:rsidRPr="00DF4E87">
              <w:rPr>
                <w:rFonts w:eastAsia="Times New Roman"/>
                <w:lang w:eastAsia="lv-LV"/>
              </w:rPr>
              <w:t>9</w:t>
            </w:r>
            <w:r w:rsidR="00EC6EDB" w:rsidRPr="00DF4E87">
              <w:rPr>
                <w:rFonts w:eastAsia="Times New Roman"/>
                <w:lang w:eastAsia="lv-LV"/>
              </w:rPr>
              <w:t>.2.apakšpunkts</w:t>
            </w:r>
          </w:p>
          <w:p w14:paraId="1B42338A" w14:textId="17E8FE50" w:rsidR="001206A9" w:rsidRPr="00DF4E87" w:rsidRDefault="001206A9" w:rsidP="001206A9">
            <w:pPr>
              <w:spacing w:after="0"/>
              <w:rPr>
                <w:rFonts w:eastAsia="Times New Roman"/>
                <w:lang w:eastAsia="lv-LV"/>
              </w:rPr>
            </w:pPr>
            <w:r w:rsidRPr="00DF4E87">
              <w:rPr>
                <w:rFonts w:eastAsia="Times New Roman"/>
                <w:lang w:eastAsia="lv-LV"/>
              </w:rPr>
              <w:t>1</w:t>
            </w:r>
            <w:r w:rsidR="009F3BB2" w:rsidRPr="00DF4E87">
              <w:rPr>
                <w:rFonts w:eastAsia="Times New Roman"/>
                <w:lang w:eastAsia="lv-LV"/>
              </w:rPr>
              <w:t>0</w:t>
            </w:r>
            <w:r w:rsidRPr="00DF4E87">
              <w:rPr>
                <w:rFonts w:eastAsia="Times New Roman"/>
                <w:lang w:eastAsia="lv-LV"/>
              </w:rPr>
              <w:t>.2.apakšpunkts</w:t>
            </w:r>
          </w:p>
          <w:p w14:paraId="6204121A" w14:textId="6070F903" w:rsidR="00204E1B" w:rsidRPr="00DF4E87" w:rsidRDefault="00204E1B" w:rsidP="009F3BB2">
            <w:pPr>
              <w:spacing w:after="0"/>
              <w:rPr>
                <w:rFonts w:eastAsia="Times New Roman"/>
                <w:lang w:eastAsia="lv-LV"/>
              </w:rPr>
            </w:pPr>
            <w:r w:rsidRPr="00DF4E87">
              <w:rPr>
                <w:rFonts w:eastAsia="Times New Roman"/>
                <w:lang w:eastAsia="lv-LV"/>
              </w:rPr>
              <w:lastRenderedPageBreak/>
              <w:t>1</w:t>
            </w:r>
            <w:r w:rsidR="009F3BB2" w:rsidRPr="00DF4E87">
              <w:rPr>
                <w:rFonts w:eastAsia="Times New Roman"/>
                <w:lang w:eastAsia="lv-LV"/>
              </w:rPr>
              <w:t>1</w:t>
            </w:r>
            <w:r w:rsidRPr="00DF4E87">
              <w:rPr>
                <w:rFonts w:eastAsia="Times New Roman"/>
                <w:lang w:eastAsia="lv-LV"/>
              </w:rPr>
              <w:t>.2.apakšpunkts</w:t>
            </w:r>
          </w:p>
        </w:tc>
        <w:tc>
          <w:tcPr>
            <w:tcW w:w="1296" w:type="pct"/>
            <w:gridSpan w:val="3"/>
            <w:tcBorders>
              <w:top w:val="outset" w:sz="6" w:space="0" w:color="auto"/>
              <w:left w:val="outset" w:sz="6" w:space="0" w:color="auto"/>
              <w:bottom w:val="outset" w:sz="6" w:space="0" w:color="auto"/>
              <w:right w:val="outset" w:sz="6" w:space="0" w:color="auto"/>
            </w:tcBorders>
          </w:tcPr>
          <w:p w14:paraId="6204121B" w14:textId="77777777" w:rsidR="000E60B4" w:rsidRPr="00DF4E87" w:rsidRDefault="000E60B4" w:rsidP="00C45E26">
            <w:r w:rsidRPr="00DF4E87">
              <w:lastRenderedPageBreak/>
              <w:t>Tiesību norma ieviesta pilnībā</w:t>
            </w:r>
          </w:p>
        </w:tc>
        <w:tc>
          <w:tcPr>
            <w:tcW w:w="1327" w:type="pct"/>
            <w:tcBorders>
              <w:top w:val="outset" w:sz="6" w:space="0" w:color="auto"/>
              <w:left w:val="outset" w:sz="6" w:space="0" w:color="auto"/>
              <w:bottom w:val="outset" w:sz="6" w:space="0" w:color="auto"/>
              <w:right w:val="outset" w:sz="6" w:space="0" w:color="auto"/>
            </w:tcBorders>
          </w:tcPr>
          <w:p w14:paraId="6204121C" w14:textId="77777777" w:rsidR="000E60B4" w:rsidRPr="00DF4E87" w:rsidRDefault="000E60B4" w:rsidP="00C45E26">
            <w:r w:rsidRPr="00DF4E87">
              <w:t>Projekts stingrākas prasības neparedz</w:t>
            </w:r>
          </w:p>
        </w:tc>
      </w:tr>
      <w:tr w:rsidR="00690D47" w:rsidRPr="00DF4E87" w14:paraId="628C43B5"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723D586C" w14:textId="60B0E419" w:rsidR="006D0DE1" w:rsidRPr="00DF4E87" w:rsidRDefault="006D0DE1" w:rsidP="00EC6EDB">
            <w:pPr>
              <w:spacing w:after="0"/>
              <w:rPr>
                <w:rFonts w:eastAsia="Times New Roman"/>
                <w:lang w:eastAsia="lv-LV"/>
              </w:rPr>
            </w:pPr>
            <w:r w:rsidRPr="00DF4E87">
              <w:rPr>
                <w:lang w:eastAsia="lv-LV"/>
              </w:rPr>
              <w:t>Regulas Nr.1178/2011 V pielikuma CC daļas 1.papildinājums</w:t>
            </w:r>
          </w:p>
        </w:tc>
        <w:tc>
          <w:tcPr>
            <w:tcW w:w="1058" w:type="pct"/>
            <w:tcBorders>
              <w:top w:val="outset" w:sz="6" w:space="0" w:color="auto"/>
              <w:left w:val="outset" w:sz="6" w:space="0" w:color="auto"/>
              <w:bottom w:val="outset" w:sz="6" w:space="0" w:color="auto"/>
              <w:right w:val="outset" w:sz="6" w:space="0" w:color="auto"/>
            </w:tcBorders>
          </w:tcPr>
          <w:p w14:paraId="2201E534" w14:textId="690DC509" w:rsidR="006D0DE1" w:rsidRPr="00DF4E87" w:rsidRDefault="009F3BB2" w:rsidP="00EC6EDB">
            <w:pPr>
              <w:spacing w:after="0"/>
              <w:rPr>
                <w:rFonts w:eastAsia="Times New Roman"/>
                <w:lang w:eastAsia="lv-LV"/>
              </w:rPr>
            </w:pPr>
            <w:r w:rsidRPr="00DF4E87">
              <w:rPr>
                <w:rFonts w:eastAsia="Times New Roman"/>
                <w:lang w:eastAsia="lv-LV"/>
              </w:rPr>
              <w:t>9</w:t>
            </w:r>
            <w:r w:rsidR="006D0DE1" w:rsidRPr="00DF4E87">
              <w:rPr>
                <w:rFonts w:eastAsia="Times New Roman"/>
                <w:lang w:eastAsia="lv-LV"/>
              </w:rPr>
              <w:t>.4.apakšpunkts</w:t>
            </w:r>
          </w:p>
          <w:p w14:paraId="7B60FDB0" w14:textId="504CE3CD" w:rsidR="006D0DE1" w:rsidRPr="00DF4E87" w:rsidRDefault="006D0DE1" w:rsidP="001206A9">
            <w:pPr>
              <w:spacing w:after="0"/>
              <w:rPr>
                <w:rFonts w:eastAsia="Times New Roman"/>
                <w:lang w:eastAsia="lv-LV"/>
              </w:rPr>
            </w:pPr>
            <w:r w:rsidRPr="00DF4E87">
              <w:rPr>
                <w:rFonts w:eastAsia="Times New Roman"/>
                <w:lang w:eastAsia="lv-LV"/>
              </w:rPr>
              <w:t>1</w:t>
            </w:r>
            <w:r w:rsidR="009F3BB2" w:rsidRPr="00DF4E87">
              <w:rPr>
                <w:rFonts w:eastAsia="Times New Roman"/>
                <w:lang w:eastAsia="lv-LV"/>
              </w:rPr>
              <w:t>0</w:t>
            </w:r>
            <w:r w:rsidRPr="00DF4E87">
              <w:rPr>
                <w:rFonts w:eastAsia="Times New Roman"/>
                <w:lang w:eastAsia="lv-LV"/>
              </w:rPr>
              <w:t>.4.apakšpunkts</w:t>
            </w:r>
          </w:p>
          <w:p w14:paraId="52F133C9" w14:textId="30CC2124" w:rsidR="006D0DE1" w:rsidRPr="00DF4E87" w:rsidRDefault="006D0DE1" w:rsidP="000D573D">
            <w:pPr>
              <w:spacing w:after="0"/>
              <w:rPr>
                <w:rFonts w:eastAsia="Times New Roman"/>
                <w:lang w:eastAsia="lv-LV"/>
              </w:rPr>
            </w:pPr>
            <w:r w:rsidRPr="00DF4E87">
              <w:rPr>
                <w:rFonts w:eastAsia="Times New Roman"/>
                <w:lang w:eastAsia="lv-LV"/>
              </w:rPr>
              <w:t>1</w:t>
            </w:r>
            <w:r w:rsidR="009F3BB2" w:rsidRPr="00DF4E87">
              <w:rPr>
                <w:rFonts w:eastAsia="Times New Roman"/>
                <w:lang w:eastAsia="lv-LV"/>
              </w:rPr>
              <w:t>1</w:t>
            </w:r>
            <w:r w:rsidRPr="00DF4E87">
              <w:rPr>
                <w:rFonts w:eastAsia="Times New Roman"/>
                <w:lang w:eastAsia="lv-LV"/>
              </w:rPr>
              <w:t>.4.apakšpunkts</w:t>
            </w:r>
          </w:p>
          <w:p w14:paraId="5C96A45F" w14:textId="22202A9C" w:rsidR="006D0DE1" w:rsidRPr="00DF4E87" w:rsidRDefault="006D0DE1" w:rsidP="00F44000">
            <w:pPr>
              <w:spacing w:after="0"/>
              <w:rPr>
                <w:rFonts w:eastAsia="Times New Roman"/>
                <w:lang w:eastAsia="lv-LV"/>
              </w:rPr>
            </w:pPr>
            <w:r w:rsidRPr="00DF4E87">
              <w:rPr>
                <w:rFonts w:eastAsia="Times New Roman"/>
                <w:lang w:eastAsia="lv-LV"/>
              </w:rPr>
              <w:t>1</w:t>
            </w:r>
            <w:r w:rsidR="009F3BB2" w:rsidRPr="00DF4E87">
              <w:rPr>
                <w:rFonts w:eastAsia="Times New Roman"/>
                <w:lang w:eastAsia="lv-LV"/>
              </w:rPr>
              <w:t>5</w:t>
            </w:r>
            <w:r w:rsidRPr="00DF4E87">
              <w:rPr>
                <w:rFonts w:eastAsia="Times New Roman"/>
                <w:lang w:eastAsia="lv-LV"/>
              </w:rPr>
              <w:t>.2.apakšpunkts</w:t>
            </w:r>
          </w:p>
          <w:p w14:paraId="479F3AC9" w14:textId="759E4564" w:rsidR="00724D02" w:rsidRPr="00DF4E87" w:rsidRDefault="00724D02" w:rsidP="00F44000">
            <w:pPr>
              <w:spacing w:after="0"/>
              <w:rPr>
                <w:rFonts w:eastAsia="Times New Roman"/>
                <w:lang w:eastAsia="lv-LV"/>
              </w:rPr>
            </w:pPr>
            <w:r w:rsidRPr="00DF4E87">
              <w:rPr>
                <w:rFonts w:eastAsia="Times New Roman"/>
                <w:lang w:eastAsia="lv-LV"/>
              </w:rPr>
              <w:t>2.pielikums</w:t>
            </w:r>
          </w:p>
          <w:p w14:paraId="36760D36" w14:textId="09B4B846" w:rsidR="006D0DE1" w:rsidRPr="00DF4E87" w:rsidRDefault="00125515" w:rsidP="00991AE1">
            <w:pPr>
              <w:spacing w:after="0"/>
              <w:rPr>
                <w:rFonts w:eastAsia="Times New Roman"/>
                <w:lang w:eastAsia="lv-LV"/>
              </w:rPr>
            </w:pPr>
            <w:r w:rsidRPr="00DF4E87">
              <w:rPr>
                <w:rFonts w:eastAsia="Times New Roman"/>
                <w:lang w:eastAsia="lv-LV"/>
              </w:rPr>
              <w:t>3.pielikums</w:t>
            </w:r>
          </w:p>
        </w:tc>
        <w:tc>
          <w:tcPr>
            <w:tcW w:w="1296" w:type="pct"/>
            <w:gridSpan w:val="3"/>
            <w:tcBorders>
              <w:top w:val="outset" w:sz="6" w:space="0" w:color="auto"/>
              <w:left w:val="outset" w:sz="6" w:space="0" w:color="auto"/>
              <w:bottom w:val="outset" w:sz="6" w:space="0" w:color="auto"/>
              <w:right w:val="outset" w:sz="6" w:space="0" w:color="auto"/>
            </w:tcBorders>
          </w:tcPr>
          <w:p w14:paraId="69E5B2B2" w14:textId="0FB44E22" w:rsidR="006D0DE1" w:rsidRPr="00DF4E87" w:rsidRDefault="006D0DE1" w:rsidP="00C45E26">
            <w:r w:rsidRPr="00DF4E87">
              <w:t>Tiesību norma ieviesta pilnībā</w:t>
            </w:r>
          </w:p>
        </w:tc>
        <w:tc>
          <w:tcPr>
            <w:tcW w:w="1327" w:type="pct"/>
            <w:tcBorders>
              <w:top w:val="outset" w:sz="6" w:space="0" w:color="auto"/>
              <w:left w:val="outset" w:sz="6" w:space="0" w:color="auto"/>
              <w:bottom w:val="outset" w:sz="6" w:space="0" w:color="auto"/>
              <w:right w:val="outset" w:sz="6" w:space="0" w:color="auto"/>
            </w:tcBorders>
          </w:tcPr>
          <w:p w14:paraId="2C054DF4" w14:textId="13262607" w:rsidR="006D0DE1" w:rsidRPr="00DF4E87" w:rsidRDefault="006D0DE1" w:rsidP="00C45E26">
            <w:r w:rsidRPr="00DF4E87">
              <w:t>Projekts stingrākas prasības neparedz</w:t>
            </w:r>
          </w:p>
        </w:tc>
      </w:tr>
      <w:tr w:rsidR="00690D47" w:rsidRPr="00DF4E87" w14:paraId="0DDE3A53"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123BEBAD" w14:textId="14FBF711" w:rsidR="006D0DE1" w:rsidRPr="00DF4E87" w:rsidRDefault="006D0DE1" w:rsidP="00EC6EDB">
            <w:pPr>
              <w:spacing w:after="0"/>
              <w:rPr>
                <w:rFonts w:eastAsia="Times New Roman"/>
                <w:lang w:eastAsia="lv-LV"/>
              </w:rPr>
            </w:pPr>
            <w:r w:rsidRPr="00DF4E87">
              <w:rPr>
                <w:rFonts w:eastAsia="Times New Roman"/>
                <w:lang w:eastAsia="lv-LV"/>
              </w:rPr>
              <w:t>Regulas Nr. 1178/2011 VI pielikuma ARA daļas II papildinājums</w:t>
            </w:r>
          </w:p>
        </w:tc>
        <w:tc>
          <w:tcPr>
            <w:tcW w:w="1058" w:type="pct"/>
            <w:tcBorders>
              <w:top w:val="outset" w:sz="6" w:space="0" w:color="auto"/>
              <w:left w:val="outset" w:sz="6" w:space="0" w:color="auto"/>
              <w:bottom w:val="outset" w:sz="6" w:space="0" w:color="auto"/>
              <w:right w:val="outset" w:sz="6" w:space="0" w:color="auto"/>
            </w:tcBorders>
          </w:tcPr>
          <w:p w14:paraId="20DC53AC" w14:textId="372B8AA5" w:rsidR="006D0DE1" w:rsidRPr="00DF4E87" w:rsidRDefault="009F3BB2" w:rsidP="00B87E74">
            <w:pPr>
              <w:spacing w:after="0"/>
              <w:rPr>
                <w:rFonts w:eastAsia="Times New Roman"/>
                <w:lang w:eastAsia="lv-LV"/>
              </w:rPr>
            </w:pPr>
            <w:r w:rsidRPr="00DF4E87">
              <w:rPr>
                <w:rFonts w:eastAsia="Times New Roman"/>
                <w:lang w:eastAsia="lv-LV"/>
              </w:rPr>
              <w:t>9</w:t>
            </w:r>
            <w:r w:rsidR="006D0DE1" w:rsidRPr="00DF4E87">
              <w:rPr>
                <w:rFonts w:eastAsia="Times New Roman"/>
                <w:lang w:eastAsia="lv-LV"/>
              </w:rPr>
              <w:t>.6.apakšpunkts</w:t>
            </w:r>
          </w:p>
          <w:p w14:paraId="4651D646" w14:textId="1C72A05A" w:rsidR="006D0DE1" w:rsidRPr="00DF4E87" w:rsidRDefault="006D0DE1" w:rsidP="00B87E74">
            <w:pPr>
              <w:spacing w:after="0"/>
              <w:rPr>
                <w:rFonts w:eastAsia="Times New Roman"/>
                <w:lang w:eastAsia="lv-LV"/>
              </w:rPr>
            </w:pPr>
            <w:r w:rsidRPr="00DF4E87">
              <w:rPr>
                <w:rFonts w:eastAsia="Times New Roman"/>
                <w:lang w:eastAsia="lv-LV"/>
              </w:rPr>
              <w:t>1</w:t>
            </w:r>
            <w:r w:rsidR="009F3BB2" w:rsidRPr="00DF4E87">
              <w:rPr>
                <w:rFonts w:eastAsia="Times New Roman"/>
                <w:lang w:eastAsia="lv-LV"/>
              </w:rPr>
              <w:t>6</w:t>
            </w:r>
            <w:r w:rsidRPr="00DF4E87">
              <w:rPr>
                <w:rFonts w:eastAsia="Times New Roman"/>
                <w:lang w:eastAsia="lv-LV"/>
              </w:rPr>
              <w:t>.punkta ievaddaļa</w:t>
            </w:r>
          </w:p>
          <w:p w14:paraId="1FCCF73C" w14:textId="3738ED07" w:rsidR="00724D02" w:rsidRPr="00DF4E87" w:rsidRDefault="00724D02" w:rsidP="00724D02">
            <w:pPr>
              <w:spacing w:after="0"/>
              <w:rPr>
                <w:rFonts w:eastAsia="Times New Roman"/>
                <w:lang w:eastAsia="lv-LV"/>
              </w:rPr>
            </w:pPr>
            <w:r w:rsidRPr="00DF4E87">
              <w:rPr>
                <w:rFonts w:eastAsia="Times New Roman"/>
                <w:lang w:eastAsia="lv-LV"/>
              </w:rPr>
              <w:t>2.pielikums</w:t>
            </w:r>
          </w:p>
        </w:tc>
        <w:tc>
          <w:tcPr>
            <w:tcW w:w="1296" w:type="pct"/>
            <w:gridSpan w:val="3"/>
            <w:tcBorders>
              <w:top w:val="outset" w:sz="6" w:space="0" w:color="auto"/>
              <w:left w:val="outset" w:sz="6" w:space="0" w:color="auto"/>
              <w:bottom w:val="outset" w:sz="6" w:space="0" w:color="auto"/>
              <w:right w:val="outset" w:sz="6" w:space="0" w:color="auto"/>
            </w:tcBorders>
          </w:tcPr>
          <w:p w14:paraId="153572CB" w14:textId="40F79908" w:rsidR="006D0DE1" w:rsidRPr="00DF4E87" w:rsidRDefault="006D0DE1" w:rsidP="00C45E26">
            <w:r w:rsidRPr="00DF4E87">
              <w:t>Tiesību norma ieviesta pilnībā</w:t>
            </w:r>
          </w:p>
        </w:tc>
        <w:tc>
          <w:tcPr>
            <w:tcW w:w="1327" w:type="pct"/>
            <w:tcBorders>
              <w:top w:val="outset" w:sz="6" w:space="0" w:color="auto"/>
              <w:left w:val="outset" w:sz="6" w:space="0" w:color="auto"/>
              <w:bottom w:val="outset" w:sz="6" w:space="0" w:color="auto"/>
              <w:right w:val="outset" w:sz="6" w:space="0" w:color="auto"/>
            </w:tcBorders>
          </w:tcPr>
          <w:p w14:paraId="3E819FDA" w14:textId="75B69E98" w:rsidR="006D0DE1" w:rsidRPr="00DF4E87" w:rsidRDefault="006D0DE1" w:rsidP="00C45E26">
            <w:r w:rsidRPr="00DF4E87">
              <w:t>Projekts stingrākas prasības neparedz</w:t>
            </w:r>
          </w:p>
        </w:tc>
      </w:tr>
      <w:tr w:rsidR="00690D47" w:rsidRPr="00DF4E87" w14:paraId="6BC53BBE"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1699A69D" w14:textId="38915027" w:rsidR="006D0DE1" w:rsidRPr="00DF4E87" w:rsidRDefault="006D0DE1" w:rsidP="000D573D">
            <w:pPr>
              <w:spacing w:after="0"/>
              <w:rPr>
                <w:rFonts w:eastAsia="Times New Roman"/>
                <w:lang w:eastAsia="lv-LV"/>
              </w:rPr>
            </w:pPr>
            <w:r w:rsidRPr="00DF4E87">
              <w:rPr>
                <w:rFonts w:eastAsia="Times New Roman"/>
                <w:lang w:eastAsia="lv-LV"/>
              </w:rPr>
              <w:t>Regulas Nr.1178/2011 V pielikuma CC.GEN.020.punkts</w:t>
            </w:r>
          </w:p>
        </w:tc>
        <w:tc>
          <w:tcPr>
            <w:tcW w:w="1058" w:type="pct"/>
            <w:tcBorders>
              <w:top w:val="outset" w:sz="6" w:space="0" w:color="auto"/>
              <w:left w:val="outset" w:sz="6" w:space="0" w:color="auto"/>
              <w:bottom w:val="outset" w:sz="6" w:space="0" w:color="auto"/>
              <w:right w:val="outset" w:sz="6" w:space="0" w:color="auto"/>
            </w:tcBorders>
          </w:tcPr>
          <w:p w14:paraId="26182864" w14:textId="747E7050" w:rsidR="006D0DE1" w:rsidRPr="00DF4E87" w:rsidRDefault="006D0DE1" w:rsidP="000D573D">
            <w:pPr>
              <w:spacing w:after="0"/>
              <w:rPr>
                <w:rFonts w:eastAsia="Times New Roman"/>
                <w:lang w:eastAsia="lv-LV"/>
              </w:rPr>
            </w:pPr>
            <w:r w:rsidRPr="00DF4E87">
              <w:rPr>
                <w:rFonts w:eastAsia="Times New Roman"/>
                <w:lang w:eastAsia="lv-LV"/>
              </w:rPr>
              <w:t>1</w:t>
            </w:r>
            <w:r w:rsidR="000C3C2C" w:rsidRPr="00DF4E87">
              <w:rPr>
                <w:rFonts w:eastAsia="Times New Roman"/>
                <w:lang w:eastAsia="lv-LV"/>
              </w:rPr>
              <w:t>5</w:t>
            </w:r>
            <w:r w:rsidRPr="00DF4E87">
              <w:rPr>
                <w:rFonts w:eastAsia="Times New Roman"/>
                <w:lang w:eastAsia="lv-LV"/>
              </w:rPr>
              <w:t>.punkta ievaddaļa</w:t>
            </w:r>
          </w:p>
          <w:p w14:paraId="1F998D89" w14:textId="31A7A22D" w:rsidR="006D0DE1" w:rsidRPr="00DF4E87" w:rsidRDefault="006D0DE1" w:rsidP="000C3C2C">
            <w:pPr>
              <w:spacing w:after="0"/>
              <w:rPr>
                <w:rFonts w:eastAsia="Times New Roman"/>
                <w:lang w:eastAsia="lv-LV"/>
              </w:rPr>
            </w:pPr>
            <w:r w:rsidRPr="00DF4E87">
              <w:rPr>
                <w:rFonts w:eastAsia="Times New Roman"/>
                <w:lang w:eastAsia="lv-LV"/>
              </w:rPr>
              <w:t>1</w:t>
            </w:r>
            <w:r w:rsidR="000C3C2C" w:rsidRPr="00DF4E87">
              <w:rPr>
                <w:rFonts w:eastAsia="Times New Roman"/>
                <w:lang w:eastAsia="lv-LV"/>
              </w:rPr>
              <w:t>6</w:t>
            </w:r>
            <w:r w:rsidRPr="00DF4E87">
              <w:rPr>
                <w:rFonts w:eastAsia="Times New Roman"/>
                <w:lang w:eastAsia="lv-LV"/>
              </w:rPr>
              <w:t>.1.apakšpunkts</w:t>
            </w:r>
          </w:p>
        </w:tc>
        <w:tc>
          <w:tcPr>
            <w:tcW w:w="1296" w:type="pct"/>
            <w:gridSpan w:val="3"/>
            <w:tcBorders>
              <w:top w:val="outset" w:sz="6" w:space="0" w:color="auto"/>
              <w:left w:val="outset" w:sz="6" w:space="0" w:color="auto"/>
              <w:bottom w:val="outset" w:sz="6" w:space="0" w:color="auto"/>
              <w:right w:val="outset" w:sz="6" w:space="0" w:color="auto"/>
            </w:tcBorders>
          </w:tcPr>
          <w:p w14:paraId="60D77298" w14:textId="728966A5" w:rsidR="006D0DE1" w:rsidRPr="00DF4E87" w:rsidRDefault="006D0DE1" w:rsidP="00C45E26">
            <w:r w:rsidRPr="00DF4E87">
              <w:t>Tiesību norma ieviesta pilnībā</w:t>
            </w:r>
          </w:p>
        </w:tc>
        <w:tc>
          <w:tcPr>
            <w:tcW w:w="1327" w:type="pct"/>
            <w:tcBorders>
              <w:top w:val="outset" w:sz="6" w:space="0" w:color="auto"/>
              <w:left w:val="outset" w:sz="6" w:space="0" w:color="auto"/>
              <w:bottom w:val="outset" w:sz="6" w:space="0" w:color="auto"/>
              <w:right w:val="outset" w:sz="6" w:space="0" w:color="auto"/>
            </w:tcBorders>
          </w:tcPr>
          <w:p w14:paraId="44542967" w14:textId="1C33CD9E" w:rsidR="006D0DE1" w:rsidRPr="00DF4E87" w:rsidRDefault="006D0DE1" w:rsidP="00C45E26">
            <w:r w:rsidRPr="00DF4E87">
              <w:t>Projekts stingrākas prasības neparedz</w:t>
            </w:r>
          </w:p>
        </w:tc>
      </w:tr>
      <w:tr w:rsidR="00690D47" w:rsidRPr="00DF4E87" w14:paraId="3F84B283"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2B3CE9F2" w14:textId="37619579" w:rsidR="006D0DE1" w:rsidRPr="00DF4E87" w:rsidRDefault="006D0DE1" w:rsidP="005A684F">
            <w:pPr>
              <w:spacing w:after="0"/>
              <w:rPr>
                <w:rFonts w:eastAsia="Times New Roman"/>
                <w:lang w:eastAsia="lv-LV"/>
              </w:rPr>
            </w:pPr>
            <w:r w:rsidRPr="00DF4E87">
              <w:rPr>
                <w:rFonts w:eastAsia="Times New Roman"/>
                <w:lang w:eastAsia="lv-LV"/>
              </w:rPr>
              <w:t>Regulas Nr.1178/2011 V pielikuma CC.CCA.105.punkts</w:t>
            </w:r>
          </w:p>
        </w:tc>
        <w:tc>
          <w:tcPr>
            <w:tcW w:w="1058" w:type="pct"/>
            <w:tcBorders>
              <w:top w:val="outset" w:sz="6" w:space="0" w:color="auto"/>
              <w:left w:val="outset" w:sz="6" w:space="0" w:color="auto"/>
              <w:bottom w:val="outset" w:sz="6" w:space="0" w:color="auto"/>
              <w:right w:val="outset" w:sz="6" w:space="0" w:color="auto"/>
            </w:tcBorders>
          </w:tcPr>
          <w:p w14:paraId="5AE7AB86" w14:textId="07056E98" w:rsidR="006D0DE1" w:rsidRPr="00DF4E87" w:rsidRDefault="006D0DE1" w:rsidP="000C3C2C">
            <w:pPr>
              <w:spacing w:after="0"/>
              <w:rPr>
                <w:rFonts w:eastAsia="Times New Roman"/>
                <w:lang w:eastAsia="lv-LV"/>
              </w:rPr>
            </w:pPr>
            <w:r w:rsidRPr="00DF4E87">
              <w:rPr>
                <w:rFonts w:eastAsia="Times New Roman"/>
                <w:lang w:eastAsia="lv-LV"/>
              </w:rPr>
              <w:t>1</w:t>
            </w:r>
            <w:r w:rsidR="000C3C2C" w:rsidRPr="00DF4E87">
              <w:rPr>
                <w:rFonts w:eastAsia="Times New Roman"/>
                <w:lang w:eastAsia="lv-LV"/>
              </w:rPr>
              <w:t>6</w:t>
            </w:r>
            <w:r w:rsidRPr="00DF4E87">
              <w:rPr>
                <w:rFonts w:eastAsia="Times New Roman"/>
                <w:lang w:eastAsia="lv-LV"/>
              </w:rPr>
              <w:t>.punkta ievaddaļa</w:t>
            </w:r>
          </w:p>
        </w:tc>
        <w:tc>
          <w:tcPr>
            <w:tcW w:w="1296" w:type="pct"/>
            <w:gridSpan w:val="3"/>
            <w:tcBorders>
              <w:top w:val="outset" w:sz="6" w:space="0" w:color="auto"/>
              <w:left w:val="outset" w:sz="6" w:space="0" w:color="auto"/>
              <w:bottom w:val="outset" w:sz="6" w:space="0" w:color="auto"/>
              <w:right w:val="outset" w:sz="6" w:space="0" w:color="auto"/>
            </w:tcBorders>
          </w:tcPr>
          <w:p w14:paraId="04AC1FE1" w14:textId="13967F6F" w:rsidR="006D0DE1" w:rsidRPr="00DF4E87" w:rsidRDefault="006D0DE1" w:rsidP="00C45E26">
            <w:r w:rsidRPr="00DF4E87">
              <w:t>Tiesību norma ieviesta pilnībā</w:t>
            </w:r>
          </w:p>
        </w:tc>
        <w:tc>
          <w:tcPr>
            <w:tcW w:w="1327" w:type="pct"/>
            <w:tcBorders>
              <w:top w:val="outset" w:sz="6" w:space="0" w:color="auto"/>
              <w:left w:val="outset" w:sz="6" w:space="0" w:color="auto"/>
              <w:bottom w:val="outset" w:sz="6" w:space="0" w:color="auto"/>
              <w:right w:val="outset" w:sz="6" w:space="0" w:color="auto"/>
            </w:tcBorders>
          </w:tcPr>
          <w:p w14:paraId="5A4FB94D" w14:textId="0FA36F36" w:rsidR="006D0DE1" w:rsidRPr="00DF4E87" w:rsidRDefault="006D0DE1" w:rsidP="00C45E26">
            <w:r w:rsidRPr="00DF4E87">
              <w:t>Projekts stingrākas prasības neparedz</w:t>
            </w:r>
          </w:p>
        </w:tc>
      </w:tr>
      <w:tr w:rsidR="006D0DE1" w:rsidRPr="00DF4E87" w14:paraId="63178BE9"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44AAB0C5" w14:textId="3E18CF0B" w:rsidR="006D0DE1" w:rsidRPr="00DF4E87" w:rsidRDefault="006D0DE1" w:rsidP="005A684F">
            <w:pPr>
              <w:spacing w:after="0"/>
              <w:rPr>
                <w:rFonts w:eastAsia="Times New Roman"/>
                <w:lang w:eastAsia="lv-LV"/>
              </w:rPr>
            </w:pPr>
            <w:r w:rsidRPr="00DF4E87">
              <w:rPr>
                <w:lang w:eastAsia="lv-LV"/>
              </w:rPr>
              <w:t>Regulas Nr.1178/2011 VI pielikuma ARA.CC.105.punkta a) apakšpunkts</w:t>
            </w:r>
          </w:p>
        </w:tc>
        <w:tc>
          <w:tcPr>
            <w:tcW w:w="1058" w:type="pct"/>
            <w:tcBorders>
              <w:top w:val="outset" w:sz="6" w:space="0" w:color="auto"/>
              <w:left w:val="outset" w:sz="6" w:space="0" w:color="auto"/>
              <w:bottom w:val="outset" w:sz="6" w:space="0" w:color="auto"/>
              <w:right w:val="outset" w:sz="6" w:space="0" w:color="auto"/>
            </w:tcBorders>
          </w:tcPr>
          <w:p w14:paraId="634C44C4" w14:textId="76707350" w:rsidR="006D0DE1" w:rsidRPr="00DF4E87" w:rsidRDefault="000C3C2C" w:rsidP="000C3C2C">
            <w:pPr>
              <w:spacing w:after="0"/>
              <w:rPr>
                <w:rFonts w:eastAsia="Times New Roman"/>
                <w:lang w:eastAsia="lv-LV"/>
              </w:rPr>
            </w:pPr>
            <w:r w:rsidRPr="00DF4E87">
              <w:rPr>
                <w:rFonts w:eastAsia="Times New Roman"/>
                <w:lang w:eastAsia="lv-LV"/>
              </w:rPr>
              <w:t>18</w:t>
            </w:r>
            <w:r w:rsidR="006D0DE1" w:rsidRPr="00DF4E87">
              <w:rPr>
                <w:rFonts w:eastAsia="Times New Roman"/>
                <w:lang w:eastAsia="lv-LV"/>
              </w:rPr>
              <w:t>.punkts</w:t>
            </w:r>
          </w:p>
        </w:tc>
        <w:tc>
          <w:tcPr>
            <w:tcW w:w="1296" w:type="pct"/>
            <w:gridSpan w:val="3"/>
            <w:tcBorders>
              <w:top w:val="outset" w:sz="6" w:space="0" w:color="auto"/>
              <w:left w:val="outset" w:sz="6" w:space="0" w:color="auto"/>
              <w:bottom w:val="outset" w:sz="6" w:space="0" w:color="auto"/>
              <w:right w:val="outset" w:sz="6" w:space="0" w:color="auto"/>
            </w:tcBorders>
          </w:tcPr>
          <w:p w14:paraId="7FF6ECD0" w14:textId="599DE2C4" w:rsidR="006D0DE1" w:rsidRPr="00DF4E87" w:rsidRDefault="006D0DE1" w:rsidP="00C45E26">
            <w:r w:rsidRPr="00DF4E87">
              <w:t>Tiesību norma ieviesta pilnībā</w:t>
            </w:r>
          </w:p>
        </w:tc>
        <w:tc>
          <w:tcPr>
            <w:tcW w:w="1327" w:type="pct"/>
            <w:tcBorders>
              <w:top w:val="outset" w:sz="6" w:space="0" w:color="auto"/>
              <w:left w:val="outset" w:sz="6" w:space="0" w:color="auto"/>
              <w:bottom w:val="outset" w:sz="6" w:space="0" w:color="auto"/>
              <w:right w:val="outset" w:sz="6" w:space="0" w:color="auto"/>
            </w:tcBorders>
          </w:tcPr>
          <w:p w14:paraId="3EE7F10E" w14:textId="1911507F" w:rsidR="006D0DE1" w:rsidRPr="00DF4E87" w:rsidRDefault="006D0DE1" w:rsidP="00C45E26">
            <w:r w:rsidRPr="00DF4E87">
              <w:t>Projekts stingrākas prasības neparedz</w:t>
            </w:r>
          </w:p>
        </w:tc>
      </w:tr>
      <w:tr w:rsidR="006D0DE1" w:rsidRPr="00DF4E87" w14:paraId="62041225"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6204121E" w14:textId="1BDDD384" w:rsidR="006D0DE1" w:rsidRPr="00DF4E87" w:rsidRDefault="006D0DE1" w:rsidP="00CB27EE">
            <w:pPr>
              <w:spacing w:after="0"/>
              <w:rPr>
                <w:rFonts w:eastAsia="Times New Roman"/>
                <w:lang w:eastAsia="lv-LV"/>
              </w:rPr>
            </w:pPr>
            <w:r w:rsidRPr="00DF4E87">
              <w:rPr>
                <w:lang w:eastAsia="lv-LV"/>
              </w:rPr>
              <w:t>Regulas Nr.1178/2011 VI pielikuma ARA.CC.105.punkta b), c) un d) apakšpunkts</w:t>
            </w:r>
          </w:p>
        </w:tc>
        <w:tc>
          <w:tcPr>
            <w:tcW w:w="1058" w:type="pct"/>
            <w:tcBorders>
              <w:top w:val="outset" w:sz="6" w:space="0" w:color="auto"/>
              <w:left w:val="outset" w:sz="6" w:space="0" w:color="auto"/>
              <w:bottom w:val="outset" w:sz="6" w:space="0" w:color="auto"/>
              <w:right w:val="outset" w:sz="6" w:space="0" w:color="auto"/>
            </w:tcBorders>
          </w:tcPr>
          <w:p w14:paraId="5A06AA91" w14:textId="5304C9CF" w:rsidR="006D0DE1" w:rsidRPr="00DF4E87" w:rsidRDefault="00A967B7" w:rsidP="00CB27EE">
            <w:pPr>
              <w:spacing w:after="0"/>
              <w:rPr>
                <w:rFonts w:eastAsia="Times New Roman"/>
                <w:lang w:eastAsia="lv-LV"/>
              </w:rPr>
            </w:pPr>
            <w:r w:rsidRPr="00DF4E87">
              <w:rPr>
                <w:rFonts w:eastAsia="Times New Roman"/>
                <w:lang w:eastAsia="lv-LV"/>
              </w:rPr>
              <w:t>19</w:t>
            </w:r>
            <w:r w:rsidR="006D0DE1" w:rsidRPr="00DF4E87">
              <w:rPr>
                <w:rFonts w:eastAsia="Times New Roman"/>
                <w:lang w:eastAsia="lv-LV"/>
              </w:rPr>
              <w:t>.2.apakšpunkts</w:t>
            </w:r>
          </w:p>
          <w:p w14:paraId="62041222" w14:textId="6ED7F249" w:rsidR="006D0DE1" w:rsidRPr="00DF4E87" w:rsidRDefault="006D0DE1" w:rsidP="008C0EDC">
            <w:pPr>
              <w:spacing w:after="0"/>
              <w:rPr>
                <w:rFonts w:eastAsia="Times New Roman"/>
                <w:lang w:eastAsia="lv-LV"/>
              </w:rPr>
            </w:pPr>
          </w:p>
        </w:tc>
        <w:tc>
          <w:tcPr>
            <w:tcW w:w="1296" w:type="pct"/>
            <w:gridSpan w:val="3"/>
            <w:tcBorders>
              <w:top w:val="outset" w:sz="6" w:space="0" w:color="auto"/>
              <w:left w:val="outset" w:sz="6" w:space="0" w:color="auto"/>
              <w:bottom w:val="outset" w:sz="6" w:space="0" w:color="auto"/>
              <w:right w:val="outset" w:sz="6" w:space="0" w:color="auto"/>
            </w:tcBorders>
          </w:tcPr>
          <w:p w14:paraId="62041223" w14:textId="6A47075E" w:rsidR="006D0DE1" w:rsidRPr="00DF4E87" w:rsidRDefault="006D0DE1" w:rsidP="00C45E26">
            <w:r w:rsidRPr="00DF4E87">
              <w:t>Tiesību norma ieviesta pilnībā</w:t>
            </w:r>
          </w:p>
        </w:tc>
        <w:tc>
          <w:tcPr>
            <w:tcW w:w="1327" w:type="pct"/>
            <w:tcBorders>
              <w:top w:val="outset" w:sz="6" w:space="0" w:color="auto"/>
              <w:left w:val="outset" w:sz="6" w:space="0" w:color="auto"/>
              <w:bottom w:val="outset" w:sz="6" w:space="0" w:color="auto"/>
              <w:right w:val="outset" w:sz="6" w:space="0" w:color="auto"/>
            </w:tcBorders>
          </w:tcPr>
          <w:p w14:paraId="62041224" w14:textId="41F28F12" w:rsidR="006D0DE1" w:rsidRPr="00DF4E87" w:rsidRDefault="006D0DE1" w:rsidP="00C45E26">
            <w:r w:rsidRPr="00DF4E87">
              <w:t>Projekts stingrākas prasības neparedz</w:t>
            </w:r>
          </w:p>
        </w:tc>
      </w:tr>
      <w:tr w:rsidR="00DF165B" w:rsidRPr="00DF4E87" w14:paraId="04B81FD5" w14:textId="77777777" w:rsidTr="00636429">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3E842134" w14:textId="1F199304" w:rsidR="00DF165B" w:rsidRPr="00DF4E87" w:rsidRDefault="00DF165B" w:rsidP="00DF165B">
            <w:pPr>
              <w:spacing w:after="0"/>
              <w:rPr>
                <w:lang w:eastAsia="lv-LV"/>
              </w:rPr>
            </w:pPr>
            <w:r w:rsidRPr="00DF4E87">
              <w:rPr>
                <w:lang w:eastAsia="lv-LV"/>
              </w:rPr>
              <w:t>Regulas Nr.1178/2011 V pielikuma CC.GEN.015.punkts un VI pielikuma ARA.GEN.315.punkts</w:t>
            </w:r>
          </w:p>
        </w:tc>
        <w:tc>
          <w:tcPr>
            <w:tcW w:w="1058" w:type="pct"/>
            <w:tcBorders>
              <w:top w:val="outset" w:sz="6" w:space="0" w:color="auto"/>
              <w:left w:val="outset" w:sz="6" w:space="0" w:color="auto"/>
              <w:bottom w:val="outset" w:sz="6" w:space="0" w:color="auto"/>
              <w:right w:val="outset" w:sz="6" w:space="0" w:color="auto"/>
            </w:tcBorders>
          </w:tcPr>
          <w:p w14:paraId="6DFA8B66" w14:textId="07544528" w:rsidR="00DF165B" w:rsidRPr="00DF4E87" w:rsidRDefault="00DF165B" w:rsidP="00CB27EE">
            <w:pPr>
              <w:spacing w:after="0"/>
              <w:rPr>
                <w:rFonts w:eastAsia="Times New Roman"/>
                <w:lang w:eastAsia="lv-LV"/>
              </w:rPr>
            </w:pPr>
            <w:r w:rsidRPr="00DF4E87">
              <w:rPr>
                <w:rFonts w:eastAsia="Times New Roman"/>
                <w:lang w:eastAsia="lv-LV"/>
              </w:rPr>
              <w:t>3.pielikums</w:t>
            </w:r>
          </w:p>
        </w:tc>
        <w:tc>
          <w:tcPr>
            <w:tcW w:w="1296" w:type="pct"/>
            <w:gridSpan w:val="3"/>
            <w:tcBorders>
              <w:top w:val="outset" w:sz="6" w:space="0" w:color="auto"/>
              <w:left w:val="outset" w:sz="6" w:space="0" w:color="auto"/>
              <w:bottom w:val="outset" w:sz="6" w:space="0" w:color="auto"/>
              <w:right w:val="outset" w:sz="6" w:space="0" w:color="auto"/>
            </w:tcBorders>
          </w:tcPr>
          <w:p w14:paraId="3FC2BB25" w14:textId="131CE25E" w:rsidR="00DF165B" w:rsidRPr="00DF4E87" w:rsidRDefault="00DF165B" w:rsidP="00C45E26">
            <w:r w:rsidRPr="00DF4E87">
              <w:t>Tiesību norma ieviesta pilnībā</w:t>
            </w:r>
          </w:p>
        </w:tc>
        <w:tc>
          <w:tcPr>
            <w:tcW w:w="1327" w:type="pct"/>
            <w:tcBorders>
              <w:top w:val="outset" w:sz="6" w:space="0" w:color="auto"/>
              <w:left w:val="outset" w:sz="6" w:space="0" w:color="auto"/>
              <w:bottom w:val="outset" w:sz="6" w:space="0" w:color="auto"/>
              <w:right w:val="outset" w:sz="6" w:space="0" w:color="auto"/>
            </w:tcBorders>
          </w:tcPr>
          <w:p w14:paraId="2C925448" w14:textId="5624F29C" w:rsidR="00DF165B" w:rsidRPr="00DF4E87" w:rsidRDefault="00DF165B" w:rsidP="00C45E26">
            <w:r w:rsidRPr="00DF4E87">
              <w:t>Projekts stingrākas prasības neparedz</w:t>
            </w:r>
          </w:p>
        </w:tc>
      </w:tr>
      <w:tr w:rsidR="000E60B4" w:rsidRPr="00DF4E87" w14:paraId="6204122F" w14:textId="77777777" w:rsidTr="00636429">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14:paraId="6204122D" w14:textId="77777777" w:rsidR="000E60B4" w:rsidRPr="00DF4E87" w:rsidRDefault="000E60B4" w:rsidP="008C0EDC">
            <w:pPr>
              <w:spacing w:after="0"/>
              <w:rPr>
                <w:rFonts w:eastAsia="Times New Roman"/>
                <w:lang w:eastAsia="lv-LV"/>
              </w:rPr>
            </w:pPr>
            <w:r w:rsidRPr="00DF4E87">
              <w:rPr>
                <w:rFonts w:eastAsia="Times New Roman"/>
                <w:lang w:eastAsia="lv-LV"/>
              </w:rPr>
              <w:t>Kā ir izmantota ES tiesību aktā paredzētā rīcības brīvība dalībvalstij pārņemt vai ieviest noteiktas ES tiesību akta normas? Kādēļ?</w:t>
            </w:r>
          </w:p>
        </w:tc>
        <w:tc>
          <w:tcPr>
            <w:tcW w:w="2639" w:type="pct"/>
            <w:gridSpan w:val="4"/>
            <w:tcBorders>
              <w:top w:val="outset" w:sz="6" w:space="0" w:color="auto"/>
              <w:left w:val="outset" w:sz="6" w:space="0" w:color="auto"/>
              <w:bottom w:val="outset" w:sz="6" w:space="0" w:color="auto"/>
              <w:right w:val="outset" w:sz="6" w:space="0" w:color="auto"/>
            </w:tcBorders>
          </w:tcPr>
          <w:p w14:paraId="6204122E" w14:textId="468DC588" w:rsidR="000E60B4" w:rsidRPr="00DF4E87" w:rsidRDefault="00675D1E" w:rsidP="00F40647">
            <w:pPr>
              <w:spacing w:after="0"/>
              <w:jc w:val="both"/>
              <w:rPr>
                <w:rFonts w:eastAsia="Times New Roman"/>
                <w:lang w:eastAsia="lv-LV"/>
              </w:rPr>
            </w:pPr>
            <w:r w:rsidRPr="00DF4E87">
              <w:rPr>
                <w:rFonts w:eastAsia="Times New Roman"/>
                <w:lang w:eastAsia="lv-LV"/>
              </w:rPr>
              <w:t xml:space="preserve">Regulas </w:t>
            </w:r>
            <w:r w:rsidR="00A71622" w:rsidRPr="00DF4E87">
              <w:rPr>
                <w:rFonts w:eastAsia="Times New Roman"/>
                <w:lang w:eastAsia="lv-LV"/>
              </w:rPr>
              <w:t>N</w:t>
            </w:r>
            <w:r w:rsidRPr="00DF4E87">
              <w:rPr>
                <w:rFonts w:eastAsia="Times New Roman"/>
                <w:lang w:eastAsia="lv-LV"/>
              </w:rPr>
              <w:t xml:space="preserve">r.1178/2011 </w:t>
            </w:r>
            <w:r w:rsidR="00323E2A" w:rsidRPr="00DF4E87">
              <w:rPr>
                <w:rFonts w:eastAsia="Times New Roman"/>
                <w:lang w:eastAsia="lv-LV"/>
              </w:rPr>
              <w:t>V pielikuma CC.CCA.100.punkta b) apakšpunkta 2.apakšpunkt</w:t>
            </w:r>
            <w:r w:rsidR="00F40647" w:rsidRPr="00DF4E87">
              <w:rPr>
                <w:rFonts w:eastAsia="Times New Roman"/>
                <w:lang w:eastAsia="lv-LV"/>
              </w:rPr>
              <w:t>ā</w:t>
            </w:r>
            <w:r w:rsidR="00323E2A" w:rsidRPr="00DF4E87">
              <w:rPr>
                <w:rFonts w:eastAsia="Times New Roman"/>
                <w:lang w:eastAsia="lv-LV"/>
              </w:rPr>
              <w:t xml:space="preserve"> un </w:t>
            </w:r>
            <w:r w:rsidRPr="00DF4E87">
              <w:rPr>
                <w:rFonts w:eastAsia="Times New Roman"/>
                <w:lang w:eastAsia="lv-LV"/>
              </w:rPr>
              <w:t>VI pielikuma ARA.CC.100.</w:t>
            </w:r>
            <w:r w:rsidR="00A71622" w:rsidRPr="00DF4E87">
              <w:rPr>
                <w:rFonts w:eastAsia="Times New Roman"/>
                <w:lang w:eastAsia="lv-LV"/>
              </w:rPr>
              <w:t xml:space="preserve">punkta b) apakšpunkta 2.apakšpunktā </w:t>
            </w:r>
            <w:r w:rsidRPr="00DF4E87">
              <w:rPr>
                <w:rFonts w:eastAsia="Times New Roman"/>
                <w:lang w:eastAsia="lv-LV"/>
              </w:rPr>
              <w:t>paredzēta rīcības brīvība dalībvalstij. Rīcības brīvība tiek izmantota, jo arī līdz šim personas (gaisa kuģ</w:t>
            </w:r>
            <w:r w:rsidR="00A71622" w:rsidRPr="00DF4E87">
              <w:rPr>
                <w:rFonts w:eastAsia="Times New Roman"/>
                <w:lang w:eastAsia="lv-LV"/>
              </w:rPr>
              <w:t>a</w:t>
            </w:r>
            <w:r w:rsidRPr="00DF4E87">
              <w:rPr>
                <w:rFonts w:eastAsia="Times New Roman"/>
                <w:lang w:eastAsia="lv-LV"/>
              </w:rPr>
              <w:t xml:space="preserve"> ekspluatanti), kuras veica civilās aviācijas gaisa kuģa salona apkalpes locekļu apmācību, nodrošināja, ka civilās aviācijas gaisa kuģa salona apkalpes locekļi ir atbilstoši apmācīti. Lai nodrošinātu atbilstošu drošības līmeni, Civilās aviācijas aģentūra veiks apmācību sniedzēju, kuri veiks civilās aviācijas gaisa kuģa salona apkalpes locekļu sagatavošanu un apliecību izsniegšanu, </w:t>
            </w:r>
            <w:r w:rsidRPr="00DF4E87">
              <w:rPr>
                <w:rFonts w:eastAsia="Times New Roman"/>
                <w:lang w:eastAsia="lv-LV"/>
              </w:rPr>
              <w:lastRenderedPageBreak/>
              <w:t xml:space="preserve">uzraudzību atbilstoši regulas </w:t>
            </w:r>
            <w:r w:rsidR="00A71622" w:rsidRPr="00DF4E87">
              <w:rPr>
                <w:rFonts w:eastAsia="Times New Roman"/>
                <w:lang w:eastAsia="lv-LV"/>
              </w:rPr>
              <w:t>Nr</w:t>
            </w:r>
            <w:r w:rsidRPr="00DF4E87">
              <w:rPr>
                <w:rFonts w:eastAsia="Times New Roman"/>
                <w:lang w:eastAsia="lv-LV"/>
              </w:rPr>
              <w:t>.1178/2011 prasībām.</w:t>
            </w:r>
          </w:p>
        </w:tc>
      </w:tr>
      <w:tr w:rsidR="000E60B4" w:rsidRPr="00DF4E87" w14:paraId="62041232" w14:textId="77777777" w:rsidTr="00636429">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14:paraId="62041230" w14:textId="77777777" w:rsidR="000E60B4" w:rsidRPr="00DF4E87" w:rsidRDefault="000E60B4" w:rsidP="008C0EDC">
            <w:pPr>
              <w:spacing w:after="0"/>
              <w:rPr>
                <w:rFonts w:eastAsia="Times New Roman"/>
                <w:lang w:eastAsia="lv-LV"/>
              </w:rPr>
            </w:pPr>
            <w:r w:rsidRPr="00DF4E87">
              <w:rPr>
                <w:rFonts w:eastAsia="Times New Roman"/>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639" w:type="pct"/>
            <w:gridSpan w:val="4"/>
            <w:tcBorders>
              <w:top w:val="outset" w:sz="6" w:space="0" w:color="auto"/>
              <w:left w:val="outset" w:sz="6" w:space="0" w:color="auto"/>
              <w:bottom w:val="outset" w:sz="6" w:space="0" w:color="auto"/>
              <w:right w:val="outset" w:sz="6" w:space="0" w:color="auto"/>
            </w:tcBorders>
          </w:tcPr>
          <w:p w14:paraId="62041231" w14:textId="77777777" w:rsidR="000E60B4" w:rsidRPr="00DF4E87" w:rsidRDefault="00FA1AC8" w:rsidP="008C0EDC">
            <w:pPr>
              <w:spacing w:after="0"/>
              <w:rPr>
                <w:rFonts w:eastAsia="Times New Roman"/>
                <w:lang w:eastAsia="lv-LV"/>
              </w:rPr>
            </w:pPr>
            <w:r w:rsidRPr="00DF4E87">
              <w:rPr>
                <w:rFonts w:eastAsia="Times New Roman"/>
                <w:lang w:eastAsia="lv-LV"/>
              </w:rPr>
              <w:t>Projekts šo jomu neskar.</w:t>
            </w:r>
          </w:p>
        </w:tc>
      </w:tr>
      <w:tr w:rsidR="000E60B4" w:rsidRPr="00DF4E87" w14:paraId="62041235" w14:textId="77777777" w:rsidTr="00636429">
        <w:trPr>
          <w:tblCellSpacing w:w="15" w:type="dxa"/>
        </w:trPr>
        <w:tc>
          <w:tcPr>
            <w:tcW w:w="2312" w:type="pct"/>
            <w:gridSpan w:val="2"/>
            <w:tcBorders>
              <w:top w:val="outset" w:sz="6" w:space="0" w:color="auto"/>
              <w:left w:val="outset" w:sz="6" w:space="0" w:color="auto"/>
              <w:bottom w:val="outset" w:sz="6" w:space="0" w:color="auto"/>
              <w:right w:val="outset" w:sz="6" w:space="0" w:color="auto"/>
            </w:tcBorders>
            <w:hideMark/>
          </w:tcPr>
          <w:p w14:paraId="62041233" w14:textId="77777777" w:rsidR="000E60B4" w:rsidRPr="00DF4E87" w:rsidRDefault="000E60B4" w:rsidP="008C0EDC">
            <w:pPr>
              <w:spacing w:after="0"/>
              <w:rPr>
                <w:rFonts w:eastAsia="Times New Roman"/>
                <w:lang w:eastAsia="lv-LV"/>
              </w:rPr>
            </w:pPr>
            <w:r w:rsidRPr="00DF4E87">
              <w:rPr>
                <w:rFonts w:eastAsia="Times New Roman"/>
                <w:lang w:eastAsia="lv-LV"/>
              </w:rPr>
              <w:t>Cita informācija</w:t>
            </w:r>
          </w:p>
        </w:tc>
        <w:tc>
          <w:tcPr>
            <w:tcW w:w="2639" w:type="pct"/>
            <w:gridSpan w:val="4"/>
            <w:tcBorders>
              <w:top w:val="outset" w:sz="6" w:space="0" w:color="auto"/>
              <w:left w:val="outset" w:sz="6" w:space="0" w:color="auto"/>
              <w:bottom w:val="outset" w:sz="6" w:space="0" w:color="auto"/>
              <w:right w:val="outset" w:sz="6" w:space="0" w:color="auto"/>
            </w:tcBorders>
            <w:hideMark/>
          </w:tcPr>
          <w:p w14:paraId="62041234" w14:textId="6961F0FA" w:rsidR="000E60B4" w:rsidRPr="00DF4E87" w:rsidRDefault="00C32249" w:rsidP="000D00C6">
            <w:pPr>
              <w:spacing w:after="0"/>
              <w:rPr>
                <w:rFonts w:eastAsia="Times New Roman"/>
                <w:lang w:eastAsia="lv-LV"/>
              </w:rPr>
            </w:pPr>
            <w:r w:rsidRPr="00DF4E87">
              <w:rPr>
                <w:rFonts w:eastAsia="Times New Roman"/>
                <w:lang w:eastAsia="lv-LV"/>
              </w:rPr>
              <w:t>Nav.</w:t>
            </w:r>
          </w:p>
        </w:tc>
      </w:tr>
      <w:tr w:rsidR="000E60B4" w:rsidRPr="00DF4E87" w14:paraId="62041237" w14:textId="77777777" w:rsidTr="008C0ED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2041236" w14:textId="77777777" w:rsidR="000E60B4" w:rsidRPr="00DF4E87" w:rsidRDefault="000E60B4" w:rsidP="008C0EDC">
            <w:pPr>
              <w:spacing w:before="100" w:beforeAutospacing="1" w:after="100" w:afterAutospacing="1"/>
              <w:jc w:val="center"/>
              <w:rPr>
                <w:rFonts w:eastAsia="Times New Roman"/>
                <w:b/>
                <w:bCs/>
                <w:lang w:eastAsia="lv-LV"/>
              </w:rPr>
            </w:pPr>
            <w:r w:rsidRPr="00DF4E87">
              <w:rPr>
                <w:rFonts w:eastAsia="Times New Roman"/>
                <w:b/>
                <w:bCs/>
                <w:lang w:eastAsia="lv-LV"/>
              </w:rPr>
              <w:t>2. tabula</w:t>
            </w:r>
            <w:r w:rsidRPr="00DF4E87">
              <w:rPr>
                <w:rFonts w:eastAsia="Times New Roman"/>
                <w:b/>
                <w:bCs/>
                <w:lang w:eastAsia="lv-LV"/>
              </w:rPr>
              <w:br/>
              <w:t>Ar tiesību akta projektu izpildītās vai uzņemtās saistības, kas izriet no starptautiskajiem tiesību aktiem vai starptautiskas institūcijas vai organizācijas dokumentiem.</w:t>
            </w:r>
            <w:r w:rsidRPr="00DF4E87">
              <w:rPr>
                <w:rFonts w:eastAsia="Times New Roman"/>
                <w:b/>
                <w:bCs/>
                <w:lang w:eastAsia="lv-LV"/>
              </w:rPr>
              <w:br/>
              <w:t>Pasākumi šo saistību izpildei</w:t>
            </w:r>
          </w:p>
        </w:tc>
      </w:tr>
      <w:tr w:rsidR="000E60B4" w:rsidRPr="00DF4E87" w14:paraId="6204123A" w14:textId="77777777" w:rsidTr="00636429">
        <w:trPr>
          <w:tblCellSpacing w:w="15" w:type="dxa"/>
        </w:trPr>
        <w:tc>
          <w:tcPr>
            <w:tcW w:w="2586" w:type="pct"/>
            <w:gridSpan w:val="3"/>
            <w:tcBorders>
              <w:top w:val="outset" w:sz="6" w:space="0" w:color="auto"/>
              <w:left w:val="outset" w:sz="6" w:space="0" w:color="auto"/>
              <w:bottom w:val="outset" w:sz="6" w:space="0" w:color="auto"/>
              <w:right w:val="outset" w:sz="6" w:space="0" w:color="auto"/>
            </w:tcBorders>
            <w:hideMark/>
          </w:tcPr>
          <w:p w14:paraId="62041238" w14:textId="77777777" w:rsidR="000E60B4" w:rsidRPr="00DF4E87" w:rsidRDefault="000E60B4" w:rsidP="008C0EDC">
            <w:pPr>
              <w:spacing w:after="0"/>
              <w:rPr>
                <w:rFonts w:eastAsia="Times New Roman"/>
                <w:lang w:eastAsia="lv-LV"/>
              </w:rPr>
            </w:pPr>
            <w:r w:rsidRPr="00DF4E87">
              <w:rPr>
                <w:rFonts w:eastAsia="Times New Roman"/>
                <w:lang w:eastAsia="lv-LV"/>
              </w:rPr>
              <w:t>Attiecīgā starptautiskā tiesību akta vai starptautiskas institūcijas vai organizācijas dokumenta (turpmāk - starptautiskais dokuments) datums, numurs un nosaukums</w:t>
            </w:r>
          </w:p>
        </w:tc>
        <w:tc>
          <w:tcPr>
            <w:tcW w:w="2365" w:type="pct"/>
            <w:gridSpan w:val="3"/>
            <w:tcBorders>
              <w:top w:val="outset" w:sz="6" w:space="0" w:color="auto"/>
              <w:left w:val="outset" w:sz="6" w:space="0" w:color="auto"/>
              <w:bottom w:val="outset" w:sz="6" w:space="0" w:color="auto"/>
              <w:right w:val="outset" w:sz="6" w:space="0" w:color="auto"/>
            </w:tcBorders>
          </w:tcPr>
          <w:p w14:paraId="1008E2EE" w14:textId="3EE52A51" w:rsidR="000E60B4" w:rsidRPr="00DF4E87" w:rsidRDefault="00E91B47" w:rsidP="00830891">
            <w:pPr>
              <w:spacing w:after="0"/>
              <w:jc w:val="both"/>
              <w:rPr>
                <w:rFonts w:eastAsia="Times New Roman"/>
                <w:lang w:eastAsia="lv-LV"/>
              </w:rPr>
            </w:pPr>
            <w:r w:rsidRPr="00DF4E87">
              <w:rPr>
                <w:rFonts w:eastAsia="Times New Roman"/>
                <w:lang w:eastAsia="lv-LV"/>
              </w:rPr>
              <w:t>Starptautiskās civilās aviācijas organizācijas (ICAO) dokuments „Apmācību organizācijas apstiprināšanas rokasgrāmata</w:t>
            </w:r>
            <w:r w:rsidR="001A3518" w:rsidRPr="00DF4E87">
              <w:rPr>
                <w:rFonts w:eastAsia="Times New Roman"/>
                <w:lang w:eastAsia="lv-LV"/>
              </w:rPr>
              <w:t>”</w:t>
            </w:r>
            <w:r w:rsidRPr="00DF4E87">
              <w:rPr>
                <w:rFonts w:eastAsia="Times New Roman"/>
                <w:lang w:eastAsia="lv-LV"/>
              </w:rPr>
              <w:t xml:space="preserve"> (</w:t>
            </w:r>
            <w:proofErr w:type="spellStart"/>
            <w:r w:rsidRPr="00DF4E87">
              <w:rPr>
                <w:rFonts w:eastAsia="Times New Roman"/>
                <w:lang w:eastAsia="lv-LV"/>
              </w:rPr>
              <w:t>Doc</w:t>
            </w:r>
            <w:proofErr w:type="spellEnd"/>
            <w:r w:rsidRPr="00DF4E87">
              <w:rPr>
                <w:rFonts w:eastAsia="Times New Roman"/>
                <w:lang w:eastAsia="lv-LV"/>
              </w:rPr>
              <w:t xml:space="preserve"> 9841).</w:t>
            </w:r>
          </w:p>
          <w:p w14:paraId="77D2D68C" w14:textId="0EB15CBD" w:rsidR="00E91B47" w:rsidRPr="00DF4E87" w:rsidRDefault="00E91B47" w:rsidP="00830891">
            <w:pPr>
              <w:spacing w:after="0"/>
              <w:jc w:val="both"/>
              <w:rPr>
                <w:rFonts w:eastAsia="Times New Roman"/>
                <w:lang w:eastAsia="lv-LV"/>
              </w:rPr>
            </w:pPr>
            <w:r w:rsidRPr="00DF4E87">
              <w:rPr>
                <w:rFonts w:eastAsia="Times New Roman"/>
                <w:lang w:eastAsia="lv-LV"/>
              </w:rPr>
              <w:t>Starptautiskās civilās aviācijas organizācijas (ICAO) dokuments “Salona apkalpes locekļu drošuma apmācības rokasgrāmata” (</w:t>
            </w:r>
            <w:proofErr w:type="spellStart"/>
            <w:r w:rsidRPr="00DF4E87">
              <w:rPr>
                <w:rFonts w:eastAsia="Times New Roman"/>
                <w:lang w:eastAsia="lv-LV"/>
              </w:rPr>
              <w:t>Doc</w:t>
            </w:r>
            <w:proofErr w:type="spellEnd"/>
            <w:r w:rsidRPr="00DF4E87">
              <w:rPr>
                <w:rFonts w:eastAsia="Times New Roman"/>
                <w:lang w:eastAsia="lv-LV"/>
              </w:rPr>
              <w:t xml:space="preserve"> 10002).</w:t>
            </w:r>
          </w:p>
          <w:p w14:paraId="62041239" w14:textId="259D2071" w:rsidR="00E91B47" w:rsidRPr="00DF4E87" w:rsidRDefault="00E91B47" w:rsidP="001A3518">
            <w:pPr>
              <w:spacing w:after="0"/>
              <w:jc w:val="both"/>
              <w:rPr>
                <w:rFonts w:eastAsia="Times New Roman"/>
                <w:lang w:eastAsia="lv-LV"/>
              </w:rPr>
            </w:pPr>
            <w:r w:rsidRPr="00DF4E87">
              <w:rPr>
                <w:rFonts w:eastAsia="Times New Roman"/>
                <w:lang w:eastAsia="lv-LV"/>
              </w:rPr>
              <w:t xml:space="preserve">Eiropas </w:t>
            </w:r>
            <w:r w:rsidR="001A3518" w:rsidRPr="00DF4E87">
              <w:rPr>
                <w:rFonts w:eastAsia="Times New Roman"/>
                <w:lang w:eastAsia="lv-LV"/>
              </w:rPr>
              <w:t>a</w:t>
            </w:r>
            <w:r w:rsidRPr="00DF4E87">
              <w:rPr>
                <w:rFonts w:eastAsia="Times New Roman"/>
                <w:lang w:eastAsia="lv-LV"/>
              </w:rPr>
              <w:t>viācijas drošības aģentūras</w:t>
            </w:r>
            <w:r w:rsidR="00091E8A" w:rsidRPr="00DF4E87">
              <w:rPr>
                <w:rFonts w:eastAsia="Times New Roman"/>
                <w:lang w:eastAsia="lv-LV"/>
              </w:rPr>
              <w:t xml:space="preserve"> (EASA)</w:t>
            </w:r>
            <w:r w:rsidRPr="00DF4E87">
              <w:rPr>
                <w:rFonts w:eastAsia="Times New Roman"/>
                <w:lang w:eastAsia="lv-LV"/>
              </w:rPr>
              <w:t xml:space="preserve"> dokumenta “Attiecīgie līdzekļi atbilstības panākšanai un vadlīnijas. ORO daļa” AMC3 ORO.CC.115 (e) punkts.</w:t>
            </w:r>
          </w:p>
        </w:tc>
      </w:tr>
      <w:tr w:rsidR="000E60B4" w:rsidRPr="00DF4E87" w14:paraId="6204123E"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vAlign w:val="center"/>
            <w:hideMark/>
          </w:tcPr>
          <w:p w14:paraId="6204123B" w14:textId="77777777" w:rsidR="000E60B4" w:rsidRPr="00DF4E87" w:rsidRDefault="000E60B4" w:rsidP="008C0EDC">
            <w:pPr>
              <w:spacing w:before="100" w:beforeAutospacing="1" w:after="100" w:afterAutospacing="1"/>
              <w:jc w:val="center"/>
              <w:rPr>
                <w:rFonts w:eastAsia="Times New Roman"/>
                <w:lang w:eastAsia="lv-LV"/>
              </w:rPr>
            </w:pPr>
            <w:r w:rsidRPr="00DF4E87">
              <w:rPr>
                <w:rFonts w:eastAsia="Times New Roman"/>
                <w:lang w:eastAsia="lv-LV"/>
              </w:rPr>
              <w:t>A</w:t>
            </w:r>
          </w:p>
        </w:tc>
        <w:tc>
          <w:tcPr>
            <w:tcW w:w="1673" w:type="pct"/>
            <w:gridSpan w:val="3"/>
            <w:tcBorders>
              <w:top w:val="outset" w:sz="6" w:space="0" w:color="auto"/>
              <w:left w:val="outset" w:sz="6" w:space="0" w:color="auto"/>
              <w:bottom w:val="outset" w:sz="6" w:space="0" w:color="auto"/>
              <w:right w:val="outset" w:sz="6" w:space="0" w:color="auto"/>
            </w:tcBorders>
            <w:vAlign w:val="center"/>
            <w:hideMark/>
          </w:tcPr>
          <w:p w14:paraId="6204123C" w14:textId="77777777" w:rsidR="000E60B4" w:rsidRPr="00DF4E87" w:rsidRDefault="000E60B4" w:rsidP="008C0EDC">
            <w:pPr>
              <w:spacing w:before="100" w:beforeAutospacing="1" w:after="100" w:afterAutospacing="1"/>
              <w:jc w:val="center"/>
              <w:rPr>
                <w:rFonts w:eastAsia="Times New Roman"/>
                <w:lang w:eastAsia="lv-LV"/>
              </w:rPr>
            </w:pPr>
            <w:r w:rsidRPr="00DF4E87">
              <w:rPr>
                <w:rFonts w:eastAsia="Times New Roman"/>
                <w:lang w:eastAsia="lv-LV"/>
              </w:rPr>
              <w:t>B</w:t>
            </w:r>
          </w:p>
        </w:tc>
        <w:tc>
          <w:tcPr>
            <w:tcW w:w="2024" w:type="pct"/>
            <w:gridSpan w:val="2"/>
            <w:tcBorders>
              <w:top w:val="outset" w:sz="6" w:space="0" w:color="auto"/>
              <w:left w:val="outset" w:sz="6" w:space="0" w:color="auto"/>
              <w:bottom w:val="outset" w:sz="6" w:space="0" w:color="auto"/>
              <w:right w:val="outset" w:sz="6" w:space="0" w:color="auto"/>
            </w:tcBorders>
            <w:vAlign w:val="center"/>
            <w:hideMark/>
          </w:tcPr>
          <w:p w14:paraId="6204123D" w14:textId="77777777" w:rsidR="000E60B4" w:rsidRPr="00DF4E87" w:rsidRDefault="000E60B4" w:rsidP="008C0EDC">
            <w:pPr>
              <w:spacing w:before="100" w:beforeAutospacing="1" w:after="100" w:afterAutospacing="1"/>
              <w:jc w:val="center"/>
              <w:rPr>
                <w:rFonts w:eastAsia="Times New Roman"/>
                <w:lang w:eastAsia="lv-LV"/>
              </w:rPr>
            </w:pPr>
            <w:r w:rsidRPr="00DF4E87">
              <w:rPr>
                <w:rFonts w:eastAsia="Times New Roman"/>
                <w:lang w:eastAsia="lv-LV"/>
              </w:rPr>
              <w:t>C</w:t>
            </w:r>
          </w:p>
        </w:tc>
      </w:tr>
      <w:tr w:rsidR="000E60B4" w:rsidRPr="00DF4E87" w14:paraId="62041242"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6204123F" w14:textId="77777777" w:rsidR="000E60B4" w:rsidRPr="00DF4E87" w:rsidRDefault="000E60B4" w:rsidP="008C0EDC">
            <w:pPr>
              <w:spacing w:after="0"/>
              <w:rPr>
                <w:rFonts w:eastAsia="Times New Roman"/>
                <w:lang w:eastAsia="lv-LV"/>
              </w:rPr>
            </w:pPr>
            <w:r w:rsidRPr="00DF4E87">
              <w:rPr>
                <w:rFonts w:eastAsia="Times New Roman"/>
                <w:lang w:eastAsia="lv-LV"/>
              </w:rPr>
              <w:t>Starptautiskās saistības (pēc būtības), kas izriet no norādītā starptautiskā dokumenta.</w:t>
            </w:r>
            <w:r w:rsidRPr="00DF4E87">
              <w:rPr>
                <w:rFonts w:eastAsia="Times New Roman"/>
                <w:lang w:eastAsia="lv-LV"/>
              </w:rPr>
              <w:br/>
              <w:t>Konkrēti veicamie pasākumi vai uzdevumi, kas nepieciešami šo starptautisko saistību izpildei</w:t>
            </w:r>
          </w:p>
        </w:tc>
        <w:tc>
          <w:tcPr>
            <w:tcW w:w="1673" w:type="pct"/>
            <w:gridSpan w:val="3"/>
            <w:tcBorders>
              <w:top w:val="outset" w:sz="6" w:space="0" w:color="auto"/>
              <w:left w:val="outset" w:sz="6" w:space="0" w:color="auto"/>
              <w:bottom w:val="outset" w:sz="6" w:space="0" w:color="auto"/>
              <w:right w:val="outset" w:sz="6" w:space="0" w:color="auto"/>
            </w:tcBorders>
            <w:hideMark/>
          </w:tcPr>
          <w:p w14:paraId="62041240" w14:textId="77777777" w:rsidR="000E60B4" w:rsidRPr="00DF4E87" w:rsidRDefault="000E60B4" w:rsidP="008C0EDC">
            <w:pPr>
              <w:spacing w:after="0"/>
              <w:rPr>
                <w:rFonts w:eastAsia="Times New Roman"/>
                <w:lang w:eastAsia="lv-LV"/>
              </w:rPr>
            </w:pPr>
            <w:r w:rsidRPr="00DF4E87">
              <w:rPr>
                <w:rFonts w:eastAsia="Times New Roman"/>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4" w:type="pct"/>
            <w:gridSpan w:val="2"/>
            <w:tcBorders>
              <w:top w:val="outset" w:sz="6" w:space="0" w:color="auto"/>
              <w:left w:val="outset" w:sz="6" w:space="0" w:color="auto"/>
              <w:bottom w:val="outset" w:sz="6" w:space="0" w:color="auto"/>
              <w:right w:val="outset" w:sz="6" w:space="0" w:color="auto"/>
            </w:tcBorders>
            <w:hideMark/>
          </w:tcPr>
          <w:p w14:paraId="62041241" w14:textId="77777777" w:rsidR="000E60B4" w:rsidRPr="00DF4E87" w:rsidRDefault="000E60B4" w:rsidP="008C0EDC">
            <w:pPr>
              <w:spacing w:after="0"/>
              <w:rPr>
                <w:rFonts w:eastAsia="Times New Roman"/>
                <w:lang w:eastAsia="lv-LV"/>
              </w:rPr>
            </w:pPr>
            <w:r w:rsidRPr="00DF4E87">
              <w:rPr>
                <w:rFonts w:eastAsia="Times New Roman"/>
                <w:lang w:eastAsia="lv-LV"/>
              </w:rPr>
              <w:t>Informācija par to, vai starptautiskās saistības, kas minētas šīs tabulas A ailē, tiek izpildītas pilnībā vai daļēji.</w:t>
            </w:r>
            <w:r w:rsidRPr="00DF4E87">
              <w:rPr>
                <w:rFonts w:eastAsia="Times New Roman"/>
                <w:lang w:eastAsia="lv-LV"/>
              </w:rPr>
              <w:br/>
              <w:t>Ja attiecīgās starptautiskās saistības tiek izpildītas daļēji, sniedz skaidrojumu, kā arī precīzi norāda, kad un kādā veidā starptautiskās saistības tiks izpildītas pilnībā.</w:t>
            </w:r>
            <w:r w:rsidRPr="00DF4E87">
              <w:rPr>
                <w:rFonts w:eastAsia="Times New Roman"/>
                <w:lang w:eastAsia="lv-LV"/>
              </w:rPr>
              <w:br/>
              <w:t>Norāda institūciju, kas ir atbildīga par šo saistību izpildi pilnībā</w:t>
            </w:r>
          </w:p>
        </w:tc>
      </w:tr>
      <w:tr w:rsidR="00134EE1" w:rsidRPr="00DF4E87" w14:paraId="361905FC"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18519557" w14:textId="2649A3F4" w:rsidR="00134EE1" w:rsidRPr="00DF4E87" w:rsidRDefault="00134EE1" w:rsidP="008C0EDC">
            <w:pPr>
              <w:spacing w:after="0"/>
              <w:rPr>
                <w:rFonts w:eastAsia="Times New Roman"/>
                <w:lang w:eastAsia="lv-LV"/>
              </w:rPr>
            </w:pPr>
            <w:r w:rsidRPr="00DF4E87">
              <w:rPr>
                <w:rFonts w:eastAsia="Times New Roman"/>
                <w:lang w:eastAsia="lv-LV"/>
              </w:rPr>
              <w:t>Starptautiskās civilās aviācijas organizācijas (ICAO) dokuments „Apmācību organizācijas apstipri</w:t>
            </w:r>
            <w:r w:rsidR="00674950" w:rsidRPr="00DF4E87">
              <w:rPr>
                <w:rFonts w:eastAsia="Times New Roman"/>
                <w:lang w:eastAsia="lv-LV"/>
              </w:rPr>
              <w:t>nāšanas rokasgrāmata (</w:t>
            </w:r>
            <w:proofErr w:type="spellStart"/>
            <w:r w:rsidR="00674950" w:rsidRPr="00DF4E87">
              <w:rPr>
                <w:rFonts w:eastAsia="Times New Roman"/>
                <w:lang w:eastAsia="lv-LV"/>
              </w:rPr>
              <w:t>Doc</w:t>
            </w:r>
            <w:proofErr w:type="spellEnd"/>
            <w:r w:rsidR="00674950" w:rsidRPr="00DF4E87">
              <w:rPr>
                <w:rFonts w:eastAsia="Times New Roman"/>
                <w:lang w:eastAsia="lv-LV"/>
              </w:rPr>
              <w:t xml:space="preserve"> </w:t>
            </w:r>
            <w:r w:rsidR="00674950" w:rsidRPr="00DF4E87">
              <w:rPr>
                <w:rFonts w:eastAsia="Times New Roman"/>
                <w:lang w:eastAsia="lv-LV"/>
              </w:rPr>
              <w:lastRenderedPageBreak/>
              <w:t>9841)</w:t>
            </w:r>
          </w:p>
        </w:tc>
        <w:tc>
          <w:tcPr>
            <w:tcW w:w="1673" w:type="pct"/>
            <w:gridSpan w:val="3"/>
            <w:tcBorders>
              <w:top w:val="outset" w:sz="6" w:space="0" w:color="auto"/>
              <w:left w:val="outset" w:sz="6" w:space="0" w:color="auto"/>
              <w:bottom w:val="outset" w:sz="6" w:space="0" w:color="auto"/>
              <w:right w:val="outset" w:sz="6" w:space="0" w:color="auto"/>
            </w:tcBorders>
          </w:tcPr>
          <w:p w14:paraId="35CA41FC" w14:textId="79BEECE0" w:rsidR="00DC3166" w:rsidRPr="00DF4E87" w:rsidRDefault="00A967B7" w:rsidP="00DC3166">
            <w:pPr>
              <w:spacing w:after="0"/>
              <w:rPr>
                <w:rFonts w:eastAsia="Times New Roman"/>
                <w:lang w:eastAsia="lv-LV"/>
              </w:rPr>
            </w:pPr>
            <w:r w:rsidRPr="00DF4E87">
              <w:rPr>
                <w:rFonts w:eastAsia="Times New Roman"/>
                <w:lang w:eastAsia="lv-LV"/>
              </w:rPr>
              <w:lastRenderedPageBreak/>
              <w:t>9</w:t>
            </w:r>
            <w:r w:rsidR="00DC3166" w:rsidRPr="00DF4E87">
              <w:rPr>
                <w:rFonts w:eastAsia="Times New Roman"/>
                <w:lang w:eastAsia="lv-LV"/>
              </w:rPr>
              <w:t>.3.apakšpunkts</w:t>
            </w:r>
          </w:p>
          <w:p w14:paraId="260CF240" w14:textId="2CC2C881" w:rsidR="00DC3166" w:rsidRPr="00DF4E87" w:rsidRDefault="00A967B7" w:rsidP="00DC3166">
            <w:pPr>
              <w:spacing w:after="0"/>
              <w:rPr>
                <w:rFonts w:eastAsia="Times New Roman"/>
                <w:lang w:eastAsia="lv-LV"/>
              </w:rPr>
            </w:pPr>
            <w:r w:rsidRPr="00DF4E87">
              <w:rPr>
                <w:rFonts w:eastAsia="Times New Roman"/>
                <w:lang w:eastAsia="lv-LV"/>
              </w:rPr>
              <w:t>10</w:t>
            </w:r>
            <w:r w:rsidR="0019118A" w:rsidRPr="00DF4E87">
              <w:rPr>
                <w:rFonts w:eastAsia="Times New Roman"/>
                <w:lang w:eastAsia="lv-LV"/>
              </w:rPr>
              <w:t>.</w:t>
            </w:r>
            <w:r w:rsidR="00DC3166" w:rsidRPr="00DF4E87">
              <w:rPr>
                <w:rFonts w:eastAsia="Times New Roman"/>
                <w:lang w:eastAsia="lv-LV"/>
              </w:rPr>
              <w:t>3.apakšpunkts</w:t>
            </w:r>
          </w:p>
          <w:p w14:paraId="29DFD1CF" w14:textId="4A7A77B9" w:rsidR="00DC3166" w:rsidRPr="00DF4E87" w:rsidRDefault="00DC3166" w:rsidP="00DC3166">
            <w:pPr>
              <w:spacing w:after="0"/>
              <w:rPr>
                <w:rFonts w:eastAsia="Times New Roman"/>
                <w:lang w:eastAsia="lv-LV"/>
              </w:rPr>
            </w:pPr>
            <w:r w:rsidRPr="00DF4E87">
              <w:rPr>
                <w:rFonts w:eastAsia="Times New Roman"/>
                <w:lang w:eastAsia="lv-LV"/>
              </w:rPr>
              <w:t>1</w:t>
            </w:r>
            <w:r w:rsidR="00A967B7" w:rsidRPr="00DF4E87">
              <w:rPr>
                <w:rFonts w:eastAsia="Times New Roman"/>
                <w:lang w:eastAsia="lv-LV"/>
              </w:rPr>
              <w:t>1</w:t>
            </w:r>
            <w:r w:rsidRPr="00DF4E87">
              <w:rPr>
                <w:rFonts w:eastAsia="Times New Roman"/>
                <w:lang w:eastAsia="lv-LV"/>
              </w:rPr>
              <w:t>.3.apakšpunkts</w:t>
            </w:r>
          </w:p>
          <w:p w14:paraId="02F91D25" w14:textId="77777777" w:rsidR="00DC3166" w:rsidRPr="00DF4E87" w:rsidRDefault="00DC3166" w:rsidP="00DC3166">
            <w:pPr>
              <w:spacing w:after="0"/>
              <w:rPr>
                <w:rFonts w:eastAsia="Times New Roman"/>
                <w:lang w:eastAsia="lv-LV"/>
              </w:rPr>
            </w:pPr>
          </w:p>
          <w:p w14:paraId="46076DD2" w14:textId="77777777" w:rsidR="00DC3166" w:rsidRPr="00DF4E87" w:rsidRDefault="00DC3166" w:rsidP="00DC3166">
            <w:pPr>
              <w:spacing w:after="0"/>
              <w:rPr>
                <w:rFonts w:eastAsia="Times New Roman"/>
                <w:lang w:eastAsia="lv-LV"/>
              </w:rPr>
            </w:pPr>
          </w:p>
          <w:p w14:paraId="0CDAD77E" w14:textId="77777777" w:rsidR="00134EE1" w:rsidRPr="00DF4E87" w:rsidRDefault="00134EE1" w:rsidP="008C0EDC">
            <w:pPr>
              <w:spacing w:after="0"/>
              <w:rPr>
                <w:rFonts w:eastAsia="Times New Roman"/>
                <w:lang w:eastAsia="lv-LV"/>
              </w:rPr>
            </w:pPr>
          </w:p>
        </w:tc>
        <w:tc>
          <w:tcPr>
            <w:tcW w:w="2024" w:type="pct"/>
            <w:gridSpan w:val="2"/>
            <w:tcBorders>
              <w:top w:val="outset" w:sz="6" w:space="0" w:color="auto"/>
              <w:left w:val="outset" w:sz="6" w:space="0" w:color="auto"/>
              <w:bottom w:val="outset" w:sz="6" w:space="0" w:color="auto"/>
              <w:right w:val="outset" w:sz="6" w:space="0" w:color="auto"/>
            </w:tcBorders>
          </w:tcPr>
          <w:p w14:paraId="4289A8AE" w14:textId="481DDC79" w:rsidR="00134EE1" w:rsidRPr="00DF4E87" w:rsidRDefault="00134EE1" w:rsidP="008C0EDC">
            <w:pPr>
              <w:spacing w:after="0"/>
              <w:rPr>
                <w:rFonts w:eastAsia="Times New Roman"/>
                <w:lang w:eastAsia="lv-LV"/>
              </w:rPr>
            </w:pPr>
            <w:r w:rsidRPr="00DF4E87">
              <w:rPr>
                <w:color w:val="000000"/>
              </w:rPr>
              <w:t>Tiek izpildītas pilnībā.</w:t>
            </w:r>
          </w:p>
        </w:tc>
      </w:tr>
      <w:tr w:rsidR="00134EE1" w:rsidRPr="00DF4E87" w14:paraId="6392CA76"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0F6D9A94" w14:textId="72238BF9" w:rsidR="00134EE1" w:rsidRPr="00DF4E87" w:rsidRDefault="00134EE1" w:rsidP="00134EE1">
            <w:pPr>
              <w:spacing w:after="0"/>
              <w:jc w:val="both"/>
              <w:rPr>
                <w:rFonts w:eastAsia="Times New Roman"/>
                <w:lang w:eastAsia="lv-LV"/>
              </w:rPr>
            </w:pPr>
            <w:r w:rsidRPr="00DF4E87">
              <w:rPr>
                <w:rFonts w:eastAsia="Times New Roman"/>
                <w:lang w:eastAsia="lv-LV"/>
              </w:rPr>
              <w:t>Starptautiskās civilās aviācijas organizācijas (ICAO) dokuments “Salona apkalpes locekļu drošuma apmācības rokasgrāmata” (</w:t>
            </w:r>
            <w:proofErr w:type="spellStart"/>
            <w:r w:rsidRPr="00DF4E87">
              <w:rPr>
                <w:rFonts w:eastAsia="Times New Roman"/>
                <w:lang w:eastAsia="lv-LV"/>
              </w:rPr>
              <w:t>Doc</w:t>
            </w:r>
            <w:proofErr w:type="spellEnd"/>
            <w:r w:rsidRPr="00DF4E87">
              <w:rPr>
                <w:rFonts w:eastAsia="Times New Roman"/>
                <w:lang w:eastAsia="lv-LV"/>
              </w:rPr>
              <w:t xml:space="preserve"> 10002)</w:t>
            </w:r>
          </w:p>
        </w:tc>
        <w:tc>
          <w:tcPr>
            <w:tcW w:w="1673" w:type="pct"/>
            <w:gridSpan w:val="3"/>
            <w:tcBorders>
              <w:top w:val="outset" w:sz="6" w:space="0" w:color="auto"/>
              <w:left w:val="outset" w:sz="6" w:space="0" w:color="auto"/>
              <w:bottom w:val="outset" w:sz="6" w:space="0" w:color="auto"/>
              <w:right w:val="outset" w:sz="6" w:space="0" w:color="auto"/>
            </w:tcBorders>
          </w:tcPr>
          <w:p w14:paraId="7C50628F" w14:textId="574FC667" w:rsidR="00D06B1E" w:rsidRPr="00DF4E87" w:rsidRDefault="00A967B7" w:rsidP="00D06B1E">
            <w:pPr>
              <w:spacing w:after="0"/>
              <w:rPr>
                <w:rFonts w:eastAsia="Times New Roman"/>
                <w:lang w:eastAsia="lv-LV"/>
              </w:rPr>
            </w:pPr>
            <w:r w:rsidRPr="00DF4E87">
              <w:rPr>
                <w:rFonts w:eastAsia="Times New Roman"/>
                <w:lang w:eastAsia="lv-LV"/>
              </w:rPr>
              <w:t>9</w:t>
            </w:r>
            <w:r w:rsidR="00D06B1E" w:rsidRPr="00DF4E87">
              <w:rPr>
                <w:rFonts w:eastAsia="Times New Roman"/>
                <w:lang w:eastAsia="lv-LV"/>
              </w:rPr>
              <w:t>.3.apakšpunkts</w:t>
            </w:r>
          </w:p>
          <w:p w14:paraId="32E2006F" w14:textId="2A7B4139" w:rsidR="00D06B1E" w:rsidRPr="00DF4E87" w:rsidRDefault="00A967B7" w:rsidP="00D06B1E">
            <w:pPr>
              <w:spacing w:after="0"/>
              <w:rPr>
                <w:rFonts w:eastAsia="Times New Roman"/>
                <w:lang w:eastAsia="lv-LV"/>
              </w:rPr>
            </w:pPr>
            <w:r w:rsidRPr="00DF4E87">
              <w:rPr>
                <w:rFonts w:eastAsia="Times New Roman"/>
                <w:lang w:eastAsia="lv-LV"/>
              </w:rPr>
              <w:t>10</w:t>
            </w:r>
            <w:r w:rsidR="00D06B1E" w:rsidRPr="00DF4E87">
              <w:rPr>
                <w:rFonts w:eastAsia="Times New Roman"/>
                <w:lang w:eastAsia="lv-LV"/>
              </w:rPr>
              <w:t>.3.apakšpunkts</w:t>
            </w:r>
          </w:p>
          <w:p w14:paraId="23377F2A" w14:textId="5581FF72" w:rsidR="00D06B1E" w:rsidRPr="00DF4E87" w:rsidRDefault="00D06B1E" w:rsidP="00D06B1E">
            <w:pPr>
              <w:spacing w:after="0"/>
              <w:rPr>
                <w:rFonts w:eastAsia="Times New Roman"/>
                <w:lang w:eastAsia="lv-LV"/>
              </w:rPr>
            </w:pPr>
            <w:r w:rsidRPr="00DF4E87">
              <w:rPr>
                <w:rFonts w:eastAsia="Times New Roman"/>
                <w:lang w:eastAsia="lv-LV"/>
              </w:rPr>
              <w:t>1</w:t>
            </w:r>
            <w:r w:rsidR="00A967B7" w:rsidRPr="00DF4E87">
              <w:rPr>
                <w:rFonts w:eastAsia="Times New Roman"/>
                <w:lang w:eastAsia="lv-LV"/>
              </w:rPr>
              <w:t>1</w:t>
            </w:r>
            <w:r w:rsidRPr="00DF4E87">
              <w:rPr>
                <w:rFonts w:eastAsia="Times New Roman"/>
                <w:lang w:eastAsia="lv-LV"/>
              </w:rPr>
              <w:t>.3.apakšpunkts</w:t>
            </w:r>
          </w:p>
          <w:p w14:paraId="2366977B" w14:textId="77777777" w:rsidR="00D06B1E" w:rsidRPr="00DF4E87" w:rsidRDefault="00D06B1E" w:rsidP="00D06B1E">
            <w:pPr>
              <w:spacing w:after="0"/>
              <w:rPr>
                <w:rFonts w:eastAsia="Times New Roman"/>
                <w:lang w:eastAsia="lv-LV"/>
              </w:rPr>
            </w:pPr>
          </w:p>
          <w:p w14:paraId="7ACFD8C8" w14:textId="77777777" w:rsidR="00134EE1" w:rsidRPr="00DF4E87" w:rsidRDefault="00134EE1" w:rsidP="008C0EDC">
            <w:pPr>
              <w:spacing w:after="0"/>
              <w:rPr>
                <w:rFonts w:eastAsia="Times New Roman"/>
                <w:lang w:eastAsia="lv-LV"/>
              </w:rPr>
            </w:pPr>
          </w:p>
        </w:tc>
        <w:tc>
          <w:tcPr>
            <w:tcW w:w="2024" w:type="pct"/>
            <w:gridSpan w:val="2"/>
            <w:tcBorders>
              <w:top w:val="outset" w:sz="6" w:space="0" w:color="auto"/>
              <w:left w:val="outset" w:sz="6" w:space="0" w:color="auto"/>
              <w:bottom w:val="outset" w:sz="6" w:space="0" w:color="auto"/>
              <w:right w:val="outset" w:sz="6" w:space="0" w:color="auto"/>
            </w:tcBorders>
          </w:tcPr>
          <w:p w14:paraId="12BC79A1" w14:textId="3C9FDAFC" w:rsidR="00134EE1" w:rsidRPr="00DF4E87" w:rsidRDefault="00134EE1" w:rsidP="008C0EDC">
            <w:pPr>
              <w:spacing w:after="0"/>
              <w:rPr>
                <w:rFonts w:eastAsia="Times New Roman"/>
                <w:lang w:eastAsia="lv-LV"/>
              </w:rPr>
            </w:pPr>
            <w:r w:rsidRPr="00DF4E87">
              <w:rPr>
                <w:color w:val="000000"/>
              </w:rPr>
              <w:t>Tiek izpildītas pilnībā.</w:t>
            </w:r>
          </w:p>
        </w:tc>
      </w:tr>
      <w:tr w:rsidR="00134EE1" w:rsidRPr="00DF4E87" w14:paraId="41EDB76C"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260A69EE" w14:textId="58BDC279" w:rsidR="00134EE1" w:rsidRPr="00DF4E87" w:rsidRDefault="00B55B64" w:rsidP="008C0EDC">
            <w:pPr>
              <w:spacing w:after="0"/>
              <w:rPr>
                <w:rFonts w:eastAsia="Times New Roman"/>
                <w:lang w:eastAsia="lv-LV"/>
              </w:rPr>
            </w:pPr>
            <w:r w:rsidRPr="00DF4E87">
              <w:rPr>
                <w:rFonts w:eastAsia="Times New Roman"/>
                <w:lang w:eastAsia="lv-LV"/>
              </w:rPr>
              <w:t>Starptautiskās civilās aviācijas organizācijas (ICAO) dokuments “Salona apkalpes locekļu drošuma apmācības rokasgrāmata” (</w:t>
            </w:r>
            <w:proofErr w:type="spellStart"/>
            <w:r w:rsidRPr="00DF4E87">
              <w:rPr>
                <w:rFonts w:eastAsia="Times New Roman"/>
                <w:lang w:eastAsia="lv-LV"/>
              </w:rPr>
              <w:t>Doc</w:t>
            </w:r>
            <w:proofErr w:type="spellEnd"/>
            <w:r w:rsidRPr="00DF4E87">
              <w:rPr>
                <w:rFonts w:eastAsia="Times New Roman"/>
                <w:lang w:eastAsia="lv-LV"/>
              </w:rPr>
              <w:t xml:space="preserve"> 10002) </w:t>
            </w:r>
            <w:r w:rsidRPr="00DF4E87">
              <w:t>14.nodaļa</w:t>
            </w:r>
          </w:p>
        </w:tc>
        <w:tc>
          <w:tcPr>
            <w:tcW w:w="1673" w:type="pct"/>
            <w:gridSpan w:val="3"/>
            <w:tcBorders>
              <w:top w:val="outset" w:sz="6" w:space="0" w:color="auto"/>
              <w:left w:val="outset" w:sz="6" w:space="0" w:color="auto"/>
              <w:bottom w:val="outset" w:sz="6" w:space="0" w:color="auto"/>
              <w:right w:val="outset" w:sz="6" w:space="0" w:color="auto"/>
            </w:tcBorders>
          </w:tcPr>
          <w:p w14:paraId="0E7965F0" w14:textId="7731AD26" w:rsidR="00134EE1" w:rsidRPr="00DF4E87" w:rsidRDefault="00B55B64" w:rsidP="00A967B7">
            <w:pPr>
              <w:spacing w:after="0"/>
              <w:rPr>
                <w:rFonts w:eastAsia="Times New Roman"/>
                <w:lang w:eastAsia="lv-LV"/>
              </w:rPr>
            </w:pPr>
            <w:r w:rsidRPr="00DF4E87">
              <w:rPr>
                <w:rFonts w:eastAsia="Times New Roman"/>
                <w:lang w:eastAsia="lv-LV"/>
              </w:rPr>
              <w:t>2</w:t>
            </w:r>
            <w:r w:rsidR="00A967B7" w:rsidRPr="00DF4E87">
              <w:rPr>
                <w:rFonts w:eastAsia="Times New Roman"/>
                <w:lang w:eastAsia="lv-LV"/>
              </w:rPr>
              <w:t>1</w:t>
            </w:r>
            <w:r w:rsidRPr="00DF4E87">
              <w:rPr>
                <w:rFonts w:eastAsia="Times New Roman"/>
                <w:lang w:eastAsia="lv-LV"/>
              </w:rPr>
              <w:t>.2.apakšpunkts</w:t>
            </w:r>
          </w:p>
          <w:p w14:paraId="788EA3C1" w14:textId="5F4CB141" w:rsidR="00317876" w:rsidRPr="00DF4E87" w:rsidRDefault="00317876" w:rsidP="00317876">
            <w:pPr>
              <w:spacing w:after="0"/>
              <w:rPr>
                <w:rFonts w:eastAsia="Times New Roman"/>
                <w:lang w:eastAsia="lv-LV"/>
              </w:rPr>
            </w:pPr>
            <w:r w:rsidRPr="00DF4E87">
              <w:rPr>
                <w:rFonts w:eastAsia="Times New Roman"/>
                <w:lang w:eastAsia="lv-LV"/>
              </w:rPr>
              <w:t>27.2.apakšpunkts</w:t>
            </w:r>
          </w:p>
        </w:tc>
        <w:tc>
          <w:tcPr>
            <w:tcW w:w="2024" w:type="pct"/>
            <w:gridSpan w:val="2"/>
            <w:tcBorders>
              <w:top w:val="outset" w:sz="6" w:space="0" w:color="auto"/>
              <w:left w:val="outset" w:sz="6" w:space="0" w:color="auto"/>
              <w:bottom w:val="outset" w:sz="6" w:space="0" w:color="auto"/>
              <w:right w:val="outset" w:sz="6" w:space="0" w:color="auto"/>
            </w:tcBorders>
          </w:tcPr>
          <w:p w14:paraId="132D0A38" w14:textId="5BA0C4E5" w:rsidR="00134EE1" w:rsidRPr="00DF4E87" w:rsidRDefault="00134EE1" w:rsidP="008C0EDC">
            <w:pPr>
              <w:spacing w:after="0"/>
              <w:rPr>
                <w:rFonts w:eastAsia="Times New Roman"/>
                <w:lang w:eastAsia="lv-LV"/>
              </w:rPr>
            </w:pPr>
            <w:r w:rsidRPr="00DF4E87">
              <w:rPr>
                <w:color w:val="000000"/>
              </w:rPr>
              <w:t>Tiek izpildītas pilnībā.</w:t>
            </w:r>
          </w:p>
        </w:tc>
      </w:tr>
      <w:tr w:rsidR="000E60B4" w:rsidRPr="00DF4E87" w14:paraId="62041246" w14:textId="77777777" w:rsidTr="00150904">
        <w:trPr>
          <w:tblCellSpacing w:w="15" w:type="dxa"/>
        </w:trPr>
        <w:tc>
          <w:tcPr>
            <w:tcW w:w="1237" w:type="pct"/>
            <w:tcBorders>
              <w:top w:val="outset" w:sz="6" w:space="0" w:color="auto"/>
              <w:left w:val="outset" w:sz="6" w:space="0" w:color="auto"/>
              <w:bottom w:val="outset" w:sz="6" w:space="0" w:color="auto"/>
              <w:right w:val="outset" w:sz="6" w:space="0" w:color="auto"/>
            </w:tcBorders>
          </w:tcPr>
          <w:p w14:paraId="62041243" w14:textId="02DA6EE8" w:rsidR="000E60B4" w:rsidRPr="00DF4E87" w:rsidRDefault="00F642D3" w:rsidP="008C0EDC">
            <w:pPr>
              <w:spacing w:after="0"/>
              <w:rPr>
                <w:rFonts w:eastAsia="Times New Roman"/>
                <w:lang w:eastAsia="lv-LV"/>
              </w:rPr>
            </w:pPr>
            <w:r w:rsidRPr="00DF4E87">
              <w:rPr>
                <w:rFonts w:eastAsia="Times New Roman"/>
                <w:lang w:eastAsia="lv-LV"/>
              </w:rPr>
              <w:t>Eiropas Aviācijas drošības aģentūras (EASA) dokumenta “Attiecīgie līdzekļi atbilstības panākšanai un vadlīnijas. ORO daļa” AMC3 ORO.CC.115 (e) punkts</w:t>
            </w:r>
          </w:p>
        </w:tc>
        <w:tc>
          <w:tcPr>
            <w:tcW w:w="1673" w:type="pct"/>
            <w:gridSpan w:val="3"/>
            <w:tcBorders>
              <w:top w:val="outset" w:sz="6" w:space="0" w:color="auto"/>
              <w:left w:val="outset" w:sz="6" w:space="0" w:color="auto"/>
              <w:bottom w:val="outset" w:sz="6" w:space="0" w:color="auto"/>
              <w:right w:val="outset" w:sz="6" w:space="0" w:color="auto"/>
            </w:tcBorders>
          </w:tcPr>
          <w:p w14:paraId="62041244" w14:textId="47CC8ADB" w:rsidR="000E60B4" w:rsidRPr="00DF4E87" w:rsidRDefault="00A967B7" w:rsidP="00A967B7">
            <w:pPr>
              <w:spacing w:after="0"/>
              <w:rPr>
                <w:rFonts w:eastAsia="Times New Roman"/>
                <w:lang w:eastAsia="lv-LV"/>
              </w:rPr>
            </w:pPr>
            <w:r w:rsidRPr="00DF4E87">
              <w:rPr>
                <w:rFonts w:eastAsia="Times New Roman"/>
                <w:lang w:eastAsia="lv-LV"/>
              </w:rPr>
              <w:t>22</w:t>
            </w:r>
            <w:r w:rsidR="003439A7" w:rsidRPr="00DF4E87">
              <w:rPr>
                <w:rFonts w:eastAsia="Times New Roman"/>
                <w:lang w:eastAsia="lv-LV"/>
              </w:rPr>
              <w:t>.punkts</w:t>
            </w:r>
          </w:p>
        </w:tc>
        <w:tc>
          <w:tcPr>
            <w:tcW w:w="2024" w:type="pct"/>
            <w:gridSpan w:val="2"/>
            <w:tcBorders>
              <w:top w:val="outset" w:sz="6" w:space="0" w:color="auto"/>
              <w:left w:val="outset" w:sz="6" w:space="0" w:color="auto"/>
              <w:bottom w:val="outset" w:sz="6" w:space="0" w:color="auto"/>
              <w:right w:val="outset" w:sz="6" w:space="0" w:color="auto"/>
            </w:tcBorders>
          </w:tcPr>
          <w:p w14:paraId="62041245" w14:textId="45FEA0AC" w:rsidR="000E60B4" w:rsidRPr="00DF4E87" w:rsidRDefault="00674950" w:rsidP="008C0EDC">
            <w:pPr>
              <w:spacing w:after="0"/>
              <w:rPr>
                <w:rFonts w:eastAsia="Times New Roman"/>
                <w:lang w:eastAsia="lv-LV"/>
              </w:rPr>
            </w:pPr>
            <w:r w:rsidRPr="00DF4E87">
              <w:rPr>
                <w:color w:val="000000"/>
              </w:rPr>
              <w:t>Tiek izpildītas pilnībā.</w:t>
            </w:r>
          </w:p>
        </w:tc>
      </w:tr>
      <w:tr w:rsidR="000E60B4" w:rsidRPr="00DF4E87" w14:paraId="62041249" w14:textId="77777777" w:rsidTr="00125515">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62041247" w14:textId="77777777" w:rsidR="000E60B4" w:rsidRPr="00DF4E87" w:rsidRDefault="000E60B4" w:rsidP="008C0EDC">
            <w:pPr>
              <w:spacing w:after="0"/>
              <w:rPr>
                <w:rFonts w:eastAsia="Times New Roman"/>
                <w:lang w:eastAsia="lv-LV"/>
              </w:rPr>
            </w:pPr>
            <w:r w:rsidRPr="00DF4E87">
              <w:rPr>
                <w:rFonts w:eastAsia="Times New Roman"/>
                <w:lang w:eastAsia="lv-LV"/>
              </w:rPr>
              <w:t>Vai starptautiskajā dokumentā paredzētās saistības nav pretrunā ar jau esošajām Latvijas Republikas starptautiskajām saistībām</w:t>
            </w:r>
          </w:p>
        </w:tc>
        <w:tc>
          <w:tcPr>
            <w:tcW w:w="3713" w:type="pct"/>
            <w:gridSpan w:val="5"/>
            <w:tcBorders>
              <w:top w:val="outset" w:sz="6" w:space="0" w:color="auto"/>
              <w:left w:val="outset" w:sz="6" w:space="0" w:color="auto"/>
              <w:bottom w:val="outset" w:sz="6" w:space="0" w:color="auto"/>
              <w:right w:val="outset" w:sz="6" w:space="0" w:color="auto"/>
            </w:tcBorders>
            <w:hideMark/>
          </w:tcPr>
          <w:p w14:paraId="62041248" w14:textId="77777777" w:rsidR="000E60B4" w:rsidRPr="00DF4E87" w:rsidRDefault="003439A7" w:rsidP="008C0EDC">
            <w:pPr>
              <w:spacing w:after="0"/>
              <w:rPr>
                <w:rFonts w:eastAsia="Times New Roman"/>
                <w:lang w:eastAsia="lv-LV"/>
              </w:rPr>
            </w:pPr>
            <w:r w:rsidRPr="00DF4E87">
              <w:rPr>
                <w:rFonts w:eastAsia="Times New Roman"/>
                <w:lang w:eastAsia="lv-LV"/>
              </w:rPr>
              <w:t>Nav pretrunu.</w:t>
            </w:r>
          </w:p>
        </w:tc>
      </w:tr>
      <w:tr w:rsidR="000E60B4" w:rsidRPr="00DF4E87" w14:paraId="6204124C" w14:textId="77777777" w:rsidTr="00125515">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6204124A" w14:textId="77777777" w:rsidR="000E60B4" w:rsidRPr="00DF4E87" w:rsidRDefault="000E60B4" w:rsidP="008C0EDC">
            <w:pPr>
              <w:spacing w:after="0"/>
              <w:rPr>
                <w:rFonts w:eastAsia="Times New Roman"/>
                <w:lang w:eastAsia="lv-LV"/>
              </w:rPr>
            </w:pPr>
            <w:r w:rsidRPr="00DF4E87">
              <w:rPr>
                <w:rFonts w:eastAsia="Times New Roman"/>
                <w:lang w:eastAsia="lv-LV"/>
              </w:rPr>
              <w:t>Cita informācija</w:t>
            </w:r>
          </w:p>
        </w:tc>
        <w:tc>
          <w:tcPr>
            <w:tcW w:w="3713" w:type="pct"/>
            <w:gridSpan w:val="5"/>
            <w:tcBorders>
              <w:top w:val="outset" w:sz="6" w:space="0" w:color="auto"/>
              <w:left w:val="outset" w:sz="6" w:space="0" w:color="auto"/>
              <w:bottom w:val="outset" w:sz="6" w:space="0" w:color="auto"/>
              <w:right w:val="outset" w:sz="6" w:space="0" w:color="auto"/>
            </w:tcBorders>
            <w:hideMark/>
          </w:tcPr>
          <w:p w14:paraId="6204124B" w14:textId="57A7BE87" w:rsidR="000E60B4" w:rsidRPr="00DF4E87" w:rsidRDefault="00C76770" w:rsidP="00C32249">
            <w:pPr>
              <w:spacing w:after="0"/>
              <w:jc w:val="both"/>
              <w:rPr>
                <w:rFonts w:eastAsia="Times New Roman"/>
                <w:lang w:eastAsia="lv-LV"/>
              </w:rPr>
            </w:pPr>
            <w:r w:rsidRPr="00DF4E87">
              <w:rPr>
                <w:rFonts w:eastAsia="Times New Roman"/>
                <w:lang w:eastAsia="lv-LV"/>
              </w:rPr>
              <w:t>Nav.</w:t>
            </w:r>
          </w:p>
        </w:tc>
      </w:tr>
    </w:tbl>
    <w:p w14:paraId="6204124D" w14:textId="77777777" w:rsidR="008C0EDC" w:rsidRPr="00DF4E8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DF4E87" w14:paraId="6204124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04124E" w14:textId="77777777" w:rsidR="008C0EDC" w:rsidRPr="00DF4E87" w:rsidRDefault="008C0EDC" w:rsidP="008C0EDC">
            <w:pPr>
              <w:spacing w:before="100" w:beforeAutospacing="1" w:after="100" w:afterAutospacing="1"/>
              <w:jc w:val="center"/>
              <w:rPr>
                <w:rFonts w:eastAsia="Times New Roman"/>
                <w:b/>
                <w:bCs/>
                <w:lang w:eastAsia="lv-LV"/>
              </w:rPr>
            </w:pPr>
            <w:r w:rsidRPr="00DF4E87">
              <w:rPr>
                <w:rFonts w:eastAsia="Times New Roman"/>
                <w:b/>
                <w:bCs/>
                <w:lang w:eastAsia="lv-LV"/>
              </w:rPr>
              <w:t>VI. Sabiedrības līdzdalība un komunikācijas aktivitātes</w:t>
            </w:r>
          </w:p>
        </w:tc>
      </w:tr>
      <w:tr w:rsidR="008C0EDC" w:rsidRPr="00DF4E87" w14:paraId="62041253"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250"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041251" w14:textId="77777777" w:rsidR="008C0EDC" w:rsidRPr="00DF4E87" w:rsidRDefault="008C0EDC" w:rsidP="008C0EDC">
            <w:pPr>
              <w:spacing w:after="0"/>
              <w:rPr>
                <w:rFonts w:eastAsia="Times New Roman"/>
                <w:lang w:eastAsia="lv-LV"/>
              </w:rPr>
            </w:pPr>
            <w:r w:rsidRPr="00DF4E87">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2041252" w14:textId="012A3A45" w:rsidR="008C0EDC" w:rsidRPr="00DF4E87" w:rsidRDefault="000C4672" w:rsidP="006249AF">
            <w:pPr>
              <w:spacing w:after="0"/>
              <w:jc w:val="both"/>
              <w:rPr>
                <w:rFonts w:eastAsia="Times New Roman"/>
                <w:lang w:eastAsia="lv-LV"/>
              </w:rPr>
            </w:pPr>
            <w:r w:rsidRPr="00DF4E87">
              <w:rPr>
                <w:color w:val="000000"/>
              </w:rPr>
              <w:t>Paziņojums par līdzdalības iespējām tiesību akta saskaņošanas procesā 2018.gada 2</w:t>
            </w:r>
            <w:r w:rsidR="006249AF" w:rsidRPr="00DF4E87">
              <w:rPr>
                <w:color w:val="000000"/>
              </w:rPr>
              <w:t>3</w:t>
            </w:r>
            <w:r w:rsidRPr="00DF4E87">
              <w:rPr>
                <w:color w:val="000000"/>
              </w:rPr>
              <w:t>.februārī ievietots Satiksmes ministrijas tīmekļa vietnē (</w:t>
            </w:r>
            <w:hyperlink r:id="rId6" w:history="1">
              <w:r w:rsidRPr="00DF4E87">
                <w:rPr>
                  <w:rStyle w:val="Hyperlink"/>
                  <w:u w:val="none"/>
                </w:rPr>
                <w:t>www.sam.gov.lv</w:t>
              </w:r>
            </w:hyperlink>
            <w:r w:rsidRPr="00DF4E87">
              <w:rPr>
                <w:color w:val="000000"/>
              </w:rPr>
              <w:t>) un Civilās aviācijas aģentūras tīmekļa vietnē (</w:t>
            </w:r>
            <w:hyperlink r:id="rId7" w:history="1">
              <w:r w:rsidRPr="00DF4E87">
                <w:rPr>
                  <w:rStyle w:val="Hyperlink"/>
                  <w:u w:val="none"/>
                </w:rPr>
                <w:t>www.caa.lv</w:t>
              </w:r>
            </w:hyperlink>
            <w:r w:rsidRPr="00DF4E87">
              <w:rPr>
                <w:color w:val="000000"/>
              </w:rPr>
              <w:t>).</w:t>
            </w:r>
          </w:p>
        </w:tc>
      </w:tr>
      <w:tr w:rsidR="008C0EDC" w:rsidRPr="00DF4E87" w14:paraId="6204125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254"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041255" w14:textId="77777777" w:rsidR="008C0EDC" w:rsidRPr="00DF4E87" w:rsidRDefault="008C0EDC" w:rsidP="008C0EDC">
            <w:pPr>
              <w:spacing w:after="0"/>
              <w:rPr>
                <w:rFonts w:eastAsia="Times New Roman"/>
                <w:lang w:eastAsia="lv-LV"/>
              </w:rPr>
            </w:pPr>
            <w:r w:rsidRPr="00DF4E87">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2041256" w14:textId="1142FA9A" w:rsidR="008C0EDC" w:rsidRPr="00DF4E87" w:rsidRDefault="000C4672" w:rsidP="00541498">
            <w:pPr>
              <w:spacing w:after="0"/>
              <w:jc w:val="both"/>
              <w:rPr>
                <w:rFonts w:eastAsia="Times New Roman"/>
                <w:lang w:eastAsia="lv-LV"/>
              </w:rPr>
            </w:pPr>
            <w:r w:rsidRPr="00DF4E87">
              <w:rPr>
                <w:rFonts w:eastAsia="Calibri"/>
              </w:rPr>
              <w:t>Atbilstoši Ministru kabineta 2009.gada 25.augusta noteikumu Nr.970 „Sabiedrības līdzdalības kārtība attīstības plānošanas procesā” 7.4.</w:t>
            </w:r>
            <w:r w:rsidRPr="00DF4E87">
              <w:rPr>
                <w:rFonts w:eastAsia="Calibri"/>
                <w:vertAlign w:val="superscript"/>
              </w:rPr>
              <w:t xml:space="preserve">1 </w:t>
            </w:r>
            <w:r w:rsidRPr="00DF4E87">
              <w:rPr>
                <w:rFonts w:eastAsia="Calibri"/>
              </w:rPr>
              <w:t>apakšpunktam sabiedrībai tiek dota iespēja rakstiski sniegt viedokli par noteikumu projektu tā saskaņošanas stadijā.</w:t>
            </w:r>
          </w:p>
        </w:tc>
      </w:tr>
      <w:tr w:rsidR="008C0EDC" w:rsidRPr="00DF4E87" w14:paraId="6204125B"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258"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2041259" w14:textId="77777777" w:rsidR="008C0EDC" w:rsidRPr="00DF4E87" w:rsidRDefault="008C0EDC" w:rsidP="008C0EDC">
            <w:pPr>
              <w:spacing w:after="0"/>
              <w:rPr>
                <w:rFonts w:eastAsia="Times New Roman"/>
                <w:lang w:eastAsia="lv-LV"/>
              </w:rPr>
            </w:pPr>
            <w:r w:rsidRPr="00DF4E87">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6204125A" w14:textId="45E23C9F" w:rsidR="008C0EDC" w:rsidRPr="00DF4E87" w:rsidRDefault="00541498" w:rsidP="00541498">
            <w:pPr>
              <w:spacing w:after="0"/>
              <w:jc w:val="both"/>
              <w:rPr>
                <w:rFonts w:eastAsia="Times New Roman"/>
                <w:lang w:eastAsia="lv-LV"/>
              </w:rPr>
            </w:pPr>
            <w:r w:rsidRPr="00DF4E87">
              <w:rPr>
                <w:color w:val="000000"/>
              </w:rPr>
              <w:t>Sabiedrības pārstāvji par projektu nav snieguši viedokli.</w:t>
            </w:r>
          </w:p>
        </w:tc>
      </w:tr>
      <w:tr w:rsidR="008C0EDC" w:rsidRPr="00DF4E87" w14:paraId="6204125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4125C"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204125D" w14:textId="77777777" w:rsidR="008C0EDC" w:rsidRPr="00DF4E87" w:rsidRDefault="008C0EDC" w:rsidP="008C0EDC">
            <w:pPr>
              <w:spacing w:after="0"/>
              <w:rPr>
                <w:rFonts w:eastAsia="Times New Roman"/>
                <w:lang w:eastAsia="lv-LV"/>
              </w:rPr>
            </w:pPr>
            <w:r w:rsidRPr="00DF4E8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204125E" w14:textId="69AE9EDE" w:rsidR="008C0EDC" w:rsidRPr="00DF4E87" w:rsidRDefault="00541498" w:rsidP="008C0EDC">
            <w:pPr>
              <w:spacing w:after="0"/>
              <w:rPr>
                <w:rFonts w:eastAsia="Times New Roman"/>
                <w:lang w:eastAsia="lv-LV"/>
              </w:rPr>
            </w:pPr>
            <w:r w:rsidRPr="00DF4E87">
              <w:rPr>
                <w:color w:val="000000"/>
              </w:rPr>
              <w:t>Nav.</w:t>
            </w:r>
          </w:p>
        </w:tc>
      </w:tr>
    </w:tbl>
    <w:p w14:paraId="62041260" w14:textId="77777777" w:rsidR="008C0EDC" w:rsidRPr="00DF4E8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9"/>
        <w:gridCol w:w="5479"/>
      </w:tblGrid>
      <w:tr w:rsidR="008C0EDC" w:rsidRPr="00DF4E87" w14:paraId="62041262"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041261" w14:textId="77777777" w:rsidR="008C0EDC" w:rsidRPr="00DF4E87" w:rsidRDefault="008C0EDC" w:rsidP="008C0EDC">
            <w:pPr>
              <w:spacing w:before="100" w:beforeAutospacing="1" w:after="100" w:afterAutospacing="1"/>
              <w:jc w:val="center"/>
              <w:rPr>
                <w:rFonts w:eastAsia="Times New Roman"/>
                <w:b/>
                <w:bCs/>
                <w:lang w:eastAsia="lv-LV"/>
              </w:rPr>
            </w:pPr>
            <w:r w:rsidRPr="00DF4E87">
              <w:rPr>
                <w:rFonts w:eastAsia="Times New Roman"/>
                <w:b/>
                <w:bCs/>
                <w:lang w:eastAsia="lv-LV"/>
              </w:rPr>
              <w:t>VII. Tiesību akta projekta izpildes nodrošināšana un tās ietekme uz institūcijām</w:t>
            </w:r>
          </w:p>
        </w:tc>
      </w:tr>
      <w:tr w:rsidR="008C0EDC" w:rsidRPr="00DF4E87" w14:paraId="62041266"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263"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2041264" w14:textId="77777777" w:rsidR="008C0EDC" w:rsidRPr="00DF4E87" w:rsidRDefault="008C0EDC" w:rsidP="008C0EDC">
            <w:pPr>
              <w:spacing w:after="0"/>
              <w:rPr>
                <w:rFonts w:eastAsia="Times New Roman"/>
                <w:lang w:eastAsia="lv-LV"/>
              </w:rPr>
            </w:pPr>
            <w:r w:rsidRPr="00DF4E87">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62041265" w14:textId="4F2F1B80" w:rsidR="008C0EDC" w:rsidRPr="00DF4E87" w:rsidRDefault="00553F79" w:rsidP="00553F79">
            <w:pPr>
              <w:spacing w:after="0"/>
              <w:rPr>
                <w:rFonts w:eastAsia="Times New Roman"/>
                <w:lang w:eastAsia="lv-LV"/>
              </w:rPr>
            </w:pPr>
            <w:r w:rsidRPr="00DF4E87">
              <w:rPr>
                <w:rFonts w:eastAsia="Times New Roman"/>
                <w:lang w:eastAsia="lv-LV"/>
              </w:rPr>
              <w:t>Projekta izpildi nodrošinās Civilās aviācijas aģentūra.</w:t>
            </w:r>
          </w:p>
        </w:tc>
      </w:tr>
      <w:tr w:rsidR="008C0EDC" w:rsidRPr="00DF4E87" w14:paraId="6204126A"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267"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2041268" w14:textId="77777777" w:rsidR="008C0EDC" w:rsidRPr="00DF4E87" w:rsidRDefault="008C0EDC" w:rsidP="008C0EDC">
            <w:pPr>
              <w:spacing w:after="0"/>
              <w:rPr>
                <w:rFonts w:eastAsia="Times New Roman"/>
                <w:lang w:eastAsia="lv-LV"/>
              </w:rPr>
            </w:pPr>
            <w:r w:rsidRPr="00DF4E87">
              <w:rPr>
                <w:rFonts w:eastAsia="Times New Roman"/>
                <w:lang w:eastAsia="lv-LV"/>
              </w:rPr>
              <w:t>Projekta izpildes ietekme uz pārvaldes funkcijām un institucionālo struktūru.</w:t>
            </w:r>
            <w:r w:rsidRPr="00DF4E87">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27560FEE" w14:textId="77777777" w:rsidR="00553F79" w:rsidRPr="00DF4E87" w:rsidRDefault="00553F79" w:rsidP="00553F79">
            <w:pPr>
              <w:spacing w:after="0"/>
              <w:jc w:val="both"/>
              <w:rPr>
                <w:rFonts w:eastAsia="Times New Roman"/>
                <w:lang w:eastAsia="lv-LV"/>
              </w:rPr>
            </w:pPr>
            <w:r w:rsidRPr="00DF4E87">
              <w:rPr>
                <w:rFonts w:eastAsia="Times New Roman"/>
                <w:lang w:eastAsia="lv-LV"/>
              </w:rPr>
              <w:t xml:space="preserve">Noteikumu projekta izpilde tiks nodrošināta institūcijas līdzšinējo funkciju un cilvēkresursu ietvaros. </w:t>
            </w:r>
          </w:p>
          <w:p w14:paraId="62041269" w14:textId="2BADDD60" w:rsidR="008C0EDC" w:rsidRPr="00DF4E87" w:rsidRDefault="00553F79" w:rsidP="00553F79">
            <w:pPr>
              <w:spacing w:after="0"/>
              <w:jc w:val="both"/>
              <w:rPr>
                <w:rFonts w:eastAsia="Times New Roman"/>
                <w:lang w:eastAsia="lv-LV"/>
              </w:rPr>
            </w:pPr>
            <w:r w:rsidRPr="00DF4E87">
              <w:rPr>
                <w:rFonts w:eastAsia="Times New Roman"/>
                <w:lang w:eastAsia="lv-LV"/>
              </w:rPr>
              <w:t>Noteikumu projekta izpildei nav nepieciešams veidot  jaunas institūcijas, likvidēt vai reorganizēt esošās.</w:t>
            </w:r>
          </w:p>
        </w:tc>
      </w:tr>
      <w:tr w:rsidR="008C0EDC" w:rsidRPr="00DF4E87" w14:paraId="6204126E"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4126B" w14:textId="77777777" w:rsidR="008C0EDC" w:rsidRPr="00DF4E87" w:rsidRDefault="008C0EDC" w:rsidP="008C0EDC">
            <w:pPr>
              <w:spacing w:before="100" w:beforeAutospacing="1" w:after="100" w:afterAutospacing="1"/>
              <w:jc w:val="center"/>
              <w:rPr>
                <w:rFonts w:eastAsia="Times New Roman"/>
                <w:lang w:eastAsia="lv-LV"/>
              </w:rPr>
            </w:pPr>
            <w:r w:rsidRPr="00DF4E87">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204126C" w14:textId="77777777" w:rsidR="008C0EDC" w:rsidRPr="00DF4E87" w:rsidRDefault="008C0EDC" w:rsidP="008C0EDC">
            <w:pPr>
              <w:spacing w:after="0"/>
              <w:rPr>
                <w:rFonts w:eastAsia="Times New Roman"/>
                <w:lang w:eastAsia="lv-LV"/>
              </w:rPr>
            </w:pPr>
            <w:r w:rsidRPr="00DF4E87">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6204126D" w14:textId="77777777" w:rsidR="008C0EDC" w:rsidRPr="00DF4E87" w:rsidRDefault="00D935AC" w:rsidP="008C0EDC">
            <w:pPr>
              <w:spacing w:after="0"/>
              <w:rPr>
                <w:rFonts w:eastAsia="Times New Roman"/>
                <w:lang w:eastAsia="lv-LV"/>
              </w:rPr>
            </w:pPr>
            <w:r w:rsidRPr="00DF4E87">
              <w:rPr>
                <w:rFonts w:eastAsia="Times New Roman"/>
                <w:lang w:eastAsia="lv-LV"/>
              </w:rPr>
              <w:t>Nav.</w:t>
            </w:r>
          </w:p>
        </w:tc>
      </w:tr>
    </w:tbl>
    <w:p w14:paraId="6204126F" w14:textId="77777777" w:rsidR="000B6C51" w:rsidRPr="00DF4E87" w:rsidRDefault="000B6C51" w:rsidP="000B6C51">
      <w:pPr>
        <w:tabs>
          <w:tab w:val="left" w:pos="6237"/>
        </w:tabs>
        <w:spacing w:after="0"/>
        <w:ind w:firstLine="720"/>
        <w:rPr>
          <w:sz w:val="28"/>
          <w:szCs w:val="28"/>
        </w:rPr>
      </w:pPr>
    </w:p>
    <w:p w14:paraId="62041270" w14:textId="77777777" w:rsidR="000B6C51" w:rsidRPr="00DF4E87" w:rsidRDefault="000B6C51" w:rsidP="000B6C51">
      <w:pPr>
        <w:tabs>
          <w:tab w:val="left" w:pos="6237"/>
        </w:tabs>
        <w:spacing w:after="0"/>
        <w:ind w:firstLine="720"/>
        <w:rPr>
          <w:sz w:val="28"/>
          <w:szCs w:val="28"/>
        </w:rPr>
      </w:pPr>
    </w:p>
    <w:p w14:paraId="4E06AA1E" w14:textId="77777777" w:rsidR="003E579B" w:rsidRPr="007D73B5" w:rsidRDefault="003E579B" w:rsidP="003E579B">
      <w:pPr>
        <w:spacing w:after="0"/>
        <w:ind w:firstLine="709"/>
        <w:rPr>
          <w:rFonts w:eastAsia="Times New Roman"/>
        </w:rPr>
      </w:pPr>
      <w:r w:rsidRPr="007D73B5">
        <w:rPr>
          <w:rFonts w:eastAsia="Times New Roman"/>
        </w:rPr>
        <w:t>Satiksmes ministra vietā</w:t>
      </w:r>
    </w:p>
    <w:p w14:paraId="70B91258" w14:textId="7536C869" w:rsidR="003E579B" w:rsidRPr="007D73B5" w:rsidRDefault="003E579B" w:rsidP="003E579B">
      <w:pPr>
        <w:spacing w:after="0"/>
        <w:ind w:firstLine="709"/>
        <w:rPr>
          <w:rFonts w:eastAsia="Times New Roman"/>
        </w:rPr>
      </w:pPr>
      <w:r w:rsidRPr="007D73B5">
        <w:rPr>
          <w:rFonts w:eastAsia="Times New Roman"/>
        </w:rPr>
        <w:t>veselības ministre</w:t>
      </w:r>
      <w:r w:rsidRPr="007D73B5">
        <w:rPr>
          <w:rFonts w:eastAsia="Times New Roman"/>
        </w:rPr>
        <w:tab/>
      </w:r>
      <w:r w:rsidRPr="007D73B5">
        <w:rPr>
          <w:rFonts w:eastAsia="Times New Roman"/>
        </w:rPr>
        <w:tab/>
      </w:r>
      <w:r w:rsidRPr="007D73B5">
        <w:rPr>
          <w:rFonts w:eastAsia="Times New Roman"/>
        </w:rPr>
        <w:tab/>
      </w:r>
      <w:r w:rsidRPr="007D73B5">
        <w:rPr>
          <w:rFonts w:eastAsia="Times New Roman"/>
        </w:rPr>
        <w:tab/>
      </w:r>
      <w:r w:rsidRPr="007D73B5">
        <w:rPr>
          <w:rFonts w:eastAsia="Times New Roman"/>
        </w:rPr>
        <w:tab/>
        <w:t xml:space="preserve">       </w:t>
      </w:r>
      <w:r w:rsidR="007D73B5">
        <w:rPr>
          <w:rFonts w:eastAsia="Times New Roman"/>
        </w:rPr>
        <w:tab/>
      </w:r>
      <w:proofErr w:type="spellStart"/>
      <w:r w:rsidRPr="007D73B5">
        <w:rPr>
          <w:rFonts w:eastAsia="Times New Roman"/>
        </w:rPr>
        <w:t>A.Čakša</w:t>
      </w:r>
      <w:proofErr w:type="spellEnd"/>
    </w:p>
    <w:p w14:paraId="62041272" w14:textId="3EF58876" w:rsidR="000B6C51" w:rsidRDefault="000B6C51" w:rsidP="000B6C51">
      <w:pPr>
        <w:tabs>
          <w:tab w:val="left" w:pos="6237"/>
        </w:tabs>
        <w:spacing w:after="0"/>
        <w:ind w:firstLine="720"/>
      </w:pPr>
    </w:p>
    <w:p w14:paraId="6C80E949" w14:textId="77777777" w:rsidR="005D22D0" w:rsidRPr="007D73B5" w:rsidRDefault="005D22D0" w:rsidP="000B6C51">
      <w:pPr>
        <w:tabs>
          <w:tab w:val="left" w:pos="6237"/>
        </w:tabs>
        <w:spacing w:after="0"/>
        <w:ind w:firstLine="720"/>
      </w:pPr>
      <w:bookmarkStart w:id="0" w:name="_GoBack"/>
      <w:bookmarkEnd w:id="0"/>
    </w:p>
    <w:p w14:paraId="0EF863B0" w14:textId="77777777" w:rsidR="007D73B5" w:rsidRPr="007D73B5" w:rsidRDefault="007D73B5" w:rsidP="007D73B5">
      <w:pPr>
        <w:spacing w:after="0"/>
      </w:pPr>
      <w:r w:rsidRPr="007D73B5">
        <w:t>Vīza: Valsts sekretāra vietā</w:t>
      </w:r>
      <w:r w:rsidRPr="007D73B5">
        <w:tab/>
        <w:t>-</w:t>
      </w:r>
    </w:p>
    <w:p w14:paraId="6A150F6E" w14:textId="51B3647F" w:rsidR="007D73B5" w:rsidRPr="007D73B5" w:rsidRDefault="007D73B5" w:rsidP="007D73B5">
      <w:r w:rsidRPr="007D73B5">
        <w:t xml:space="preserve">          valsts sekretāra vietniece</w:t>
      </w:r>
      <w:r w:rsidRPr="007D73B5">
        <w:tab/>
      </w:r>
      <w:r w:rsidRPr="007D73B5">
        <w:tab/>
      </w:r>
      <w:r w:rsidRPr="007D73B5">
        <w:tab/>
      </w:r>
      <w:r w:rsidRPr="007D73B5">
        <w:tab/>
        <w:t xml:space="preserve">    </w:t>
      </w:r>
      <w:r w:rsidRPr="007D73B5">
        <w:t xml:space="preserve">    </w:t>
      </w:r>
      <w:r>
        <w:tab/>
      </w:r>
      <w:proofErr w:type="spellStart"/>
      <w:r w:rsidRPr="007D73B5">
        <w:t>Dž.Innusa</w:t>
      </w:r>
      <w:proofErr w:type="spellEnd"/>
    </w:p>
    <w:p w14:paraId="5FFAFFF3" w14:textId="77777777" w:rsidR="007D73B5" w:rsidRDefault="007D73B5" w:rsidP="00191A97">
      <w:pPr>
        <w:spacing w:after="0"/>
        <w:rPr>
          <w:sz w:val="20"/>
          <w:lang w:eastAsia="lv-LV"/>
        </w:rPr>
      </w:pPr>
    </w:p>
    <w:p w14:paraId="3727DE49" w14:textId="77777777" w:rsidR="007D73B5" w:rsidRDefault="007D73B5" w:rsidP="00191A97">
      <w:pPr>
        <w:spacing w:after="0"/>
        <w:rPr>
          <w:sz w:val="20"/>
          <w:lang w:eastAsia="lv-LV"/>
        </w:rPr>
      </w:pPr>
    </w:p>
    <w:p w14:paraId="48BC156D" w14:textId="77777777" w:rsidR="007D73B5" w:rsidRDefault="007D73B5" w:rsidP="00191A97">
      <w:pPr>
        <w:spacing w:after="0"/>
        <w:rPr>
          <w:sz w:val="20"/>
          <w:lang w:eastAsia="lv-LV"/>
        </w:rPr>
      </w:pPr>
    </w:p>
    <w:p w14:paraId="69976040" w14:textId="0F8779BA" w:rsidR="00191A97" w:rsidRPr="00DF4E87" w:rsidRDefault="00191A97" w:rsidP="00191A97">
      <w:pPr>
        <w:spacing w:after="0"/>
        <w:rPr>
          <w:sz w:val="20"/>
          <w:lang w:eastAsia="lv-LV"/>
        </w:rPr>
      </w:pPr>
      <w:r w:rsidRPr="00DF4E87">
        <w:rPr>
          <w:sz w:val="20"/>
          <w:lang w:eastAsia="lv-LV"/>
        </w:rPr>
        <w:t>Gertners 67830961</w:t>
      </w:r>
    </w:p>
    <w:p w14:paraId="1366B21F" w14:textId="150F8F51" w:rsidR="00191A97" w:rsidRPr="00DF4E87" w:rsidRDefault="00453FA0" w:rsidP="00191A97">
      <w:pPr>
        <w:spacing w:after="0"/>
        <w:rPr>
          <w:sz w:val="20"/>
          <w:lang w:eastAsia="lv-LV"/>
        </w:rPr>
      </w:pPr>
      <w:hyperlink r:id="rId8" w:history="1">
        <w:r w:rsidR="00191A97" w:rsidRPr="00DF4E87">
          <w:rPr>
            <w:rStyle w:val="Hyperlink"/>
            <w:sz w:val="20"/>
            <w:u w:val="none"/>
            <w:lang w:eastAsia="lv-LV"/>
          </w:rPr>
          <w:t>viesturs.gertners@caa.gov.lv</w:t>
        </w:r>
      </w:hyperlink>
    </w:p>
    <w:p w14:paraId="6204127B" w14:textId="259BBB98" w:rsidR="000B6C51" w:rsidRPr="00DF4E87" w:rsidRDefault="00191A97" w:rsidP="00191A97">
      <w:pPr>
        <w:spacing w:after="0"/>
        <w:rPr>
          <w:sz w:val="20"/>
          <w:lang w:eastAsia="lv-LV"/>
        </w:rPr>
      </w:pPr>
      <w:r w:rsidRPr="00DF4E87">
        <w:rPr>
          <w:sz w:val="20"/>
          <w:lang w:eastAsia="lv-LV"/>
        </w:rPr>
        <w:t>Sīle 67507906</w:t>
      </w:r>
    </w:p>
    <w:p w14:paraId="6204127C" w14:textId="6CCF7795" w:rsidR="000B6C51" w:rsidRPr="00DF4E87" w:rsidRDefault="00453FA0" w:rsidP="000B6C51">
      <w:pPr>
        <w:spacing w:after="0"/>
        <w:rPr>
          <w:sz w:val="20"/>
          <w:lang w:eastAsia="lv-LV"/>
        </w:rPr>
      </w:pPr>
      <w:hyperlink r:id="rId9" w:history="1">
        <w:r w:rsidR="00191A97" w:rsidRPr="00DF4E87">
          <w:rPr>
            <w:rStyle w:val="Hyperlink"/>
            <w:sz w:val="20"/>
            <w:u w:val="none"/>
            <w:lang w:eastAsia="lv-LV"/>
          </w:rPr>
          <w:t>liene.sile@caa.gov.lv</w:t>
        </w:r>
      </w:hyperlink>
    </w:p>
    <w:p w14:paraId="6204127D" w14:textId="77777777" w:rsidR="008C0EDC" w:rsidRPr="00DF4E87" w:rsidRDefault="000B6C51" w:rsidP="000B6C51">
      <w:pPr>
        <w:tabs>
          <w:tab w:val="left" w:pos="1500"/>
        </w:tabs>
        <w:spacing w:after="0"/>
      </w:pPr>
      <w:r w:rsidRPr="00DF4E87">
        <w:tab/>
      </w:r>
    </w:p>
    <w:sectPr w:rsidR="008C0EDC" w:rsidRPr="00DF4E87" w:rsidSect="000A01ED">
      <w:headerReference w:type="default" r:id="rId10"/>
      <w:footerReference w:type="defaul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5693" w14:textId="77777777" w:rsidR="00453FA0" w:rsidRDefault="00453FA0" w:rsidP="0055695F">
      <w:pPr>
        <w:spacing w:after="0"/>
      </w:pPr>
      <w:r>
        <w:separator/>
      </w:r>
    </w:p>
  </w:endnote>
  <w:endnote w:type="continuationSeparator" w:id="0">
    <w:p w14:paraId="06B2B54C" w14:textId="77777777" w:rsidR="00453FA0" w:rsidRDefault="00453FA0"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1284" w14:textId="6F3411DA" w:rsidR="0055695F" w:rsidRPr="006D0954" w:rsidRDefault="00551FF3" w:rsidP="00551FF3">
    <w:pPr>
      <w:pStyle w:val="Footer"/>
      <w:rPr>
        <w:sz w:val="20"/>
        <w:szCs w:val="20"/>
      </w:rPr>
    </w:pPr>
    <w:r w:rsidRPr="006D0954">
      <w:rPr>
        <w:sz w:val="20"/>
        <w:szCs w:val="20"/>
      </w:rPr>
      <w:t>SManot_</w:t>
    </w:r>
    <w:r w:rsidR="00D13953">
      <w:rPr>
        <w:sz w:val="20"/>
        <w:szCs w:val="20"/>
      </w:rPr>
      <w:t>2</w:t>
    </w:r>
    <w:r w:rsidR="00466629">
      <w:rPr>
        <w:sz w:val="20"/>
        <w:szCs w:val="20"/>
      </w:rPr>
      <w:t>8</w:t>
    </w:r>
    <w:r w:rsidR="00A36FBF">
      <w:rPr>
        <w:sz w:val="20"/>
        <w:szCs w:val="20"/>
      </w:rPr>
      <w:t>0</w:t>
    </w:r>
    <w:r w:rsidR="00D13953">
      <w:rPr>
        <w:sz w:val="20"/>
        <w:szCs w:val="20"/>
      </w:rPr>
      <w:t>5</w:t>
    </w:r>
    <w:r w:rsidRPr="006D0954">
      <w:rPr>
        <w:sz w:val="20"/>
        <w:szCs w:val="20"/>
      </w:rPr>
      <w:t>18_gksal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1285" w14:textId="63BAA13D" w:rsidR="0055695F" w:rsidRPr="006D0954" w:rsidRDefault="0055695F" w:rsidP="0055695F">
    <w:pPr>
      <w:pStyle w:val="Footer"/>
      <w:rPr>
        <w:sz w:val="20"/>
        <w:szCs w:val="20"/>
      </w:rPr>
    </w:pPr>
    <w:r w:rsidRPr="006D0954">
      <w:rPr>
        <w:sz w:val="20"/>
        <w:szCs w:val="20"/>
      </w:rPr>
      <w:t>SM</w:t>
    </w:r>
    <w:r w:rsidR="00B8659A" w:rsidRPr="006D0954">
      <w:rPr>
        <w:sz w:val="20"/>
        <w:szCs w:val="20"/>
      </w:rPr>
      <w:t>a</w:t>
    </w:r>
    <w:r w:rsidRPr="006D0954">
      <w:rPr>
        <w:sz w:val="20"/>
        <w:szCs w:val="20"/>
      </w:rPr>
      <w:t>not_</w:t>
    </w:r>
    <w:r w:rsidR="00A36FBF">
      <w:rPr>
        <w:sz w:val="20"/>
        <w:szCs w:val="20"/>
      </w:rPr>
      <w:t>2</w:t>
    </w:r>
    <w:r w:rsidR="00466629">
      <w:rPr>
        <w:sz w:val="20"/>
        <w:szCs w:val="20"/>
      </w:rPr>
      <w:t>8</w:t>
    </w:r>
    <w:r w:rsidR="00D13953">
      <w:rPr>
        <w:sz w:val="20"/>
        <w:szCs w:val="20"/>
      </w:rPr>
      <w:t>05</w:t>
    </w:r>
    <w:r w:rsidR="00B8659A" w:rsidRPr="006D0954">
      <w:rPr>
        <w:sz w:val="20"/>
        <w:szCs w:val="20"/>
      </w:rPr>
      <w:t>18_gksal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2AC6" w14:textId="77777777" w:rsidR="00453FA0" w:rsidRDefault="00453FA0" w:rsidP="0055695F">
      <w:pPr>
        <w:spacing w:after="0"/>
      </w:pPr>
      <w:r>
        <w:separator/>
      </w:r>
    </w:p>
  </w:footnote>
  <w:footnote w:type="continuationSeparator" w:id="0">
    <w:p w14:paraId="5195EEE9" w14:textId="77777777" w:rsidR="00453FA0" w:rsidRDefault="00453FA0"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7376"/>
      <w:docPartObj>
        <w:docPartGallery w:val="Page Numbers (Top of Page)"/>
        <w:docPartUnique/>
      </w:docPartObj>
    </w:sdtPr>
    <w:sdtEndPr>
      <w:rPr>
        <w:noProof/>
      </w:rPr>
    </w:sdtEndPr>
    <w:sdtContent>
      <w:p w14:paraId="62041282" w14:textId="77777777" w:rsidR="00D935AC" w:rsidRDefault="00D935AC">
        <w:pPr>
          <w:pStyle w:val="Header"/>
          <w:jc w:val="center"/>
        </w:pPr>
        <w:r>
          <w:fldChar w:fldCharType="begin"/>
        </w:r>
        <w:r>
          <w:instrText xml:space="preserve"> PAGE   \* MERGEFORMAT </w:instrText>
        </w:r>
        <w:r>
          <w:fldChar w:fldCharType="separate"/>
        </w:r>
        <w:r w:rsidR="000A01ED">
          <w:rPr>
            <w:noProof/>
          </w:rPr>
          <w:t>9</w:t>
        </w:r>
        <w:r>
          <w:rPr>
            <w:noProof/>
          </w:rPr>
          <w:fldChar w:fldCharType="end"/>
        </w:r>
      </w:p>
    </w:sdtContent>
  </w:sdt>
  <w:p w14:paraId="62041283" w14:textId="77777777" w:rsidR="00D935AC" w:rsidRDefault="00D93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830"/>
    <w:rsid w:val="000050DD"/>
    <w:rsid w:val="000270AD"/>
    <w:rsid w:val="0003269E"/>
    <w:rsid w:val="00033EBF"/>
    <w:rsid w:val="00034D3A"/>
    <w:rsid w:val="000424C2"/>
    <w:rsid w:val="00047BBC"/>
    <w:rsid w:val="00061042"/>
    <w:rsid w:val="0006195E"/>
    <w:rsid w:val="000633CE"/>
    <w:rsid w:val="00071FF4"/>
    <w:rsid w:val="00072CBA"/>
    <w:rsid w:val="00091E8A"/>
    <w:rsid w:val="00096103"/>
    <w:rsid w:val="000A01ED"/>
    <w:rsid w:val="000A6E86"/>
    <w:rsid w:val="000B6C51"/>
    <w:rsid w:val="000C3C2C"/>
    <w:rsid w:val="000C4672"/>
    <w:rsid w:val="000C52BA"/>
    <w:rsid w:val="000D00C6"/>
    <w:rsid w:val="000D573D"/>
    <w:rsid w:val="000E60B4"/>
    <w:rsid w:val="001206A9"/>
    <w:rsid w:val="00125515"/>
    <w:rsid w:val="00134EE1"/>
    <w:rsid w:val="00143B29"/>
    <w:rsid w:val="00147E2E"/>
    <w:rsid w:val="00150904"/>
    <w:rsid w:val="00157AF7"/>
    <w:rsid w:val="0018677B"/>
    <w:rsid w:val="001878F2"/>
    <w:rsid w:val="0019118A"/>
    <w:rsid w:val="00191A97"/>
    <w:rsid w:val="0019376D"/>
    <w:rsid w:val="001A3518"/>
    <w:rsid w:val="001A57B3"/>
    <w:rsid w:val="001A70E0"/>
    <w:rsid w:val="001B1429"/>
    <w:rsid w:val="001C044F"/>
    <w:rsid w:val="001D731B"/>
    <w:rsid w:val="00203FD0"/>
    <w:rsid w:val="00204E1B"/>
    <w:rsid w:val="00230CEE"/>
    <w:rsid w:val="00234DC1"/>
    <w:rsid w:val="00241590"/>
    <w:rsid w:val="00250171"/>
    <w:rsid w:val="00255AA3"/>
    <w:rsid w:val="002803EA"/>
    <w:rsid w:val="0028469E"/>
    <w:rsid w:val="00287CAC"/>
    <w:rsid w:val="002B5AFC"/>
    <w:rsid w:val="002E4AD5"/>
    <w:rsid w:val="00303F02"/>
    <w:rsid w:val="00316FC4"/>
    <w:rsid w:val="00317876"/>
    <w:rsid w:val="00323085"/>
    <w:rsid w:val="00323971"/>
    <w:rsid w:val="00323E2A"/>
    <w:rsid w:val="003332FD"/>
    <w:rsid w:val="00335A48"/>
    <w:rsid w:val="003439A7"/>
    <w:rsid w:val="00351BAA"/>
    <w:rsid w:val="00362423"/>
    <w:rsid w:val="00395F1F"/>
    <w:rsid w:val="003D0104"/>
    <w:rsid w:val="003E579B"/>
    <w:rsid w:val="00403824"/>
    <w:rsid w:val="00414C4D"/>
    <w:rsid w:val="00420B06"/>
    <w:rsid w:val="00422698"/>
    <w:rsid w:val="00423C28"/>
    <w:rsid w:val="00434C84"/>
    <w:rsid w:val="0044308A"/>
    <w:rsid w:val="00453FA0"/>
    <w:rsid w:val="00466629"/>
    <w:rsid w:val="00482EBB"/>
    <w:rsid w:val="004835CF"/>
    <w:rsid w:val="00493CB0"/>
    <w:rsid w:val="004A7978"/>
    <w:rsid w:val="004D2297"/>
    <w:rsid w:val="00541498"/>
    <w:rsid w:val="00551FF3"/>
    <w:rsid w:val="00553F79"/>
    <w:rsid w:val="0055695F"/>
    <w:rsid w:val="005743C1"/>
    <w:rsid w:val="005802AD"/>
    <w:rsid w:val="00592EE1"/>
    <w:rsid w:val="00597FAD"/>
    <w:rsid w:val="005A2CAC"/>
    <w:rsid w:val="005A3F43"/>
    <w:rsid w:val="005A51A0"/>
    <w:rsid w:val="005A684F"/>
    <w:rsid w:val="005D22D0"/>
    <w:rsid w:val="005D70AF"/>
    <w:rsid w:val="0061467D"/>
    <w:rsid w:val="006249AF"/>
    <w:rsid w:val="00635470"/>
    <w:rsid w:val="00636429"/>
    <w:rsid w:val="00636456"/>
    <w:rsid w:val="0064375B"/>
    <w:rsid w:val="00647BD7"/>
    <w:rsid w:val="006541CF"/>
    <w:rsid w:val="00674950"/>
    <w:rsid w:val="0067558A"/>
    <w:rsid w:val="00675D1E"/>
    <w:rsid w:val="00690D47"/>
    <w:rsid w:val="00691F13"/>
    <w:rsid w:val="006A0FA2"/>
    <w:rsid w:val="006B09E9"/>
    <w:rsid w:val="006B7E8E"/>
    <w:rsid w:val="006C3413"/>
    <w:rsid w:val="006D0954"/>
    <w:rsid w:val="006D0DE1"/>
    <w:rsid w:val="006E12CB"/>
    <w:rsid w:val="00724D02"/>
    <w:rsid w:val="00724F71"/>
    <w:rsid w:val="00763A12"/>
    <w:rsid w:val="007702D1"/>
    <w:rsid w:val="0077158F"/>
    <w:rsid w:val="007C57C8"/>
    <w:rsid w:val="007D4C75"/>
    <w:rsid w:val="007D73B5"/>
    <w:rsid w:val="007E4B84"/>
    <w:rsid w:val="007F4E61"/>
    <w:rsid w:val="007F5C9A"/>
    <w:rsid w:val="00805357"/>
    <w:rsid w:val="008303AA"/>
    <w:rsid w:val="00830891"/>
    <w:rsid w:val="00830B2B"/>
    <w:rsid w:val="008374B6"/>
    <w:rsid w:val="00862E83"/>
    <w:rsid w:val="008725E8"/>
    <w:rsid w:val="00873D90"/>
    <w:rsid w:val="00893D5D"/>
    <w:rsid w:val="008975A7"/>
    <w:rsid w:val="008A58E6"/>
    <w:rsid w:val="008B0BF1"/>
    <w:rsid w:val="008B335E"/>
    <w:rsid w:val="008C0EDC"/>
    <w:rsid w:val="008C4F0C"/>
    <w:rsid w:val="008F13CD"/>
    <w:rsid w:val="00900CF5"/>
    <w:rsid w:val="0091598A"/>
    <w:rsid w:val="0093301F"/>
    <w:rsid w:val="00951035"/>
    <w:rsid w:val="00991AE1"/>
    <w:rsid w:val="009945E9"/>
    <w:rsid w:val="00997485"/>
    <w:rsid w:val="009B3082"/>
    <w:rsid w:val="009D7F08"/>
    <w:rsid w:val="009E4411"/>
    <w:rsid w:val="009F3BB2"/>
    <w:rsid w:val="009F4E08"/>
    <w:rsid w:val="00A046F2"/>
    <w:rsid w:val="00A242A7"/>
    <w:rsid w:val="00A26F2A"/>
    <w:rsid w:val="00A33D25"/>
    <w:rsid w:val="00A36FBF"/>
    <w:rsid w:val="00A71622"/>
    <w:rsid w:val="00A775C2"/>
    <w:rsid w:val="00A87F87"/>
    <w:rsid w:val="00A967B7"/>
    <w:rsid w:val="00AB7BBC"/>
    <w:rsid w:val="00AC41E8"/>
    <w:rsid w:val="00AD2029"/>
    <w:rsid w:val="00AD3392"/>
    <w:rsid w:val="00B008D8"/>
    <w:rsid w:val="00B0579D"/>
    <w:rsid w:val="00B07555"/>
    <w:rsid w:val="00B167D0"/>
    <w:rsid w:val="00B55B64"/>
    <w:rsid w:val="00B72BCC"/>
    <w:rsid w:val="00B828AD"/>
    <w:rsid w:val="00B8659A"/>
    <w:rsid w:val="00B87E74"/>
    <w:rsid w:val="00B9211A"/>
    <w:rsid w:val="00B96315"/>
    <w:rsid w:val="00BA0797"/>
    <w:rsid w:val="00BA0A71"/>
    <w:rsid w:val="00BA3B07"/>
    <w:rsid w:val="00BB066E"/>
    <w:rsid w:val="00BF3CCA"/>
    <w:rsid w:val="00BF7368"/>
    <w:rsid w:val="00C104BA"/>
    <w:rsid w:val="00C12FE0"/>
    <w:rsid w:val="00C21ED2"/>
    <w:rsid w:val="00C2265B"/>
    <w:rsid w:val="00C32249"/>
    <w:rsid w:val="00C41E24"/>
    <w:rsid w:val="00C429F6"/>
    <w:rsid w:val="00C4757E"/>
    <w:rsid w:val="00C50C6E"/>
    <w:rsid w:val="00C570DB"/>
    <w:rsid w:val="00C57ECC"/>
    <w:rsid w:val="00C76758"/>
    <w:rsid w:val="00C76770"/>
    <w:rsid w:val="00C82851"/>
    <w:rsid w:val="00C86D3D"/>
    <w:rsid w:val="00C90CD7"/>
    <w:rsid w:val="00C93B24"/>
    <w:rsid w:val="00CA71FD"/>
    <w:rsid w:val="00CB27EE"/>
    <w:rsid w:val="00CE3800"/>
    <w:rsid w:val="00D06B1E"/>
    <w:rsid w:val="00D06B3E"/>
    <w:rsid w:val="00D114D6"/>
    <w:rsid w:val="00D12846"/>
    <w:rsid w:val="00D13953"/>
    <w:rsid w:val="00D354F1"/>
    <w:rsid w:val="00D40F62"/>
    <w:rsid w:val="00D47830"/>
    <w:rsid w:val="00D5575E"/>
    <w:rsid w:val="00D71163"/>
    <w:rsid w:val="00D71F0C"/>
    <w:rsid w:val="00D935AC"/>
    <w:rsid w:val="00D94763"/>
    <w:rsid w:val="00D976E5"/>
    <w:rsid w:val="00DA7FB4"/>
    <w:rsid w:val="00DC3166"/>
    <w:rsid w:val="00DC5AA8"/>
    <w:rsid w:val="00DE0259"/>
    <w:rsid w:val="00DF165B"/>
    <w:rsid w:val="00DF4E87"/>
    <w:rsid w:val="00DF532F"/>
    <w:rsid w:val="00E10902"/>
    <w:rsid w:val="00E3148B"/>
    <w:rsid w:val="00E47C0C"/>
    <w:rsid w:val="00E71AEC"/>
    <w:rsid w:val="00E91B47"/>
    <w:rsid w:val="00E9494D"/>
    <w:rsid w:val="00EA767C"/>
    <w:rsid w:val="00EB65C8"/>
    <w:rsid w:val="00EC1B63"/>
    <w:rsid w:val="00EC496F"/>
    <w:rsid w:val="00EC6EDB"/>
    <w:rsid w:val="00ED7376"/>
    <w:rsid w:val="00EE16A0"/>
    <w:rsid w:val="00F040CE"/>
    <w:rsid w:val="00F2132E"/>
    <w:rsid w:val="00F40647"/>
    <w:rsid w:val="00F44000"/>
    <w:rsid w:val="00F4470A"/>
    <w:rsid w:val="00F63FCB"/>
    <w:rsid w:val="00F642D3"/>
    <w:rsid w:val="00F73462"/>
    <w:rsid w:val="00F737FA"/>
    <w:rsid w:val="00F77D28"/>
    <w:rsid w:val="00F84A92"/>
    <w:rsid w:val="00FA1AC8"/>
    <w:rsid w:val="00FB29A0"/>
    <w:rsid w:val="00FE2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411AD"/>
  <w15:docId w15:val="{983F8558-313F-4246-843F-D5FDD126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rsid w:val="000B6C51"/>
    <w:rPr>
      <w:color w:val="0000FF"/>
      <w:u w:val="single"/>
    </w:rPr>
  </w:style>
  <w:style w:type="paragraph" w:styleId="BalloonText">
    <w:name w:val="Balloon Text"/>
    <w:basedOn w:val="Normal"/>
    <w:link w:val="BalloonTextChar"/>
    <w:uiPriority w:val="99"/>
    <w:semiHidden/>
    <w:unhideWhenUsed/>
    <w:rsid w:val="002E4A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D5"/>
    <w:rPr>
      <w:rFonts w:ascii="Tahoma" w:hAnsi="Tahoma" w:cs="Tahoma"/>
      <w:sz w:val="16"/>
      <w:szCs w:val="16"/>
    </w:rPr>
  </w:style>
  <w:style w:type="character" w:styleId="CommentReference">
    <w:name w:val="annotation reference"/>
    <w:basedOn w:val="DefaultParagraphFont"/>
    <w:uiPriority w:val="99"/>
    <w:semiHidden/>
    <w:unhideWhenUsed/>
    <w:rsid w:val="007702D1"/>
    <w:rPr>
      <w:sz w:val="16"/>
      <w:szCs w:val="16"/>
    </w:rPr>
  </w:style>
  <w:style w:type="paragraph" w:styleId="CommentText">
    <w:name w:val="annotation text"/>
    <w:basedOn w:val="Normal"/>
    <w:link w:val="CommentTextChar"/>
    <w:uiPriority w:val="99"/>
    <w:semiHidden/>
    <w:unhideWhenUsed/>
    <w:rsid w:val="007702D1"/>
    <w:rPr>
      <w:sz w:val="20"/>
      <w:szCs w:val="20"/>
    </w:rPr>
  </w:style>
  <w:style w:type="character" w:customStyle="1" w:styleId="CommentTextChar">
    <w:name w:val="Comment Text Char"/>
    <w:basedOn w:val="DefaultParagraphFont"/>
    <w:link w:val="CommentText"/>
    <w:uiPriority w:val="99"/>
    <w:semiHidden/>
    <w:rsid w:val="007702D1"/>
    <w:rPr>
      <w:sz w:val="20"/>
      <w:szCs w:val="20"/>
    </w:rPr>
  </w:style>
  <w:style w:type="paragraph" w:styleId="CommentSubject">
    <w:name w:val="annotation subject"/>
    <w:basedOn w:val="CommentText"/>
    <w:next w:val="CommentText"/>
    <w:link w:val="CommentSubjectChar"/>
    <w:uiPriority w:val="99"/>
    <w:semiHidden/>
    <w:unhideWhenUsed/>
    <w:rsid w:val="007702D1"/>
    <w:rPr>
      <w:b/>
      <w:bCs/>
    </w:rPr>
  </w:style>
  <w:style w:type="character" w:customStyle="1" w:styleId="CommentSubjectChar">
    <w:name w:val="Comment Subject Char"/>
    <w:basedOn w:val="CommentTextChar"/>
    <w:link w:val="CommentSubject"/>
    <w:uiPriority w:val="99"/>
    <w:semiHidden/>
    <w:rsid w:val="00770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4403">
      <w:bodyDiv w:val="1"/>
      <w:marLeft w:val="0"/>
      <w:marRight w:val="0"/>
      <w:marTop w:val="0"/>
      <w:marBottom w:val="0"/>
      <w:divBdr>
        <w:top w:val="none" w:sz="0" w:space="0" w:color="auto"/>
        <w:left w:val="none" w:sz="0" w:space="0" w:color="auto"/>
        <w:bottom w:val="none" w:sz="0" w:space="0" w:color="auto"/>
        <w:right w:val="none" w:sz="0" w:space="0" w:color="auto"/>
      </w:divBdr>
      <w:divsChild>
        <w:div w:id="1424835028">
          <w:marLeft w:val="0"/>
          <w:marRight w:val="0"/>
          <w:marTop w:val="0"/>
          <w:marBottom w:val="0"/>
          <w:divBdr>
            <w:top w:val="none" w:sz="0" w:space="0" w:color="auto"/>
            <w:left w:val="none" w:sz="0" w:space="0" w:color="auto"/>
            <w:bottom w:val="none" w:sz="0" w:space="0" w:color="auto"/>
            <w:right w:val="none" w:sz="0" w:space="0" w:color="auto"/>
          </w:divBdr>
          <w:divsChild>
            <w:div w:id="1511261794">
              <w:marLeft w:val="0"/>
              <w:marRight w:val="0"/>
              <w:marTop w:val="0"/>
              <w:marBottom w:val="0"/>
              <w:divBdr>
                <w:top w:val="none" w:sz="0" w:space="0" w:color="auto"/>
                <w:left w:val="none" w:sz="0" w:space="0" w:color="auto"/>
                <w:bottom w:val="none" w:sz="0" w:space="0" w:color="auto"/>
                <w:right w:val="none" w:sz="0" w:space="0" w:color="auto"/>
              </w:divBdr>
              <w:divsChild>
                <w:div w:id="1309241948">
                  <w:marLeft w:val="0"/>
                  <w:marRight w:val="0"/>
                  <w:marTop w:val="0"/>
                  <w:marBottom w:val="0"/>
                  <w:divBdr>
                    <w:top w:val="none" w:sz="0" w:space="0" w:color="auto"/>
                    <w:left w:val="none" w:sz="0" w:space="0" w:color="auto"/>
                    <w:bottom w:val="none" w:sz="0" w:space="0" w:color="auto"/>
                    <w:right w:val="none" w:sz="0" w:space="0" w:color="auto"/>
                  </w:divBdr>
                  <w:divsChild>
                    <w:div w:id="360667785">
                      <w:marLeft w:val="0"/>
                      <w:marRight w:val="0"/>
                      <w:marTop w:val="0"/>
                      <w:marBottom w:val="0"/>
                      <w:divBdr>
                        <w:top w:val="none" w:sz="0" w:space="0" w:color="auto"/>
                        <w:left w:val="none" w:sz="0" w:space="0" w:color="auto"/>
                        <w:bottom w:val="none" w:sz="0" w:space="0" w:color="auto"/>
                        <w:right w:val="none" w:sz="0" w:space="0" w:color="auto"/>
                      </w:divBdr>
                      <w:divsChild>
                        <w:div w:id="1273904639">
                          <w:marLeft w:val="0"/>
                          <w:marRight w:val="0"/>
                          <w:marTop w:val="0"/>
                          <w:marBottom w:val="0"/>
                          <w:divBdr>
                            <w:top w:val="none" w:sz="0" w:space="0" w:color="auto"/>
                            <w:left w:val="none" w:sz="0" w:space="0" w:color="auto"/>
                            <w:bottom w:val="none" w:sz="0" w:space="0" w:color="auto"/>
                            <w:right w:val="none" w:sz="0" w:space="0" w:color="auto"/>
                          </w:divBdr>
                          <w:divsChild>
                            <w:div w:id="66079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sturs.gertners@caa.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a.l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ene.sile@c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11223</Words>
  <Characters>6398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projekta „Civilās aviācijas gaisa kuģa salona apkalpes locekļu un to apmācību sniedzēju sertificēšanas kārtība” sākotnējās ietekmes novērtējuma ziņojums (anotācija)</vt:lpstr>
    </vt:vector>
  </TitlesOfParts>
  <Company>Satiksmes ministrija</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„Civilās aviācijas gaisa kuģa salona apkalpes locekļu un to apmācību sniedzēju sertificēšanas kārtība” sākotnējās ietekmes novērtējuma ziņojums (anotācija)</dc:title>
  <dc:subject>anotācija</dc:subject>
  <dc:creator>Viesturs.Gertners@caa.gov.lv</dc:creator>
  <cp:lastModifiedBy>Žaneta Jansone</cp:lastModifiedBy>
  <cp:revision>50</cp:revision>
  <cp:lastPrinted>2018-06-20T08:06:00Z</cp:lastPrinted>
  <dcterms:created xsi:type="dcterms:W3CDTF">2018-03-01T13:34:00Z</dcterms:created>
  <dcterms:modified xsi:type="dcterms:W3CDTF">2018-06-25T12:42:00Z</dcterms:modified>
</cp:coreProperties>
</file>