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35AA0" w14:textId="771EB2F5" w:rsidR="00FC776E" w:rsidRDefault="00FC776E" w:rsidP="00F561DA">
      <w:pPr>
        <w:ind w:firstLine="300"/>
        <w:jc w:val="center"/>
        <w:rPr>
          <w:rFonts w:eastAsia="Times New Roman"/>
          <w:b/>
          <w:bCs/>
          <w:lang w:eastAsia="lv-LV"/>
        </w:rPr>
      </w:pPr>
      <w:r>
        <w:rPr>
          <w:rFonts w:eastAsia="Times New Roman"/>
          <w:b/>
          <w:bCs/>
          <w:lang w:eastAsia="lv-LV"/>
        </w:rPr>
        <w:t>Ministru</w:t>
      </w:r>
      <w:bookmarkStart w:id="0" w:name="_GoBack"/>
      <w:bookmarkEnd w:id="0"/>
      <w:r>
        <w:rPr>
          <w:rFonts w:eastAsia="Times New Roman"/>
          <w:b/>
          <w:bCs/>
          <w:lang w:eastAsia="lv-LV"/>
        </w:rPr>
        <w:t xml:space="preserve"> kabineta rīkojuma projekta </w:t>
      </w:r>
      <w:r w:rsidR="00A47CF4">
        <w:rPr>
          <w:rFonts w:eastAsia="Times New Roman"/>
          <w:b/>
          <w:bCs/>
          <w:lang w:eastAsia="lv-LV"/>
        </w:rPr>
        <w:t>"</w:t>
      </w:r>
      <w:r w:rsidR="00C61286">
        <w:rPr>
          <w:rFonts w:eastAsia="Times New Roman"/>
          <w:b/>
          <w:bCs/>
          <w:lang w:eastAsia="lv-LV"/>
        </w:rPr>
        <w:t>Par v</w:t>
      </w:r>
      <w:r w:rsidR="00F561DA" w:rsidRPr="00F561DA">
        <w:rPr>
          <w:rFonts w:eastAsia="Times New Roman"/>
          <w:b/>
          <w:bCs/>
          <w:lang w:eastAsia="lv-LV"/>
        </w:rPr>
        <w:t xml:space="preserve">alsts nozīmes pasākuma nodrošināšanas </w:t>
      </w:r>
      <w:r w:rsidR="003D241E">
        <w:rPr>
          <w:rFonts w:eastAsia="Times New Roman"/>
          <w:b/>
          <w:bCs/>
          <w:lang w:eastAsia="lv-LV"/>
        </w:rPr>
        <w:tab/>
      </w:r>
      <w:r w:rsidR="00F561DA" w:rsidRPr="00F561DA">
        <w:rPr>
          <w:rFonts w:eastAsia="Times New Roman"/>
          <w:b/>
          <w:bCs/>
          <w:lang w:eastAsia="lv-LV"/>
        </w:rPr>
        <w:t>un drošības plān</w:t>
      </w:r>
      <w:r w:rsidR="00C61286">
        <w:rPr>
          <w:rFonts w:eastAsia="Times New Roman"/>
          <w:b/>
          <w:bCs/>
          <w:lang w:eastAsia="lv-LV"/>
        </w:rPr>
        <w:t>u</w:t>
      </w:r>
      <w:r w:rsidR="00F561DA" w:rsidRPr="00F561DA">
        <w:rPr>
          <w:rFonts w:eastAsia="Times New Roman"/>
          <w:b/>
          <w:bCs/>
          <w:lang w:eastAsia="lv-LV"/>
        </w:rPr>
        <w:t xml:space="preserve"> pāvesta Franciska pastorāl</w:t>
      </w:r>
      <w:r w:rsidR="00A47CF4">
        <w:rPr>
          <w:rFonts w:eastAsia="Times New Roman"/>
          <w:b/>
          <w:bCs/>
          <w:lang w:eastAsia="lv-LV"/>
        </w:rPr>
        <w:t>ajai</w:t>
      </w:r>
      <w:r w:rsidR="00F561DA" w:rsidRPr="00F561DA">
        <w:rPr>
          <w:rFonts w:eastAsia="Times New Roman"/>
          <w:b/>
          <w:bCs/>
          <w:lang w:eastAsia="lv-LV"/>
        </w:rPr>
        <w:t xml:space="preserve"> vizītei 2018. gada 24.</w:t>
      </w:r>
      <w:r w:rsidR="00D16384">
        <w:rPr>
          <w:rFonts w:eastAsia="Times New Roman"/>
          <w:b/>
          <w:bCs/>
          <w:lang w:eastAsia="lv-LV"/>
        </w:rPr>
        <w:t> </w:t>
      </w:r>
      <w:r w:rsidR="00F561DA" w:rsidRPr="00F561DA">
        <w:rPr>
          <w:rFonts w:eastAsia="Times New Roman"/>
          <w:b/>
          <w:bCs/>
          <w:lang w:eastAsia="lv-LV"/>
        </w:rPr>
        <w:t>septembrī starptautiskas nozīmes svētvietā Aglonā</w:t>
      </w:r>
      <w:r>
        <w:rPr>
          <w:rFonts w:eastAsia="Times New Roman"/>
          <w:b/>
          <w:bCs/>
          <w:lang w:eastAsia="lv-LV"/>
        </w:rPr>
        <w:t>" sākotnējās ietekmes novērtējuma ziņojums (anotācija)</w:t>
      </w:r>
    </w:p>
    <w:p w14:paraId="39E89D6B" w14:textId="77777777" w:rsidR="00FC776E" w:rsidRDefault="00FC776E" w:rsidP="00FC776E">
      <w:pPr>
        <w:ind w:firstLine="300"/>
        <w:jc w:val="center"/>
        <w:rPr>
          <w:rFonts w:eastAsia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9"/>
      </w:tblGrid>
      <w:tr w:rsidR="00FC776E" w14:paraId="12AD8E97" w14:textId="77777777" w:rsidTr="00FC776E">
        <w:trPr>
          <w:trHeight w:val="40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2BEBDDED" w14:textId="77777777" w:rsidR="00FC776E" w:rsidRDefault="00FC776E">
            <w:pPr>
              <w:ind w:firstLine="300"/>
              <w:jc w:val="center"/>
              <w:rPr>
                <w:rFonts w:eastAsia="Times New Roman"/>
                <w:b/>
                <w:bCs/>
                <w:lang w:eastAsia="lv-LV"/>
              </w:rPr>
            </w:pPr>
            <w:r>
              <w:rPr>
                <w:rFonts w:eastAsia="Times New Roman"/>
                <w:b/>
                <w:bCs/>
                <w:lang w:eastAsia="lv-LV"/>
              </w:rPr>
              <w:t>Tiesību akta projekta anotācijas kopsavilkums</w:t>
            </w:r>
          </w:p>
        </w:tc>
      </w:tr>
    </w:tbl>
    <w:tbl>
      <w:tblPr>
        <w:tblStyle w:val="Reatabulagai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4"/>
      </w:tblGrid>
      <w:tr w:rsidR="00FC776E" w14:paraId="2A12BDCA" w14:textId="77777777" w:rsidTr="00FC77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E0E4" w14:textId="77777777" w:rsidR="00FC776E" w:rsidRDefault="00FC776E">
            <w:p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60D8" w14:textId="262F5B1C" w:rsidR="00FC776E" w:rsidRDefault="00D16384">
            <w:r>
              <w:t>Nav attiecināms.</w:t>
            </w:r>
          </w:p>
          <w:p w14:paraId="05EB2C64" w14:textId="77777777" w:rsidR="00F561DA" w:rsidRDefault="00F561DA" w:rsidP="00740C35">
            <w:pPr>
              <w:rPr>
                <w:rFonts w:eastAsia="Times New Roman"/>
                <w:lang w:eastAsia="lv-LV"/>
              </w:rPr>
            </w:pPr>
          </w:p>
        </w:tc>
      </w:tr>
      <w:tr w:rsidR="00FC776E" w14:paraId="1918B74A" w14:textId="77777777" w:rsidTr="00FC776E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7B079" w14:textId="77777777" w:rsidR="00FC776E" w:rsidRDefault="00FC776E">
            <w:pPr>
              <w:jc w:val="left"/>
              <w:rPr>
                <w:rFonts w:asciiTheme="minorHAnsi" w:eastAsia="Times New Roman" w:hAnsiTheme="minorHAnsi" w:cstheme="minorBidi"/>
                <w:sz w:val="22"/>
                <w:szCs w:val="22"/>
                <w:lang w:eastAsia="lv-LV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9CD60" w14:textId="77777777" w:rsidR="00FC776E" w:rsidRDefault="00FC776E">
            <w:pPr>
              <w:jc w:val="left"/>
            </w:pPr>
          </w:p>
        </w:tc>
      </w:tr>
    </w:tbl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4"/>
        <w:gridCol w:w="2521"/>
        <w:gridCol w:w="6094"/>
      </w:tblGrid>
      <w:tr w:rsidR="00FC776E" w14:paraId="7AB30442" w14:textId="77777777" w:rsidTr="00FC776E">
        <w:trPr>
          <w:trHeight w:val="405"/>
        </w:trPr>
        <w:tc>
          <w:tcPr>
            <w:tcW w:w="0" w:type="auto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3C5C6F" w14:textId="77777777" w:rsidR="00FC776E" w:rsidRDefault="00FC776E">
            <w:pPr>
              <w:ind w:firstLine="300"/>
              <w:jc w:val="center"/>
              <w:rPr>
                <w:rFonts w:eastAsia="Times New Roman"/>
                <w:b/>
                <w:bCs/>
                <w:lang w:eastAsia="lv-LV"/>
              </w:rPr>
            </w:pPr>
            <w:r>
              <w:rPr>
                <w:rFonts w:eastAsia="Times New Roman"/>
                <w:b/>
                <w:bCs/>
                <w:lang w:eastAsia="lv-LV"/>
              </w:rPr>
              <w:tab/>
              <w:t>I. Tiesību akta projekta izstrādes nepieciešamība</w:t>
            </w:r>
          </w:p>
        </w:tc>
      </w:tr>
      <w:tr w:rsidR="00FC776E" w14:paraId="6BC625C9" w14:textId="77777777" w:rsidTr="00FC776E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B7546F" w14:textId="77777777" w:rsidR="00FC776E" w:rsidRDefault="00FC776E">
            <w:pPr>
              <w:jc w:val="left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3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2EF4EC" w14:textId="77777777" w:rsidR="00FC776E" w:rsidRDefault="00FC776E">
            <w:pPr>
              <w:jc w:val="left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Pamatojums</w:t>
            </w:r>
          </w:p>
        </w:tc>
        <w:tc>
          <w:tcPr>
            <w:tcW w:w="3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4E1538" w14:textId="77777777" w:rsidR="009D1B56" w:rsidRPr="00CB3BAB" w:rsidRDefault="009D1B56" w:rsidP="009D1B56">
            <w:r w:rsidRPr="00CB3BAB">
              <w:t>2018. gada 21. jūnij</w:t>
            </w:r>
            <w:r>
              <w:t>a</w:t>
            </w:r>
            <w:r w:rsidRPr="00CB3BAB">
              <w:t xml:space="preserve"> grozījum</w:t>
            </w:r>
            <w:r>
              <w:t>i</w:t>
            </w:r>
            <w:r w:rsidRPr="00CB3BAB">
              <w:t xml:space="preserve"> likumā "Par svētku, atceres un atzīmējamām dienām"</w:t>
            </w:r>
            <w:r>
              <w:t xml:space="preserve"> paredz jaunu svētku dienu - </w:t>
            </w:r>
            <w:r w:rsidRPr="00CB3BAB">
              <w:t xml:space="preserve">2018. gada 24. septembri – </w:t>
            </w:r>
            <w:proofErr w:type="gramStart"/>
            <w:r w:rsidRPr="00CB3BAB">
              <w:t>Viņa Svētības pāvesta Franciska pastorālā</w:t>
            </w:r>
            <w:r>
              <w:t>s</w:t>
            </w:r>
            <w:r w:rsidRPr="00CB3BAB">
              <w:t xml:space="preserve"> vizīte</w:t>
            </w:r>
            <w:r>
              <w:t>s</w:t>
            </w:r>
            <w:r w:rsidRPr="00CB3BAB">
              <w:t xml:space="preserve"> Latvijā</w:t>
            </w:r>
            <w:r>
              <w:t xml:space="preserve"> dienu</w:t>
            </w:r>
            <w:proofErr w:type="gramEnd"/>
            <w:r w:rsidRPr="00CB3BAB">
              <w:t>.</w:t>
            </w:r>
          </w:p>
          <w:p w14:paraId="1090CA35" w14:textId="77777777" w:rsidR="009D1B56" w:rsidRPr="00CB3BAB" w:rsidRDefault="009D1B56" w:rsidP="009D1B56">
            <w:r>
              <w:t>Ar</w:t>
            </w:r>
            <w:r w:rsidRPr="00CB3BAB">
              <w:t xml:space="preserve"> </w:t>
            </w:r>
            <w:r w:rsidRPr="00F5496A">
              <w:t>Ministru kabinet</w:t>
            </w:r>
            <w:r>
              <w:t>a</w:t>
            </w:r>
            <w:r w:rsidRPr="00F5496A">
              <w:t xml:space="preserve"> </w:t>
            </w:r>
            <w:r>
              <w:t xml:space="preserve">2018. gada 4. jūlija </w:t>
            </w:r>
            <w:r w:rsidRPr="00CB3BAB">
              <w:t xml:space="preserve">rīkojumu Nr. 297 "Par valsts nozīmes pasākuma – Viņa Svētības pāvesta Franciska pastorālās vizītes Latvijā 2018. gada 24. septembrī – nodrošināšanu" </w:t>
            </w:r>
            <w:r w:rsidRPr="00523EE3">
              <w:t>š</w:t>
            </w:r>
            <w:r>
              <w:t xml:space="preserve">ī </w:t>
            </w:r>
            <w:r w:rsidRPr="00523EE3">
              <w:t>pasākuma</w:t>
            </w:r>
            <w:r>
              <w:t xml:space="preserve"> nodrošināšanai piešķirts </w:t>
            </w:r>
            <w:r w:rsidRPr="00CB3BAB">
              <w:t>nepieciešam</w:t>
            </w:r>
            <w:r>
              <w:t>ais</w:t>
            </w:r>
            <w:r w:rsidRPr="00CB3BAB">
              <w:t xml:space="preserve"> papildu valsts budžeta finansējum</w:t>
            </w:r>
            <w:r>
              <w:t>s</w:t>
            </w:r>
            <w:r w:rsidRPr="00CB3BAB">
              <w:t>.</w:t>
            </w:r>
          </w:p>
          <w:p w14:paraId="5F200E01" w14:textId="4D04F0C0" w:rsidR="00E8698C" w:rsidRDefault="009D1B56">
            <w:pPr>
              <w:rPr>
                <w:rFonts w:eastAsia="Times New Roman"/>
                <w:lang w:eastAsia="lv-LV"/>
              </w:rPr>
            </w:pPr>
            <w:r w:rsidRPr="00CB3BAB">
              <w:t xml:space="preserve">Lai nodrošinātu </w:t>
            </w:r>
            <w:r>
              <w:t>šī pasākuma</w:t>
            </w:r>
            <w:r w:rsidRPr="00CB3BAB">
              <w:t xml:space="preserve"> drošību un iesaistīto atbildīgo iestāžu darbības koordināciju, nepieciešams Ministru kabineta līmenī apstiprināt valsts nozīmes pasākuma nodrošināšanas un drošības plānu.</w:t>
            </w:r>
          </w:p>
        </w:tc>
      </w:tr>
      <w:tr w:rsidR="00FC776E" w14:paraId="4D93117D" w14:textId="77777777" w:rsidTr="00FC776E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A47FAA" w14:textId="77777777" w:rsidR="00FC776E" w:rsidRDefault="00FC776E">
            <w:pPr>
              <w:jc w:val="left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3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C2691C" w14:textId="77777777" w:rsidR="00FC776E" w:rsidRDefault="00FC776E">
            <w:pPr>
              <w:jc w:val="left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3B2D0C" w14:textId="77777777" w:rsidR="009D1B56" w:rsidRDefault="00AE7071">
            <w:p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2018.</w:t>
            </w:r>
            <w:r w:rsidR="000E3848">
              <w:rPr>
                <w:rFonts w:eastAsia="Times New Roman"/>
                <w:lang w:eastAsia="lv-LV"/>
              </w:rPr>
              <w:t> </w:t>
            </w:r>
            <w:r>
              <w:rPr>
                <w:rFonts w:eastAsia="Times New Roman"/>
                <w:lang w:eastAsia="lv-LV"/>
              </w:rPr>
              <w:t>gada 24.</w:t>
            </w:r>
            <w:r w:rsidR="000E3848">
              <w:rPr>
                <w:rFonts w:eastAsia="Times New Roman"/>
                <w:lang w:eastAsia="lv-LV"/>
              </w:rPr>
              <w:t> </w:t>
            </w:r>
            <w:r>
              <w:rPr>
                <w:rFonts w:eastAsia="Times New Roman"/>
                <w:lang w:eastAsia="lv-LV"/>
              </w:rPr>
              <w:t>septembrī Latvijā pastorālā vizītē ierodas Viņa Svētība pāvests Francisks.</w:t>
            </w:r>
            <w:r w:rsidR="00C66093">
              <w:rPr>
                <w:rFonts w:eastAsia="Times New Roman"/>
                <w:lang w:eastAsia="lv-LV"/>
              </w:rPr>
              <w:t xml:space="preserve"> P</w:t>
            </w:r>
            <w:r w:rsidR="00FC776E">
              <w:rPr>
                <w:rFonts w:eastAsia="Times New Roman"/>
                <w:lang w:eastAsia="lv-LV"/>
              </w:rPr>
              <w:t>āvesta vizīte ir starptautiskas nozīmes valsts pasākums, kas ir vēsturisks notikums ne tikai Latvijas katoļu dzīvē, bet visas Latvijas vēsturē, jo īpaši Latvijas simtgades gadā</w:t>
            </w:r>
            <w:r w:rsidR="00A47CF4">
              <w:rPr>
                <w:rFonts w:eastAsia="Times New Roman"/>
                <w:lang w:eastAsia="lv-LV"/>
              </w:rPr>
              <w:t>.</w:t>
            </w:r>
            <w:r w:rsidR="00C66093">
              <w:rPr>
                <w:rFonts w:eastAsia="Times New Roman"/>
                <w:lang w:eastAsia="lv-LV"/>
              </w:rPr>
              <w:t xml:space="preserve"> </w:t>
            </w:r>
          </w:p>
          <w:p w14:paraId="4FB72BAF" w14:textId="74990CB6" w:rsidR="00AE7071" w:rsidRDefault="00AE7071">
            <w:p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Vizīte</w:t>
            </w:r>
            <w:r w:rsidR="00A47CF4">
              <w:rPr>
                <w:rFonts w:eastAsia="Times New Roman"/>
                <w:lang w:eastAsia="lv-LV"/>
              </w:rPr>
              <w:t>s</w:t>
            </w:r>
            <w:r>
              <w:rPr>
                <w:rFonts w:eastAsia="Times New Roman"/>
                <w:lang w:eastAsia="lv-LV"/>
              </w:rPr>
              <w:t xml:space="preserve"> laikā pāvests dosies uz Aglonu, tai skaitā, piedalīsies tur paredzētajā dievkalpojumā.</w:t>
            </w:r>
            <w:r w:rsidR="00C66093">
              <w:rPr>
                <w:rFonts w:eastAsia="Times New Roman"/>
                <w:lang w:eastAsia="lv-LV"/>
              </w:rPr>
              <w:t xml:space="preserve"> </w:t>
            </w:r>
            <w:r>
              <w:rPr>
                <w:rFonts w:eastAsia="Times New Roman"/>
                <w:lang w:eastAsia="lv-LV"/>
              </w:rPr>
              <w:t>Pasākuma nodrošināšana un tā sabiedriskās kārtības un drošības garantēšana ir nozīmīga valsts tēla veidošanā starptautiskā mērogā.</w:t>
            </w:r>
          </w:p>
          <w:p w14:paraId="4113B017" w14:textId="2E89A970" w:rsidR="00FC776E" w:rsidRDefault="00180EF3" w:rsidP="005A3970">
            <w:p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Lai pasākums Aglonā noritētu atbilstoši nepieciešamajiem drošības standartiem</w:t>
            </w:r>
            <w:r w:rsidR="00040821">
              <w:rPr>
                <w:rFonts w:eastAsia="Times New Roman"/>
                <w:lang w:eastAsia="lv-LV"/>
              </w:rPr>
              <w:t xml:space="preserve"> un lai nod</w:t>
            </w:r>
            <w:r w:rsidR="005A3970">
              <w:rPr>
                <w:rFonts w:eastAsia="Times New Roman"/>
                <w:lang w:eastAsia="lv-LV"/>
              </w:rPr>
              <w:t>r</w:t>
            </w:r>
            <w:r w:rsidR="00040821">
              <w:rPr>
                <w:rFonts w:eastAsia="Times New Roman"/>
                <w:lang w:eastAsia="lv-LV"/>
              </w:rPr>
              <w:t>o</w:t>
            </w:r>
            <w:r w:rsidR="005A3970">
              <w:rPr>
                <w:rFonts w:eastAsia="Times New Roman"/>
                <w:lang w:eastAsia="lv-LV"/>
              </w:rPr>
              <w:t>šinā</w:t>
            </w:r>
            <w:r w:rsidR="00040821">
              <w:rPr>
                <w:rFonts w:eastAsia="Times New Roman"/>
                <w:lang w:eastAsia="lv-LV"/>
              </w:rPr>
              <w:t>tu atbildīgo institūciju darbības</w:t>
            </w:r>
            <w:r w:rsidR="005A3970">
              <w:rPr>
                <w:rFonts w:eastAsia="Times New Roman"/>
                <w:lang w:eastAsia="lv-LV"/>
              </w:rPr>
              <w:t xml:space="preserve"> koordinēšanu, </w:t>
            </w:r>
            <w:r w:rsidR="00A92886">
              <w:rPr>
                <w:rFonts w:eastAsia="Times New Roman"/>
                <w:lang w:eastAsia="lv-LV"/>
              </w:rPr>
              <w:t xml:space="preserve">ar </w:t>
            </w:r>
            <w:r w:rsidR="00040821" w:rsidRPr="009C0D69">
              <w:rPr>
                <w:rFonts w:eastAsia="Times New Roman"/>
                <w:lang w:eastAsia="lv-LV"/>
              </w:rPr>
              <w:t>Ministru kabineta 2010.</w:t>
            </w:r>
            <w:r w:rsidR="000E3848">
              <w:rPr>
                <w:rFonts w:eastAsia="Times New Roman"/>
                <w:lang w:eastAsia="lv-LV"/>
              </w:rPr>
              <w:t> </w:t>
            </w:r>
            <w:r w:rsidR="00040821" w:rsidRPr="009C0D69">
              <w:rPr>
                <w:rFonts w:eastAsia="Times New Roman"/>
                <w:lang w:eastAsia="lv-LV"/>
              </w:rPr>
              <w:t>gada 6.</w:t>
            </w:r>
            <w:r w:rsidR="000E3848">
              <w:rPr>
                <w:rFonts w:eastAsia="Times New Roman"/>
                <w:lang w:eastAsia="lv-LV"/>
              </w:rPr>
              <w:t> </w:t>
            </w:r>
            <w:r w:rsidR="00040821" w:rsidRPr="009C0D69">
              <w:rPr>
                <w:rFonts w:eastAsia="Times New Roman"/>
                <w:lang w:eastAsia="lv-LV"/>
              </w:rPr>
              <w:t>oktobra rīkojum</w:t>
            </w:r>
            <w:r w:rsidR="00A92886">
              <w:rPr>
                <w:rFonts w:eastAsia="Times New Roman"/>
                <w:lang w:eastAsia="lv-LV"/>
              </w:rPr>
              <w:t>u</w:t>
            </w:r>
            <w:r w:rsidR="00040821" w:rsidRPr="009C0D69">
              <w:rPr>
                <w:rFonts w:eastAsia="Times New Roman"/>
                <w:lang w:eastAsia="lv-LV"/>
              </w:rPr>
              <w:t xml:space="preserve"> Nr.</w:t>
            </w:r>
            <w:r w:rsidR="000E3848">
              <w:rPr>
                <w:rFonts w:eastAsia="Times New Roman"/>
                <w:lang w:eastAsia="lv-LV"/>
              </w:rPr>
              <w:t> </w:t>
            </w:r>
            <w:r w:rsidR="00040821" w:rsidRPr="009C0D69">
              <w:rPr>
                <w:rFonts w:eastAsia="Times New Roman"/>
                <w:lang w:eastAsia="lv-LV"/>
              </w:rPr>
              <w:t>595</w:t>
            </w:r>
            <w:r w:rsidR="0039263E">
              <w:rPr>
                <w:rFonts w:eastAsia="Times New Roman"/>
                <w:lang w:eastAsia="lv-LV"/>
              </w:rPr>
              <w:t xml:space="preserve"> </w:t>
            </w:r>
            <w:r w:rsidR="00A92886">
              <w:rPr>
                <w:rFonts w:eastAsia="Times New Roman"/>
                <w:lang w:eastAsia="lv-LV"/>
              </w:rPr>
              <w:t>"</w:t>
            </w:r>
            <w:r w:rsidR="0039263E">
              <w:rPr>
                <w:rFonts w:eastAsia="Times New Roman"/>
                <w:lang w:eastAsia="lv-LV"/>
              </w:rPr>
              <w:t>Par</w:t>
            </w:r>
            <w:r w:rsidR="005A3970">
              <w:rPr>
                <w:rFonts w:eastAsia="Times New Roman"/>
                <w:lang w:eastAsia="lv-LV"/>
              </w:rPr>
              <w:t xml:space="preserve"> </w:t>
            </w:r>
            <w:r w:rsidR="00775776">
              <w:rPr>
                <w:rFonts w:eastAsia="Times New Roman"/>
                <w:lang w:eastAsia="lv-LV"/>
              </w:rPr>
              <w:t>rīcības komiteju valsts nozīmes pasākumu norises nodrošināšanai starptautiskas nozīmes</w:t>
            </w:r>
            <w:r w:rsidR="00AE7071">
              <w:rPr>
                <w:rFonts w:eastAsia="Times New Roman"/>
                <w:lang w:eastAsia="lv-LV"/>
              </w:rPr>
              <w:t xml:space="preserve"> svētvietā Aglonā</w:t>
            </w:r>
            <w:r w:rsidR="00A92886">
              <w:rPr>
                <w:rFonts w:eastAsia="Times New Roman"/>
                <w:lang w:eastAsia="lv-LV"/>
              </w:rPr>
              <w:t>"</w:t>
            </w:r>
            <w:r w:rsidR="00AE7071">
              <w:rPr>
                <w:rFonts w:eastAsia="Times New Roman"/>
                <w:lang w:eastAsia="lv-LV"/>
              </w:rPr>
              <w:t xml:space="preserve"> izveidotā</w:t>
            </w:r>
            <w:r w:rsidR="005A3970">
              <w:rPr>
                <w:rFonts w:eastAsia="Times New Roman"/>
                <w:lang w:eastAsia="lv-LV"/>
              </w:rPr>
              <w:t xml:space="preserve"> rīcība</w:t>
            </w:r>
            <w:r w:rsidR="00AE7071">
              <w:rPr>
                <w:rFonts w:eastAsia="Times New Roman"/>
                <w:lang w:eastAsia="lv-LV"/>
              </w:rPr>
              <w:t>s komiteja paplašinātā sastāvā</w:t>
            </w:r>
            <w:r w:rsidR="003D241E">
              <w:rPr>
                <w:rFonts w:eastAsia="Times New Roman"/>
                <w:lang w:eastAsia="lv-LV"/>
              </w:rPr>
              <w:t xml:space="preserve"> 2018.</w:t>
            </w:r>
            <w:r w:rsidR="00A92886">
              <w:rPr>
                <w:rFonts w:eastAsia="Times New Roman"/>
                <w:lang w:eastAsia="lv-LV"/>
              </w:rPr>
              <w:t> </w:t>
            </w:r>
            <w:r w:rsidR="003D241E">
              <w:rPr>
                <w:rFonts w:eastAsia="Times New Roman"/>
                <w:lang w:eastAsia="lv-LV"/>
              </w:rPr>
              <w:t>gada 16.</w:t>
            </w:r>
            <w:r w:rsidR="00A92886">
              <w:rPr>
                <w:rFonts w:eastAsia="Times New Roman"/>
                <w:lang w:eastAsia="lv-LV"/>
              </w:rPr>
              <w:t> </w:t>
            </w:r>
            <w:r w:rsidR="003D241E">
              <w:rPr>
                <w:rFonts w:eastAsia="Times New Roman"/>
                <w:lang w:eastAsia="lv-LV"/>
              </w:rPr>
              <w:t>jūlija sanāksmē</w:t>
            </w:r>
            <w:r w:rsidR="00AE7071">
              <w:rPr>
                <w:rFonts w:eastAsia="Times New Roman"/>
                <w:lang w:eastAsia="lv-LV"/>
              </w:rPr>
              <w:t xml:space="preserve"> </w:t>
            </w:r>
            <w:r w:rsidR="005A3970">
              <w:rPr>
                <w:rFonts w:eastAsia="Times New Roman"/>
                <w:lang w:eastAsia="lv-LV"/>
              </w:rPr>
              <w:t>izstrādāja pasākuma nodrošināšanas un drošības plānu pāvesta vizītei Aglonā 2018.</w:t>
            </w:r>
            <w:r w:rsidR="000E3848">
              <w:rPr>
                <w:rFonts w:eastAsia="Times New Roman"/>
                <w:lang w:eastAsia="lv-LV"/>
              </w:rPr>
              <w:t> </w:t>
            </w:r>
            <w:r w:rsidR="005A3970">
              <w:rPr>
                <w:rFonts w:eastAsia="Times New Roman"/>
                <w:lang w:eastAsia="lv-LV"/>
              </w:rPr>
              <w:t>gada 24.</w:t>
            </w:r>
            <w:r w:rsidR="000E3848">
              <w:rPr>
                <w:rFonts w:eastAsia="Times New Roman"/>
                <w:lang w:eastAsia="lv-LV"/>
              </w:rPr>
              <w:t> </w:t>
            </w:r>
            <w:r w:rsidR="005A3970">
              <w:rPr>
                <w:rFonts w:eastAsia="Times New Roman"/>
                <w:lang w:eastAsia="lv-LV"/>
              </w:rPr>
              <w:t>septembrī.</w:t>
            </w:r>
          </w:p>
          <w:p w14:paraId="2B574231" w14:textId="72360952" w:rsidR="00A47CF4" w:rsidRDefault="00A47CF4" w:rsidP="005A3970">
            <w:p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Ņemot vērā, ka </w:t>
            </w:r>
            <w:r w:rsidR="00B65448">
              <w:rPr>
                <w:rFonts w:eastAsia="Times New Roman"/>
                <w:lang w:eastAsia="lv-LV"/>
              </w:rPr>
              <w:t xml:space="preserve">līdz pasākumam ir palikuši nepilni divi mēneši, </w:t>
            </w:r>
            <w:r>
              <w:rPr>
                <w:rFonts w:eastAsia="Times New Roman"/>
                <w:lang w:eastAsia="lv-LV"/>
              </w:rPr>
              <w:t xml:space="preserve">sadarbība starp </w:t>
            </w:r>
            <w:r w:rsidR="009D1B56">
              <w:rPr>
                <w:rFonts w:eastAsia="Times New Roman"/>
                <w:lang w:eastAsia="lv-LV"/>
              </w:rPr>
              <w:t xml:space="preserve">atbildīgajām institūcijām </w:t>
            </w:r>
            <w:r>
              <w:rPr>
                <w:rFonts w:eastAsia="Times New Roman"/>
                <w:lang w:eastAsia="lv-LV"/>
              </w:rPr>
              <w:t>vairāku pasākumu nodrošināšanai noris jau tagad</w:t>
            </w:r>
            <w:r w:rsidR="00B65448">
              <w:rPr>
                <w:rFonts w:eastAsia="Times New Roman"/>
                <w:lang w:eastAsia="lv-LV"/>
              </w:rPr>
              <w:t>.</w:t>
            </w:r>
            <w:r w:rsidR="003D241E">
              <w:rPr>
                <w:rFonts w:eastAsia="Times New Roman"/>
                <w:lang w:eastAsia="lv-LV"/>
              </w:rPr>
              <w:t xml:space="preserve"> </w:t>
            </w:r>
            <w:r w:rsidR="00B65448">
              <w:rPr>
                <w:rFonts w:eastAsia="Times New Roman"/>
                <w:lang w:eastAsia="lv-LV"/>
              </w:rPr>
              <w:t>Turklāt</w:t>
            </w:r>
            <w:r>
              <w:rPr>
                <w:rFonts w:eastAsia="Times New Roman"/>
                <w:lang w:eastAsia="lv-LV"/>
              </w:rPr>
              <w:t xml:space="preserve"> pirmie plānā iekļautie izpildes termiņi ir paredzēti jau š.g.</w:t>
            </w:r>
            <w:r w:rsidR="00B65448">
              <w:rPr>
                <w:rFonts w:eastAsia="Times New Roman"/>
                <w:lang w:eastAsia="lv-LV"/>
              </w:rPr>
              <w:t xml:space="preserve"> </w:t>
            </w:r>
            <w:r>
              <w:rPr>
                <w:rFonts w:eastAsia="Times New Roman"/>
                <w:lang w:eastAsia="lv-LV"/>
              </w:rPr>
              <w:t>10.</w:t>
            </w:r>
            <w:r w:rsidR="000E3848">
              <w:rPr>
                <w:rFonts w:eastAsia="Times New Roman"/>
                <w:lang w:eastAsia="lv-LV"/>
              </w:rPr>
              <w:t> </w:t>
            </w:r>
            <w:r>
              <w:rPr>
                <w:rFonts w:eastAsia="Times New Roman"/>
                <w:lang w:eastAsia="lv-LV"/>
              </w:rPr>
              <w:t>augustā</w:t>
            </w:r>
            <w:r w:rsidR="00B65448">
              <w:rPr>
                <w:rFonts w:eastAsia="Times New Roman"/>
                <w:lang w:eastAsia="lv-LV"/>
              </w:rPr>
              <w:t>.</w:t>
            </w:r>
          </w:p>
        </w:tc>
      </w:tr>
      <w:tr w:rsidR="00FC776E" w14:paraId="49444FCF" w14:textId="77777777" w:rsidTr="00FC776E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E12D163" w14:textId="77777777" w:rsidR="00FC776E" w:rsidRDefault="00FC776E">
            <w:pPr>
              <w:jc w:val="left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39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52F788CC" w14:textId="5BF0FF35" w:rsidR="00FC776E" w:rsidRDefault="00A91DF1">
            <w:pPr>
              <w:jc w:val="left"/>
              <w:rPr>
                <w:rFonts w:eastAsia="Times New Roman"/>
                <w:lang w:eastAsia="lv-LV"/>
              </w:rPr>
            </w:pPr>
            <w:r w:rsidRPr="00A91DF1">
              <w:rPr>
                <w:rFonts w:eastAsia="Times New Roman"/>
                <w:lang w:eastAsia="lv-LV"/>
              </w:rPr>
              <w:t xml:space="preserve">Projekta izstrādē iesaistītās institūcijas un </w:t>
            </w:r>
            <w:r w:rsidRPr="00A91DF1">
              <w:rPr>
                <w:rFonts w:eastAsia="Times New Roman"/>
                <w:lang w:eastAsia="lv-LV"/>
              </w:rPr>
              <w:lastRenderedPageBreak/>
              <w:t>publiskas personas kapitālsabiedrības</w:t>
            </w:r>
          </w:p>
        </w:tc>
        <w:tc>
          <w:tcPr>
            <w:tcW w:w="336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7D47DF09" w14:textId="77777777" w:rsidR="00FC776E" w:rsidRDefault="00FC776E" w:rsidP="001B4121">
            <w:p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lastRenderedPageBreak/>
              <w:t>Projektu izstrādāja Tieslietu ministrija sadarbībā ar</w:t>
            </w:r>
            <w:r w:rsidR="001B4121">
              <w:rPr>
                <w:rFonts w:eastAsia="Times New Roman"/>
                <w:lang w:eastAsia="lv-LV"/>
              </w:rPr>
              <w:t xml:space="preserve"> Valsts prezidenta kanceleju, Aizsardzības</w:t>
            </w:r>
            <w:r>
              <w:rPr>
                <w:rFonts w:eastAsia="Times New Roman"/>
                <w:lang w:eastAsia="lv-LV"/>
              </w:rPr>
              <w:t xml:space="preserve"> ministrij</w:t>
            </w:r>
            <w:r w:rsidR="001B4121">
              <w:rPr>
                <w:rFonts w:eastAsia="Times New Roman"/>
                <w:lang w:eastAsia="lv-LV"/>
              </w:rPr>
              <w:t>u, Iekšlietu ministriju, Veselības ministriju, kā arī Satiksmes ministriju.</w:t>
            </w:r>
          </w:p>
        </w:tc>
      </w:tr>
      <w:tr w:rsidR="00FC776E" w14:paraId="3C62EF87" w14:textId="77777777" w:rsidTr="00FC776E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95A2" w14:textId="77777777" w:rsidR="00FC776E" w:rsidRDefault="00FC776E">
            <w:pPr>
              <w:jc w:val="left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5518" w14:textId="77777777" w:rsidR="00FC776E" w:rsidRDefault="00FC776E">
            <w:pPr>
              <w:jc w:val="left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737A" w14:textId="77777777" w:rsidR="00FC776E" w:rsidRDefault="00FC776E">
            <w:p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  <w:tr w:rsidR="00FC776E" w14:paraId="25990BC6" w14:textId="77777777" w:rsidTr="00FC776E">
        <w:trPr>
          <w:trHeight w:val="12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outset" w:sz="6" w:space="0" w:color="414142"/>
              <w:right w:val="nil"/>
            </w:tcBorders>
          </w:tcPr>
          <w:p w14:paraId="3A8BF093" w14:textId="77777777" w:rsidR="00FC776E" w:rsidRDefault="00FC776E">
            <w:pPr>
              <w:tabs>
                <w:tab w:val="left" w:pos="990"/>
              </w:tabs>
              <w:jc w:val="left"/>
              <w:rPr>
                <w:rFonts w:eastAsia="Times New Roman"/>
                <w:lang w:eastAsia="lv-LV"/>
              </w:rPr>
            </w:pPr>
          </w:p>
        </w:tc>
      </w:tr>
      <w:tr w:rsidR="00FC776E" w14:paraId="7DEBAA88" w14:textId="77777777" w:rsidTr="00FC776E">
        <w:trPr>
          <w:trHeight w:val="555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6572A2" w14:textId="77777777" w:rsidR="00FC776E" w:rsidRDefault="00FC776E">
            <w:pPr>
              <w:ind w:firstLine="300"/>
              <w:jc w:val="center"/>
              <w:rPr>
                <w:rFonts w:eastAsia="Times New Roman"/>
                <w:b/>
                <w:bCs/>
                <w:lang w:eastAsia="lv-LV"/>
              </w:rPr>
            </w:pPr>
            <w:r>
              <w:rPr>
                <w:rFonts w:eastAsia="Times New Roman"/>
                <w:b/>
                <w:bCs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C776E" w14:paraId="6859B5EA" w14:textId="77777777" w:rsidTr="00FC776E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FA2302" w14:textId="77777777" w:rsidR="00FC776E" w:rsidRDefault="00FC776E">
            <w:pPr>
              <w:jc w:val="left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3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1DEA75" w14:textId="77777777" w:rsidR="00FC776E" w:rsidRDefault="00FC776E">
            <w:pPr>
              <w:jc w:val="left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B83F1A" w14:textId="1E10949D" w:rsidR="00FC776E" w:rsidRDefault="00FC776E">
            <w:pPr>
              <w:rPr>
                <w:rFonts w:eastAsia="Times New Roman"/>
                <w:highlight w:val="yellow"/>
                <w:lang w:eastAsia="lv-LV"/>
              </w:rPr>
            </w:pPr>
            <w:r>
              <w:rPr>
                <w:rFonts w:eastAsia="Times New Roman"/>
                <w:lang w:eastAsia="lv-LV"/>
              </w:rPr>
              <w:t>Latvijas iedzīvotāji, kā arī ārvalstu viesi</w:t>
            </w:r>
            <w:r w:rsidR="003D241E">
              <w:rPr>
                <w:rFonts w:eastAsia="Times New Roman"/>
                <w:lang w:eastAsia="lv-LV"/>
              </w:rPr>
              <w:t>, kas ieradīsies Aglonā, lai piedalītos dievkalpojumā kopā ar pāvestu Francisku</w:t>
            </w:r>
            <w:r w:rsidR="009D1B56">
              <w:rPr>
                <w:rFonts w:eastAsia="Times New Roman"/>
                <w:lang w:eastAsia="lv-LV"/>
              </w:rPr>
              <w:t>, žurnālisti, valsts amatpersonas</w:t>
            </w:r>
            <w:r w:rsidR="00F05EEB">
              <w:rPr>
                <w:rFonts w:eastAsia="Times New Roman"/>
                <w:lang w:eastAsia="lv-LV"/>
              </w:rPr>
              <w:t>, organizatori.</w:t>
            </w:r>
          </w:p>
        </w:tc>
      </w:tr>
      <w:tr w:rsidR="00FC776E" w14:paraId="700995F8" w14:textId="77777777" w:rsidTr="00FC776E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A4BA4F" w14:textId="77777777" w:rsidR="00FC776E" w:rsidRDefault="00FC776E">
            <w:pPr>
              <w:jc w:val="left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3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8C3C8B" w14:textId="77777777" w:rsidR="00FC776E" w:rsidRDefault="00FC776E">
            <w:pPr>
              <w:jc w:val="left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FB8426" w14:textId="77777777" w:rsidR="00FC776E" w:rsidRDefault="00FC776E">
            <w:p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Projekts šo jomu neskar.</w:t>
            </w:r>
          </w:p>
        </w:tc>
      </w:tr>
      <w:tr w:rsidR="00FC776E" w14:paraId="525E5575" w14:textId="77777777" w:rsidTr="00FC776E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CB4826" w14:textId="77777777" w:rsidR="00FC776E" w:rsidRDefault="00FC776E">
            <w:pPr>
              <w:jc w:val="left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3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9BB9CA" w14:textId="77777777" w:rsidR="00FC776E" w:rsidRDefault="00FC776E">
            <w:pPr>
              <w:jc w:val="left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Administratīvo izmaksu monetārs novērtējums</w:t>
            </w:r>
          </w:p>
        </w:tc>
        <w:tc>
          <w:tcPr>
            <w:tcW w:w="3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334803" w14:textId="77777777" w:rsidR="00FC776E" w:rsidRDefault="00FC776E">
            <w:p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Projekts šo jomu neskar.</w:t>
            </w:r>
          </w:p>
        </w:tc>
      </w:tr>
      <w:tr w:rsidR="00FC776E" w14:paraId="655C3006" w14:textId="77777777" w:rsidTr="00FC776E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015674" w14:textId="77777777" w:rsidR="00FC776E" w:rsidRDefault="00FC776E">
            <w:pPr>
              <w:jc w:val="left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3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5E57AA" w14:textId="477B7A3B" w:rsidR="00FC776E" w:rsidRDefault="00A91DF1">
            <w:pPr>
              <w:jc w:val="left"/>
              <w:rPr>
                <w:rFonts w:eastAsia="Times New Roman"/>
                <w:lang w:eastAsia="lv-LV"/>
              </w:rPr>
            </w:pPr>
            <w:r w:rsidRPr="00A91DF1">
              <w:rPr>
                <w:rFonts w:eastAsia="Times New Roman"/>
                <w:lang w:eastAsia="lv-LV"/>
              </w:rPr>
              <w:t>Atbilstības izmaksu monetārs novērtējums</w:t>
            </w:r>
          </w:p>
        </w:tc>
        <w:tc>
          <w:tcPr>
            <w:tcW w:w="3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55DF16" w14:textId="670D0B70" w:rsidR="00FC776E" w:rsidRDefault="00A91DF1">
            <w:p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Projekts šo jomu neskar</w:t>
            </w:r>
            <w:r w:rsidR="00FC776E">
              <w:rPr>
                <w:rFonts w:eastAsia="Times New Roman"/>
                <w:lang w:eastAsia="lv-LV"/>
              </w:rPr>
              <w:t>.</w:t>
            </w:r>
          </w:p>
        </w:tc>
      </w:tr>
      <w:tr w:rsidR="00A91DF1" w14:paraId="5D504497" w14:textId="77777777" w:rsidTr="00FC776E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69D2F5" w14:textId="13993CC7" w:rsidR="00A91DF1" w:rsidRDefault="00A91DF1">
            <w:pPr>
              <w:jc w:val="left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5.</w:t>
            </w:r>
          </w:p>
        </w:tc>
        <w:tc>
          <w:tcPr>
            <w:tcW w:w="13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CEF78B" w14:textId="779B4716" w:rsidR="00A91DF1" w:rsidRDefault="00A91DF1">
            <w:pPr>
              <w:jc w:val="left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FB509B" w14:textId="6F344ECF" w:rsidR="00A91DF1" w:rsidRDefault="00A91DF1">
            <w:p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  <w:tr w:rsidR="00FC776E" w14:paraId="3A5C487C" w14:textId="77777777" w:rsidTr="00FC776E">
        <w:trPr>
          <w:trHeight w:val="345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</w:tcPr>
          <w:p w14:paraId="1CAB38A3" w14:textId="77777777" w:rsidR="00FC776E" w:rsidRDefault="00FC776E">
            <w:pPr>
              <w:jc w:val="left"/>
              <w:rPr>
                <w:rFonts w:eastAsia="Times New Roman"/>
                <w:lang w:eastAsia="lv-LV"/>
              </w:rPr>
            </w:pPr>
            <w:bookmarkStart w:id="1" w:name="_Hlk517169206"/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88"/>
              <w:gridCol w:w="935"/>
              <w:gridCol w:w="1095"/>
              <w:gridCol w:w="998"/>
              <w:gridCol w:w="991"/>
              <w:gridCol w:w="804"/>
              <w:gridCol w:w="991"/>
              <w:gridCol w:w="991"/>
            </w:tblGrid>
            <w:tr w:rsidR="00FC776E" w14:paraId="310D833A" w14:textId="77777777">
              <w:trPr>
                <w:trHeight w:val="360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FA8929D" w14:textId="77777777" w:rsidR="00FC776E" w:rsidRDefault="00FC776E">
                  <w:pPr>
                    <w:ind w:firstLine="300"/>
                    <w:jc w:val="center"/>
                    <w:rPr>
                      <w:rFonts w:eastAsia="Times New Roman"/>
                      <w:b/>
                      <w:bCs/>
                      <w:lang w:eastAsia="lv-LV"/>
                    </w:rPr>
                  </w:pPr>
                  <w:r>
                    <w:rPr>
                      <w:rFonts w:eastAsia="Times New Roman"/>
                      <w:b/>
                      <w:bCs/>
                      <w:lang w:eastAsia="lv-LV"/>
                    </w:rPr>
                    <w:t>III. Tiesību akta projekta ietekme uz valsts budžetu un pašvaldību budžetiem</w:t>
                  </w:r>
                </w:p>
              </w:tc>
            </w:tr>
            <w:tr w:rsidR="00FC776E" w14:paraId="487FDA3D" w14:textId="77777777">
              <w:trPr>
                <w:cantSplit/>
              </w:trPr>
              <w:tc>
                <w:tcPr>
                  <w:tcW w:w="121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E701B03" w14:textId="77777777" w:rsidR="00FC776E" w:rsidRDefault="00FC776E">
                  <w:pPr>
                    <w:jc w:val="center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Rādītāji</w:t>
                  </w:r>
                </w:p>
              </w:tc>
              <w:tc>
                <w:tcPr>
                  <w:tcW w:w="112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DC94536" w14:textId="77777777" w:rsidR="00FC776E" w:rsidRDefault="00FC776E">
                  <w:pPr>
                    <w:jc w:val="center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2018.gads</w:t>
                  </w:r>
                </w:p>
              </w:tc>
              <w:tc>
                <w:tcPr>
                  <w:tcW w:w="265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D712407" w14:textId="77777777" w:rsidR="00FC776E" w:rsidRDefault="00FC776E">
                  <w:pPr>
                    <w:jc w:val="center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Turpmākie trīs gadi (</w:t>
                  </w:r>
                  <w:proofErr w:type="spellStart"/>
                  <w:r>
                    <w:rPr>
                      <w:rFonts w:eastAsia="Times New Roman"/>
                      <w:i/>
                      <w:lang w:eastAsia="lv-LV"/>
                    </w:rPr>
                    <w:t>euro</w:t>
                  </w:r>
                  <w:proofErr w:type="spellEnd"/>
                  <w:r>
                    <w:rPr>
                      <w:rFonts w:eastAsia="Times New Roman"/>
                      <w:lang w:eastAsia="lv-LV"/>
                    </w:rPr>
                    <w:t>)</w:t>
                  </w:r>
                </w:p>
              </w:tc>
            </w:tr>
            <w:tr w:rsidR="00FC776E" w14:paraId="26E6198E" w14:textId="77777777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E42AC0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490ABA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</w:p>
              </w:tc>
              <w:tc>
                <w:tcPr>
                  <w:tcW w:w="110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C2D4887" w14:textId="77777777" w:rsidR="00FC776E" w:rsidRDefault="00FC776E">
                  <w:pPr>
                    <w:jc w:val="center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2019</w:t>
                  </w:r>
                </w:p>
              </w:tc>
              <w:tc>
                <w:tcPr>
                  <w:tcW w:w="9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0443D68" w14:textId="77777777" w:rsidR="00FC776E" w:rsidRDefault="00FC776E">
                  <w:pPr>
                    <w:jc w:val="center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2020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4F49ADE" w14:textId="77777777" w:rsidR="00FC776E" w:rsidRDefault="00FC776E">
                  <w:pPr>
                    <w:jc w:val="center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2021</w:t>
                  </w:r>
                </w:p>
              </w:tc>
            </w:tr>
            <w:tr w:rsidR="00FC776E" w14:paraId="7DCE1303" w14:textId="77777777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6F2D6F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82ED4CB" w14:textId="77777777" w:rsidR="00FC776E" w:rsidRDefault="00FC776E">
                  <w:pPr>
                    <w:jc w:val="center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saskaņā ar valsts budžetu kārtējam gadam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7A61E93" w14:textId="77777777" w:rsidR="00FC776E" w:rsidRDefault="00FC776E">
                  <w:pPr>
                    <w:jc w:val="center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izmaiņas kārtējā gadā, salīdzinot ar valsts budžetu kārtējam gadam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AEFDB66" w14:textId="77777777" w:rsidR="00FC776E" w:rsidRDefault="00FC776E">
                  <w:pPr>
                    <w:jc w:val="center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saskaņā ar vidēja termiņa budžeta ietvaru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EC0A467" w14:textId="77777777" w:rsidR="00FC776E" w:rsidRDefault="00FC776E">
                  <w:pPr>
                    <w:jc w:val="center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izmaiņas, salīdzinot ar vidēja termiņa budžeta ietvaru 2019. gadam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F700724" w14:textId="77777777" w:rsidR="00FC776E" w:rsidRDefault="00FC776E">
                  <w:pPr>
                    <w:jc w:val="center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saskaņā ar vidēja termiņa budžeta ietvaru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7CED681" w14:textId="77777777" w:rsidR="00FC776E" w:rsidRDefault="00FC776E">
                  <w:pPr>
                    <w:jc w:val="center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izmaiņas, salīdzinot ar vidēja termiņa budžeta ietvaru 2020. gadam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507F850" w14:textId="77777777" w:rsidR="00FC776E" w:rsidRDefault="00FC776E">
                  <w:pPr>
                    <w:jc w:val="center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 xml:space="preserve">izmaiņas, salīdzinot ar vidēja termiņa budžeta ietvaru </w:t>
                  </w:r>
                  <w:r>
                    <w:rPr>
                      <w:rFonts w:eastAsia="Times New Roman"/>
                      <w:lang w:eastAsia="lv-LV"/>
                    </w:rPr>
                    <w:br/>
                    <w:t>2020. gadam</w:t>
                  </w:r>
                </w:p>
              </w:tc>
            </w:tr>
            <w:tr w:rsidR="00FC776E" w14:paraId="458920B1" w14:textId="77777777">
              <w:trPr>
                <w:cantSplit/>
              </w:trPr>
              <w:tc>
                <w:tcPr>
                  <w:tcW w:w="1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5BC6741" w14:textId="77777777" w:rsidR="00FC776E" w:rsidRDefault="00FC776E">
                  <w:pPr>
                    <w:jc w:val="center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1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7D20A8C" w14:textId="77777777" w:rsidR="00FC776E" w:rsidRDefault="00FC776E">
                  <w:pPr>
                    <w:jc w:val="center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2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FEB5FD9" w14:textId="77777777" w:rsidR="00FC776E" w:rsidRDefault="00FC776E">
                  <w:pPr>
                    <w:jc w:val="center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3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3C8CA25" w14:textId="77777777" w:rsidR="00FC776E" w:rsidRDefault="00FC776E">
                  <w:pPr>
                    <w:jc w:val="center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4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8FFBDC3" w14:textId="77777777" w:rsidR="00FC776E" w:rsidRDefault="00FC776E">
                  <w:pPr>
                    <w:jc w:val="center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5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61FD741" w14:textId="77777777" w:rsidR="00FC776E" w:rsidRDefault="00FC776E">
                  <w:pPr>
                    <w:jc w:val="center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6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E91A44A" w14:textId="77777777" w:rsidR="00FC776E" w:rsidRDefault="00FC776E">
                  <w:pPr>
                    <w:jc w:val="center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7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4589642" w14:textId="77777777" w:rsidR="00FC776E" w:rsidRDefault="00FC776E">
                  <w:pPr>
                    <w:jc w:val="center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8</w:t>
                  </w:r>
                </w:p>
              </w:tc>
            </w:tr>
            <w:tr w:rsidR="00FC776E" w14:paraId="60907DA0" w14:textId="77777777">
              <w:trPr>
                <w:cantSplit/>
              </w:trPr>
              <w:tc>
                <w:tcPr>
                  <w:tcW w:w="1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38B8016A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1. Budžeta ieņēmumi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61B148E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7F04548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79EAFC0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DC9355C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B10F7BF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4FD0E64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B1DC80E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</w:tr>
            <w:tr w:rsidR="00FC776E" w14:paraId="0AF34463" w14:textId="77777777">
              <w:trPr>
                <w:cantSplit/>
              </w:trPr>
              <w:tc>
                <w:tcPr>
                  <w:tcW w:w="1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22305A57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1.1. valsts pamatbudžets, tai skaitā ieņēmumi no maksas pakalpojumiem un citi pašu ieņēmumi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4066EB5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5D1EAF2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12F33E9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AE73DFF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4423CFF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C2AE8EA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536309A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</w:tr>
            <w:tr w:rsidR="00FC776E" w14:paraId="725BF58F" w14:textId="77777777">
              <w:trPr>
                <w:cantSplit/>
              </w:trPr>
              <w:tc>
                <w:tcPr>
                  <w:tcW w:w="1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31934589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1.2. valsts speciālais budžets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9DF5BC1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8CFE3CB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A628CC8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1BFAAAD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1037667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CE2392B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DB7E1BD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</w:tr>
            <w:tr w:rsidR="00FC776E" w14:paraId="56DF9A13" w14:textId="77777777">
              <w:trPr>
                <w:cantSplit/>
              </w:trPr>
              <w:tc>
                <w:tcPr>
                  <w:tcW w:w="1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4CE8705A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1.3. pašvaldību budžets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C2AFAD9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7E61B9D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1BE4C80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C8984A4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2B285FC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5CAEF6F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5505BD3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</w:tr>
            <w:tr w:rsidR="00FC776E" w14:paraId="142F3A79" w14:textId="77777777">
              <w:trPr>
                <w:cantSplit/>
              </w:trPr>
              <w:tc>
                <w:tcPr>
                  <w:tcW w:w="1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5B269E5F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2. Budžeta izdevumi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39689AF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712D0358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t>0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6E64213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A81BD87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E50A9BA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78C1B91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50A38BC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</w:tr>
            <w:tr w:rsidR="00FC776E" w14:paraId="6B95F1D3" w14:textId="77777777">
              <w:trPr>
                <w:cantSplit/>
              </w:trPr>
              <w:tc>
                <w:tcPr>
                  <w:tcW w:w="1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72E2F3F1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2.1. valsts pamatbudžets, t.sk.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7B56967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559949D7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t>0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4B2AA7F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543D1D6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5D5B06C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1DDE31F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85EE577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</w:tr>
            <w:tr w:rsidR="00FC776E" w14:paraId="5C3E2737" w14:textId="77777777">
              <w:trPr>
                <w:cantSplit/>
              </w:trPr>
              <w:tc>
                <w:tcPr>
                  <w:tcW w:w="1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726B258F" w14:textId="77777777" w:rsidR="00FC776E" w:rsidRDefault="00FC776E">
                  <w:pPr>
                    <w:jc w:val="right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Valsts prezidenta kanceleja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38CCD2C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BA7CBF5" w14:textId="77777777" w:rsidR="00FC776E" w:rsidRDefault="00FC776E">
                  <w:r>
                    <w:t>0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F48279C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E244896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101962F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4EB4DEF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219A0E3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</w:tr>
            <w:tr w:rsidR="00FC776E" w14:paraId="68C9150A" w14:textId="77777777">
              <w:trPr>
                <w:cantSplit/>
              </w:trPr>
              <w:tc>
                <w:tcPr>
                  <w:tcW w:w="1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57734178" w14:textId="77777777" w:rsidR="00FC776E" w:rsidRDefault="00FC776E">
                  <w:pPr>
                    <w:jc w:val="right"/>
                  </w:pPr>
                  <w:r>
                    <w:rPr>
                      <w:rFonts w:eastAsia="Times New Roman"/>
                      <w:lang w:eastAsia="lv-LV"/>
                    </w:rPr>
                    <w:t>Aizsardzības ministrijai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BA38649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B639BB9" w14:textId="77777777" w:rsidR="00FC776E" w:rsidRDefault="00FC776E">
                  <w:r>
                    <w:t>0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759F620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144155F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BF4BEFF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74FFC2D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28A2562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</w:tr>
            <w:tr w:rsidR="00FC776E" w14:paraId="6FC18587" w14:textId="77777777">
              <w:trPr>
                <w:cantSplit/>
              </w:trPr>
              <w:tc>
                <w:tcPr>
                  <w:tcW w:w="1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053904D1" w14:textId="77777777" w:rsidR="00FC776E" w:rsidRDefault="00FC776E">
                  <w:pPr>
                    <w:jc w:val="right"/>
                    <w:rPr>
                      <w:rFonts w:eastAsia="Times New Roman"/>
                      <w:lang w:eastAsia="lv-LV"/>
                    </w:rPr>
                  </w:pPr>
                  <w:r>
                    <w:t>Iekšlietu ministrijai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77A73C7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FB89FCA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t>0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8D6E405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6F67346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7B12E00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33EB394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77C1F16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</w:tr>
            <w:tr w:rsidR="00FC776E" w14:paraId="43DB97BB" w14:textId="77777777">
              <w:trPr>
                <w:cantSplit/>
              </w:trPr>
              <w:tc>
                <w:tcPr>
                  <w:tcW w:w="1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6E2C73AB" w14:textId="77777777" w:rsidR="00FC776E" w:rsidRDefault="00FC776E">
                  <w:pPr>
                    <w:jc w:val="right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Zemkopības ministrijai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A5E490E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E256125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t>0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B0CB817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1FEF033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C517D97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D4BD203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C4AADB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</w:tr>
            <w:tr w:rsidR="00FC776E" w14:paraId="33339817" w14:textId="77777777">
              <w:trPr>
                <w:cantSplit/>
              </w:trPr>
              <w:tc>
                <w:tcPr>
                  <w:tcW w:w="1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5A58CAA8" w14:textId="77777777" w:rsidR="00FC776E" w:rsidRDefault="00FC776E">
                  <w:pPr>
                    <w:jc w:val="right"/>
                  </w:pPr>
                  <w:r>
                    <w:t>Satiksmes ministrija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B637430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16D1128" w14:textId="77777777" w:rsidR="00FC776E" w:rsidRDefault="00FC776E">
                  <w:r>
                    <w:t>0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037FC74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EDCCE92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7EDAE79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44B4653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6D5CD58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</w:tr>
            <w:tr w:rsidR="00FC776E" w14:paraId="5CEBF2C4" w14:textId="77777777">
              <w:trPr>
                <w:cantSplit/>
              </w:trPr>
              <w:tc>
                <w:tcPr>
                  <w:tcW w:w="1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5D5E6C24" w14:textId="77777777" w:rsidR="00FC776E" w:rsidRDefault="00FC776E">
                  <w:pPr>
                    <w:jc w:val="right"/>
                    <w:rPr>
                      <w:rFonts w:eastAsia="Times New Roman"/>
                      <w:lang w:eastAsia="lv-LV"/>
                    </w:rPr>
                  </w:pPr>
                  <w:r>
                    <w:t>Tieslietu ministrijai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A678D5A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1A67B3B" w14:textId="77777777" w:rsidR="00FC776E" w:rsidRDefault="00FC776E">
                  <w:pPr>
                    <w:rPr>
                      <w:rFonts w:eastAsia="Times New Roman"/>
                      <w:b/>
                      <w:lang w:eastAsia="lv-LV"/>
                    </w:rPr>
                  </w:pPr>
                  <w:r>
                    <w:t>0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AD24F7E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1404C12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AB32A53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66B9F8C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9D49F31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</w:tr>
            <w:tr w:rsidR="00FC776E" w14:paraId="77324B24" w14:textId="77777777">
              <w:trPr>
                <w:cantSplit/>
              </w:trPr>
              <w:tc>
                <w:tcPr>
                  <w:tcW w:w="1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62CD2C7B" w14:textId="77777777" w:rsidR="00FC776E" w:rsidRDefault="00FC776E">
                  <w:pPr>
                    <w:jc w:val="right"/>
                  </w:pPr>
                  <w:r>
                    <w:t>Veselības ministrijai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4305E5F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EA14DBB" w14:textId="77777777" w:rsidR="00FC776E" w:rsidRDefault="00FC776E">
                  <w:pPr>
                    <w:rPr>
                      <w:rFonts w:eastAsia="Times New Roman"/>
                      <w:b/>
                      <w:lang w:eastAsia="lv-LV"/>
                    </w:rPr>
                  </w:pPr>
                  <w:r>
                    <w:t>0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D2FFC71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4F4381F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819B22A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CD4B1DF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6B8B632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</w:tr>
            <w:tr w:rsidR="00FC776E" w14:paraId="08E94ED7" w14:textId="77777777">
              <w:trPr>
                <w:cantSplit/>
              </w:trPr>
              <w:tc>
                <w:tcPr>
                  <w:tcW w:w="1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5F79A002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2.2. valsts speciālais budžets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7FC5759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6AFDD62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3CCA93B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D8511D9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50AB4BB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6C4505D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44BBEF4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</w:tr>
            <w:tr w:rsidR="00FC776E" w14:paraId="52EAA746" w14:textId="77777777">
              <w:trPr>
                <w:cantSplit/>
              </w:trPr>
              <w:tc>
                <w:tcPr>
                  <w:tcW w:w="1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79824A6B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2.3. pašvaldību budžets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66DF38B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324DAF7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7F0E371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F5211E2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A84EEE8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8CE1205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4963E8E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</w:tr>
            <w:tr w:rsidR="00FC776E" w14:paraId="3ED233F3" w14:textId="77777777">
              <w:trPr>
                <w:cantSplit/>
              </w:trPr>
              <w:tc>
                <w:tcPr>
                  <w:tcW w:w="1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0F201288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3. Finansiālā ietekme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C73A6AC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5BCE0852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A222AF4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BD67B1A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E3D7195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63B3281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80D3C61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</w:tr>
            <w:tr w:rsidR="00FC776E" w14:paraId="0DAA6C8D" w14:textId="77777777">
              <w:trPr>
                <w:cantSplit/>
              </w:trPr>
              <w:tc>
                <w:tcPr>
                  <w:tcW w:w="1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211FBB89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3.1. valsts pamatbudžets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96A2A78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58EC242B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6347902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6133770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A42AB50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AB2FDEC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FC402C1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</w:tr>
            <w:tr w:rsidR="00FC776E" w14:paraId="1976AF8F" w14:textId="77777777">
              <w:trPr>
                <w:cantSplit/>
              </w:trPr>
              <w:tc>
                <w:tcPr>
                  <w:tcW w:w="1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5E1306CE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3.2. speciālais budžets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AF905C6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E5F36D9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5C80C56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68DE920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D355F11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38D0557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4129F51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</w:tr>
            <w:tr w:rsidR="00FC776E" w14:paraId="762D485F" w14:textId="77777777">
              <w:trPr>
                <w:cantSplit/>
              </w:trPr>
              <w:tc>
                <w:tcPr>
                  <w:tcW w:w="1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7939BF36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3.3. pašvaldību budžets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76978A6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4463FDC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60CC6AA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32E6F9A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77C4CED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69FDBBE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DBDD1F9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</w:tr>
            <w:tr w:rsidR="00FC776E" w14:paraId="5FD2D5E1" w14:textId="77777777">
              <w:trPr>
                <w:cantSplit/>
              </w:trPr>
              <w:tc>
                <w:tcPr>
                  <w:tcW w:w="1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423E5BB9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4. Finanšu līdzekļi papildu izdevumu finansēšanai (kompensējošu izdevumu samazinājumu norāda ar "+" zīmi)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D51A1BE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FB6F88C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969FCE2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21744D7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1B8C4AB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85DC8CA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0EC99BE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</w:tr>
            <w:tr w:rsidR="00FC776E" w14:paraId="24F4117D" w14:textId="77777777">
              <w:trPr>
                <w:cantSplit/>
              </w:trPr>
              <w:tc>
                <w:tcPr>
                  <w:tcW w:w="1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3663F9FF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5. Precizēta finansiālā ietekme</w:t>
                  </w:r>
                </w:p>
              </w:tc>
              <w:tc>
                <w:tcPr>
                  <w:tcW w:w="5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47A7CA3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X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A0C3A40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2239C91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X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B3A2F0E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4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22C17C3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X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09847FD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D0E9EEF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</w:tr>
            <w:tr w:rsidR="00FC776E" w14:paraId="3E7210DC" w14:textId="77777777">
              <w:trPr>
                <w:cantSplit/>
              </w:trPr>
              <w:tc>
                <w:tcPr>
                  <w:tcW w:w="1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424FBA02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5.1. valsts pamatbudžets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9FB127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45BD127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73908C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97D1A5B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690A8B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BC66F81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6B08F31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</w:tr>
            <w:tr w:rsidR="00FC776E" w14:paraId="0F955BA8" w14:textId="77777777">
              <w:trPr>
                <w:cantSplit/>
              </w:trPr>
              <w:tc>
                <w:tcPr>
                  <w:tcW w:w="1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38FD9B65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5.2. speciālais budžets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3F3280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7815D46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E41B2C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1F35188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8BB3A2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07736E6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88208B8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</w:tr>
            <w:tr w:rsidR="00FC776E" w14:paraId="11C0B8CB" w14:textId="77777777">
              <w:trPr>
                <w:cantSplit/>
              </w:trPr>
              <w:tc>
                <w:tcPr>
                  <w:tcW w:w="1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6FE9E337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5.3. pašvaldību budžets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BEB51B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136BE08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24D7B4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C73E0F9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8A6180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BCB2DB2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CA50514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0</w:t>
                  </w:r>
                </w:p>
              </w:tc>
            </w:tr>
            <w:tr w:rsidR="00FC776E" w14:paraId="20CA77C3" w14:textId="77777777">
              <w:trPr>
                <w:cantSplit/>
              </w:trPr>
              <w:tc>
                <w:tcPr>
                  <w:tcW w:w="1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297E0636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6. Detalizēts ieņēmumu un izdevumu aprēķins (ja nepieciešams, detalizētu ieņēmumu un izdevumu aprēķinu var pievienot anotācijas pielikumā)</w:t>
                  </w:r>
                </w:p>
              </w:tc>
              <w:tc>
                <w:tcPr>
                  <w:tcW w:w="3784" w:type="pct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2C0FD83" w14:textId="457D9246" w:rsidR="00FC776E" w:rsidRDefault="001B4121" w:rsidP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 xml:space="preserve">Ar pasākuma nodrošināšanu un drošību saistītie izdevumi piešķirti saskaņā ar </w:t>
                  </w:r>
                  <w:r w:rsidRPr="009C0D69">
                    <w:rPr>
                      <w:rFonts w:eastAsia="Times New Roman"/>
                      <w:lang w:eastAsia="lv-LV"/>
                    </w:rPr>
                    <w:t xml:space="preserve">Ministru </w:t>
                  </w:r>
                  <w:r w:rsidR="00C61286">
                    <w:rPr>
                      <w:rFonts w:eastAsia="Times New Roman"/>
                      <w:lang w:eastAsia="lv-LV"/>
                    </w:rPr>
                    <w:t>kabineta</w:t>
                  </w:r>
                  <w:r w:rsidR="00C61286" w:rsidRPr="009C0D69">
                    <w:rPr>
                      <w:rFonts w:eastAsia="Times New Roman"/>
                      <w:lang w:eastAsia="lv-LV"/>
                    </w:rPr>
                    <w:t xml:space="preserve"> </w:t>
                  </w:r>
                  <w:r w:rsidRPr="009C0D69">
                    <w:rPr>
                      <w:rFonts w:eastAsia="Times New Roman"/>
                      <w:lang w:eastAsia="lv-LV"/>
                    </w:rPr>
                    <w:t>2018.</w:t>
                  </w:r>
                  <w:r w:rsidR="00C61286">
                    <w:rPr>
                      <w:rFonts w:eastAsia="Times New Roman"/>
                      <w:lang w:eastAsia="lv-LV"/>
                    </w:rPr>
                    <w:t> </w:t>
                  </w:r>
                  <w:r w:rsidRPr="009C0D69">
                    <w:rPr>
                      <w:rFonts w:eastAsia="Times New Roman"/>
                      <w:lang w:eastAsia="lv-LV"/>
                    </w:rPr>
                    <w:t>gada 4.</w:t>
                  </w:r>
                  <w:r w:rsidR="00C61286">
                    <w:rPr>
                      <w:rFonts w:eastAsia="Times New Roman"/>
                      <w:lang w:eastAsia="lv-LV"/>
                    </w:rPr>
                    <w:t> </w:t>
                  </w:r>
                  <w:r w:rsidRPr="009C0D69">
                    <w:rPr>
                      <w:rFonts w:eastAsia="Times New Roman"/>
                      <w:lang w:eastAsia="lv-LV"/>
                    </w:rPr>
                    <w:t>jūlija rīkojumu N</w:t>
                  </w:r>
                  <w:r w:rsidR="005A7D4D" w:rsidRPr="009C0D69">
                    <w:rPr>
                      <w:rFonts w:eastAsia="Times New Roman"/>
                      <w:lang w:eastAsia="lv-LV"/>
                    </w:rPr>
                    <w:t>r.</w:t>
                  </w:r>
                  <w:r w:rsidR="00C61286">
                    <w:rPr>
                      <w:rFonts w:eastAsia="Times New Roman"/>
                      <w:lang w:eastAsia="lv-LV"/>
                    </w:rPr>
                    <w:t> </w:t>
                  </w:r>
                  <w:r w:rsidR="005A7D4D" w:rsidRPr="009C0D69">
                    <w:rPr>
                      <w:rFonts w:eastAsia="Times New Roman"/>
                      <w:lang w:eastAsia="lv-LV"/>
                    </w:rPr>
                    <w:t>297</w:t>
                  </w:r>
                  <w:r w:rsidR="005A7D4D">
                    <w:rPr>
                      <w:rFonts w:eastAsia="Times New Roman"/>
                      <w:lang w:eastAsia="lv-LV"/>
                    </w:rPr>
                    <w:t xml:space="preserve"> </w:t>
                  </w:r>
                  <w:r w:rsidR="00C61286">
                    <w:rPr>
                      <w:rFonts w:eastAsia="Times New Roman"/>
                      <w:lang w:eastAsia="lv-LV"/>
                    </w:rPr>
                    <w:t>"</w:t>
                  </w:r>
                  <w:r w:rsidR="00E8698C">
                    <w:rPr>
                      <w:rFonts w:eastAsia="Times New Roman"/>
                      <w:lang w:eastAsia="lv-LV"/>
                    </w:rPr>
                    <w:t>P</w:t>
                  </w:r>
                  <w:r w:rsidR="005A7D4D">
                    <w:rPr>
                      <w:rFonts w:eastAsia="Times New Roman"/>
                      <w:lang w:eastAsia="lv-LV"/>
                    </w:rPr>
                    <w:t>ar vals</w:t>
                  </w:r>
                  <w:r w:rsidR="00C66093">
                    <w:rPr>
                      <w:rFonts w:eastAsia="Times New Roman"/>
                      <w:lang w:eastAsia="lv-LV"/>
                    </w:rPr>
                    <w:t>ts nozīmes pasākuma – Viņa Svētības pāvesta Franciska pastorālās vizītes Latvijā 2018.</w:t>
                  </w:r>
                  <w:r w:rsidR="00C61286">
                    <w:rPr>
                      <w:rFonts w:eastAsia="Times New Roman"/>
                      <w:lang w:eastAsia="lv-LV"/>
                    </w:rPr>
                    <w:t> </w:t>
                  </w:r>
                  <w:r w:rsidR="00C66093">
                    <w:rPr>
                      <w:rFonts w:eastAsia="Times New Roman"/>
                      <w:lang w:eastAsia="lv-LV"/>
                    </w:rPr>
                    <w:t>gada 24.</w:t>
                  </w:r>
                  <w:r w:rsidR="00C61286">
                    <w:rPr>
                      <w:rFonts w:eastAsia="Times New Roman"/>
                      <w:lang w:eastAsia="lv-LV"/>
                    </w:rPr>
                    <w:t> </w:t>
                  </w:r>
                  <w:r w:rsidR="00C66093">
                    <w:rPr>
                      <w:rFonts w:eastAsia="Times New Roman"/>
                      <w:lang w:eastAsia="lv-LV"/>
                    </w:rPr>
                    <w:t>septembrī – nodrošināšanu.</w:t>
                  </w:r>
                  <w:r w:rsidR="00C61286">
                    <w:rPr>
                      <w:rFonts w:eastAsia="Times New Roman"/>
                      <w:lang w:eastAsia="lv-LV"/>
                    </w:rPr>
                    <w:t>"</w:t>
                  </w:r>
                </w:p>
              </w:tc>
            </w:tr>
            <w:tr w:rsidR="00FC776E" w14:paraId="5A29F610" w14:textId="77777777">
              <w:trPr>
                <w:cantSplit/>
              </w:trPr>
              <w:tc>
                <w:tcPr>
                  <w:tcW w:w="1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12614045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6.1. detalizēts ieņēmumu aprēķins</w:t>
                  </w:r>
                </w:p>
              </w:tc>
              <w:tc>
                <w:tcPr>
                  <w:tcW w:w="0" w:type="auto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EB5508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</w:p>
              </w:tc>
            </w:tr>
            <w:tr w:rsidR="00FC776E" w14:paraId="313FDED7" w14:textId="77777777">
              <w:trPr>
                <w:cantSplit/>
              </w:trPr>
              <w:tc>
                <w:tcPr>
                  <w:tcW w:w="1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16D19BB5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6.2. detalizēts izdevumu aprēķins</w:t>
                  </w:r>
                </w:p>
              </w:tc>
              <w:tc>
                <w:tcPr>
                  <w:tcW w:w="0" w:type="auto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4F24B5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</w:p>
              </w:tc>
            </w:tr>
            <w:tr w:rsidR="00FC776E" w14:paraId="24C33957" w14:textId="77777777">
              <w:trPr>
                <w:cantSplit/>
              </w:trPr>
              <w:tc>
                <w:tcPr>
                  <w:tcW w:w="1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7A54A297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7. Amata vietu skaita izmaiņas</w:t>
                  </w:r>
                </w:p>
              </w:tc>
              <w:tc>
                <w:tcPr>
                  <w:tcW w:w="378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1BEE6C73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Amata vietu skaita izmaiņas nav.</w:t>
                  </w:r>
                </w:p>
              </w:tc>
            </w:tr>
            <w:tr w:rsidR="00FC776E" w14:paraId="2665C211" w14:textId="77777777">
              <w:trPr>
                <w:cantSplit/>
              </w:trPr>
              <w:tc>
                <w:tcPr>
                  <w:tcW w:w="1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707B95F8" w14:textId="77777777" w:rsidR="00FC776E" w:rsidRDefault="00FC776E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8. Cita informācija</w:t>
                  </w:r>
                </w:p>
              </w:tc>
              <w:tc>
                <w:tcPr>
                  <w:tcW w:w="378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5035435A" w14:textId="77777777" w:rsidR="00FC776E" w:rsidRDefault="00AD3F3D">
                  <w:pPr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Nav.</w:t>
                  </w:r>
                </w:p>
              </w:tc>
            </w:tr>
          </w:tbl>
          <w:p w14:paraId="28D2CF02" w14:textId="77777777" w:rsidR="00FC776E" w:rsidRDefault="00FC776E">
            <w:pPr>
              <w:jc w:val="left"/>
              <w:rPr>
                <w:rFonts w:eastAsia="Times New Roman"/>
                <w:lang w:eastAsia="lv-LV"/>
              </w:rPr>
            </w:pPr>
          </w:p>
        </w:tc>
      </w:tr>
      <w:bookmarkEnd w:id="1"/>
    </w:tbl>
    <w:p w14:paraId="01557ED7" w14:textId="77777777" w:rsidR="00FC776E" w:rsidRDefault="00FC776E" w:rsidP="00FC776E">
      <w:pPr>
        <w:jc w:val="left"/>
        <w:rPr>
          <w:rFonts w:eastAsia="Times New Roman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9"/>
      </w:tblGrid>
      <w:tr w:rsidR="00FC776E" w14:paraId="4E7FD534" w14:textId="77777777" w:rsidTr="00FC776E">
        <w:trPr>
          <w:trHeight w:val="30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EF9DA6" w14:textId="77777777" w:rsidR="00FC776E" w:rsidRDefault="00FC776E">
            <w:pPr>
              <w:ind w:firstLine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FC776E" w14:paraId="6ED391C9" w14:textId="77777777" w:rsidTr="00FC776E">
        <w:trPr>
          <w:trHeight w:val="30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23006A" w14:textId="77777777" w:rsidR="00FC776E" w:rsidRDefault="00FC776E">
            <w:pPr>
              <w:ind w:firstLine="300"/>
              <w:jc w:val="center"/>
              <w:rPr>
                <w:b/>
                <w:bCs/>
              </w:rPr>
            </w:pPr>
            <w:r>
              <w:rPr>
                <w:bCs/>
              </w:rPr>
              <w:t>Projekts šo jomu neskar.</w:t>
            </w:r>
          </w:p>
        </w:tc>
      </w:tr>
    </w:tbl>
    <w:p w14:paraId="458CBD76" w14:textId="77777777" w:rsidR="00FC776E" w:rsidRDefault="00FC776E" w:rsidP="00FC776E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9"/>
      </w:tblGrid>
      <w:tr w:rsidR="00FC776E" w14:paraId="03843DEA" w14:textId="77777777" w:rsidTr="00FC776E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4D3202" w14:textId="77777777" w:rsidR="00FC776E" w:rsidRDefault="00FC776E">
            <w:pPr>
              <w:ind w:firstLine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FC776E" w14:paraId="76E4DCF1" w14:textId="77777777" w:rsidTr="00FC776E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47DC8E" w14:textId="77777777" w:rsidR="00FC776E" w:rsidRDefault="00FC776E">
            <w:pPr>
              <w:ind w:firstLine="300"/>
              <w:jc w:val="center"/>
              <w:rPr>
                <w:b/>
                <w:bCs/>
              </w:rPr>
            </w:pPr>
            <w:r>
              <w:rPr>
                <w:bCs/>
              </w:rPr>
              <w:t>Projekts šo jomu neskar.</w:t>
            </w:r>
          </w:p>
        </w:tc>
      </w:tr>
    </w:tbl>
    <w:p w14:paraId="44FD13F2" w14:textId="77777777" w:rsidR="00FC776E" w:rsidRDefault="00FC776E" w:rsidP="00FC776E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9"/>
      </w:tblGrid>
      <w:tr w:rsidR="00FC776E" w14:paraId="758E6BD5" w14:textId="77777777" w:rsidTr="00FC776E">
        <w:trPr>
          <w:trHeight w:val="16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F30833" w14:textId="77777777" w:rsidR="00FC776E" w:rsidRDefault="00FC776E">
            <w:pPr>
              <w:ind w:firstLine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VI. Sabiedrības līdzdalība un komunikācijas aktivitātes</w:t>
            </w:r>
          </w:p>
        </w:tc>
      </w:tr>
      <w:tr w:rsidR="00FC776E" w14:paraId="6C6C84C5" w14:textId="77777777" w:rsidTr="00FC776E">
        <w:trPr>
          <w:trHeight w:val="16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CBCC60" w14:textId="77777777" w:rsidR="00FC776E" w:rsidRDefault="00FC776E">
            <w:pPr>
              <w:ind w:firstLine="300"/>
              <w:jc w:val="center"/>
              <w:rPr>
                <w:b/>
                <w:bCs/>
              </w:rPr>
            </w:pPr>
            <w:r>
              <w:rPr>
                <w:bCs/>
              </w:rPr>
              <w:t>Projekts šo jomu neskar.</w:t>
            </w:r>
          </w:p>
        </w:tc>
      </w:tr>
    </w:tbl>
    <w:p w14:paraId="1A2E6A30" w14:textId="77777777" w:rsidR="00FC776E" w:rsidRDefault="00FC776E" w:rsidP="00FC776E">
      <w:pPr>
        <w:jc w:val="left"/>
        <w:rPr>
          <w:rFonts w:eastAsia="Times New Roman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15"/>
        <w:gridCol w:w="5801"/>
      </w:tblGrid>
      <w:tr w:rsidR="00FC776E" w14:paraId="4E007029" w14:textId="77777777" w:rsidTr="00FC776E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AC6738" w14:textId="77777777" w:rsidR="00FC776E" w:rsidRDefault="00FC776E">
            <w:pPr>
              <w:ind w:firstLine="300"/>
              <w:jc w:val="center"/>
              <w:rPr>
                <w:rFonts w:eastAsia="Times New Roman"/>
                <w:b/>
                <w:bCs/>
                <w:lang w:eastAsia="lv-LV"/>
              </w:rPr>
            </w:pPr>
            <w:r>
              <w:rPr>
                <w:rFonts w:eastAsia="Times New Roman"/>
                <w:b/>
                <w:bCs/>
                <w:lang w:eastAsia="lv-LV"/>
              </w:rPr>
              <w:t>VII. Tiesību akta projekta izpildes nodrošināšana un tās ietekme uz institūcijām</w:t>
            </w:r>
          </w:p>
        </w:tc>
      </w:tr>
      <w:tr w:rsidR="00FC776E" w14:paraId="42A132B3" w14:textId="77777777" w:rsidTr="00FC776E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DBC42B" w14:textId="77777777" w:rsidR="00FC776E" w:rsidRDefault="00FC776E">
            <w:pPr>
              <w:jc w:val="left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0165FC" w14:textId="77777777" w:rsidR="00FC776E" w:rsidRDefault="00FC776E">
            <w:pPr>
              <w:jc w:val="left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Projekta izpildē iesaistītās institūcijas</w:t>
            </w:r>
          </w:p>
        </w:tc>
        <w:tc>
          <w:tcPr>
            <w:tcW w:w="3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B24F83" w14:textId="77777777" w:rsidR="00FC776E" w:rsidRDefault="00F561DA">
            <w:pPr>
              <w:rPr>
                <w:rFonts w:eastAsia="Times New Roman"/>
                <w:lang w:eastAsia="lv-LV"/>
              </w:rPr>
            </w:pPr>
            <w:r w:rsidRPr="00F561DA">
              <w:rPr>
                <w:rFonts w:eastAsia="Times New Roman"/>
                <w:lang w:eastAsia="lv-LV"/>
              </w:rPr>
              <w:t>Satiksmes ministrija, Aizsardzības ministrija, Iekšlietu ministrija, Veselības ministrija, Zemkopības ministrija</w:t>
            </w:r>
            <w:r>
              <w:rPr>
                <w:rFonts w:eastAsia="Times New Roman"/>
                <w:lang w:eastAsia="lv-LV"/>
              </w:rPr>
              <w:t>.</w:t>
            </w:r>
          </w:p>
        </w:tc>
      </w:tr>
      <w:tr w:rsidR="00FC776E" w14:paraId="06387E62" w14:textId="77777777" w:rsidTr="00FC776E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22DC43" w14:textId="77777777" w:rsidR="00FC776E" w:rsidRDefault="00FC776E">
            <w:pPr>
              <w:jc w:val="left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68CB01" w14:textId="77777777" w:rsidR="00FC776E" w:rsidRDefault="00FC776E">
            <w:pPr>
              <w:jc w:val="left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Projekta izpildes ietekme uz pārvaldes funkcijām un institucionālo struktūru. </w:t>
            </w:r>
          </w:p>
          <w:p w14:paraId="3840EF4F" w14:textId="77777777" w:rsidR="00FC776E" w:rsidRDefault="00FC776E">
            <w:pPr>
              <w:ind w:firstLine="300"/>
              <w:jc w:val="left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296C9D" w14:textId="77777777" w:rsidR="00FC776E" w:rsidRDefault="00FC776E">
            <w:pPr>
              <w:jc w:val="left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Projekts šo jomu neskar.</w:t>
            </w:r>
          </w:p>
        </w:tc>
      </w:tr>
      <w:tr w:rsidR="00FC776E" w14:paraId="7DF41A63" w14:textId="77777777" w:rsidTr="00FC776E">
        <w:trPr>
          <w:trHeight w:val="25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5523AF" w14:textId="77777777" w:rsidR="00FC776E" w:rsidRDefault="00FC776E">
            <w:pPr>
              <w:jc w:val="left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46BF40" w14:textId="77777777" w:rsidR="00FC776E" w:rsidRDefault="00FC776E">
            <w:pPr>
              <w:jc w:val="left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23C973" w14:textId="77777777" w:rsidR="00FC776E" w:rsidRDefault="00FC776E">
            <w:pPr>
              <w:jc w:val="left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14:paraId="18A55176" w14:textId="77777777" w:rsidR="00FC776E" w:rsidRDefault="00FC776E" w:rsidP="00FC776E">
      <w:pPr>
        <w:jc w:val="left"/>
      </w:pPr>
    </w:p>
    <w:p w14:paraId="1932DB56" w14:textId="77777777" w:rsidR="00FC776E" w:rsidRDefault="00FC776E" w:rsidP="00FC776E">
      <w:pPr>
        <w:rPr>
          <w:rFonts w:eastAsia="Times New Roman"/>
        </w:rPr>
      </w:pPr>
      <w:r>
        <w:rPr>
          <w:rFonts w:eastAsia="Times New Roman"/>
        </w:rPr>
        <w:t>Iesniedzējs:</w:t>
      </w:r>
    </w:p>
    <w:p w14:paraId="4F151FF3" w14:textId="56E2A017" w:rsidR="00FC776E" w:rsidRDefault="00FC776E" w:rsidP="00FC776E">
      <w:pPr>
        <w:rPr>
          <w:rFonts w:eastAsia="Times New Roman"/>
        </w:rPr>
      </w:pPr>
      <w:r>
        <w:rPr>
          <w:rFonts w:eastAsia="Times New Roman"/>
        </w:rPr>
        <w:t>tieslietu ministr</w:t>
      </w:r>
      <w:r w:rsidR="005F51DA">
        <w:rPr>
          <w:rFonts w:eastAsia="Times New Roman"/>
        </w:rPr>
        <w:t xml:space="preserve">a </w:t>
      </w:r>
      <w:proofErr w:type="spellStart"/>
      <w:r w:rsidR="005F51DA">
        <w:rPr>
          <w:rFonts w:eastAsia="Times New Roman"/>
        </w:rPr>
        <w:t>p.i</w:t>
      </w:r>
      <w:proofErr w:type="spellEnd"/>
      <w:r w:rsidR="005F51D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5F51DA">
        <w:rPr>
          <w:rFonts w:eastAsia="Times New Roman"/>
        </w:rPr>
        <w:t>Kaspars Gerhards</w:t>
      </w:r>
    </w:p>
    <w:p w14:paraId="78777F78" w14:textId="77777777" w:rsidR="00FC776E" w:rsidRDefault="00FC776E" w:rsidP="00FC776E">
      <w:pPr>
        <w:jc w:val="left"/>
        <w:rPr>
          <w:sz w:val="20"/>
          <w:szCs w:val="20"/>
        </w:rPr>
      </w:pPr>
    </w:p>
    <w:p w14:paraId="1B6228C4" w14:textId="77777777" w:rsidR="00FC776E" w:rsidRDefault="00FC776E" w:rsidP="00FC776E">
      <w:pPr>
        <w:jc w:val="left"/>
        <w:rPr>
          <w:sz w:val="20"/>
          <w:szCs w:val="20"/>
        </w:rPr>
      </w:pPr>
    </w:p>
    <w:p w14:paraId="1FC29895" w14:textId="77777777" w:rsidR="00FC776E" w:rsidRDefault="00FC776E" w:rsidP="00FC776E">
      <w:pPr>
        <w:jc w:val="left"/>
        <w:rPr>
          <w:sz w:val="20"/>
          <w:szCs w:val="20"/>
        </w:rPr>
      </w:pPr>
    </w:p>
    <w:p w14:paraId="07645A82" w14:textId="77777777" w:rsidR="00FC776E" w:rsidRDefault="00FC776E" w:rsidP="00FC776E">
      <w:pPr>
        <w:jc w:val="left"/>
        <w:rPr>
          <w:sz w:val="20"/>
          <w:szCs w:val="20"/>
        </w:rPr>
      </w:pPr>
      <w:r>
        <w:rPr>
          <w:sz w:val="20"/>
          <w:szCs w:val="20"/>
        </w:rPr>
        <w:t>Gavrilova 67046131</w:t>
      </w:r>
    </w:p>
    <w:p w14:paraId="5AAD1002" w14:textId="6F2429AF" w:rsidR="00BA5D13" w:rsidRPr="004D5945" w:rsidRDefault="00FC776E" w:rsidP="003D241E">
      <w:pPr>
        <w:jc w:val="left"/>
      </w:pPr>
      <w:r>
        <w:rPr>
          <w:sz w:val="20"/>
          <w:szCs w:val="20"/>
        </w:rPr>
        <w:t>Aleksandra.Gavrilova@tm.gov.lv</w:t>
      </w:r>
    </w:p>
    <w:sectPr w:rsidR="00BA5D13" w:rsidRPr="004D5945" w:rsidSect="003D241E">
      <w:headerReference w:type="default" r:id="rId8"/>
      <w:footerReference w:type="default" r:id="rId9"/>
      <w:footerReference w:type="first" r:id="rId10"/>
      <w:type w:val="continuous"/>
      <w:pgSz w:w="11920" w:h="16840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9E65B" w14:textId="77777777" w:rsidR="009447F2" w:rsidRDefault="009447F2" w:rsidP="0060273A">
      <w:r>
        <w:separator/>
      </w:r>
    </w:p>
  </w:endnote>
  <w:endnote w:type="continuationSeparator" w:id="0">
    <w:p w14:paraId="72B0B89A" w14:textId="77777777" w:rsidR="009447F2" w:rsidRDefault="009447F2" w:rsidP="0060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1BB7C" w14:textId="577716FD" w:rsidR="005F51DA" w:rsidRPr="005F51DA" w:rsidRDefault="005F51DA" w:rsidP="005F51DA">
    <w:pPr>
      <w:pStyle w:val="Kjene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>
      <w:rPr>
        <w:noProof/>
        <w:sz w:val="20"/>
      </w:rPr>
      <w:t>TMAnot_030818_PavestsDP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A54C0" w14:textId="78BD8686" w:rsidR="0060273A" w:rsidRPr="005F51DA" w:rsidRDefault="005F51DA" w:rsidP="005F51DA">
    <w:pPr>
      <w:pStyle w:val="Kjene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>
      <w:rPr>
        <w:noProof/>
        <w:sz w:val="20"/>
      </w:rPr>
      <w:t>TMAnot_030818_PavestsDP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6DEB2" w14:textId="77777777" w:rsidR="009447F2" w:rsidRDefault="009447F2" w:rsidP="0060273A">
      <w:r>
        <w:separator/>
      </w:r>
    </w:p>
  </w:footnote>
  <w:footnote w:type="continuationSeparator" w:id="0">
    <w:p w14:paraId="3569F2C6" w14:textId="77777777" w:rsidR="009447F2" w:rsidRDefault="009447F2" w:rsidP="0060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2465955"/>
      <w:docPartObj>
        <w:docPartGallery w:val="Page Numbers (Top of Page)"/>
        <w:docPartUnique/>
      </w:docPartObj>
    </w:sdtPr>
    <w:sdtEndPr/>
    <w:sdtContent>
      <w:p w14:paraId="66B88D21" w14:textId="30E18961" w:rsidR="00C61286" w:rsidRDefault="00C61286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418EE7" w14:textId="77777777" w:rsidR="00C61286" w:rsidRDefault="00C6128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C2B57"/>
    <w:multiLevelType w:val="multilevel"/>
    <w:tmpl w:val="972CDE10"/>
    <w:lvl w:ilvl="0">
      <w:start w:val="1"/>
      <w:numFmt w:val="decimal"/>
      <w:lvlText w:val="%1."/>
      <w:lvlJc w:val="left"/>
      <w:pPr>
        <w:ind w:left="1080" w:hanging="360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6E"/>
    <w:rsid w:val="00040821"/>
    <w:rsid w:val="000E3848"/>
    <w:rsid w:val="00180EF3"/>
    <w:rsid w:val="001A22EB"/>
    <w:rsid w:val="001A52B6"/>
    <w:rsid w:val="001B4121"/>
    <w:rsid w:val="00303316"/>
    <w:rsid w:val="0039263E"/>
    <w:rsid w:val="003D241E"/>
    <w:rsid w:val="004063A3"/>
    <w:rsid w:val="004D5945"/>
    <w:rsid w:val="005A3970"/>
    <w:rsid w:val="005A7D4D"/>
    <w:rsid w:val="005F51DA"/>
    <w:rsid w:val="0060273A"/>
    <w:rsid w:val="00740C35"/>
    <w:rsid w:val="00775776"/>
    <w:rsid w:val="00776BC8"/>
    <w:rsid w:val="007A122C"/>
    <w:rsid w:val="008E0573"/>
    <w:rsid w:val="0092400E"/>
    <w:rsid w:val="009447F2"/>
    <w:rsid w:val="00945CCE"/>
    <w:rsid w:val="00983CE5"/>
    <w:rsid w:val="009C0D69"/>
    <w:rsid w:val="009D1B56"/>
    <w:rsid w:val="00A47CF4"/>
    <w:rsid w:val="00A91DF1"/>
    <w:rsid w:val="00A92886"/>
    <w:rsid w:val="00AD3F3D"/>
    <w:rsid w:val="00AE7071"/>
    <w:rsid w:val="00B65448"/>
    <w:rsid w:val="00BA5D13"/>
    <w:rsid w:val="00BE1564"/>
    <w:rsid w:val="00BE34BC"/>
    <w:rsid w:val="00C61286"/>
    <w:rsid w:val="00C66093"/>
    <w:rsid w:val="00CB0528"/>
    <w:rsid w:val="00CB0977"/>
    <w:rsid w:val="00D16384"/>
    <w:rsid w:val="00DF67F3"/>
    <w:rsid w:val="00E8698C"/>
    <w:rsid w:val="00EC5C93"/>
    <w:rsid w:val="00F01E03"/>
    <w:rsid w:val="00F05EEB"/>
    <w:rsid w:val="00F230E6"/>
    <w:rsid w:val="00F561DA"/>
    <w:rsid w:val="00F757A8"/>
    <w:rsid w:val="00FC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77C0FB9"/>
  <w15:chartTrackingRefBased/>
  <w15:docId w15:val="{AD378458-CCDB-4729-9536-6A3DBF0A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  <w:rsid w:val="00FC776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C776E"/>
    <w:pPr>
      <w:ind w:left="720"/>
      <w:contextualSpacing/>
    </w:pPr>
  </w:style>
  <w:style w:type="table" w:customStyle="1" w:styleId="Reatabulagaia1">
    <w:name w:val="Režģa tabula gaiša1"/>
    <w:basedOn w:val="Parastatabula"/>
    <w:uiPriority w:val="40"/>
    <w:rsid w:val="00FC77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alvene">
    <w:name w:val="header"/>
    <w:basedOn w:val="Parasts"/>
    <w:link w:val="GalveneRakstz"/>
    <w:uiPriority w:val="99"/>
    <w:unhideWhenUsed/>
    <w:rsid w:val="0060273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0273A"/>
    <w:rPr>
      <w:rFonts w:ascii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60273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0273A"/>
    <w:rPr>
      <w:rFonts w:ascii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47CF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47CF4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D1638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1638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16384"/>
    <w:rPr>
      <w:rFonts w:ascii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1638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1638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D57F1-82F5-42B6-A98D-FC344CCA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4176</Words>
  <Characters>2381</Characters>
  <Application>Microsoft Office Word</Application>
  <DocSecurity>0</DocSecurity>
  <Lines>19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projekta "Par valsts nozīmes pasākuma nodrošināšanas un drošības plānu pāvesta Franciska pastorālajai vizītei 2018. gada 24. septembrī starptautiskas nozīmes svētvietā Aglonā" sākotnējās ietekmes novērtējuma ziņojums (anotācija)</vt:lpstr>
      <vt:lpstr>Valsts nozīmes pasākuma nodrošināšanas un drošības plāns pāvesta Franciska pastorālās vizītei 2018. gada 24.septembrī starptautiskas nozīmes svētvietā Aglonā</vt:lpstr>
    </vt:vector>
  </TitlesOfParts>
  <Company>Tieslietu ministrija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valsts nozīmes pasākuma nodrošināšanas un drošības plānu pāvesta Franciska pastorālajai vizītei 2018. gada 24. septembrī starptautiskas nozīmes svētvietā Aglonā" sākotnējās ietekmes novērtējuma ziņojums (anotācija)</dc:title>
  <dc:subject>Ministru kabineta rīkojuma projekta sākotnējās ietekmes novērtējuma ziņojums (anotācija)</dc:subject>
  <dc:creator>Aleksandra Gavrilova</dc:creator>
  <cp:keywords/>
  <dc:description>Aleksandra.Gavrilova@tm.gov.lv
67046131</dc:description>
  <cp:lastModifiedBy>Aleksandra Gavrilova</cp:lastModifiedBy>
  <cp:revision>8</cp:revision>
  <dcterms:created xsi:type="dcterms:W3CDTF">2018-08-02T14:27:00Z</dcterms:created>
  <dcterms:modified xsi:type="dcterms:W3CDTF">2018-08-03T08:24:00Z</dcterms:modified>
</cp:coreProperties>
</file>