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116A" w14:textId="53583116" w:rsidR="00F431C1" w:rsidRPr="00086A43" w:rsidRDefault="00DD0A47" w:rsidP="00DE7F34">
      <w:pPr>
        <w:jc w:val="center"/>
        <w:rPr>
          <w:b/>
        </w:rPr>
      </w:pPr>
      <w:bookmarkStart w:id="0" w:name="OLE_LINK4"/>
      <w:bookmarkStart w:id="1" w:name="OLE_LINK5"/>
      <w:r w:rsidRPr="00086A43">
        <w:rPr>
          <w:b/>
        </w:rPr>
        <w:t>Ministru kabineta rīkojuma projekta</w:t>
      </w:r>
      <w:r w:rsidR="005A09BE" w:rsidRPr="00086A43">
        <w:rPr>
          <w:b/>
          <w:bCs/>
        </w:rPr>
        <w:t xml:space="preserve"> </w:t>
      </w:r>
      <w:r w:rsidR="00F16C8A" w:rsidRPr="00086A43">
        <w:rPr>
          <w:b/>
          <w:bCs/>
        </w:rPr>
        <w:t>"</w:t>
      </w:r>
      <w:r w:rsidR="00F16C8A" w:rsidRPr="00086A43">
        <w:rPr>
          <w:b/>
        </w:rPr>
        <w:t xml:space="preserve">Par atšķirīgu dividendēs izmaksājamo valsts akciju sabiedrības </w:t>
      </w:r>
      <w:r w:rsidR="00F16C8A" w:rsidRPr="00086A43">
        <w:rPr>
          <w:b/>
          <w:bCs/>
        </w:rPr>
        <w:t>"Tiesu namu aģentūra"</w:t>
      </w:r>
      <w:r w:rsidR="00F16C8A" w:rsidRPr="00086A43">
        <w:rPr>
          <w:b/>
        </w:rPr>
        <w:t xml:space="preserve"> peļņas daļu par 2017.</w:t>
      </w:r>
      <w:r w:rsidR="00DE7F34">
        <w:rPr>
          <w:b/>
        </w:rPr>
        <w:t> </w:t>
      </w:r>
      <w:r w:rsidR="00F16C8A" w:rsidRPr="00086A43">
        <w:rPr>
          <w:b/>
        </w:rPr>
        <w:t>gadu</w:t>
      </w:r>
      <w:r w:rsidR="00F16C8A" w:rsidRPr="00086A43">
        <w:rPr>
          <w:b/>
          <w:bCs/>
        </w:rPr>
        <w:t>"</w:t>
      </w:r>
      <w:bookmarkEnd w:id="0"/>
      <w:bookmarkEnd w:id="1"/>
      <w:r w:rsidR="00DE7F34">
        <w:rPr>
          <w:b/>
          <w:bCs/>
        </w:rPr>
        <w:t xml:space="preserve"> </w:t>
      </w:r>
      <w:r w:rsidRPr="00086A43">
        <w:rPr>
          <w:b/>
          <w:bCs/>
        </w:rPr>
        <w:t>sākotnējās ietekmes novērtējuma ziņojums</w:t>
      </w:r>
      <w:r w:rsidRPr="00086A43">
        <w:rPr>
          <w:b/>
        </w:rPr>
        <w:t xml:space="preserve"> (anotācija)</w:t>
      </w: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5"/>
        <w:gridCol w:w="6669"/>
      </w:tblGrid>
      <w:tr w:rsidR="008F19F3" w:rsidRPr="00086A43" w14:paraId="17478AF0" w14:textId="77777777" w:rsidTr="004B6081">
        <w:tc>
          <w:tcPr>
            <w:tcW w:w="9634" w:type="dxa"/>
            <w:gridSpan w:val="2"/>
            <w:tcBorders>
              <w:bottom w:val="single" w:sz="4" w:space="0" w:color="auto"/>
            </w:tcBorders>
            <w:vAlign w:val="center"/>
          </w:tcPr>
          <w:p w14:paraId="475B5E90" w14:textId="77777777" w:rsidR="008F19F3" w:rsidRPr="00086A43" w:rsidRDefault="008F19F3" w:rsidP="00711447">
            <w:pPr>
              <w:jc w:val="center"/>
              <w:rPr>
                <w:b/>
                <w:bCs/>
              </w:rPr>
            </w:pPr>
            <w:r w:rsidRPr="00086A43">
              <w:rPr>
                <w:b/>
                <w:bCs/>
              </w:rPr>
              <w:t>Tiesību akta projekta anotācijas kopsavilkums</w:t>
            </w:r>
          </w:p>
        </w:tc>
      </w:tr>
      <w:tr w:rsidR="008F19F3" w:rsidRPr="00086A43" w14:paraId="7F787926" w14:textId="77777777" w:rsidTr="00F431C1">
        <w:tc>
          <w:tcPr>
            <w:tcW w:w="2965" w:type="dxa"/>
            <w:tcBorders>
              <w:bottom w:val="single" w:sz="4" w:space="0" w:color="auto"/>
            </w:tcBorders>
          </w:tcPr>
          <w:p w14:paraId="2EA9DDC0" w14:textId="77777777" w:rsidR="008F19F3" w:rsidRPr="00086A43" w:rsidRDefault="008F19F3" w:rsidP="00711447">
            <w:pPr>
              <w:rPr>
                <w:bCs/>
              </w:rPr>
            </w:pPr>
            <w:r w:rsidRPr="00086A43">
              <w:t>Mērķis, risinājums un projekta spēkā stāšanās laiks</w:t>
            </w:r>
          </w:p>
        </w:tc>
        <w:tc>
          <w:tcPr>
            <w:tcW w:w="6669" w:type="dxa"/>
            <w:tcBorders>
              <w:bottom w:val="single" w:sz="4" w:space="0" w:color="auto"/>
            </w:tcBorders>
            <w:vAlign w:val="center"/>
          </w:tcPr>
          <w:p w14:paraId="10CC0F6D" w14:textId="24B09C4E" w:rsidR="008F19F3" w:rsidRPr="00086A43" w:rsidRDefault="008F19F3" w:rsidP="00DE7F34">
            <w:pPr>
              <w:ind w:firstLine="291"/>
              <w:jc w:val="both"/>
              <w:rPr>
                <w:rFonts w:eastAsia="Calibri"/>
              </w:rPr>
            </w:pPr>
            <w:r w:rsidRPr="00086A43">
              <w:t xml:space="preserve">Nav attiecināms. </w:t>
            </w:r>
          </w:p>
        </w:tc>
      </w:tr>
    </w:tbl>
    <w:p w14:paraId="535AF38B" w14:textId="77777777" w:rsidR="00F431C1" w:rsidRPr="00086A43" w:rsidRDefault="00F431C1" w:rsidP="00F431C1">
      <w:pPr>
        <w:pStyle w:val="naislab"/>
        <w:spacing w:before="0" w:after="0"/>
        <w:jc w:val="left"/>
        <w:outlineLvl w:val="0"/>
        <w:rPr>
          <w:b/>
        </w:rPr>
      </w:pP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39"/>
        <w:gridCol w:w="6669"/>
      </w:tblGrid>
      <w:tr w:rsidR="00852042" w:rsidRPr="00086A43" w14:paraId="7EFDEAA7" w14:textId="77777777" w:rsidTr="004B6081">
        <w:tc>
          <w:tcPr>
            <w:tcW w:w="9634" w:type="dxa"/>
            <w:gridSpan w:val="3"/>
          </w:tcPr>
          <w:p w14:paraId="6111B29C" w14:textId="77777777" w:rsidR="00852042" w:rsidRPr="00086A43" w:rsidRDefault="00852042" w:rsidP="00727BCF">
            <w:pPr>
              <w:pStyle w:val="naisnod"/>
              <w:spacing w:before="0" w:after="0"/>
            </w:pPr>
            <w:r w:rsidRPr="00086A43">
              <w:t>I</w:t>
            </w:r>
            <w:r w:rsidR="000941C5" w:rsidRPr="00086A43">
              <w:t>.</w:t>
            </w:r>
            <w:r w:rsidRPr="00086A43">
              <w:t xml:space="preserve"> Tiesību akta </w:t>
            </w:r>
            <w:r w:rsidR="002E3FF4" w:rsidRPr="00086A43">
              <w:t xml:space="preserve">projekta </w:t>
            </w:r>
            <w:r w:rsidRPr="00086A43">
              <w:t>izstrādes nepieciešamība</w:t>
            </w:r>
          </w:p>
        </w:tc>
      </w:tr>
      <w:tr w:rsidR="00262E2B" w:rsidRPr="00086A43" w14:paraId="154A8E81" w14:textId="77777777" w:rsidTr="00F431C1">
        <w:trPr>
          <w:trHeight w:val="419"/>
        </w:trPr>
        <w:tc>
          <w:tcPr>
            <w:tcW w:w="426" w:type="dxa"/>
          </w:tcPr>
          <w:p w14:paraId="6E1FFCA8" w14:textId="77777777" w:rsidR="00262E2B" w:rsidRPr="00086A43" w:rsidRDefault="00262E2B" w:rsidP="00F86A2F">
            <w:pPr>
              <w:pStyle w:val="naiskr"/>
              <w:spacing w:before="0" w:after="0"/>
              <w:jc w:val="both"/>
            </w:pPr>
            <w:r w:rsidRPr="00086A43">
              <w:t>1.</w:t>
            </w:r>
          </w:p>
        </w:tc>
        <w:tc>
          <w:tcPr>
            <w:tcW w:w="2539" w:type="dxa"/>
          </w:tcPr>
          <w:p w14:paraId="5C2C99C3" w14:textId="77777777" w:rsidR="00262E2B" w:rsidRPr="00086A43" w:rsidRDefault="002D7F54" w:rsidP="00F86A2F">
            <w:pPr>
              <w:pStyle w:val="naiskr"/>
              <w:spacing w:before="0" w:after="0"/>
              <w:ind w:hanging="10"/>
              <w:jc w:val="both"/>
            </w:pPr>
            <w:r w:rsidRPr="00086A43">
              <w:t>Pamatojums</w:t>
            </w:r>
          </w:p>
        </w:tc>
        <w:tc>
          <w:tcPr>
            <w:tcW w:w="6669" w:type="dxa"/>
            <w:shd w:val="clear" w:color="auto" w:fill="auto"/>
          </w:tcPr>
          <w:p w14:paraId="671FFF64" w14:textId="0FDD3932" w:rsidR="0032007B" w:rsidRDefault="0032007B" w:rsidP="00DE7F34">
            <w:pPr>
              <w:ind w:left="-20" w:firstLine="348"/>
              <w:jc w:val="both"/>
            </w:pPr>
            <w:r>
              <w:t>Atbilstoši l</w:t>
            </w:r>
            <w:r w:rsidRPr="00952AE4">
              <w:t xml:space="preserve">ikuma </w:t>
            </w:r>
            <w:r w:rsidR="003D46C2" w:rsidRPr="00086A43">
              <w:t>"</w:t>
            </w:r>
            <w:r w:rsidRPr="00952AE4">
              <w:t>Par vidēja termiņa budžeta ietvaru 201</w:t>
            </w:r>
            <w:r>
              <w:t>8</w:t>
            </w:r>
            <w:r w:rsidRPr="00952AE4">
              <w:t>., 201</w:t>
            </w:r>
            <w:r>
              <w:t>9</w:t>
            </w:r>
            <w:r w:rsidRPr="00952AE4">
              <w:t>. un 20</w:t>
            </w:r>
            <w:r>
              <w:t>20</w:t>
            </w:r>
            <w:r w:rsidRPr="00952AE4">
              <w:t>.</w:t>
            </w:r>
            <w:r w:rsidR="00DE7F34">
              <w:t> </w:t>
            </w:r>
            <w:r w:rsidRPr="00952AE4">
              <w:t>gadam</w:t>
            </w:r>
            <w:r w:rsidR="003D46C2" w:rsidRPr="00086A43">
              <w:t>"</w:t>
            </w:r>
            <w:r w:rsidRPr="00952AE4">
              <w:t xml:space="preserve"> </w:t>
            </w:r>
            <w:r>
              <w:t>24</w:t>
            </w:r>
            <w:r w:rsidRPr="00952AE4">
              <w:t>.</w:t>
            </w:r>
            <w:r w:rsidR="00DE7F34">
              <w:t> </w:t>
            </w:r>
            <w:r w:rsidRPr="00952AE4">
              <w:t>pant</w:t>
            </w:r>
            <w:r>
              <w:t>am</w:t>
            </w:r>
            <w:r w:rsidRPr="00952AE4">
              <w:t xml:space="preserve"> kapitālsabiedrībām, kurās visas kapitāla daļas tieši pieder valstij</w:t>
            </w:r>
            <w:r w:rsidR="009E3085">
              <w:t>,</w:t>
            </w:r>
            <w:r w:rsidRPr="00952AE4">
              <w:t xml:space="preserve"> minimālo dividendēs izmaksājamo peļņas daļu 201</w:t>
            </w:r>
            <w:r w:rsidR="004621B5">
              <w:t>8</w:t>
            </w:r>
            <w:r w:rsidRPr="00952AE4">
              <w:t>.</w:t>
            </w:r>
            <w:r w:rsidR="00DE7F34">
              <w:t> </w:t>
            </w:r>
            <w:r w:rsidRPr="00952AE4">
              <w:t>gadā (par 201</w:t>
            </w:r>
            <w:r w:rsidR="004621B5">
              <w:t>7</w:t>
            </w:r>
            <w:r w:rsidRPr="00952AE4">
              <w:t>.</w:t>
            </w:r>
            <w:r w:rsidR="00DE7F34">
              <w:t> </w:t>
            </w:r>
            <w:r w:rsidRPr="00952AE4">
              <w:t>gada pārskata gadu) nosaka un aprēķina 8</w:t>
            </w:r>
            <w:r w:rsidR="004621B5">
              <w:t>0</w:t>
            </w:r>
            <w:r w:rsidR="00DE7F34">
              <w:t> </w:t>
            </w:r>
            <w:r w:rsidRPr="00952AE4">
              <w:t>% apmērā no kapitālsabiedrības peļņas, ja šajā likumā nav noteikts citādi</w:t>
            </w:r>
            <w:r w:rsidR="004621B5">
              <w:t xml:space="preserve">. </w:t>
            </w:r>
            <w:r w:rsidR="0033278A">
              <w:t>Minētā</w:t>
            </w:r>
            <w:r w:rsidRPr="00952AE4">
              <w:t xml:space="preserve"> panta </w:t>
            </w:r>
            <w:r w:rsidR="004621B5">
              <w:t>trešā</w:t>
            </w:r>
            <w:r w:rsidRPr="00952AE4">
              <w:t xml:space="preserve"> daļā nosak</w:t>
            </w:r>
            <w:r w:rsidR="0033278A">
              <w:t>a</w:t>
            </w:r>
            <w:r w:rsidRPr="00952AE4">
              <w:t>, ka Ministru kabinets var pieņemt lēmumu par atšķirīgu dividendēs izmaksājamo minimālo peļņas daļu.</w:t>
            </w:r>
          </w:p>
          <w:p w14:paraId="1C5F5CF0" w14:textId="6759C135" w:rsidR="0013063C" w:rsidRPr="00A86882" w:rsidRDefault="0013063C" w:rsidP="00DE7F34">
            <w:pPr>
              <w:ind w:left="-20" w:firstLine="348"/>
              <w:jc w:val="both"/>
            </w:pPr>
            <w:r w:rsidRPr="00A86882">
              <w:t xml:space="preserve"> </w:t>
            </w:r>
            <w:r w:rsidR="004B371F" w:rsidRPr="00A86882">
              <w:t>Ar Ministru kabineta 2015.</w:t>
            </w:r>
            <w:r w:rsidR="00DE7F34">
              <w:t> </w:t>
            </w:r>
            <w:r w:rsidR="004B371F" w:rsidRPr="00A86882">
              <w:t>gada 22.</w:t>
            </w:r>
            <w:r w:rsidR="00DE7F34">
              <w:t> </w:t>
            </w:r>
            <w:r w:rsidR="004B371F" w:rsidRPr="00A86882">
              <w:t>decembra noteikumu Nr.</w:t>
            </w:r>
            <w:r w:rsidR="009E3085">
              <w:t> </w:t>
            </w:r>
            <w:r w:rsidR="004B371F" w:rsidRPr="00A86882">
              <w:t>806 "Kārtība, kādā valsts kapitālsabiedrības un publiski privātās kapitālsabiedrības, kurās valsts ir dalībnieks (akcionārs), prognozē un nosaka dividendēs izmaksājamo peļņas daļu un veic maksājumus valsts budžetā par valsts kapitāla izmantošanu"</w:t>
            </w:r>
            <w:r w:rsidRPr="00A86882">
              <w:t xml:space="preserve"> </w:t>
            </w:r>
            <w:proofErr w:type="gramStart"/>
            <w:r w:rsidR="004B371F" w:rsidRPr="00A86882">
              <w:t>(</w:t>
            </w:r>
            <w:proofErr w:type="gramEnd"/>
            <w:r w:rsidR="004B371F" w:rsidRPr="00A86882">
              <w:t>turpmāk</w:t>
            </w:r>
            <w:r w:rsidR="00DE7F34">
              <w:t> </w:t>
            </w:r>
            <w:r w:rsidR="004B371F" w:rsidRPr="00A86882">
              <w:t xml:space="preserve">– MK noteikumi) </w:t>
            </w:r>
            <w:r w:rsidR="000D596E" w:rsidRPr="00A86882">
              <w:t xml:space="preserve">11.2.2. un 11.2.3. </w:t>
            </w:r>
            <w:r w:rsidR="00613F97">
              <w:t>apakš</w:t>
            </w:r>
            <w:r w:rsidR="000D596E" w:rsidRPr="00A86882">
              <w:t xml:space="preserve">punktu </w:t>
            </w:r>
            <w:r w:rsidR="004B371F" w:rsidRPr="00A86882">
              <w:t xml:space="preserve">noteikts, ka </w:t>
            </w:r>
            <w:r w:rsidR="002236AF" w:rsidRPr="00A86882">
              <w:t>v</w:t>
            </w:r>
            <w:r w:rsidR="004B371F" w:rsidRPr="00A86882">
              <w:t>alsts kapitāla daļu turētājs iesniedz Finanšu ministrijai un koordinācijas institūcijai šo noteikumu </w:t>
            </w:r>
            <w:r w:rsidR="004B371F" w:rsidRPr="009E3085">
              <w:rPr>
                <w:rStyle w:val="Hipersaite"/>
                <w:color w:val="auto"/>
                <w:u w:val="none"/>
              </w:rPr>
              <w:t>10.</w:t>
            </w:r>
            <w:r w:rsidR="009E3085" w:rsidRPr="009E3085">
              <w:rPr>
                <w:rStyle w:val="Hipersaite"/>
                <w:color w:val="auto"/>
                <w:u w:val="none"/>
              </w:rPr>
              <w:t> </w:t>
            </w:r>
            <w:r w:rsidR="004B371F" w:rsidRPr="009E3085">
              <w:rPr>
                <w:rStyle w:val="Hipersaite"/>
                <w:color w:val="auto"/>
                <w:u w:val="none"/>
              </w:rPr>
              <w:t>punktā</w:t>
            </w:r>
            <w:r w:rsidR="004B371F" w:rsidRPr="00A86882">
              <w:t> minēto priekšlikumu un attiecīgu Ministru kabineta rīkojuma projektu un anotāciju, ja</w:t>
            </w:r>
            <w:r w:rsidR="0069672A" w:rsidRPr="00A86882">
              <w:t>:</w:t>
            </w:r>
            <w:r w:rsidRPr="00A86882">
              <w:t xml:space="preserve"> ir nepieciešams samazināt dividendēs izmaksājamo peļņas daļu, valsts kapitāla daļu turētājam konstatējot, ka kapitālsabiedrība no tās neatkarīgu apstākļu dēļ nav veikusi kapitāla ieguldījumus un jautājums par to īstenošanu pirms tam ticis izskatīts Ministru kabinetā, bet konkrētos kapitāla ieguldījumus kapitālsabiedrība plāno veikt kārtējā pārskata gadā</w:t>
            </w:r>
            <w:r w:rsidR="0069672A" w:rsidRPr="00A86882">
              <w:t>; ja dividenžu izmaksa prognozētajā apmērā var radīt draudus kapitālsabiedrības finanšu stabilitātei.</w:t>
            </w:r>
          </w:p>
          <w:p w14:paraId="750B639E" w14:textId="2B2CD573" w:rsidR="003D46C2" w:rsidRPr="002236AF" w:rsidRDefault="003D46C2" w:rsidP="00DE7F34">
            <w:pPr>
              <w:ind w:left="-20" w:firstLine="348"/>
              <w:jc w:val="both"/>
            </w:pPr>
            <w:r w:rsidRPr="002236AF">
              <w:t>Tieslietu ministrija kā v</w:t>
            </w:r>
            <w:r w:rsidR="0032007B" w:rsidRPr="002236AF">
              <w:t>alsts akciju sabiedrība</w:t>
            </w:r>
            <w:r w:rsidRPr="002236AF">
              <w:t>s</w:t>
            </w:r>
            <w:r w:rsidR="0032007B" w:rsidRPr="002236AF">
              <w:t xml:space="preserve"> </w:t>
            </w:r>
            <w:r w:rsidR="0033278A" w:rsidRPr="002236AF">
              <w:t>"Tiesu namu aģentūra"</w:t>
            </w:r>
            <w:r w:rsidR="0032007B" w:rsidRPr="002236AF">
              <w:t xml:space="preserve"> </w:t>
            </w:r>
            <w:r w:rsidR="009E3085">
              <w:t xml:space="preserve">kapitāla daļu turētāja </w:t>
            </w:r>
            <w:r w:rsidR="0032007B" w:rsidRPr="002236AF">
              <w:t>ierosin</w:t>
            </w:r>
            <w:r w:rsidRPr="002236AF">
              <w:t>a</w:t>
            </w:r>
            <w:r w:rsidR="0032007B" w:rsidRPr="002236AF">
              <w:t xml:space="preserve"> noteikt atšķirīgu dividendēs izmaksājamo peļņas daļu</w:t>
            </w:r>
            <w:r w:rsidR="009E3085" w:rsidRPr="002236AF">
              <w:t>, nekā tā ir paredzēta</w:t>
            </w:r>
            <w:r w:rsidR="0032007B" w:rsidRPr="002236AF">
              <w:t xml:space="preserve"> likuma </w:t>
            </w:r>
            <w:r w:rsidRPr="002236AF">
              <w:t>"</w:t>
            </w:r>
            <w:r w:rsidR="0032007B" w:rsidRPr="002236AF">
              <w:t>Par vidēja termiņa budžeta ietvaru 201</w:t>
            </w:r>
            <w:r w:rsidR="0033278A" w:rsidRPr="002236AF">
              <w:t>8</w:t>
            </w:r>
            <w:r w:rsidR="0032007B" w:rsidRPr="002236AF">
              <w:t>., 201</w:t>
            </w:r>
            <w:r w:rsidR="0033278A" w:rsidRPr="002236AF">
              <w:t>9</w:t>
            </w:r>
            <w:r w:rsidR="0032007B" w:rsidRPr="002236AF">
              <w:t>. un 20</w:t>
            </w:r>
            <w:r w:rsidR="0033278A" w:rsidRPr="002236AF">
              <w:t>20</w:t>
            </w:r>
            <w:r w:rsidR="0032007B" w:rsidRPr="002236AF">
              <w:t>.</w:t>
            </w:r>
            <w:r w:rsidR="00DE7F34">
              <w:t> </w:t>
            </w:r>
            <w:r w:rsidR="0032007B" w:rsidRPr="002236AF">
              <w:t>gadam</w:t>
            </w:r>
            <w:r w:rsidRPr="002236AF">
              <w:t>"</w:t>
            </w:r>
            <w:r w:rsidR="0032007B" w:rsidRPr="002236AF">
              <w:t xml:space="preserve"> </w:t>
            </w:r>
            <w:r w:rsidR="0033278A" w:rsidRPr="002236AF">
              <w:t>24</w:t>
            </w:r>
            <w:r w:rsidR="0032007B" w:rsidRPr="002236AF">
              <w:t>.</w:t>
            </w:r>
            <w:r w:rsidR="009E3085">
              <w:t> </w:t>
            </w:r>
            <w:r w:rsidR="0032007B" w:rsidRPr="002236AF">
              <w:t>pantā</w:t>
            </w:r>
            <w:r w:rsidRPr="002236AF">
              <w:t xml:space="preserve">. </w:t>
            </w:r>
          </w:p>
          <w:p w14:paraId="2DF46EC7" w14:textId="4C96E4C5" w:rsidR="00B713CB" w:rsidRPr="00086A43" w:rsidRDefault="003D46C2" w:rsidP="00DE7F34">
            <w:pPr>
              <w:ind w:left="-20" w:firstLine="348"/>
              <w:jc w:val="both"/>
              <w:rPr>
                <w:u w:val="single"/>
              </w:rPr>
            </w:pPr>
            <w:r w:rsidRPr="002236AF">
              <w:t xml:space="preserve">Saskaņā </w:t>
            </w:r>
            <w:r w:rsidR="00C8165D" w:rsidRPr="002236AF">
              <w:t xml:space="preserve">ar </w:t>
            </w:r>
            <w:r w:rsidR="004B371F" w:rsidRPr="002236AF">
              <w:t xml:space="preserve">MK noteikumu </w:t>
            </w:r>
            <w:r w:rsidR="0032007B" w:rsidRPr="002236AF">
              <w:t>prasīb</w:t>
            </w:r>
            <w:r w:rsidRPr="002236AF">
              <w:t>ām</w:t>
            </w:r>
            <w:r w:rsidR="0032007B" w:rsidRPr="002236AF">
              <w:t xml:space="preserve"> sagatavots attiecīgs Ministru kabineta rīkojuma projekts.</w:t>
            </w:r>
          </w:p>
        </w:tc>
      </w:tr>
      <w:tr w:rsidR="00262E2B" w:rsidRPr="00086A43" w14:paraId="2EA8C93F" w14:textId="77777777" w:rsidTr="00F431C1">
        <w:trPr>
          <w:trHeight w:val="841"/>
        </w:trPr>
        <w:tc>
          <w:tcPr>
            <w:tcW w:w="426" w:type="dxa"/>
          </w:tcPr>
          <w:p w14:paraId="6849A5E8" w14:textId="77777777" w:rsidR="00262E2B" w:rsidRPr="00086A43" w:rsidRDefault="00262E2B" w:rsidP="00F86A2F">
            <w:pPr>
              <w:pStyle w:val="naiskr"/>
              <w:spacing w:before="0" w:after="0"/>
              <w:jc w:val="both"/>
            </w:pPr>
            <w:bookmarkStart w:id="2" w:name="_Hlk519008953"/>
            <w:r w:rsidRPr="00086A43">
              <w:t>2.</w:t>
            </w:r>
          </w:p>
        </w:tc>
        <w:tc>
          <w:tcPr>
            <w:tcW w:w="2539" w:type="dxa"/>
          </w:tcPr>
          <w:p w14:paraId="6C6E9437" w14:textId="77777777" w:rsidR="00262E2B" w:rsidRPr="00086A43" w:rsidRDefault="00721135" w:rsidP="00F86A2F">
            <w:pPr>
              <w:pStyle w:val="naiskr"/>
              <w:tabs>
                <w:tab w:val="left" w:pos="170"/>
              </w:tabs>
              <w:spacing w:before="0" w:after="0"/>
              <w:jc w:val="both"/>
            </w:pPr>
            <w:r w:rsidRPr="00086A43">
              <w:t>Pašreizējā situācija un problēmas, kuru risināšanai tiesību akta projekts izstrādāts, tiesiskā regulējuma mērķis un būtība</w:t>
            </w:r>
          </w:p>
        </w:tc>
        <w:tc>
          <w:tcPr>
            <w:tcW w:w="6669" w:type="dxa"/>
          </w:tcPr>
          <w:p w14:paraId="373E5385" w14:textId="3EAACA67" w:rsidR="00F16C8A" w:rsidRPr="00A86882" w:rsidRDefault="00F16C8A" w:rsidP="00DE7F34">
            <w:pPr>
              <w:ind w:left="-20" w:firstLine="348"/>
              <w:jc w:val="both"/>
            </w:pPr>
            <w:r w:rsidRPr="00A86882">
              <w:t>Ievērojot izmaiņas</w:t>
            </w:r>
            <w:r w:rsidRPr="00A86882">
              <w:rPr>
                <w:b/>
                <w:bCs/>
              </w:rPr>
              <w:t xml:space="preserve"> </w:t>
            </w:r>
            <w:r w:rsidRPr="00A86882">
              <w:t>Latvijas uzņēmumu ienākuma nodokļa likumdošanā, tajā skaitā Uzņēmumu ienākuma nodokļa likumā (stājās spēkā 2018. gada 1. janvārī), kas nosaka jaunu uzņēmumu ienākumu nodokļa aprēķina un maksāšanas kārtību, un grozījumus Ministru kabineta 2015.</w:t>
            </w:r>
            <w:r w:rsidR="00DE7F34">
              <w:t> </w:t>
            </w:r>
            <w:r w:rsidRPr="00A86882">
              <w:t>gada 22.</w:t>
            </w:r>
            <w:r w:rsidR="00DE7F34">
              <w:t> </w:t>
            </w:r>
            <w:r w:rsidRPr="00A86882">
              <w:t xml:space="preserve">decembra noteikumos Nr. 775 </w:t>
            </w:r>
            <w:r w:rsidR="009E3085">
              <w:t>"</w:t>
            </w:r>
            <w:r w:rsidRPr="00A86882">
              <w:t>Gada pārskatu un konsolidēto gada pārskatu likuma piemērošanas noteikumi</w:t>
            </w:r>
            <w:r w:rsidR="009E3085">
              <w:t>"</w:t>
            </w:r>
            <w:r w:rsidRPr="00A86882">
              <w:t xml:space="preserve"> (stājās spēkā 2018. gada 16.</w:t>
            </w:r>
            <w:r w:rsidR="00DE7F34">
              <w:t> </w:t>
            </w:r>
            <w:r w:rsidRPr="00A86882">
              <w:t xml:space="preserve">februārī), kas saistīti ar atliktā nodokļa saistību atlikumu norakstīšanu, t.i., no bilances norakstītās atliktā nodokļa saistību atlikumu summas, kuras aprēķinātas saskaņā ar iepriekšējo uzņēmumu ienākuma nodokļa regulējumu, norāda peļņas postenī, VAS </w:t>
            </w:r>
            <w:r w:rsidR="0033278A" w:rsidRPr="00A86882">
              <w:t>"</w:t>
            </w:r>
            <w:r w:rsidRPr="00A86882">
              <w:t>Tiesu namu aģentūra</w:t>
            </w:r>
            <w:r w:rsidR="0033278A" w:rsidRPr="00A86882">
              <w:t>"</w:t>
            </w:r>
            <w:r w:rsidRPr="00A86882">
              <w:t xml:space="preserve"> </w:t>
            </w:r>
            <w:r w:rsidRPr="00A86882">
              <w:lastRenderedPageBreak/>
              <w:t>atliktā nodokļa saistību atlikumu summa, kas, veicot korekcijas atbilstoši iepriekšējai likumdošanai, uzkrāta laika periodā no 2005.</w:t>
            </w:r>
            <w:r w:rsidR="00DE7F34">
              <w:t> </w:t>
            </w:r>
            <w:r w:rsidRPr="00A86882">
              <w:t>gada līdz 2016.</w:t>
            </w:r>
            <w:r w:rsidR="00DE7F34">
              <w:t> </w:t>
            </w:r>
            <w:r w:rsidRPr="00A86882">
              <w:t>gada 31</w:t>
            </w:r>
            <w:r w:rsidR="00DE7F34">
              <w:t>. </w:t>
            </w:r>
            <w:r w:rsidRPr="00A86882">
              <w:t>decembrim un iekļaujama papildus kapitālsabiedrības 2017. gada peļņas postenī, ir 558 081 </w:t>
            </w:r>
            <w:proofErr w:type="spellStart"/>
            <w:r w:rsidR="00DE7F34" w:rsidRPr="00DE7F34">
              <w:rPr>
                <w:i/>
              </w:rPr>
              <w:t>euro</w:t>
            </w:r>
            <w:proofErr w:type="spellEnd"/>
            <w:r w:rsidRPr="00A86882">
              <w:t xml:space="preserve">. Tādejādi </w:t>
            </w:r>
            <w:r w:rsidR="00375D43" w:rsidRPr="00A86882">
              <w:t xml:space="preserve">likumdošanas izmaiņu </w:t>
            </w:r>
            <w:r w:rsidRPr="00A86882">
              <w:t xml:space="preserve">rezultātā VAS </w:t>
            </w:r>
            <w:r w:rsidR="0033278A" w:rsidRPr="00A86882">
              <w:t>"</w:t>
            </w:r>
            <w:r w:rsidRPr="00A86882">
              <w:t>Tiesu namu aģentūra</w:t>
            </w:r>
            <w:r w:rsidR="0033278A" w:rsidRPr="00A86882">
              <w:t>"</w:t>
            </w:r>
            <w:r w:rsidRPr="00A86882">
              <w:t xml:space="preserve"> 2017.</w:t>
            </w:r>
            <w:r w:rsidR="00DE7F34">
              <w:t> </w:t>
            </w:r>
            <w:r w:rsidRPr="00A86882">
              <w:t>gada neto peļņa 127 064 </w:t>
            </w:r>
            <w:proofErr w:type="spellStart"/>
            <w:r w:rsidR="00DE7F34" w:rsidRPr="00DE7F34">
              <w:rPr>
                <w:i/>
              </w:rPr>
              <w:t>euro</w:t>
            </w:r>
            <w:proofErr w:type="spellEnd"/>
            <w:r w:rsidR="00DE7F34" w:rsidRPr="00A86882">
              <w:t xml:space="preserve"> </w:t>
            </w:r>
            <w:r w:rsidRPr="00A86882">
              <w:t xml:space="preserve">palielināma par atliktā nodokļa saistību summu, kā rezultātā VAS </w:t>
            </w:r>
            <w:r w:rsidR="0033278A" w:rsidRPr="00A86882">
              <w:t>"</w:t>
            </w:r>
            <w:r w:rsidRPr="00A86882">
              <w:t>Tiesu namu aģentūra</w:t>
            </w:r>
            <w:r w:rsidR="0033278A" w:rsidRPr="00A86882">
              <w:t>"</w:t>
            </w:r>
            <w:r w:rsidRPr="00A86882">
              <w:t xml:space="preserve"> 2017.</w:t>
            </w:r>
            <w:r w:rsidR="00DE7F34">
              <w:t> </w:t>
            </w:r>
            <w:r w:rsidRPr="00A86882">
              <w:t>gada neto peļņa ir 685 145 </w:t>
            </w:r>
            <w:proofErr w:type="spellStart"/>
            <w:r w:rsidR="00DE7F34" w:rsidRPr="00DE7F34">
              <w:rPr>
                <w:i/>
              </w:rPr>
              <w:t>euro</w:t>
            </w:r>
            <w:proofErr w:type="spellEnd"/>
            <w:r w:rsidRPr="00A86882">
              <w:t>.</w:t>
            </w:r>
          </w:p>
          <w:p w14:paraId="0F314E80" w14:textId="2D08D81F" w:rsidR="00F16C8A" w:rsidRPr="00A86882" w:rsidRDefault="00F16C8A" w:rsidP="00DE7F34">
            <w:pPr>
              <w:ind w:left="-20" w:firstLine="348"/>
              <w:jc w:val="both"/>
            </w:pPr>
            <w:r w:rsidRPr="00A86882">
              <w:t xml:space="preserve">Ņemot vērā iepriekš minēto, kā arī pamatojoties uz likuma </w:t>
            </w:r>
            <w:r w:rsidR="0033278A" w:rsidRPr="00A86882">
              <w:t>"</w:t>
            </w:r>
            <w:r w:rsidRPr="00A86882">
              <w:t>Par vidēja termiņa budžeta ietvaru 2018., 2019. un 2020. gadam</w:t>
            </w:r>
            <w:r w:rsidR="0033278A" w:rsidRPr="00A86882">
              <w:t>"</w:t>
            </w:r>
            <w:r w:rsidRPr="00A86882">
              <w:t xml:space="preserve"> 24. panta </w:t>
            </w:r>
            <w:r w:rsidR="005F2DD6">
              <w:t xml:space="preserve">pirmo </w:t>
            </w:r>
            <w:r w:rsidRPr="00A86882">
              <w:t xml:space="preserve">daļu, kas nosaka, ka minimālā dividendēs izmaksājamā peļņas daļa 2018. gadā (par 2017. gada pārskata gadu) aprēķināma 80 % apmērā, VAS </w:t>
            </w:r>
            <w:r w:rsidR="0033278A" w:rsidRPr="00A86882">
              <w:t>"</w:t>
            </w:r>
            <w:r w:rsidRPr="00A86882">
              <w:t>Tiesu namu aģentūra</w:t>
            </w:r>
            <w:r w:rsidR="0033278A" w:rsidRPr="00A86882">
              <w:t>"</w:t>
            </w:r>
            <w:r w:rsidRPr="00A86882">
              <w:t xml:space="preserve"> minimālā dividendēs izmaksājamā peļņas daļa sastāda 548 116,00 </w:t>
            </w:r>
            <w:proofErr w:type="spellStart"/>
            <w:r w:rsidR="00DE7F34" w:rsidRPr="00DE7F34">
              <w:rPr>
                <w:i/>
              </w:rPr>
              <w:t>euro</w:t>
            </w:r>
            <w:proofErr w:type="spellEnd"/>
            <w:r w:rsidRPr="00A86882">
              <w:t>, kas, salīdzinot ar iepriekš paredzēto un plānoto, ir par 446 464,80 </w:t>
            </w:r>
            <w:proofErr w:type="spellStart"/>
            <w:r w:rsidR="00DE7F34" w:rsidRPr="00DE7F34">
              <w:rPr>
                <w:i/>
              </w:rPr>
              <w:t>euro</w:t>
            </w:r>
            <w:proofErr w:type="spellEnd"/>
            <w:r w:rsidRPr="00A86882">
              <w:t xml:space="preserve"> lielāka.</w:t>
            </w:r>
          </w:p>
          <w:p w14:paraId="774FF9FF" w14:textId="71A9B2CB" w:rsidR="00C8165D" w:rsidRPr="00A86882" w:rsidRDefault="00F16C8A" w:rsidP="00DE7F34">
            <w:pPr>
              <w:ind w:left="-20" w:firstLine="348"/>
              <w:jc w:val="both"/>
            </w:pPr>
            <w:r w:rsidRPr="00A86882">
              <w:t>Tā kā atliktā nodokļa saistību atlikumu summa 558 081 </w:t>
            </w:r>
            <w:proofErr w:type="spellStart"/>
            <w:r w:rsidR="00DE7F34" w:rsidRPr="00DE7F34">
              <w:rPr>
                <w:i/>
              </w:rPr>
              <w:t>euro</w:t>
            </w:r>
            <w:proofErr w:type="spellEnd"/>
            <w:r w:rsidRPr="00A86882">
              <w:t xml:space="preserve"> uzkrāta ilgtermiņā un šādas summas iekļaušana peļņas postenī rada pienākumu kapitālsabiedrībai veikt  dividenžu izmaksu, kas</w:t>
            </w:r>
            <w:r w:rsidR="009E3085" w:rsidRPr="00A86882">
              <w:t xml:space="preserve"> savukārt</w:t>
            </w:r>
            <w:r w:rsidRPr="00A86882">
              <w:t xml:space="preserve"> radīs nesamērīgi lielu slogu kapitālsabiedrībai, apgrūtinās tās saimniecisko darbību un radīs draudus kapitālsabiedrības finanšu stabilitātei, un liegtu iespēju VAS </w:t>
            </w:r>
            <w:r w:rsidR="0033278A" w:rsidRPr="00A86882">
              <w:t>"</w:t>
            </w:r>
            <w:r w:rsidRPr="00A86882">
              <w:t>Tiesu namu aģentūra</w:t>
            </w:r>
            <w:r w:rsidR="0033278A" w:rsidRPr="00A86882">
              <w:t>"</w:t>
            </w:r>
            <w:r w:rsidRPr="00A86882">
              <w:t>, nepiesaistot aizņemtos finanšu līdzekļus, par saviem līdzekļiem realizēt 2017.</w:t>
            </w:r>
            <w:r w:rsidR="00DE7F34">
              <w:t> </w:t>
            </w:r>
            <w:r w:rsidRPr="00A86882">
              <w:t>gadā uzsākto un 2018.</w:t>
            </w:r>
            <w:r w:rsidR="00DE7F34">
              <w:t> </w:t>
            </w:r>
            <w:r w:rsidRPr="00A86882">
              <w:t xml:space="preserve">gada darba plānā iekļauto divu lielu investīciju projektu par esošo tiesu namu rekonstrukciju un jaunu </w:t>
            </w:r>
            <w:r w:rsidR="00AE5691" w:rsidRPr="00A86882">
              <w:t xml:space="preserve">tiesu </w:t>
            </w:r>
            <w:r w:rsidRPr="00A86882">
              <w:t>ēku būvniecību Ventspilī un Tukumā īstenošanu, tad</w:t>
            </w:r>
            <w:r w:rsidR="00F64CD5" w:rsidRPr="00A86882">
              <w:t xml:space="preserve"> nepieciešams lemt </w:t>
            </w:r>
            <w:r w:rsidRPr="00A86882">
              <w:t xml:space="preserve">par </w:t>
            </w:r>
            <w:r w:rsidR="00B80981" w:rsidRPr="00A86882">
              <w:t xml:space="preserve">valstij </w:t>
            </w:r>
            <w:r w:rsidRPr="00A86882">
              <w:t xml:space="preserve">dividendēs izmaksājamās </w:t>
            </w:r>
            <w:r w:rsidR="00B80981" w:rsidRPr="00A86882">
              <w:t xml:space="preserve">2017. gada </w:t>
            </w:r>
            <w:r w:rsidRPr="00A86882">
              <w:t>peļņas daļas 558 081</w:t>
            </w:r>
            <w:r w:rsidR="00DE7F34">
              <w:t> </w:t>
            </w:r>
            <w:proofErr w:type="spellStart"/>
            <w:r w:rsidR="00DE7F34" w:rsidRPr="00DE7F34">
              <w:rPr>
                <w:i/>
              </w:rPr>
              <w:t>euro</w:t>
            </w:r>
            <w:proofErr w:type="spellEnd"/>
            <w:r w:rsidRPr="00A86882">
              <w:t xml:space="preserve"> apmērā samazināšanu valsts akciju sabiedrībai "Tiesu namu aģentūra"</w:t>
            </w:r>
            <w:r w:rsidR="00F64CD5" w:rsidRPr="00A86882">
              <w:t xml:space="preserve">. </w:t>
            </w:r>
          </w:p>
          <w:p w14:paraId="239D6229" w14:textId="7D97CEC6" w:rsidR="006F2B20" w:rsidRPr="00A86882" w:rsidRDefault="00183B65" w:rsidP="00DE7F34">
            <w:pPr>
              <w:ind w:left="-20" w:firstLine="348"/>
              <w:jc w:val="both"/>
            </w:pPr>
            <w:r w:rsidRPr="00A86882">
              <w:t>Saskaņā ar VAS "Tiesu namu aģentūra" 201</w:t>
            </w:r>
            <w:r w:rsidR="009A17E7" w:rsidRPr="00A86882">
              <w:t>7</w:t>
            </w:r>
            <w:r w:rsidRPr="00A86882">
              <w:t>.</w:t>
            </w:r>
            <w:r w:rsidR="00DE7F34">
              <w:t> </w:t>
            </w:r>
            <w:r w:rsidRPr="00A86882">
              <w:t>gada 6.</w:t>
            </w:r>
            <w:r w:rsidR="00DE7F34">
              <w:t> </w:t>
            </w:r>
            <w:r w:rsidRPr="00A86882">
              <w:t>janvāra darba plān</w:t>
            </w:r>
            <w:r w:rsidR="009E3085">
              <w:t>u</w:t>
            </w:r>
            <w:r w:rsidRPr="00A86882">
              <w:t xml:space="preserve"> un budžet</w:t>
            </w:r>
            <w:r w:rsidR="009E3085">
              <w:t>u</w:t>
            </w:r>
            <w:r w:rsidRPr="00A86882">
              <w:t xml:space="preserve"> 201</w:t>
            </w:r>
            <w:r w:rsidR="009A17E7" w:rsidRPr="00A86882">
              <w:t>7</w:t>
            </w:r>
            <w:r w:rsidRPr="00A86882">
              <w:t>.</w:t>
            </w:r>
            <w:r w:rsidR="00DE7F34">
              <w:t> </w:t>
            </w:r>
            <w:r w:rsidRPr="00A86882">
              <w:t>gadam (</w:t>
            </w:r>
            <w:r w:rsidR="009A17E7" w:rsidRPr="00A86882">
              <w:t xml:space="preserve">apstiprināts ar </w:t>
            </w:r>
            <w:r w:rsidRPr="00A86882">
              <w:t>201</w:t>
            </w:r>
            <w:r w:rsidR="009A17E7" w:rsidRPr="00A86882">
              <w:t>7</w:t>
            </w:r>
            <w:r w:rsidRPr="00A86882">
              <w:t>.</w:t>
            </w:r>
            <w:r w:rsidR="00DE7F34">
              <w:t> </w:t>
            </w:r>
            <w:r w:rsidRPr="00A86882">
              <w:t xml:space="preserve">gada </w:t>
            </w:r>
            <w:r w:rsidR="009A17E7" w:rsidRPr="00A86882">
              <w:t>20.</w:t>
            </w:r>
            <w:r w:rsidR="00DE7F34">
              <w:t> </w:t>
            </w:r>
            <w:r w:rsidR="009A17E7" w:rsidRPr="00A86882">
              <w:t>janvāra</w:t>
            </w:r>
            <w:r w:rsidRPr="00A86882">
              <w:t xml:space="preserve"> </w:t>
            </w:r>
            <w:r w:rsidR="009A17E7" w:rsidRPr="00A86882">
              <w:t xml:space="preserve">akcionāru </w:t>
            </w:r>
            <w:r w:rsidRPr="00A86882">
              <w:t>sapulces protokol</w:t>
            </w:r>
            <w:r w:rsidR="009A17E7" w:rsidRPr="00A86882">
              <w:t>u</w:t>
            </w:r>
            <w:r w:rsidRPr="00A86882">
              <w:t xml:space="preserve"> Nr.</w:t>
            </w:r>
            <w:r w:rsidR="00DE7F34">
              <w:t> </w:t>
            </w:r>
            <w:r w:rsidRPr="00A86882">
              <w:t>1)</w:t>
            </w:r>
            <w:r w:rsidR="009A17E7" w:rsidRPr="00A86882">
              <w:t xml:space="preserve"> VAS "Tiesu namu aģentūra" </w:t>
            </w:r>
            <w:r w:rsidR="00086A43" w:rsidRPr="00A86882">
              <w:t>peļņa pēc nodokļiem par 2017.</w:t>
            </w:r>
            <w:r w:rsidR="00DE7F34">
              <w:t> </w:t>
            </w:r>
            <w:r w:rsidR="00086A43" w:rsidRPr="00A86882">
              <w:t xml:space="preserve">gadu tika </w:t>
            </w:r>
            <w:r w:rsidR="009A17E7" w:rsidRPr="00A86882">
              <w:t>prognozēt</w:t>
            </w:r>
            <w:r w:rsidR="00480CA2">
              <w:t>a</w:t>
            </w:r>
            <w:r w:rsidR="009A17E7" w:rsidRPr="00A86882">
              <w:t xml:space="preserve"> 90</w:t>
            </w:r>
            <w:r w:rsidR="00DE7F34">
              <w:t> </w:t>
            </w:r>
            <w:r w:rsidR="009A17E7" w:rsidRPr="00A86882">
              <w:t>000</w:t>
            </w:r>
            <w:r w:rsidR="00DE7F34">
              <w:t> </w:t>
            </w:r>
            <w:proofErr w:type="spellStart"/>
            <w:r w:rsidR="009A17E7" w:rsidRPr="00A86882">
              <w:rPr>
                <w:i/>
              </w:rPr>
              <w:t>euro</w:t>
            </w:r>
            <w:proofErr w:type="spellEnd"/>
            <w:r w:rsidR="00086A43" w:rsidRPr="00A86882">
              <w:rPr>
                <w:i/>
              </w:rPr>
              <w:t xml:space="preserve"> </w:t>
            </w:r>
            <w:r w:rsidR="00086A43" w:rsidRPr="00A86882">
              <w:t>apmērā</w:t>
            </w:r>
            <w:r w:rsidR="009A17E7" w:rsidRPr="00A86882">
              <w:t xml:space="preserve">. </w:t>
            </w:r>
          </w:p>
          <w:p w14:paraId="70B813DF" w14:textId="60DF5309" w:rsidR="00BF4D67" w:rsidRPr="00A86882" w:rsidRDefault="00BF4D67" w:rsidP="00DE7F34">
            <w:pPr>
              <w:ind w:left="-20" w:firstLine="348"/>
              <w:jc w:val="both"/>
            </w:pPr>
            <w:r w:rsidRPr="00A86882">
              <w:t>VAS "Tiesu namu aģentūra", nodrošinot tiesas, Tieslietu ministriju un tās padotībā esošās iestādes ar to funkciju izpildei nepieciešamajām telpām, kā arī pārvaldot nekustamos īpašumus atbilstoši tieslietu nozares prasībām, sniedz būtisku atbalstu Tieslietu ministrijai valsts politikas īstenošanā tieslietu nozarē.</w:t>
            </w:r>
          </w:p>
          <w:p w14:paraId="4D104292" w14:textId="1A6427A6" w:rsidR="00485BE8" w:rsidRPr="00A86882" w:rsidRDefault="00485BE8" w:rsidP="00DE7F34">
            <w:pPr>
              <w:ind w:left="-20" w:firstLine="348"/>
              <w:jc w:val="both"/>
            </w:pPr>
            <w:r w:rsidRPr="00A86882">
              <w:t>Likumdevējs ar likuma "Par tiesu varu" 107.</w:t>
            </w:r>
            <w:r w:rsidRPr="00A86882">
              <w:rPr>
                <w:vertAlign w:val="superscript"/>
              </w:rPr>
              <w:t>1</w:t>
            </w:r>
            <w:r w:rsidR="00DE7F34">
              <w:t> </w:t>
            </w:r>
            <w:r w:rsidRPr="00A86882">
              <w:t>panta</w:t>
            </w:r>
            <w:r w:rsidR="001044A1">
              <w:t xml:space="preserve"> otrās daļas</w:t>
            </w:r>
            <w:r w:rsidRPr="00A86882">
              <w:t xml:space="preserve"> 21.</w:t>
            </w:r>
            <w:r w:rsidR="00DE7F34">
              <w:t> </w:t>
            </w:r>
            <w:r w:rsidRPr="00A86882">
              <w:t xml:space="preserve">punktu noteicis, ka Tiesu administrācija sadarbībā ar VAS </w:t>
            </w:r>
            <w:r w:rsidR="00DE7F34">
              <w:t>"</w:t>
            </w:r>
            <w:r w:rsidRPr="00A86882">
              <w:t>Tiesu namu aģentūra</w:t>
            </w:r>
            <w:r w:rsidR="00DE7F34">
              <w:t>"</w:t>
            </w:r>
            <w:r w:rsidRPr="00A86882">
              <w:t xml:space="preserve"> nodrošina tiesas un zemesgrāmatu nodaļas ar darba telpām.</w:t>
            </w:r>
          </w:p>
          <w:p w14:paraId="05CCB9DF" w14:textId="3731217C" w:rsidR="002236AF" w:rsidRPr="00A86882" w:rsidRDefault="00B75E6E" w:rsidP="00DE7F34">
            <w:pPr>
              <w:ind w:left="-20" w:firstLine="348"/>
              <w:jc w:val="both"/>
            </w:pPr>
            <w:r w:rsidRPr="00A86882">
              <w:t>Pamatojoties uz Eiropas Komisijas paziņojuma par Līguma par Eiropas Savienības darbību 107.</w:t>
            </w:r>
            <w:r w:rsidR="00AB74E1">
              <w:t> </w:t>
            </w:r>
            <w:r w:rsidRPr="00A86882">
              <w:t>panta 1.</w:t>
            </w:r>
            <w:r w:rsidR="00AB74E1">
              <w:t> </w:t>
            </w:r>
            <w:r w:rsidRPr="00A86882">
              <w:t>punktā minēto valsts atbalsta jēdzienu (2016/C 262/01) 17.</w:t>
            </w:r>
            <w:r w:rsidR="00AB74E1">
              <w:t> </w:t>
            </w:r>
            <w:r w:rsidRPr="00A86882">
              <w:t>punktā noteikto, finansējums, kas paredzēts, lai segtu ar valsts pārvaldes funkciju saistītos izdevumus, nav saistīts ar saimnieciskās darbības veikšanu un attiecīgi nav kvalificējams kā komercdarbības atbalsts.</w:t>
            </w:r>
          </w:p>
          <w:p w14:paraId="557F785A" w14:textId="69E8D96B" w:rsidR="00803554" w:rsidRPr="00A86882" w:rsidRDefault="00803554" w:rsidP="00DE7F34">
            <w:pPr>
              <w:ind w:left="-20" w:firstLine="348"/>
              <w:jc w:val="both"/>
            </w:pPr>
            <w:r w:rsidRPr="00A86882">
              <w:t xml:space="preserve">Tiesu ēku rekonstrukcija un jaunu tiesu ēku celtniecība Ventspilī un Tukumā </w:t>
            </w:r>
            <w:r w:rsidR="00844A17" w:rsidRPr="00A86882">
              <w:t xml:space="preserve">(abos gadījumos esošo tiesu ēku rekonstrukcija un jaunu </w:t>
            </w:r>
            <w:r w:rsidR="00844A17" w:rsidRPr="00A86882">
              <w:lastRenderedPageBreak/>
              <w:t xml:space="preserve">ēku celtniecība, tas ir, divu tiesu ēku rekonstrukcija un divu jaunu ēku celtniecība) </w:t>
            </w:r>
            <w:r w:rsidRPr="00A86882">
              <w:t>izmaksā attiecīgi 2</w:t>
            </w:r>
            <w:r w:rsidR="00AB74E1">
              <w:t> </w:t>
            </w:r>
            <w:r w:rsidRPr="00A86882">
              <w:t>423</w:t>
            </w:r>
            <w:r w:rsidR="00AB74E1">
              <w:t> </w:t>
            </w:r>
            <w:r w:rsidRPr="00A86882">
              <w:t>450</w:t>
            </w:r>
            <w:r w:rsidR="00AB74E1">
              <w:t> </w:t>
            </w:r>
            <w:proofErr w:type="spellStart"/>
            <w:r w:rsidR="00AB74E1" w:rsidRPr="00DE7F34">
              <w:rPr>
                <w:i/>
              </w:rPr>
              <w:t>euro</w:t>
            </w:r>
            <w:proofErr w:type="spellEnd"/>
            <w:r w:rsidR="00AB74E1" w:rsidRPr="00A86882">
              <w:t xml:space="preserve"> </w:t>
            </w:r>
            <w:r w:rsidRPr="00A86882">
              <w:t xml:space="preserve">(neskaitot PVN) un </w:t>
            </w:r>
            <w:r w:rsidR="006D2D59" w:rsidRPr="00A86882">
              <w:t>2</w:t>
            </w:r>
            <w:r w:rsidR="00AB74E1">
              <w:t> </w:t>
            </w:r>
            <w:r w:rsidR="006D2D59" w:rsidRPr="00A86882">
              <w:t>090</w:t>
            </w:r>
            <w:r w:rsidR="00AB74E1">
              <w:t> </w:t>
            </w:r>
            <w:r w:rsidR="006D2D59" w:rsidRPr="00A86882">
              <w:t>175</w:t>
            </w:r>
            <w:r w:rsidR="00AB74E1">
              <w:t> </w:t>
            </w:r>
            <w:proofErr w:type="spellStart"/>
            <w:r w:rsidR="00AB74E1" w:rsidRPr="00DE7F34">
              <w:rPr>
                <w:i/>
              </w:rPr>
              <w:t>euro</w:t>
            </w:r>
            <w:proofErr w:type="spellEnd"/>
            <w:r w:rsidR="00AB74E1" w:rsidRPr="00A86882">
              <w:t xml:space="preserve"> </w:t>
            </w:r>
            <w:proofErr w:type="gramStart"/>
            <w:r w:rsidR="00F3417C" w:rsidRPr="00A86882">
              <w:t>(</w:t>
            </w:r>
            <w:proofErr w:type="gramEnd"/>
            <w:r w:rsidR="00F3417C" w:rsidRPr="00A86882">
              <w:t>neskaitot PVN)</w:t>
            </w:r>
            <w:r w:rsidR="006D2D59" w:rsidRPr="00A86882">
              <w:t>. Abu projektu pabeigšana plānota 2019.</w:t>
            </w:r>
            <w:r w:rsidR="00AB74E1">
              <w:t> </w:t>
            </w:r>
            <w:r w:rsidR="006D2D59" w:rsidRPr="00A86882">
              <w:t>gada pirmajā ceturksnī. Plānots, ka atstātā peļņas daļa šogad tiktu sadalīta katram projektam vienādi, tas ir, katram 279</w:t>
            </w:r>
            <w:r w:rsidR="00AB74E1">
              <w:t> </w:t>
            </w:r>
            <w:r w:rsidR="006D2D59" w:rsidRPr="00A86882">
              <w:t>040,50</w:t>
            </w:r>
            <w:r w:rsidR="00AB74E1">
              <w:t> </w:t>
            </w:r>
            <w:proofErr w:type="spellStart"/>
            <w:r w:rsidR="00AB74E1" w:rsidRPr="00DE7F34">
              <w:rPr>
                <w:i/>
              </w:rPr>
              <w:t>euro</w:t>
            </w:r>
            <w:proofErr w:type="spellEnd"/>
            <w:r w:rsidR="006D2D59" w:rsidRPr="00A86882">
              <w:t>.</w:t>
            </w:r>
          </w:p>
          <w:p w14:paraId="05DA9C3F" w14:textId="48487FA7" w:rsidR="00451816" w:rsidRPr="00A86882" w:rsidRDefault="00266EC6" w:rsidP="00DE7F34">
            <w:pPr>
              <w:ind w:left="-20" w:firstLine="348"/>
              <w:jc w:val="both"/>
            </w:pPr>
            <w:r w:rsidRPr="00A86882">
              <w:t>Rīkojuma projekts paredz</w:t>
            </w:r>
            <w:r w:rsidR="00F3124C" w:rsidRPr="00A86882">
              <w:t xml:space="preserve">, ka </w:t>
            </w:r>
            <w:r w:rsidR="00F64CD5" w:rsidRPr="00A86882">
              <w:t xml:space="preserve">valsts akciju sabiedrība </w:t>
            </w:r>
            <w:r w:rsidR="00F64CD5" w:rsidRPr="00A86882">
              <w:rPr>
                <w:bCs/>
              </w:rPr>
              <w:t>"Tiesu namu aģentūra"</w:t>
            </w:r>
            <w:r w:rsidR="00F64CD5" w:rsidRPr="00A86882">
              <w:t xml:space="preserve"> maksā atšķirīgu dividendēs izmaksājamo peļņas daļu no tīrās peļņas par 2017.</w:t>
            </w:r>
            <w:r w:rsidR="00AB74E1">
              <w:t> </w:t>
            </w:r>
            <w:r w:rsidR="00F64CD5" w:rsidRPr="00A86882">
              <w:t>gadu</w:t>
            </w:r>
            <w:r w:rsidR="00F3124C" w:rsidRPr="00A86882">
              <w:t xml:space="preserve">, un paredz Tieslietu ministrijai kā </w:t>
            </w:r>
            <w:r w:rsidR="00C13169" w:rsidRPr="00A86882">
              <w:t>VAS</w:t>
            </w:r>
            <w:r w:rsidR="00F3124C" w:rsidRPr="00A86882">
              <w:t xml:space="preserve"> </w:t>
            </w:r>
            <w:r w:rsidR="00F3124C" w:rsidRPr="00A86882">
              <w:rPr>
                <w:bCs/>
              </w:rPr>
              <w:t>"Tiesu namu aģentūra"</w:t>
            </w:r>
            <w:r w:rsidR="00F3124C" w:rsidRPr="00A86882">
              <w:t xml:space="preserve"> kapitāla daļu turētājai nodrošināt, ka peļņas daļa par 2017.</w:t>
            </w:r>
            <w:r w:rsidR="00AB74E1">
              <w:t> </w:t>
            </w:r>
            <w:r w:rsidR="00F3124C" w:rsidRPr="00A86882">
              <w:t>gadu 101</w:t>
            </w:r>
            <w:r w:rsidR="00AB74E1">
              <w:t> </w:t>
            </w:r>
            <w:r w:rsidR="00F3124C" w:rsidRPr="00A86882">
              <w:t>651,20 </w:t>
            </w:r>
            <w:proofErr w:type="spellStart"/>
            <w:r w:rsidR="00F3124C" w:rsidRPr="00A86882">
              <w:rPr>
                <w:i/>
              </w:rPr>
              <w:t>euro</w:t>
            </w:r>
            <w:proofErr w:type="spellEnd"/>
            <w:r w:rsidR="00F3124C" w:rsidRPr="00A86882">
              <w:t xml:space="preserve"> apmērā tiek iemaksāta valsts budžetā, bet atlikusī peļņas daļa par 2017.</w:t>
            </w:r>
            <w:r w:rsidR="00AB74E1">
              <w:t> </w:t>
            </w:r>
            <w:r w:rsidR="00F3124C" w:rsidRPr="00A86882">
              <w:t>gadu 558</w:t>
            </w:r>
            <w:r w:rsidR="00AB74E1">
              <w:t> </w:t>
            </w:r>
            <w:r w:rsidR="00F3124C" w:rsidRPr="00A86882">
              <w:t>081 </w:t>
            </w:r>
            <w:proofErr w:type="spellStart"/>
            <w:r w:rsidR="00F3124C" w:rsidRPr="00A86882">
              <w:rPr>
                <w:i/>
              </w:rPr>
              <w:t>euro</w:t>
            </w:r>
            <w:proofErr w:type="spellEnd"/>
            <w:r w:rsidR="00F3124C" w:rsidRPr="00A86882">
              <w:t xml:space="preserve"> apmērā tiek novirzīta valsts akciju sabiedrības </w:t>
            </w:r>
            <w:r w:rsidR="00F3124C" w:rsidRPr="00A86882">
              <w:rPr>
                <w:bCs/>
              </w:rPr>
              <w:t>"Tiesu namu aģentūra"</w:t>
            </w:r>
            <w:r w:rsidR="00F3124C" w:rsidRPr="00A86882">
              <w:t xml:space="preserve"> uzņemto saistību izpildei uzsāktajos investīciju projektos. </w:t>
            </w:r>
          </w:p>
        </w:tc>
      </w:tr>
      <w:bookmarkEnd w:id="2"/>
      <w:tr w:rsidR="00262E2B" w:rsidRPr="00086A43" w14:paraId="206BE9A5" w14:textId="77777777" w:rsidTr="00F431C1">
        <w:trPr>
          <w:trHeight w:val="580"/>
        </w:trPr>
        <w:tc>
          <w:tcPr>
            <w:tcW w:w="426" w:type="dxa"/>
          </w:tcPr>
          <w:p w14:paraId="171D60D6" w14:textId="77777777" w:rsidR="00262E2B" w:rsidRDefault="001067DD" w:rsidP="00F86A2F">
            <w:pPr>
              <w:pStyle w:val="naiskr"/>
              <w:spacing w:before="0" w:after="0"/>
              <w:jc w:val="both"/>
            </w:pPr>
            <w:r w:rsidRPr="00086A43">
              <w:lastRenderedPageBreak/>
              <w:t>3.</w:t>
            </w:r>
          </w:p>
          <w:p w14:paraId="1C3D3DBF" w14:textId="5236B07C" w:rsidR="00C8165D" w:rsidRPr="00086A43" w:rsidRDefault="00C8165D" w:rsidP="00F86A2F">
            <w:pPr>
              <w:pStyle w:val="naiskr"/>
              <w:spacing w:before="0" w:after="0"/>
              <w:jc w:val="both"/>
            </w:pPr>
          </w:p>
        </w:tc>
        <w:tc>
          <w:tcPr>
            <w:tcW w:w="2539" w:type="dxa"/>
          </w:tcPr>
          <w:p w14:paraId="74768347" w14:textId="77777777" w:rsidR="00262E2B" w:rsidRPr="00086A43" w:rsidRDefault="00721135" w:rsidP="00F86A2F">
            <w:pPr>
              <w:pStyle w:val="naiskr"/>
              <w:spacing w:before="0" w:after="0"/>
              <w:jc w:val="both"/>
            </w:pPr>
            <w:r w:rsidRPr="00086A43">
              <w:t>Projekta izstrādē iesaistītās institūcijas</w:t>
            </w:r>
          </w:p>
        </w:tc>
        <w:tc>
          <w:tcPr>
            <w:tcW w:w="6669" w:type="dxa"/>
          </w:tcPr>
          <w:p w14:paraId="01973228" w14:textId="26E40BBB" w:rsidR="00D20FF4" w:rsidRPr="00086A43" w:rsidRDefault="005A09BE" w:rsidP="00DE7F34">
            <w:pPr>
              <w:pStyle w:val="Vresteksts"/>
              <w:ind w:left="-20" w:firstLine="348"/>
              <w:jc w:val="both"/>
              <w:rPr>
                <w:sz w:val="24"/>
                <w:szCs w:val="24"/>
              </w:rPr>
            </w:pPr>
            <w:r w:rsidRPr="00086A43">
              <w:rPr>
                <w:sz w:val="24"/>
                <w:szCs w:val="24"/>
              </w:rPr>
              <w:t>VAS "Tiesu namu aģentūra" un Tieslietu ministrija.</w:t>
            </w:r>
          </w:p>
        </w:tc>
      </w:tr>
      <w:tr w:rsidR="00262E2B" w:rsidRPr="00086A43" w14:paraId="1BB819F4" w14:textId="77777777" w:rsidTr="00F431C1">
        <w:trPr>
          <w:trHeight w:val="842"/>
        </w:trPr>
        <w:tc>
          <w:tcPr>
            <w:tcW w:w="426" w:type="dxa"/>
          </w:tcPr>
          <w:p w14:paraId="66EF32DC" w14:textId="77777777" w:rsidR="00262E2B" w:rsidRPr="00086A43" w:rsidRDefault="00262E2B" w:rsidP="00F86A2F">
            <w:pPr>
              <w:pStyle w:val="naiskr"/>
              <w:spacing w:before="0" w:after="0"/>
              <w:jc w:val="both"/>
            </w:pPr>
            <w:r w:rsidRPr="00086A43">
              <w:t>4.</w:t>
            </w:r>
          </w:p>
        </w:tc>
        <w:tc>
          <w:tcPr>
            <w:tcW w:w="2539" w:type="dxa"/>
          </w:tcPr>
          <w:p w14:paraId="017F180D" w14:textId="77777777" w:rsidR="00262E2B" w:rsidRPr="00086A43" w:rsidRDefault="00721135" w:rsidP="00F86A2F">
            <w:pPr>
              <w:pStyle w:val="naiskr"/>
              <w:spacing w:before="0" w:after="0"/>
              <w:jc w:val="both"/>
            </w:pPr>
            <w:r w:rsidRPr="00086A43">
              <w:t>Cita informācija</w:t>
            </w:r>
          </w:p>
        </w:tc>
        <w:tc>
          <w:tcPr>
            <w:tcW w:w="6669" w:type="dxa"/>
          </w:tcPr>
          <w:p w14:paraId="0C3D0366" w14:textId="0F6E0CEE" w:rsidR="00A5472F" w:rsidRPr="00086A43" w:rsidRDefault="005A09BE" w:rsidP="00DE7F34">
            <w:pPr>
              <w:suppressAutoHyphens/>
              <w:ind w:left="-20" w:firstLine="348"/>
              <w:jc w:val="both"/>
            </w:pPr>
            <w:r w:rsidRPr="00086A43">
              <w:t xml:space="preserve">Nav. </w:t>
            </w:r>
          </w:p>
        </w:tc>
      </w:tr>
    </w:tbl>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686"/>
        <w:gridCol w:w="1923"/>
        <w:gridCol w:w="450"/>
        <w:gridCol w:w="475"/>
        <w:gridCol w:w="992"/>
        <w:gridCol w:w="849"/>
        <w:gridCol w:w="994"/>
        <w:gridCol w:w="848"/>
        <w:gridCol w:w="994"/>
        <w:gridCol w:w="1420"/>
      </w:tblGrid>
      <w:tr w:rsidR="00BE7CA0" w:rsidRPr="00086A43" w14:paraId="2CB5DED8" w14:textId="77777777" w:rsidTr="00480CA2">
        <w:tc>
          <w:tcPr>
            <w:tcW w:w="9645" w:type="dxa"/>
            <w:gridSpan w:val="11"/>
            <w:shd w:val="clear" w:color="auto" w:fill="auto"/>
          </w:tcPr>
          <w:p w14:paraId="7C92F45F" w14:textId="20560E13" w:rsidR="00390B8B" w:rsidRPr="00086A43" w:rsidRDefault="00BE7CA0" w:rsidP="00480CA2">
            <w:pPr>
              <w:pStyle w:val="naisf"/>
              <w:spacing w:before="0" w:after="0"/>
              <w:ind w:firstLine="0"/>
              <w:jc w:val="center"/>
            </w:pPr>
            <w:r w:rsidRPr="00086A43">
              <w:rPr>
                <w:b/>
              </w:rPr>
              <w:t>II. Tiesību akta projekta ietekme uz sabiedrību, tautsaimniecības attīstību un administratīvo slogu</w:t>
            </w:r>
          </w:p>
        </w:tc>
      </w:tr>
      <w:tr w:rsidR="00BE7CA0" w:rsidRPr="00086A43" w14:paraId="2E378009" w14:textId="77777777" w:rsidTr="00480CA2">
        <w:tc>
          <w:tcPr>
            <w:tcW w:w="9645" w:type="dxa"/>
            <w:gridSpan w:val="11"/>
            <w:shd w:val="clear" w:color="auto" w:fill="auto"/>
          </w:tcPr>
          <w:p w14:paraId="1EBA9A88" w14:textId="77777777" w:rsidR="00BE7CA0" w:rsidRDefault="00390B8B" w:rsidP="001E5489">
            <w:pPr>
              <w:pStyle w:val="naisf"/>
              <w:spacing w:before="0" w:after="0"/>
              <w:ind w:firstLine="0"/>
              <w:jc w:val="center"/>
              <w:rPr>
                <w:bCs/>
              </w:rPr>
            </w:pPr>
            <w:r w:rsidRPr="00086A43">
              <w:rPr>
                <w:bCs/>
              </w:rPr>
              <w:t>Projekts šo jomu neskar.</w:t>
            </w:r>
          </w:p>
          <w:p w14:paraId="5832C189" w14:textId="2066B1AA" w:rsidR="00480CA2" w:rsidRPr="00086A43" w:rsidRDefault="00480CA2" w:rsidP="001E5489">
            <w:pPr>
              <w:pStyle w:val="naisf"/>
              <w:spacing w:before="0" w:after="0"/>
              <w:ind w:firstLine="0"/>
              <w:jc w:val="center"/>
            </w:pPr>
          </w:p>
        </w:tc>
      </w:tr>
      <w:tr w:rsidR="00DD39F8" w:rsidRPr="00BC2633" w14:paraId="3945597D" w14:textId="77777777" w:rsidTr="00480CA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14" w:type="dxa"/>
          <w:trHeight w:val="360"/>
        </w:trPr>
        <w:tc>
          <w:tcPr>
            <w:tcW w:w="9631" w:type="dxa"/>
            <w:gridSpan w:val="10"/>
            <w:tcBorders>
              <w:top w:val="single" w:sz="4" w:space="0" w:color="auto"/>
              <w:left w:val="outset" w:sz="6" w:space="0" w:color="414142"/>
              <w:bottom w:val="outset" w:sz="6" w:space="0" w:color="414142"/>
              <w:right w:val="outset" w:sz="6" w:space="0" w:color="414142"/>
            </w:tcBorders>
            <w:vAlign w:val="center"/>
            <w:hideMark/>
          </w:tcPr>
          <w:p w14:paraId="149F2B1B" w14:textId="77777777" w:rsidR="00DD39F8" w:rsidRPr="00BC2633" w:rsidRDefault="00DD39F8" w:rsidP="00C95C77">
            <w:pPr>
              <w:ind w:firstLine="300"/>
              <w:jc w:val="center"/>
              <w:rPr>
                <w:b/>
                <w:bCs/>
              </w:rPr>
            </w:pPr>
            <w:r w:rsidRPr="00BC2633">
              <w:rPr>
                <w:b/>
                <w:bCs/>
              </w:rPr>
              <w:t>III. Tiesību akta projekta ietekme uz valsts budžetu un pašvaldību budžetiem</w:t>
            </w:r>
          </w:p>
        </w:tc>
      </w:tr>
      <w:tr w:rsidR="00DD39F8" w:rsidRPr="00A1552F" w14:paraId="684FCFAD" w14:textId="77777777" w:rsidTr="00480CA2">
        <w:tblPrEx>
          <w:tblCellMar>
            <w:top w:w="28" w:type="dxa"/>
            <w:left w:w="28" w:type="dxa"/>
            <w:bottom w:w="28" w:type="dxa"/>
            <w:right w:w="28" w:type="dxa"/>
          </w:tblCellMar>
        </w:tblPrEx>
        <w:trPr>
          <w:gridBefore w:val="1"/>
          <w:wBefore w:w="14" w:type="dxa"/>
          <w:cantSplit/>
        </w:trPr>
        <w:tc>
          <w:tcPr>
            <w:tcW w:w="2609" w:type="dxa"/>
            <w:gridSpan w:val="2"/>
            <w:vMerge w:val="restart"/>
            <w:shd w:val="clear" w:color="auto" w:fill="FFFFFF"/>
            <w:vAlign w:val="center"/>
          </w:tcPr>
          <w:p w14:paraId="3486F078" w14:textId="77777777" w:rsidR="00DD39F8" w:rsidRPr="00A1552F" w:rsidRDefault="00DD39F8" w:rsidP="00C95C77">
            <w:pPr>
              <w:jc w:val="center"/>
            </w:pPr>
            <w:r w:rsidRPr="00A1552F">
              <w:t>Rādītāji</w:t>
            </w:r>
          </w:p>
        </w:tc>
        <w:tc>
          <w:tcPr>
            <w:tcW w:w="1917" w:type="dxa"/>
            <w:gridSpan w:val="3"/>
            <w:vMerge w:val="restart"/>
            <w:shd w:val="clear" w:color="auto" w:fill="FFFFFF"/>
            <w:vAlign w:val="center"/>
            <w:hideMark/>
          </w:tcPr>
          <w:p w14:paraId="37C40030" w14:textId="59E07507" w:rsidR="00DD39F8" w:rsidRPr="00A1552F" w:rsidRDefault="00436F9A" w:rsidP="00C95C77">
            <w:pPr>
              <w:jc w:val="center"/>
            </w:pPr>
            <w:r>
              <w:t>2018.</w:t>
            </w:r>
            <w:r w:rsidR="00DE7F34">
              <w:t> </w:t>
            </w:r>
            <w:r>
              <w:t>gads</w:t>
            </w:r>
          </w:p>
        </w:tc>
        <w:tc>
          <w:tcPr>
            <w:tcW w:w="5105" w:type="dxa"/>
            <w:gridSpan w:val="5"/>
            <w:shd w:val="clear" w:color="auto" w:fill="FFFFFF"/>
            <w:vAlign w:val="center"/>
            <w:hideMark/>
          </w:tcPr>
          <w:p w14:paraId="75480E0C" w14:textId="77777777" w:rsidR="00DD39F8" w:rsidRPr="00A1552F" w:rsidRDefault="00DD39F8" w:rsidP="00C95C77">
            <w:pPr>
              <w:jc w:val="center"/>
            </w:pPr>
            <w:r w:rsidRPr="00A1552F">
              <w:t>Turpmākie trīs gadi (</w:t>
            </w:r>
            <w:proofErr w:type="spellStart"/>
            <w:r w:rsidRPr="001F68D7">
              <w:rPr>
                <w:i/>
              </w:rPr>
              <w:t>euro</w:t>
            </w:r>
            <w:proofErr w:type="spellEnd"/>
            <w:r w:rsidRPr="00A1552F">
              <w:t>)</w:t>
            </w:r>
          </w:p>
        </w:tc>
      </w:tr>
      <w:tr w:rsidR="00DD39F8" w:rsidRPr="00A1552F" w14:paraId="5BF39C75" w14:textId="77777777" w:rsidTr="00480CA2">
        <w:tblPrEx>
          <w:tblCellMar>
            <w:top w:w="28" w:type="dxa"/>
            <w:left w:w="28" w:type="dxa"/>
            <w:bottom w:w="28" w:type="dxa"/>
            <w:right w:w="28" w:type="dxa"/>
          </w:tblCellMar>
        </w:tblPrEx>
        <w:trPr>
          <w:gridBefore w:val="1"/>
          <w:wBefore w:w="14" w:type="dxa"/>
          <w:cantSplit/>
        </w:trPr>
        <w:tc>
          <w:tcPr>
            <w:tcW w:w="2609" w:type="dxa"/>
            <w:gridSpan w:val="2"/>
            <w:vMerge/>
            <w:shd w:val="clear" w:color="auto" w:fill="auto"/>
            <w:vAlign w:val="center"/>
            <w:hideMark/>
          </w:tcPr>
          <w:p w14:paraId="58DF20A6" w14:textId="77777777" w:rsidR="00DD39F8" w:rsidRPr="00A1552F" w:rsidRDefault="00DD39F8" w:rsidP="00C95C77">
            <w:pPr>
              <w:jc w:val="both"/>
            </w:pPr>
          </w:p>
        </w:tc>
        <w:tc>
          <w:tcPr>
            <w:tcW w:w="1917" w:type="dxa"/>
            <w:gridSpan w:val="3"/>
            <w:vMerge/>
            <w:shd w:val="clear" w:color="auto" w:fill="auto"/>
            <w:vAlign w:val="center"/>
            <w:hideMark/>
          </w:tcPr>
          <w:p w14:paraId="02F4635D" w14:textId="77777777" w:rsidR="00DD39F8" w:rsidRPr="00A1552F" w:rsidRDefault="00DD39F8" w:rsidP="00C95C77">
            <w:pPr>
              <w:jc w:val="both"/>
            </w:pPr>
          </w:p>
        </w:tc>
        <w:tc>
          <w:tcPr>
            <w:tcW w:w="1843" w:type="dxa"/>
            <w:gridSpan w:val="2"/>
            <w:shd w:val="clear" w:color="auto" w:fill="FFFFFF"/>
            <w:vAlign w:val="center"/>
            <w:hideMark/>
          </w:tcPr>
          <w:p w14:paraId="74949F34" w14:textId="63D988F4" w:rsidR="00DD39F8" w:rsidRPr="00A1552F" w:rsidRDefault="00436F9A" w:rsidP="00C95C77">
            <w:pPr>
              <w:jc w:val="center"/>
            </w:pPr>
            <w:r>
              <w:t>2019</w:t>
            </w:r>
            <w:r w:rsidR="00C51680">
              <w:t>.</w:t>
            </w:r>
          </w:p>
        </w:tc>
        <w:tc>
          <w:tcPr>
            <w:tcW w:w="1842" w:type="dxa"/>
            <w:gridSpan w:val="2"/>
            <w:shd w:val="clear" w:color="auto" w:fill="FFFFFF"/>
            <w:vAlign w:val="center"/>
            <w:hideMark/>
          </w:tcPr>
          <w:p w14:paraId="04AC857C" w14:textId="2B67D45B" w:rsidR="00DD39F8" w:rsidRPr="00A1552F" w:rsidRDefault="00436F9A" w:rsidP="00C95C77">
            <w:pPr>
              <w:jc w:val="center"/>
            </w:pPr>
            <w:r>
              <w:t>2020</w:t>
            </w:r>
            <w:r w:rsidR="00C51680">
              <w:t>.</w:t>
            </w:r>
          </w:p>
        </w:tc>
        <w:tc>
          <w:tcPr>
            <w:tcW w:w="1420" w:type="dxa"/>
            <w:shd w:val="clear" w:color="auto" w:fill="FFFFFF"/>
            <w:vAlign w:val="center"/>
            <w:hideMark/>
          </w:tcPr>
          <w:p w14:paraId="69898657" w14:textId="494A671F" w:rsidR="00DD39F8" w:rsidRPr="00A1552F" w:rsidRDefault="00436F9A" w:rsidP="00C95C77">
            <w:pPr>
              <w:jc w:val="center"/>
            </w:pPr>
            <w:r>
              <w:t>2021</w:t>
            </w:r>
            <w:r w:rsidR="00C51680">
              <w:t>.</w:t>
            </w:r>
          </w:p>
        </w:tc>
      </w:tr>
      <w:tr w:rsidR="00F431C1" w:rsidRPr="00A1552F" w14:paraId="496AB622" w14:textId="77777777" w:rsidTr="00480CA2">
        <w:tblPrEx>
          <w:tblCellMar>
            <w:top w:w="28" w:type="dxa"/>
            <w:left w:w="28" w:type="dxa"/>
            <w:bottom w:w="28" w:type="dxa"/>
            <w:right w:w="28" w:type="dxa"/>
          </w:tblCellMar>
        </w:tblPrEx>
        <w:trPr>
          <w:gridBefore w:val="1"/>
          <w:wBefore w:w="14" w:type="dxa"/>
          <w:cantSplit/>
        </w:trPr>
        <w:tc>
          <w:tcPr>
            <w:tcW w:w="2609" w:type="dxa"/>
            <w:gridSpan w:val="2"/>
            <w:vMerge/>
            <w:shd w:val="clear" w:color="auto" w:fill="auto"/>
            <w:vAlign w:val="center"/>
            <w:hideMark/>
          </w:tcPr>
          <w:p w14:paraId="2BC62114" w14:textId="77777777" w:rsidR="00DD39F8" w:rsidRPr="00A1552F" w:rsidRDefault="00DD39F8" w:rsidP="00C95C77">
            <w:pPr>
              <w:jc w:val="both"/>
            </w:pPr>
          </w:p>
        </w:tc>
        <w:tc>
          <w:tcPr>
            <w:tcW w:w="925" w:type="dxa"/>
            <w:gridSpan w:val="2"/>
            <w:shd w:val="clear" w:color="auto" w:fill="FFFFFF"/>
            <w:vAlign w:val="center"/>
            <w:hideMark/>
          </w:tcPr>
          <w:p w14:paraId="6AEFB74F" w14:textId="77777777" w:rsidR="00DD39F8" w:rsidRPr="00A1552F" w:rsidRDefault="00DD39F8" w:rsidP="00C95C77">
            <w:pPr>
              <w:jc w:val="center"/>
            </w:pPr>
            <w:r w:rsidRPr="00A1552F">
              <w:t>saskaņā ar valsts budžetu kārtējam gadam</w:t>
            </w:r>
          </w:p>
        </w:tc>
        <w:tc>
          <w:tcPr>
            <w:tcW w:w="992" w:type="dxa"/>
            <w:shd w:val="clear" w:color="auto" w:fill="FFFFFF"/>
            <w:vAlign w:val="center"/>
            <w:hideMark/>
          </w:tcPr>
          <w:p w14:paraId="095830A3" w14:textId="77777777" w:rsidR="00DD39F8" w:rsidRPr="00A1552F" w:rsidRDefault="00DD39F8" w:rsidP="00C95C77">
            <w:pPr>
              <w:jc w:val="center"/>
            </w:pPr>
            <w:r w:rsidRPr="00A1552F">
              <w:t>izmaiņas kārtējā gadā, salīdzinot ar valsts budžetu kārtējam gadam</w:t>
            </w:r>
          </w:p>
        </w:tc>
        <w:tc>
          <w:tcPr>
            <w:tcW w:w="849" w:type="dxa"/>
            <w:shd w:val="clear" w:color="auto" w:fill="FFFFFF"/>
            <w:vAlign w:val="center"/>
            <w:hideMark/>
          </w:tcPr>
          <w:p w14:paraId="174E9617" w14:textId="77777777" w:rsidR="00DD39F8" w:rsidRPr="00A1552F" w:rsidRDefault="00DD39F8" w:rsidP="00C95C77">
            <w:pPr>
              <w:jc w:val="center"/>
            </w:pPr>
            <w:r w:rsidRPr="00A1552F">
              <w:t>saskaņā ar vidēja termiņa budžeta ietvaru</w:t>
            </w:r>
          </w:p>
        </w:tc>
        <w:tc>
          <w:tcPr>
            <w:tcW w:w="994" w:type="dxa"/>
            <w:shd w:val="clear" w:color="auto" w:fill="FFFFFF"/>
            <w:vAlign w:val="center"/>
            <w:hideMark/>
          </w:tcPr>
          <w:p w14:paraId="3CE09EA9" w14:textId="7C08794D" w:rsidR="00DD39F8" w:rsidRPr="00A1552F" w:rsidRDefault="00DD39F8" w:rsidP="00C95C77">
            <w:pPr>
              <w:jc w:val="center"/>
            </w:pPr>
            <w:r w:rsidRPr="00A1552F">
              <w:t xml:space="preserve">izmaiņas, salīdzinot ar vidēja termiņa budžeta ietvaru </w:t>
            </w:r>
            <w:r w:rsidR="00184639">
              <w:t>2019.</w:t>
            </w:r>
            <w:r w:rsidRPr="00A1552F">
              <w:t xml:space="preserve"> gadam</w:t>
            </w:r>
          </w:p>
        </w:tc>
        <w:tc>
          <w:tcPr>
            <w:tcW w:w="848" w:type="dxa"/>
            <w:shd w:val="clear" w:color="auto" w:fill="FFFFFF"/>
            <w:vAlign w:val="center"/>
            <w:hideMark/>
          </w:tcPr>
          <w:p w14:paraId="10339CFA" w14:textId="77777777" w:rsidR="00DD39F8" w:rsidRPr="00A1552F" w:rsidRDefault="00DD39F8" w:rsidP="00C95C77">
            <w:pPr>
              <w:jc w:val="center"/>
            </w:pPr>
            <w:r w:rsidRPr="00A1552F">
              <w:t>saskaņā ar vidēja termiņa budžeta ietvaru</w:t>
            </w:r>
          </w:p>
        </w:tc>
        <w:tc>
          <w:tcPr>
            <w:tcW w:w="994" w:type="dxa"/>
            <w:shd w:val="clear" w:color="auto" w:fill="FFFFFF"/>
            <w:vAlign w:val="center"/>
            <w:hideMark/>
          </w:tcPr>
          <w:p w14:paraId="2719E5A8" w14:textId="53B9037B" w:rsidR="00DD39F8" w:rsidRPr="00A1552F" w:rsidRDefault="00DD39F8" w:rsidP="00C95C77">
            <w:pPr>
              <w:jc w:val="center"/>
            </w:pPr>
            <w:r w:rsidRPr="00A1552F">
              <w:t xml:space="preserve">izmaiņas, salīdzinot ar vidēja termiņa budžeta ietvaru </w:t>
            </w:r>
            <w:r w:rsidR="00184639">
              <w:t>2020.</w:t>
            </w:r>
            <w:r w:rsidRPr="00A1552F">
              <w:t xml:space="preserve"> gadam</w:t>
            </w:r>
          </w:p>
        </w:tc>
        <w:tc>
          <w:tcPr>
            <w:tcW w:w="1420" w:type="dxa"/>
            <w:shd w:val="clear" w:color="auto" w:fill="FFFFFF"/>
            <w:vAlign w:val="center"/>
            <w:hideMark/>
          </w:tcPr>
          <w:p w14:paraId="278C38C5" w14:textId="5C0F3580" w:rsidR="00DD39F8" w:rsidRPr="00A1552F" w:rsidRDefault="00DD39F8" w:rsidP="00C95C77">
            <w:pPr>
              <w:jc w:val="center"/>
            </w:pPr>
            <w:r w:rsidRPr="00A1552F">
              <w:t xml:space="preserve">izmaiņas, salīdzinot ar vidēja termiņa budžeta ietvaru </w:t>
            </w:r>
            <w:r w:rsidRPr="00A1552F">
              <w:br/>
            </w:r>
            <w:r w:rsidR="00184639">
              <w:t>2020.</w:t>
            </w:r>
            <w:r w:rsidRPr="00A1552F">
              <w:t>gadam</w:t>
            </w:r>
          </w:p>
        </w:tc>
      </w:tr>
      <w:tr w:rsidR="00F431C1" w:rsidRPr="00A1552F" w14:paraId="18D37736"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FFFFFF"/>
            <w:vAlign w:val="center"/>
            <w:hideMark/>
          </w:tcPr>
          <w:p w14:paraId="1DDA04A7" w14:textId="77777777" w:rsidR="00DD39F8" w:rsidRPr="00A1552F" w:rsidRDefault="00DD39F8" w:rsidP="00C95C77">
            <w:pPr>
              <w:jc w:val="center"/>
            </w:pPr>
            <w:r w:rsidRPr="00A1552F">
              <w:t>1</w:t>
            </w:r>
          </w:p>
        </w:tc>
        <w:tc>
          <w:tcPr>
            <w:tcW w:w="925" w:type="dxa"/>
            <w:gridSpan w:val="2"/>
            <w:shd w:val="clear" w:color="auto" w:fill="FFFFFF"/>
            <w:vAlign w:val="center"/>
            <w:hideMark/>
          </w:tcPr>
          <w:p w14:paraId="4FF14D63" w14:textId="77777777" w:rsidR="00DD39F8" w:rsidRPr="00A1552F" w:rsidRDefault="00DD39F8" w:rsidP="00C95C77">
            <w:pPr>
              <w:jc w:val="center"/>
            </w:pPr>
            <w:r w:rsidRPr="00A1552F">
              <w:t>2</w:t>
            </w:r>
          </w:p>
        </w:tc>
        <w:tc>
          <w:tcPr>
            <w:tcW w:w="992" w:type="dxa"/>
            <w:shd w:val="clear" w:color="auto" w:fill="FFFFFF"/>
            <w:vAlign w:val="center"/>
            <w:hideMark/>
          </w:tcPr>
          <w:p w14:paraId="7732BD2E" w14:textId="77777777" w:rsidR="00DD39F8" w:rsidRPr="00A1552F" w:rsidRDefault="00DD39F8" w:rsidP="00C95C77">
            <w:pPr>
              <w:jc w:val="center"/>
            </w:pPr>
            <w:r w:rsidRPr="00A1552F">
              <w:t>3</w:t>
            </w:r>
          </w:p>
        </w:tc>
        <w:tc>
          <w:tcPr>
            <w:tcW w:w="849" w:type="dxa"/>
            <w:shd w:val="clear" w:color="auto" w:fill="FFFFFF"/>
            <w:vAlign w:val="center"/>
            <w:hideMark/>
          </w:tcPr>
          <w:p w14:paraId="70909554" w14:textId="77777777" w:rsidR="00DD39F8" w:rsidRPr="00A1552F" w:rsidRDefault="00DD39F8" w:rsidP="00C95C77">
            <w:pPr>
              <w:jc w:val="center"/>
            </w:pPr>
            <w:r w:rsidRPr="00A1552F">
              <w:t>4</w:t>
            </w:r>
          </w:p>
        </w:tc>
        <w:tc>
          <w:tcPr>
            <w:tcW w:w="994" w:type="dxa"/>
            <w:shd w:val="clear" w:color="auto" w:fill="FFFFFF"/>
            <w:vAlign w:val="center"/>
            <w:hideMark/>
          </w:tcPr>
          <w:p w14:paraId="75BDAF06" w14:textId="77777777" w:rsidR="00DD39F8" w:rsidRPr="00A1552F" w:rsidRDefault="00DD39F8" w:rsidP="00C95C77">
            <w:pPr>
              <w:jc w:val="center"/>
            </w:pPr>
            <w:r w:rsidRPr="00A1552F">
              <w:t>5</w:t>
            </w:r>
          </w:p>
        </w:tc>
        <w:tc>
          <w:tcPr>
            <w:tcW w:w="848" w:type="dxa"/>
            <w:shd w:val="clear" w:color="auto" w:fill="FFFFFF"/>
            <w:vAlign w:val="center"/>
            <w:hideMark/>
          </w:tcPr>
          <w:p w14:paraId="08F06E99" w14:textId="77777777" w:rsidR="00DD39F8" w:rsidRPr="00A1552F" w:rsidRDefault="00DD39F8" w:rsidP="00C95C77">
            <w:pPr>
              <w:jc w:val="center"/>
            </w:pPr>
            <w:r w:rsidRPr="00A1552F">
              <w:t>6</w:t>
            </w:r>
          </w:p>
        </w:tc>
        <w:tc>
          <w:tcPr>
            <w:tcW w:w="994" w:type="dxa"/>
            <w:shd w:val="clear" w:color="auto" w:fill="FFFFFF"/>
            <w:vAlign w:val="center"/>
            <w:hideMark/>
          </w:tcPr>
          <w:p w14:paraId="0ACF88FA" w14:textId="77777777" w:rsidR="00DD39F8" w:rsidRPr="00A1552F" w:rsidRDefault="00DD39F8" w:rsidP="00C95C77">
            <w:pPr>
              <w:jc w:val="center"/>
            </w:pPr>
            <w:r w:rsidRPr="00A1552F">
              <w:t>7</w:t>
            </w:r>
          </w:p>
        </w:tc>
        <w:tc>
          <w:tcPr>
            <w:tcW w:w="1420" w:type="dxa"/>
            <w:shd w:val="clear" w:color="auto" w:fill="FFFFFF"/>
            <w:vAlign w:val="center"/>
            <w:hideMark/>
          </w:tcPr>
          <w:p w14:paraId="56C6846F" w14:textId="77777777" w:rsidR="00DD39F8" w:rsidRPr="00A1552F" w:rsidRDefault="00DD39F8" w:rsidP="00C95C77">
            <w:pPr>
              <w:jc w:val="center"/>
            </w:pPr>
            <w:r w:rsidRPr="00A1552F">
              <w:t>8</w:t>
            </w:r>
          </w:p>
        </w:tc>
      </w:tr>
      <w:tr w:rsidR="00F431C1" w:rsidRPr="00A1552F" w14:paraId="655D4417"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FFFFFF"/>
            <w:hideMark/>
          </w:tcPr>
          <w:p w14:paraId="039100C7" w14:textId="77777777" w:rsidR="00DD39F8" w:rsidRPr="00A1552F" w:rsidRDefault="00DD39F8" w:rsidP="00C95C77">
            <w:r w:rsidRPr="00A1552F">
              <w:t>1. Budžeta ieņēmumi</w:t>
            </w:r>
          </w:p>
        </w:tc>
        <w:tc>
          <w:tcPr>
            <w:tcW w:w="925" w:type="dxa"/>
            <w:gridSpan w:val="2"/>
            <w:shd w:val="clear" w:color="auto" w:fill="FFFFFF"/>
            <w:vAlign w:val="center"/>
            <w:hideMark/>
          </w:tcPr>
          <w:p w14:paraId="6CD78192" w14:textId="1841F21E" w:rsidR="00DD39F8" w:rsidRPr="00A1552F" w:rsidRDefault="00DD39F8" w:rsidP="00C95C77">
            <w:pPr>
              <w:jc w:val="both"/>
            </w:pPr>
            <w:r>
              <w:t>0</w:t>
            </w:r>
          </w:p>
        </w:tc>
        <w:tc>
          <w:tcPr>
            <w:tcW w:w="992" w:type="dxa"/>
            <w:shd w:val="clear" w:color="auto" w:fill="FFFFFF"/>
            <w:vAlign w:val="center"/>
            <w:hideMark/>
          </w:tcPr>
          <w:p w14:paraId="2292AF7C" w14:textId="34F21721" w:rsidR="00DD39F8" w:rsidRPr="00A1552F" w:rsidRDefault="00DD39F8" w:rsidP="00C95C77">
            <w:pPr>
              <w:jc w:val="both"/>
            </w:pPr>
            <w:r>
              <w:t>0</w:t>
            </w:r>
          </w:p>
        </w:tc>
        <w:tc>
          <w:tcPr>
            <w:tcW w:w="849" w:type="dxa"/>
            <w:shd w:val="clear" w:color="auto" w:fill="FFFFFF"/>
            <w:vAlign w:val="center"/>
            <w:hideMark/>
          </w:tcPr>
          <w:p w14:paraId="7062DBD2" w14:textId="466E2999" w:rsidR="00DD39F8" w:rsidRPr="00A1552F" w:rsidRDefault="00DD39F8" w:rsidP="00C95C77">
            <w:pPr>
              <w:jc w:val="both"/>
            </w:pPr>
            <w:r>
              <w:t>0</w:t>
            </w:r>
          </w:p>
        </w:tc>
        <w:tc>
          <w:tcPr>
            <w:tcW w:w="994" w:type="dxa"/>
            <w:shd w:val="clear" w:color="auto" w:fill="FFFFFF"/>
            <w:vAlign w:val="center"/>
            <w:hideMark/>
          </w:tcPr>
          <w:p w14:paraId="1B97F4D6" w14:textId="0B3EBFE8" w:rsidR="00DD39F8" w:rsidRPr="00A1552F" w:rsidRDefault="00DD39F8" w:rsidP="00C95C77">
            <w:pPr>
              <w:jc w:val="both"/>
            </w:pPr>
            <w:r>
              <w:t>0</w:t>
            </w:r>
          </w:p>
        </w:tc>
        <w:tc>
          <w:tcPr>
            <w:tcW w:w="848" w:type="dxa"/>
            <w:shd w:val="clear" w:color="auto" w:fill="FFFFFF"/>
            <w:vAlign w:val="center"/>
            <w:hideMark/>
          </w:tcPr>
          <w:p w14:paraId="2F987ECC" w14:textId="0154DB49" w:rsidR="00DD39F8" w:rsidRPr="00A1552F" w:rsidRDefault="00DD39F8" w:rsidP="00C95C77">
            <w:pPr>
              <w:jc w:val="both"/>
            </w:pPr>
            <w:r>
              <w:t>0</w:t>
            </w:r>
          </w:p>
        </w:tc>
        <w:tc>
          <w:tcPr>
            <w:tcW w:w="994" w:type="dxa"/>
            <w:shd w:val="clear" w:color="auto" w:fill="FFFFFF"/>
            <w:vAlign w:val="center"/>
            <w:hideMark/>
          </w:tcPr>
          <w:p w14:paraId="084535C6" w14:textId="2F6D353F" w:rsidR="00DD39F8" w:rsidRPr="00A1552F" w:rsidRDefault="00DD39F8" w:rsidP="00C95C77">
            <w:pPr>
              <w:jc w:val="both"/>
            </w:pPr>
            <w:r>
              <w:t>0</w:t>
            </w:r>
          </w:p>
        </w:tc>
        <w:tc>
          <w:tcPr>
            <w:tcW w:w="1420" w:type="dxa"/>
            <w:shd w:val="clear" w:color="auto" w:fill="FFFFFF"/>
            <w:vAlign w:val="center"/>
            <w:hideMark/>
          </w:tcPr>
          <w:p w14:paraId="622CA25A" w14:textId="0BA06E6F" w:rsidR="00DD39F8" w:rsidRPr="00A1552F" w:rsidRDefault="00DD39F8" w:rsidP="00C95C77">
            <w:pPr>
              <w:jc w:val="both"/>
            </w:pPr>
            <w:r>
              <w:t>0</w:t>
            </w:r>
          </w:p>
        </w:tc>
      </w:tr>
      <w:tr w:rsidR="00F431C1" w:rsidRPr="00A1552F" w14:paraId="0E2AD7A8"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460A07B0" w14:textId="77777777" w:rsidR="00DD39F8" w:rsidRPr="00A1552F" w:rsidRDefault="00DD39F8" w:rsidP="00C95C77">
            <w:r w:rsidRPr="00A1552F">
              <w:t>1.1. valsts pamatbudžets, tai skaitā ieņēmumi no maksas pakalpojumiem un citi pašu ieņēmumi</w:t>
            </w:r>
          </w:p>
        </w:tc>
        <w:tc>
          <w:tcPr>
            <w:tcW w:w="925" w:type="dxa"/>
            <w:gridSpan w:val="2"/>
            <w:shd w:val="clear" w:color="auto" w:fill="auto"/>
            <w:vAlign w:val="center"/>
            <w:hideMark/>
          </w:tcPr>
          <w:p w14:paraId="09D5C2E8" w14:textId="24B94E50" w:rsidR="00DD39F8" w:rsidRPr="00A1552F" w:rsidRDefault="00DD39F8" w:rsidP="00C95C77">
            <w:pPr>
              <w:jc w:val="both"/>
            </w:pPr>
            <w:r>
              <w:t>0</w:t>
            </w:r>
          </w:p>
        </w:tc>
        <w:tc>
          <w:tcPr>
            <w:tcW w:w="992" w:type="dxa"/>
            <w:shd w:val="clear" w:color="auto" w:fill="auto"/>
            <w:vAlign w:val="center"/>
            <w:hideMark/>
          </w:tcPr>
          <w:p w14:paraId="68A2FB32" w14:textId="73FE14CF" w:rsidR="00DD39F8" w:rsidRPr="00A1552F" w:rsidRDefault="00DD39F8" w:rsidP="00C95C77">
            <w:pPr>
              <w:jc w:val="both"/>
            </w:pPr>
            <w:r>
              <w:t>0</w:t>
            </w:r>
          </w:p>
        </w:tc>
        <w:tc>
          <w:tcPr>
            <w:tcW w:w="849" w:type="dxa"/>
            <w:shd w:val="clear" w:color="auto" w:fill="auto"/>
            <w:vAlign w:val="center"/>
            <w:hideMark/>
          </w:tcPr>
          <w:p w14:paraId="4F8BA0DA" w14:textId="7571452A" w:rsidR="00DD39F8" w:rsidRPr="00A1552F" w:rsidRDefault="00DD39F8" w:rsidP="00C95C77">
            <w:pPr>
              <w:jc w:val="both"/>
            </w:pPr>
            <w:r>
              <w:t>0</w:t>
            </w:r>
          </w:p>
        </w:tc>
        <w:tc>
          <w:tcPr>
            <w:tcW w:w="994" w:type="dxa"/>
            <w:shd w:val="clear" w:color="auto" w:fill="auto"/>
            <w:vAlign w:val="center"/>
            <w:hideMark/>
          </w:tcPr>
          <w:p w14:paraId="3AA6B66B" w14:textId="15775D83" w:rsidR="00DD39F8" w:rsidRPr="00A1552F" w:rsidRDefault="00DD39F8" w:rsidP="00C95C77">
            <w:pPr>
              <w:jc w:val="both"/>
            </w:pPr>
            <w:r>
              <w:t>0</w:t>
            </w:r>
          </w:p>
        </w:tc>
        <w:tc>
          <w:tcPr>
            <w:tcW w:w="848" w:type="dxa"/>
            <w:shd w:val="clear" w:color="auto" w:fill="auto"/>
            <w:vAlign w:val="center"/>
            <w:hideMark/>
          </w:tcPr>
          <w:p w14:paraId="28B0FDF1" w14:textId="1F4B2ACE" w:rsidR="00DD39F8" w:rsidRPr="00A1552F" w:rsidRDefault="00DD39F8" w:rsidP="00C95C77">
            <w:pPr>
              <w:jc w:val="both"/>
            </w:pPr>
            <w:r>
              <w:t>0</w:t>
            </w:r>
          </w:p>
        </w:tc>
        <w:tc>
          <w:tcPr>
            <w:tcW w:w="994" w:type="dxa"/>
            <w:shd w:val="clear" w:color="auto" w:fill="auto"/>
            <w:vAlign w:val="center"/>
            <w:hideMark/>
          </w:tcPr>
          <w:p w14:paraId="290ABC93" w14:textId="21B5EDDD" w:rsidR="00DD39F8" w:rsidRPr="00A1552F" w:rsidRDefault="00DD39F8" w:rsidP="00C95C77">
            <w:pPr>
              <w:jc w:val="both"/>
            </w:pPr>
            <w:r>
              <w:t>0</w:t>
            </w:r>
          </w:p>
        </w:tc>
        <w:tc>
          <w:tcPr>
            <w:tcW w:w="1420" w:type="dxa"/>
            <w:shd w:val="clear" w:color="auto" w:fill="auto"/>
            <w:vAlign w:val="center"/>
            <w:hideMark/>
          </w:tcPr>
          <w:p w14:paraId="1BF12BD2" w14:textId="5B7306A2" w:rsidR="00DD39F8" w:rsidRPr="00A1552F" w:rsidRDefault="00DD39F8" w:rsidP="00C95C77">
            <w:pPr>
              <w:jc w:val="both"/>
            </w:pPr>
            <w:r>
              <w:t>0</w:t>
            </w:r>
          </w:p>
        </w:tc>
      </w:tr>
      <w:tr w:rsidR="00F431C1" w:rsidRPr="00A1552F" w14:paraId="0D19B8A2"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1C9FFCA2" w14:textId="77777777" w:rsidR="00DD39F8" w:rsidRPr="00A1552F" w:rsidRDefault="00DD39F8" w:rsidP="00C95C77">
            <w:r w:rsidRPr="00A1552F">
              <w:t>1.2. valsts speciālais budžets</w:t>
            </w:r>
          </w:p>
        </w:tc>
        <w:tc>
          <w:tcPr>
            <w:tcW w:w="925" w:type="dxa"/>
            <w:gridSpan w:val="2"/>
            <w:shd w:val="clear" w:color="auto" w:fill="auto"/>
            <w:vAlign w:val="center"/>
            <w:hideMark/>
          </w:tcPr>
          <w:p w14:paraId="40AB99F5" w14:textId="66D25C67" w:rsidR="00DD39F8" w:rsidRPr="00A1552F" w:rsidRDefault="00DD39F8" w:rsidP="00C95C77">
            <w:pPr>
              <w:jc w:val="both"/>
            </w:pPr>
            <w:r>
              <w:t>0</w:t>
            </w:r>
          </w:p>
        </w:tc>
        <w:tc>
          <w:tcPr>
            <w:tcW w:w="992" w:type="dxa"/>
            <w:shd w:val="clear" w:color="auto" w:fill="auto"/>
            <w:vAlign w:val="center"/>
            <w:hideMark/>
          </w:tcPr>
          <w:p w14:paraId="123E344F" w14:textId="2F2FB64F" w:rsidR="00DD39F8" w:rsidRPr="00A1552F" w:rsidRDefault="00DD39F8" w:rsidP="00C95C77">
            <w:pPr>
              <w:jc w:val="both"/>
            </w:pPr>
            <w:r>
              <w:t>0</w:t>
            </w:r>
          </w:p>
        </w:tc>
        <w:tc>
          <w:tcPr>
            <w:tcW w:w="849" w:type="dxa"/>
            <w:shd w:val="clear" w:color="auto" w:fill="auto"/>
            <w:vAlign w:val="center"/>
            <w:hideMark/>
          </w:tcPr>
          <w:p w14:paraId="7769682D" w14:textId="5471B4D6" w:rsidR="00DD39F8" w:rsidRPr="00A1552F" w:rsidRDefault="00DD39F8" w:rsidP="00C95C77">
            <w:pPr>
              <w:jc w:val="both"/>
            </w:pPr>
            <w:r>
              <w:t>0</w:t>
            </w:r>
          </w:p>
        </w:tc>
        <w:tc>
          <w:tcPr>
            <w:tcW w:w="994" w:type="dxa"/>
            <w:shd w:val="clear" w:color="auto" w:fill="auto"/>
            <w:vAlign w:val="center"/>
            <w:hideMark/>
          </w:tcPr>
          <w:p w14:paraId="21CE905E" w14:textId="2933622A" w:rsidR="00DD39F8" w:rsidRPr="00A1552F" w:rsidRDefault="00DD39F8" w:rsidP="00C95C77">
            <w:pPr>
              <w:jc w:val="both"/>
            </w:pPr>
            <w:r>
              <w:t>0</w:t>
            </w:r>
          </w:p>
        </w:tc>
        <w:tc>
          <w:tcPr>
            <w:tcW w:w="848" w:type="dxa"/>
            <w:shd w:val="clear" w:color="auto" w:fill="auto"/>
            <w:vAlign w:val="center"/>
            <w:hideMark/>
          </w:tcPr>
          <w:p w14:paraId="0C85301B" w14:textId="3349B8BB" w:rsidR="00DD39F8" w:rsidRPr="00A1552F" w:rsidRDefault="00DD39F8" w:rsidP="00C95C77">
            <w:pPr>
              <w:jc w:val="both"/>
            </w:pPr>
            <w:r>
              <w:t>0</w:t>
            </w:r>
          </w:p>
        </w:tc>
        <w:tc>
          <w:tcPr>
            <w:tcW w:w="994" w:type="dxa"/>
            <w:shd w:val="clear" w:color="auto" w:fill="auto"/>
            <w:vAlign w:val="center"/>
            <w:hideMark/>
          </w:tcPr>
          <w:p w14:paraId="6C9339FF" w14:textId="2E409EBF" w:rsidR="00DD39F8" w:rsidRPr="00A1552F" w:rsidRDefault="00DD39F8" w:rsidP="00C95C77">
            <w:pPr>
              <w:jc w:val="both"/>
            </w:pPr>
            <w:r>
              <w:t>0</w:t>
            </w:r>
          </w:p>
        </w:tc>
        <w:tc>
          <w:tcPr>
            <w:tcW w:w="1420" w:type="dxa"/>
            <w:shd w:val="clear" w:color="auto" w:fill="auto"/>
            <w:vAlign w:val="center"/>
            <w:hideMark/>
          </w:tcPr>
          <w:p w14:paraId="6724E2B2" w14:textId="0016E3CD" w:rsidR="00DD39F8" w:rsidRPr="00A1552F" w:rsidRDefault="00DD39F8" w:rsidP="00C95C77">
            <w:pPr>
              <w:jc w:val="both"/>
            </w:pPr>
            <w:r>
              <w:t>0</w:t>
            </w:r>
          </w:p>
        </w:tc>
      </w:tr>
      <w:tr w:rsidR="00F431C1" w:rsidRPr="00A1552F" w14:paraId="64B07CBF"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2ECCDCE5" w14:textId="77777777" w:rsidR="00DD39F8" w:rsidRPr="00A1552F" w:rsidRDefault="00DD39F8" w:rsidP="00C95C77">
            <w:r w:rsidRPr="00A1552F">
              <w:t>1.3. pašvaldību budžets</w:t>
            </w:r>
          </w:p>
        </w:tc>
        <w:tc>
          <w:tcPr>
            <w:tcW w:w="925" w:type="dxa"/>
            <w:gridSpan w:val="2"/>
            <w:shd w:val="clear" w:color="auto" w:fill="auto"/>
            <w:vAlign w:val="center"/>
            <w:hideMark/>
          </w:tcPr>
          <w:p w14:paraId="0442FFF5" w14:textId="092DDDDB" w:rsidR="00DD39F8" w:rsidRPr="00A1552F" w:rsidRDefault="00DD39F8" w:rsidP="00C95C77">
            <w:pPr>
              <w:jc w:val="both"/>
            </w:pPr>
            <w:r>
              <w:t>0</w:t>
            </w:r>
          </w:p>
        </w:tc>
        <w:tc>
          <w:tcPr>
            <w:tcW w:w="992" w:type="dxa"/>
            <w:shd w:val="clear" w:color="auto" w:fill="auto"/>
            <w:vAlign w:val="center"/>
            <w:hideMark/>
          </w:tcPr>
          <w:p w14:paraId="1962076A" w14:textId="3FA4DEBF" w:rsidR="00DD39F8" w:rsidRPr="00A1552F" w:rsidRDefault="00DD39F8" w:rsidP="00C95C77">
            <w:pPr>
              <w:jc w:val="both"/>
            </w:pPr>
            <w:r>
              <w:t>0</w:t>
            </w:r>
          </w:p>
        </w:tc>
        <w:tc>
          <w:tcPr>
            <w:tcW w:w="849" w:type="dxa"/>
            <w:shd w:val="clear" w:color="auto" w:fill="auto"/>
            <w:vAlign w:val="center"/>
            <w:hideMark/>
          </w:tcPr>
          <w:p w14:paraId="60C323D4" w14:textId="330211C2" w:rsidR="00DD39F8" w:rsidRPr="00A1552F" w:rsidRDefault="00DD39F8" w:rsidP="00C95C77">
            <w:pPr>
              <w:jc w:val="both"/>
            </w:pPr>
            <w:r>
              <w:t>0</w:t>
            </w:r>
          </w:p>
        </w:tc>
        <w:tc>
          <w:tcPr>
            <w:tcW w:w="994" w:type="dxa"/>
            <w:shd w:val="clear" w:color="auto" w:fill="auto"/>
            <w:vAlign w:val="center"/>
            <w:hideMark/>
          </w:tcPr>
          <w:p w14:paraId="3942704E" w14:textId="717014F8" w:rsidR="00DD39F8" w:rsidRPr="00A1552F" w:rsidRDefault="00DD39F8" w:rsidP="00C95C77">
            <w:pPr>
              <w:jc w:val="both"/>
            </w:pPr>
            <w:r>
              <w:t>0</w:t>
            </w:r>
          </w:p>
        </w:tc>
        <w:tc>
          <w:tcPr>
            <w:tcW w:w="848" w:type="dxa"/>
            <w:shd w:val="clear" w:color="auto" w:fill="auto"/>
            <w:vAlign w:val="center"/>
            <w:hideMark/>
          </w:tcPr>
          <w:p w14:paraId="44DB3694" w14:textId="73E15198" w:rsidR="00DD39F8" w:rsidRPr="00A1552F" w:rsidRDefault="00DD39F8" w:rsidP="00C95C77">
            <w:pPr>
              <w:jc w:val="both"/>
            </w:pPr>
            <w:r>
              <w:t>0</w:t>
            </w:r>
          </w:p>
        </w:tc>
        <w:tc>
          <w:tcPr>
            <w:tcW w:w="994" w:type="dxa"/>
            <w:shd w:val="clear" w:color="auto" w:fill="auto"/>
            <w:vAlign w:val="center"/>
            <w:hideMark/>
          </w:tcPr>
          <w:p w14:paraId="28C9A83B" w14:textId="26043CD1" w:rsidR="00DD39F8" w:rsidRPr="00A1552F" w:rsidRDefault="00DD39F8" w:rsidP="00C95C77">
            <w:pPr>
              <w:jc w:val="both"/>
            </w:pPr>
            <w:r>
              <w:t>0</w:t>
            </w:r>
          </w:p>
        </w:tc>
        <w:tc>
          <w:tcPr>
            <w:tcW w:w="1420" w:type="dxa"/>
            <w:shd w:val="clear" w:color="auto" w:fill="auto"/>
            <w:vAlign w:val="center"/>
            <w:hideMark/>
          </w:tcPr>
          <w:p w14:paraId="5B479874" w14:textId="0B9DD680" w:rsidR="00DD39F8" w:rsidRPr="00A1552F" w:rsidRDefault="00DD39F8" w:rsidP="00C95C77">
            <w:pPr>
              <w:jc w:val="both"/>
            </w:pPr>
            <w:r>
              <w:t>0</w:t>
            </w:r>
          </w:p>
        </w:tc>
      </w:tr>
      <w:tr w:rsidR="00F431C1" w:rsidRPr="00A1552F" w14:paraId="2407B4C4"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61AE86B9" w14:textId="77777777" w:rsidR="00DD39F8" w:rsidRPr="00A1552F" w:rsidRDefault="00DD39F8" w:rsidP="00C95C77">
            <w:r w:rsidRPr="00A1552F">
              <w:t>2. Budžeta izdevumi</w:t>
            </w:r>
          </w:p>
        </w:tc>
        <w:tc>
          <w:tcPr>
            <w:tcW w:w="925" w:type="dxa"/>
            <w:gridSpan w:val="2"/>
            <w:shd w:val="clear" w:color="auto" w:fill="auto"/>
            <w:vAlign w:val="center"/>
            <w:hideMark/>
          </w:tcPr>
          <w:p w14:paraId="7F735127" w14:textId="413AA54C" w:rsidR="00DD39F8" w:rsidRPr="00A1552F" w:rsidRDefault="00DD39F8" w:rsidP="00C95C77">
            <w:pPr>
              <w:jc w:val="both"/>
            </w:pPr>
            <w:r>
              <w:t>0</w:t>
            </w:r>
          </w:p>
        </w:tc>
        <w:tc>
          <w:tcPr>
            <w:tcW w:w="992" w:type="dxa"/>
            <w:shd w:val="clear" w:color="auto" w:fill="auto"/>
            <w:vAlign w:val="center"/>
            <w:hideMark/>
          </w:tcPr>
          <w:p w14:paraId="05FD3F3B" w14:textId="01E42250" w:rsidR="00DD39F8" w:rsidRPr="00A1552F" w:rsidRDefault="00DD39F8" w:rsidP="00C95C77">
            <w:pPr>
              <w:jc w:val="both"/>
            </w:pPr>
            <w:r>
              <w:t>0</w:t>
            </w:r>
          </w:p>
        </w:tc>
        <w:tc>
          <w:tcPr>
            <w:tcW w:w="849" w:type="dxa"/>
            <w:shd w:val="clear" w:color="auto" w:fill="auto"/>
            <w:vAlign w:val="center"/>
            <w:hideMark/>
          </w:tcPr>
          <w:p w14:paraId="5F6F69DD" w14:textId="28051867" w:rsidR="00DD39F8" w:rsidRPr="00A1552F" w:rsidRDefault="00DD39F8" w:rsidP="00C95C77">
            <w:pPr>
              <w:jc w:val="both"/>
            </w:pPr>
            <w:r>
              <w:t>0</w:t>
            </w:r>
          </w:p>
        </w:tc>
        <w:tc>
          <w:tcPr>
            <w:tcW w:w="994" w:type="dxa"/>
            <w:shd w:val="clear" w:color="auto" w:fill="auto"/>
            <w:vAlign w:val="center"/>
            <w:hideMark/>
          </w:tcPr>
          <w:p w14:paraId="503D1C4D" w14:textId="6685E9E1" w:rsidR="00DD39F8" w:rsidRPr="00A1552F" w:rsidRDefault="00DD39F8" w:rsidP="00C95C77">
            <w:pPr>
              <w:jc w:val="both"/>
            </w:pPr>
            <w:r>
              <w:t>0</w:t>
            </w:r>
          </w:p>
        </w:tc>
        <w:tc>
          <w:tcPr>
            <w:tcW w:w="848" w:type="dxa"/>
            <w:shd w:val="clear" w:color="auto" w:fill="auto"/>
            <w:vAlign w:val="center"/>
            <w:hideMark/>
          </w:tcPr>
          <w:p w14:paraId="537387B8" w14:textId="3A6A5200" w:rsidR="00DD39F8" w:rsidRPr="00A1552F" w:rsidRDefault="00DD39F8" w:rsidP="00C95C77">
            <w:pPr>
              <w:jc w:val="both"/>
            </w:pPr>
            <w:r>
              <w:t>0</w:t>
            </w:r>
          </w:p>
        </w:tc>
        <w:tc>
          <w:tcPr>
            <w:tcW w:w="994" w:type="dxa"/>
            <w:shd w:val="clear" w:color="auto" w:fill="auto"/>
            <w:vAlign w:val="center"/>
            <w:hideMark/>
          </w:tcPr>
          <w:p w14:paraId="122A7E34" w14:textId="1BD8AE1B" w:rsidR="00DD39F8" w:rsidRPr="00A1552F" w:rsidRDefault="00DD39F8" w:rsidP="00C95C77">
            <w:pPr>
              <w:jc w:val="both"/>
            </w:pPr>
            <w:r>
              <w:t>0</w:t>
            </w:r>
          </w:p>
        </w:tc>
        <w:tc>
          <w:tcPr>
            <w:tcW w:w="1420" w:type="dxa"/>
            <w:shd w:val="clear" w:color="auto" w:fill="auto"/>
            <w:vAlign w:val="center"/>
            <w:hideMark/>
          </w:tcPr>
          <w:p w14:paraId="03385B00" w14:textId="629C0F0F" w:rsidR="00DD39F8" w:rsidRPr="00A1552F" w:rsidRDefault="00DD39F8" w:rsidP="00C95C77">
            <w:pPr>
              <w:jc w:val="both"/>
            </w:pPr>
            <w:r>
              <w:t>0</w:t>
            </w:r>
          </w:p>
        </w:tc>
      </w:tr>
      <w:tr w:rsidR="00F431C1" w:rsidRPr="00A1552F" w14:paraId="19ECA619"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56AE8BA9" w14:textId="77777777" w:rsidR="00DD39F8" w:rsidRPr="00A1552F" w:rsidRDefault="00DD39F8" w:rsidP="00C95C77">
            <w:r w:rsidRPr="00A1552F">
              <w:t>2.1. valsts pamatbudžets</w:t>
            </w:r>
          </w:p>
        </w:tc>
        <w:tc>
          <w:tcPr>
            <w:tcW w:w="925" w:type="dxa"/>
            <w:gridSpan w:val="2"/>
            <w:shd w:val="clear" w:color="auto" w:fill="auto"/>
            <w:vAlign w:val="center"/>
            <w:hideMark/>
          </w:tcPr>
          <w:p w14:paraId="0130B5AE" w14:textId="17FA96B5" w:rsidR="00DD39F8" w:rsidRPr="00A1552F" w:rsidRDefault="00DD39F8" w:rsidP="00C95C77">
            <w:pPr>
              <w:jc w:val="both"/>
            </w:pPr>
            <w:r>
              <w:t>0</w:t>
            </w:r>
          </w:p>
        </w:tc>
        <w:tc>
          <w:tcPr>
            <w:tcW w:w="992" w:type="dxa"/>
            <w:shd w:val="clear" w:color="auto" w:fill="auto"/>
            <w:vAlign w:val="center"/>
            <w:hideMark/>
          </w:tcPr>
          <w:p w14:paraId="44B67B2C" w14:textId="03745295" w:rsidR="00DD39F8" w:rsidRPr="00A1552F" w:rsidRDefault="00DD39F8" w:rsidP="00C95C77">
            <w:pPr>
              <w:jc w:val="both"/>
            </w:pPr>
            <w:r>
              <w:t>0</w:t>
            </w:r>
          </w:p>
        </w:tc>
        <w:tc>
          <w:tcPr>
            <w:tcW w:w="849" w:type="dxa"/>
            <w:shd w:val="clear" w:color="auto" w:fill="auto"/>
            <w:vAlign w:val="center"/>
            <w:hideMark/>
          </w:tcPr>
          <w:p w14:paraId="27A03236" w14:textId="2090D3C8" w:rsidR="00DD39F8" w:rsidRPr="00A1552F" w:rsidRDefault="00DD39F8" w:rsidP="00C95C77">
            <w:pPr>
              <w:jc w:val="both"/>
            </w:pPr>
            <w:r>
              <w:t>0</w:t>
            </w:r>
          </w:p>
        </w:tc>
        <w:tc>
          <w:tcPr>
            <w:tcW w:w="994" w:type="dxa"/>
            <w:shd w:val="clear" w:color="auto" w:fill="auto"/>
            <w:vAlign w:val="center"/>
            <w:hideMark/>
          </w:tcPr>
          <w:p w14:paraId="47B2FDC9" w14:textId="6F19553A" w:rsidR="00DD39F8" w:rsidRPr="00A1552F" w:rsidRDefault="00DD39F8" w:rsidP="00C95C77">
            <w:pPr>
              <w:jc w:val="both"/>
            </w:pPr>
            <w:r>
              <w:t>0</w:t>
            </w:r>
          </w:p>
        </w:tc>
        <w:tc>
          <w:tcPr>
            <w:tcW w:w="848" w:type="dxa"/>
            <w:shd w:val="clear" w:color="auto" w:fill="auto"/>
            <w:vAlign w:val="center"/>
            <w:hideMark/>
          </w:tcPr>
          <w:p w14:paraId="38BEDC64" w14:textId="39E78D67" w:rsidR="00DD39F8" w:rsidRPr="00A1552F" w:rsidRDefault="00DD39F8" w:rsidP="00C95C77">
            <w:pPr>
              <w:jc w:val="both"/>
            </w:pPr>
            <w:r>
              <w:t>0</w:t>
            </w:r>
          </w:p>
        </w:tc>
        <w:tc>
          <w:tcPr>
            <w:tcW w:w="994" w:type="dxa"/>
            <w:shd w:val="clear" w:color="auto" w:fill="auto"/>
            <w:vAlign w:val="center"/>
            <w:hideMark/>
          </w:tcPr>
          <w:p w14:paraId="0D19B00A" w14:textId="032881A9" w:rsidR="00DD39F8" w:rsidRPr="00A1552F" w:rsidRDefault="00DD39F8" w:rsidP="00C95C77">
            <w:pPr>
              <w:jc w:val="both"/>
            </w:pPr>
            <w:r>
              <w:t>0</w:t>
            </w:r>
          </w:p>
        </w:tc>
        <w:tc>
          <w:tcPr>
            <w:tcW w:w="1420" w:type="dxa"/>
            <w:shd w:val="clear" w:color="auto" w:fill="auto"/>
            <w:vAlign w:val="center"/>
            <w:hideMark/>
          </w:tcPr>
          <w:p w14:paraId="2D831C97" w14:textId="4402F0AF" w:rsidR="00DD39F8" w:rsidRPr="00A1552F" w:rsidRDefault="00DD39F8" w:rsidP="00C95C77">
            <w:pPr>
              <w:jc w:val="both"/>
            </w:pPr>
            <w:r>
              <w:t>0</w:t>
            </w:r>
          </w:p>
        </w:tc>
      </w:tr>
      <w:tr w:rsidR="00F431C1" w:rsidRPr="00A1552F" w14:paraId="0BED05CA"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26ACCD5F" w14:textId="77777777" w:rsidR="00DD39F8" w:rsidRPr="00A1552F" w:rsidRDefault="00DD39F8" w:rsidP="00C95C77">
            <w:r w:rsidRPr="00A1552F">
              <w:t>2.2. valsts speciālais budžets</w:t>
            </w:r>
          </w:p>
        </w:tc>
        <w:tc>
          <w:tcPr>
            <w:tcW w:w="925" w:type="dxa"/>
            <w:gridSpan w:val="2"/>
            <w:shd w:val="clear" w:color="auto" w:fill="auto"/>
            <w:vAlign w:val="center"/>
            <w:hideMark/>
          </w:tcPr>
          <w:p w14:paraId="4E4F8981" w14:textId="3FD83D92" w:rsidR="00DD39F8" w:rsidRPr="00A1552F" w:rsidRDefault="00DD39F8" w:rsidP="00C95C77">
            <w:pPr>
              <w:jc w:val="both"/>
            </w:pPr>
            <w:r>
              <w:t>0</w:t>
            </w:r>
          </w:p>
        </w:tc>
        <w:tc>
          <w:tcPr>
            <w:tcW w:w="992" w:type="dxa"/>
            <w:shd w:val="clear" w:color="auto" w:fill="auto"/>
            <w:vAlign w:val="center"/>
            <w:hideMark/>
          </w:tcPr>
          <w:p w14:paraId="5C5B0B74" w14:textId="65BEEC45" w:rsidR="00DD39F8" w:rsidRPr="00A1552F" w:rsidRDefault="00DD39F8" w:rsidP="00C95C77">
            <w:pPr>
              <w:jc w:val="both"/>
            </w:pPr>
            <w:r>
              <w:t>0</w:t>
            </w:r>
          </w:p>
        </w:tc>
        <w:tc>
          <w:tcPr>
            <w:tcW w:w="849" w:type="dxa"/>
            <w:shd w:val="clear" w:color="auto" w:fill="auto"/>
            <w:vAlign w:val="center"/>
            <w:hideMark/>
          </w:tcPr>
          <w:p w14:paraId="2BD34911" w14:textId="687AF1EC" w:rsidR="00DD39F8" w:rsidRPr="00A1552F" w:rsidRDefault="00DD39F8" w:rsidP="00C95C77">
            <w:pPr>
              <w:jc w:val="both"/>
            </w:pPr>
            <w:r>
              <w:t>0</w:t>
            </w:r>
          </w:p>
        </w:tc>
        <w:tc>
          <w:tcPr>
            <w:tcW w:w="994" w:type="dxa"/>
            <w:shd w:val="clear" w:color="auto" w:fill="auto"/>
            <w:vAlign w:val="center"/>
            <w:hideMark/>
          </w:tcPr>
          <w:p w14:paraId="63A6E88A" w14:textId="4F9FE94A" w:rsidR="00DD39F8" w:rsidRPr="00A1552F" w:rsidRDefault="00DD39F8" w:rsidP="00C95C77">
            <w:pPr>
              <w:jc w:val="both"/>
            </w:pPr>
            <w:r>
              <w:t>0</w:t>
            </w:r>
          </w:p>
        </w:tc>
        <w:tc>
          <w:tcPr>
            <w:tcW w:w="848" w:type="dxa"/>
            <w:shd w:val="clear" w:color="auto" w:fill="auto"/>
            <w:vAlign w:val="center"/>
            <w:hideMark/>
          </w:tcPr>
          <w:p w14:paraId="1533EE65" w14:textId="44C58DB4" w:rsidR="00DD39F8" w:rsidRPr="00A1552F" w:rsidRDefault="00DD39F8" w:rsidP="00C95C77">
            <w:pPr>
              <w:jc w:val="both"/>
            </w:pPr>
            <w:r>
              <w:t>0</w:t>
            </w:r>
          </w:p>
        </w:tc>
        <w:tc>
          <w:tcPr>
            <w:tcW w:w="994" w:type="dxa"/>
            <w:shd w:val="clear" w:color="auto" w:fill="auto"/>
            <w:vAlign w:val="center"/>
            <w:hideMark/>
          </w:tcPr>
          <w:p w14:paraId="044D60A0" w14:textId="69DA19B7" w:rsidR="00DD39F8" w:rsidRPr="00A1552F" w:rsidRDefault="00DD39F8" w:rsidP="00C95C77">
            <w:pPr>
              <w:jc w:val="both"/>
            </w:pPr>
            <w:r>
              <w:t>0</w:t>
            </w:r>
          </w:p>
        </w:tc>
        <w:tc>
          <w:tcPr>
            <w:tcW w:w="1420" w:type="dxa"/>
            <w:shd w:val="clear" w:color="auto" w:fill="auto"/>
            <w:vAlign w:val="center"/>
            <w:hideMark/>
          </w:tcPr>
          <w:p w14:paraId="27809BFD" w14:textId="6F196DD3" w:rsidR="00DD39F8" w:rsidRPr="00A1552F" w:rsidRDefault="00DD39F8" w:rsidP="00C95C77">
            <w:pPr>
              <w:jc w:val="both"/>
            </w:pPr>
            <w:r>
              <w:t>0</w:t>
            </w:r>
          </w:p>
        </w:tc>
      </w:tr>
      <w:tr w:rsidR="00F431C1" w:rsidRPr="00A1552F" w14:paraId="66F00F89"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1F03D7CC" w14:textId="77777777" w:rsidR="00DD39F8" w:rsidRPr="00A1552F" w:rsidRDefault="00DD39F8" w:rsidP="00C95C77">
            <w:r w:rsidRPr="00A1552F">
              <w:lastRenderedPageBreak/>
              <w:t>2.3. pašvaldību budžets</w:t>
            </w:r>
          </w:p>
        </w:tc>
        <w:tc>
          <w:tcPr>
            <w:tcW w:w="925" w:type="dxa"/>
            <w:gridSpan w:val="2"/>
            <w:shd w:val="clear" w:color="auto" w:fill="auto"/>
            <w:vAlign w:val="center"/>
            <w:hideMark/>
          </w:tcPr>
          <w:p w14:paraId="717A7689" w14:textId="3D972A85" w:rsidR="00DD39F8" w:rsidRPr="00A1552F" w:rsidRDefault="00DD39F8" w:rsidP="00C95C77">
            <w:pPr>
              <w:jc w:val="both"/>
            </w:pPr>
            <w:r>
              <w:t>0</w:t>
            </w:r>
          </w:p>
        </w:tc>
        <w:tc>
          <w:tcPr>
            <w:tcW w:w="992" w:type="dxa"/>
            <w:shd w:val="clear" w:color="auto" w:fill="auto"/>
            <w:vAlign w:val="center"/>
            <w:hideMark/>
          </w:tcPr>
          <w:p w14:paraId="02226647" w14:textId="6B46F553" w:rsidR="00DD39F8" w:rsidRPr="00A1552F" w:rsidRDefault="00DD39F8" w:rsidP="00C95C77">
            <w:pPr>
              <w:jc w:val="both"/>
            </w:pPr>
            <w:r>
              <w:t>0</w:t>
            </w:r>
          </w:p>
        </w:tc>
        <w:tc>
          <w:tcPr>
            <w:tcW w:w="849" w:type="dxa"/>
            <w:shd w:val="clear" w:color="auto" w:fill="auto"/>
            <w:vAlign w:val="center"/>
            <w:hideMark/>
          </w:tcPr>
          <w:p w14:paraId="7CBA52AF" w14:textId="1C3E5628" w:rsidR="00DD39F8" w:rsidRPr="00A1552F" w:rsidRDefault="00DD39F8" w:rsidP="00C95C77">
            <w:pPr>
              <w:jc w:val="both"/>
            </w:pPr>
            <w:r>
              <w:t>0</w:t>
            </w:r>
          </w:p>
        </w:tc>
        <w:tc>
          <w:tcPr>
            <w:tcW w:w="994" w:type="dxa"/>
            <w:shd w:val="clear" w:color="auto" w:fill="auto"/>
            <w:vAlign w:val="center"/>
            <w:hideMark/>
          </w:tcPr>
          <w:p w14:paraId="1302F9D1" w14:textId="1E7C10AE" w:rsidR="00DD39F8" w:rsidRPr="00A1552F" w:rsidRDefault="00DD39F8" w:rsidP="00C95C77">
            <w:pPr>
              <w:jc w:val="both"/>
            </w:pPr>
            <w:r>
              <w:t>0</w:t>
            </w:r>
          </w:p>
        </w:tc>
        <w:tc>
          <w:tcPr>
            <w:tcW w:w="848" w:type="dxa"/>
            <w:shd w:val="clear" w:color="auto" w:fill="auto"/>
            <w:vAlign w:val="center"/>
            <w:hideMark/>
          </w:tcPr>
          <w:p w14:paraId="7436833D" w14:textId="18989604" w:rsidR="00DD39F8" w:rsidRPr="00A1552F" w:rsidRDefault="00DD39F8" w:rsidP="00C95C77">
            <w:pPr>
              <w:jc w:val="both"/>
            </w:pPr>
            <w:r>
              <w:t>0</w:t>
            </w:r>
          </w:p>
        </w:tc>
        <w:tc>
          <w:tcPr>
            <w:tcW w:w="994" w:type="dxa"/>
            <w:shd w:val="clear" w:color="auto" w:fill="auto"/>
            <w:vAlign w:val="center"/>
            <w:hideMark/>
          </w:tcPr>
          <w:p w14:paraId="6A55C3D4" w14:textId="30BFD0C6" w:rsidR="00DD39F8" w:rsidRPr="00A1552F" w:rsidRDefault="00DD39F8" w:rsidP="00C95C77">
            <w:pPr>
              <w:jc w:val="both"/>
            </w:pPr>
            <w:r>
              <w:t>0</w:t>
            </w:r>
          </w:p>
        </w:tc>
        <w:tc>
          <w:tcPr>
            <w:tcW w:w="1420" w:type="dxa"/>
            <w:shd w:val="clear" w:color="auto" w:fill="auto"/>
            <w:vAlign w:val="center"/>
            <w:hideMark/>
          </w:tcPr>
          <w:p w14:paraId="774681D7" w14:textId="49B9140C" w:rsidR="00DD39F8" w:rsidRPr="00A1552F" w:rsidRDefault="00DD39F8" w:rsidP="00C95C77">
            <w:pPr>
              <w:jc w:val="both"/>
            </w:pPr>
            <w:r>
              <w:t>0</w:t>
            </w:r>
          </w:p>
        </w:tc>
      </w:tr>
      <w:tr w:rsidR="00F431C1" w:rsidRPr="00A1552F" w14:paraId="6241EF3D"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2290F37B" w14:textId="77777777" w:rsidR="00DD39F8" w:rsidRPr="00A1552F" w:rsidRDefault="00DD39F8" w:rsidP="00C95C77">
            <w:r w:rsidRPr="00A1552F">
              <w:t>3. Finansiālā ietekme</w:t>
            </w:r>
          </w:p>
        </w:tc>
        <w:tc>
          <w:tcPr>
            <w:tcW w:w="925" w:type="dxa"/>
            <w:gridSpan w:val="2"/>
            <w:shd w:val="clear" w:color="auto" w:fill="auto"/>
            <w:vAlign w:val="center"/>
            <w:hideMark/>
          </w:tcPr>
          <w:p w14:paraId="2DD98110" w14:textId="5C42DB36" w:rsidR="00DD39F8" w:rsidRPr="00A1552F" w:rsidRDefault="00DD39F8" w:rsidP="00C95C77">
            <w:pPr>
              <w:jc w:val="both"/>
            </w:pPr>
            <w:r>
              <w:t>0</w:t>
            </w:r>
          </w:p>
        </w:tc>
        <w:tc>
          <w:tcPr>
            <w:tcW w:w="992" w:type="dxa"/>
            <w:shd w:val="clear" w:color="auto" w:fill="auto"/>
            <w:vAlign w:val="center"/>
            <w:hideMark/>
          </w:tcPr>
          <w:p w14:paraId="0C391251" w14:textId="0BE09211" w:rsidR="00DD39F8" w:rsidRPr="00A1552F" w:rsidRDefault="00DD39F8" w:rsidP="00C95C77">
            <w:pPr>
              <w:jc w:val="both"/>
            </w:pPr>
            <w:r>
              <w:t>0</w:t>
            </w:r>
          </w:p>
        </w:tc>
        <w:tc>
          <w:tcPr>
            <w:tcW w:w="849" w:type="dxa"/>
            <w:shd w:val="clear" w:color="auto" w:fill="auto"/>
            <w:vAlign w:val="center"/>
            <w:hideMark/>
          </w:tcPr>
          <w:p w14:paraId="04805631" w14:textId="41505BC9" w:rsidR="00DD39F8" w:rsidRPr="00A1552F" w:rsidRDefault="00DD39F8" w:rsidP="00C95C77">
            <w:pPr>
              <w:jc w:val="both"/>
            </w:pPr>
            <w:r>
              <w:t>0</w:t>
            </w:r>
          </w:p>
        </w:tc>
        <w:tc>
          <w:tcPr>
            <w:tcW w:w="994" w:type="dxa"/>
            <w:shd w:val="clear" w:color="auto" w:fill="auto"/>
            <w:vAlign w:val="center"/>
            <w:hideMark/>
          </w:tcPr>
          <w:p w14:paraId="4A774215" w14:textId="42DDFE0B" w:rsidR="00DD39F8" w:rsidRPr="00A1552F" w:rsidRDefault="00DD39F8" w:rsidP="00C95C77">
            <w:pPr>
              <w:jc w:val="both"/>
            </w:pPr>
            <w:r>
              <w:t>0</w:t>
            </w:r>
          </w:p>
        </w:tc>
        <w:tc>
          <w:tcPr>
            <w:tcW w:w="848" w:type="dxa"/>
            <w:shd w:val="clear" w:color="auto" w:fill="auto"/>
            <w:vAlign w:val="center"/>
            <w:hideMark/>
          </w:tcPr>
          <w:p w14:paraId="5C2F06E1" w14:textId="5967C589" w:rsidR="00DD39F8" w:rsidRPr="00A1552F" w:rsidRDefault="00DD39F8" w:rsidP="00C95C77">
            <w:pPr>
              <w:jc w:val="both"/>
            </w:pPr>
            <w:r>
              <w:t>0</w:t>
            </w:r>
          </w:p>
        </w:tc>
        <w:tc>
          <w:tcPr>
            <w:tcW w:w="994" w:type="dxa"/>
            <w:shd w:val="clear" w:color="auto" w:fill="auto"/>
            <w:vAlign w:val="center"/>
            <w:hideMark/>
          </w:tcPr>
          <w:p w14:paraId="1327CB1F" w14:textId="7D11F4EE" w:rsidR="00DD39F8" w:rsidRPr="00A1552F" w:rsidRDefault="00DD39F8" w:rsidP="00C95C77">
            <w:pPr>
              <w:jc w:val="both"/>
            </w:pPr>
            <w:r>
              <w:t>0</w:t>
            </w:r>
          </w:p>
        </w:tc>
        <w:tc>
          <w:tcPr>
            <w:tcW w:w="1420" w:type="dxa"/>
            <w:shd w:val="clear" w:color="auto" w:fill="auto"/>
            <w:vAlign w:val="center"/>
            <w:hideMark/>
          </w:tcPr>
          <w:p w14:paraId="78A80E85" w14:textId="34EE3856" w:rsidR="00DD39F8" w:rsidRPr="00A1552F" w:rsidRDefault="00DD39F8" w:rsidP="00C95C77">
            <w:pPr>
              <w:jc w:val="both"/>
            </w:pPr>
            <w:r>
              <w:t>0</w:t>
            </w:r>
          </w:p>
        </w:tc>
      </w:tr>
      <w:tr w:rsidR="00F431C1" w:rsidRPr="00A1552F" w14:paraId="5E097045"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1683D8CB" w14:textId="77777777" w:rsidR="00DD39F8" w:rsidRPr="00A1552F" w:rsidRDefault="00DD39F8" w:rsidP="00C95C77">
            <w:r w:rsidRPr="00A1552F">
              <w:t>3.1. valsts pamatbudžets</w:t>
            </w:r>
          </w:p>
        </w:tc>
        <w:tc>
          <w:tcPr>
            <w:tcW w:w="925" w:type="dxa"/>
            <w:gridSpan w:val="2"/>
            <w:shd w:val="clear" w:color="auto" w:fill="auto"/>
            <w:vAlign w:val="center"/>
            <w:hideMark/>
          </w:tcPr>
          <w:p w14:paraId="5B20B138" w14:textId="31F4080B" w:rsidR="00DD39F8" w:rsidRPr="00A1552F" w:rsidRDefault="00DD39F8" w:rsidP="00C95C77">
            <w:pPr>
              <w:jc w:val="both"/>
            </w:pPr>
            <w:r>
              <w:t>0</w:t>
            </w:r>
          </w:p>
        </w:tc>
        <w:tc>
          <w:tcPr>
            <w:tcW w:w="992" w:type="dxa"/>
            <w:shd w:val="clear" w:color="auto" w:fill="auto"/>
            <w:vAlign w:val="center"/>
            <w:hideMark/>
          </w:tcPr>
          <w:p w14:paraId="103BAA82" w14:textId="79E56ECD" w:rsidR="00DD39F8" w:rsidRPr="00A1552F" w:rsidRDefault="00DD39F8" w:rsidP="00C95C77">
            <w:pPr>
              <w:jc w:val="both"/>
            </w:pPr>
            <w:r>
              <w:t>0</w:t>
            </w:r>
          </w:p>
        </w:tc>
        <w:tc>
          <w:tcPr>
            <w:tcW w:w="849" w:type="dxa"/>
            <w:shd w:val="clear" w:color="auto" w:fill="auto"/>
            <w:vAlign w:val="center"/>
            <w:hideMark/>
          </w:tcPr>
          <w:p w14:paraId="5C08E5B0" w14:textId="71D8A262" w:rsidR="00DD39F8" w:rsidRPr="00A1552F" w:rsidRDefault="00DD39F8" w:rsidP="00C95C77">
            <w:pPr>
              <w:jc w:val="both"/>
            </w:pPr>
            <w:r>
              <w:t>0</w:t>
            </w:r>
          </w:p>
        </w:tc>
        <w:tc>
          <w:tcPr>
            <w:tcW w:w="994" w:type="dxa"/>
            <w:shd w:val="clear" w:color="auto" w:fill="auto"/>
            <w:vAlign w:val="center"/>
            <w:hideMark/>
          </w:tcPr>
          <w:p w14:paraId="5C606E12" w14:textId="1EDA89CE" w:rsidR="00DD39F8" w:rsidRPr="00A1552F" w:rsidRDefault="00DD39F8" w:rsidP="00C95C77">
            <w:pPr>
              <w:jc w:val="both"/>
            </w:pPr>
            <w:r>
              <w:t>0</w:t>
            </w:r>
          </w:p>
        </w:tc>
        <w:tc>
          <w:tcPr>
            <w:tcW w:w="848" w:type="dxa"/>
            <w:shd w:val="clear" w:color="auto" w:fill="auto"/>
            <w:vAlign w:val="center"/>
            <w:hideMark/>
          </w:tcPr>
          <w:p w14:paraId="7A6BA045" w14:textId="40E57595" w:rsidR="00DD39F8" w:rsidRPr="00A1552F" w:rsidRDefault="00DD39F8" w:rsidP="00C95C77">
            <w:pPr>
              <w:jc w:val="both"/>
            </w:pPr>
            <w:r>
              <w:t>0</w:t>
            </w:r>
          </w:p>
        </w:tc>
        <w:tc>
          <w:tcPr>
            <w:tcW w:w="994" w:type="dxa"/>
            <w:shd w:val="clear" w:color="auto" w:fill="auto"/>
            <w:vAlign w:val="center"/>
            <w:hideMark/>
          </w:tcPr>
          <w:p w14:paraId="0DF08150" w14:textId="3DDCB57D" w:rsidR="00DD39F8" w:rsidRPr="00A1552F" w:rsidRDefault="00DD39F8" w:rsidP="00C95C77">
            <w:pPr>
              <w:jc w:val="both"/>
            </w:pPr>
            <w:r>
              <w:t>0</w:t>
            </w:r>
          </w:p>
        </w:tc>
        <w:tc>
          <w:tcPr>
            <w:tcW w:w="1420" w:type="dxa"/>
            <w:shd w:val="clear" w:color="auto" w:fill="auto"/>
            <w:vAlign w:val="center"/>
            <w:hideMark/>
          </w:tcPr>
          <w:p w14:paraId="5E9D927B" w14:textId="572B4683" w:rsidR="00DD39F8" w:rsidRPr="00A1552F" w:rsidRDefault="00DD39F8" w:rsidP="00C95C77">
            <w:pPr>
              <w:jc w:val="both"/>
            </w:pPr>
            <w:r>
              <w:t>0</w:t>
            </w:r>
          </w:p>
        </w:tc>
      </w:tr>
      <w:tr w:rsidR="00F431C1" w:rsidRPr="00A1552F" w14:paraId="03CC28B8"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2B24DD03" w14:textId="77777777" w:rsidR="00DD39F8" w:rsidRPr="00A1552F" w:rsidRDefault="00DD39F8" w:rsidP="00C95C77">
            <w:r w:rsidRPr="00A1552F">
              <w:t>3.2. speciālais budžets</w:t>
            </w:r>
          </w:p>
        </w:tc>
        <w:tc>
          <w:tcPr>
            <w:tcW w:w="925" w:type="dxa"/>
            <w:gridSpan w:val="2"/>
            <w:shd w:val="clear" w:color="auto" w:fill="auto"/>
            <w:vAlign w:val="center"/>
            <w:hideMark/>
          </w:tcPr>
          <w:p w14:paraId="403F7CAE" w14:textId="323D0215" w:rsidR="00DD39F8" w:rsidRPr="00A1552F" w:rsidRDefault="00DD39F8" w:rsidP="00C95C77">
            <w:pPr>
              <w:jc w:val="both"/>
            </w:pPr>
            <w:r>
              <w:t>0</w:t>
            </w:r>
          </w:p>
        </w:tc>
        <w:tc>
          <w:tcPr>
            <w:tcW w:w="992" w:type="dxa"/>
            <w:shd w:val="clear" w:color="auto" w:fill="auto"/>
            <w:vAlign w:val="center"/>
            <w:hideMark/>
          </w:tcPr>
          <w:p w14:paraId="5E9EE8B7" w14:textId="6985A815" w:rsidR="00DD39F8" w:rsidRPr="00A1552F" w:rsidRDefault="00DD39F8" w:rsidP="00C95C77">
            <w:pPr>
              <w:jc w:val="both"/>
            </w:pPr>
            <w:r>
              <w:t>0</w:t>
            </w:r>
          </w:p>
        </w:tc>
        <w:tc>
          <w:tcPr>
            <w:tcW w:w="849" w:type="dxa"/>
            <w:shd w:val="clear" w:color="auto" w:fill="auto"/>
            <w:vAlign w:val="center"/>
            <w:hideMark/>
          </w:tcPr>
          <w:p w14:paraId="11529597" w14:textId="478E2045" w:rsidR="00DD39F8" w:rsidRPr="00A1552F" w:rsidRDefault="00DD39F8" w:rsidP="00C95C77">
            <w:pPr>
              <w:jc w:val="both"/>
            </w:pPr>
            <w:r>
              <w:t>0</w:t>
            </w:r>
          </w:p>
        </w:tc>
        <w:tc>
          <w:tcPr>
            <w:tcW w:w="994" w:type="dxa"/>
            <w:shd w:val="clear" w:color="auto" w:fill="auto"/>
            <w:vAlign w:val="center"/>
            <w:hideMark/>
          </w:tcPr>
          <w:p w14:paraId="284184EB" w14:textId="3278CD76" w:rsidR="00DD39F8" w:rsidRPr="00A1552F" w:rsidRDefault="00DD39F8" w:rsidP="00C95C77">
            <w:pPr>
              <w:jc w:val="both"/>
            </w:pPr>
            <w:r>
              <w:t>0</w:t>
            </w:r>
          </w:p>
        </w:tc>
        <w:tc>
          <w:tcPr>
            <w:tcW w:w="848" w:type="dxa"/>
            <w:shd w:val="clear" w:color="auto" w:fill="auto"/>
            <w:vAlign w:val="center"/>
            <w:hideMark/>
          </w:tcPr>
          <w:p w14:paraId="7494F4A6" w14:textId="5F6EEBE7" w:rsidR="00DD39F8" w:rsidRPr="00A1552F" w:rsidRDefault="00DD39F8" w:rsidP="00C95C77">
            <w:pPr>
              <w:jc w:val="both"/>
            </w:pPr>
            <w:r>
              <w:t>0</w:t>
            </w:r>
          </w:p>
        </w:tc>
        <w:tc>
          <w:tcPr>
            <w:tcW w:w="994" w:type="dxa"/>
            <w:shd w:val="clear" w:color="auto" w:fill="auto"/>
            <w:vAlign w:val="center"/>
            <w:hideMark/>
          </w:tcPr>
          <w:p w14:paraId="117A76E0" w14:textId="3D5CD40F" w:rsidR="00DD39F8" w:rsidRPr="00A1552F" w:rsidRDefault="00DD39F8" w:rsidP="00C95C77">
            <w:pPr>
              <w:jc w:val="both"/>
            </w:pPr>
            <w:r>
              <w:t>0</w:t>
            </w:r>
          </w:p>
        </w:tc>
        <w:tc>
          <w:tcPr>
            <w:tcW w:w="1420" w:type="dxa"/>
            <w:shd w:val="clear" w:color="auto" w:fill="auto"/>
            <w:vAlign w:val="center"/>
            <w:hideMark/>
          </w:tcPr>
          <w:p w14:paraId="222F1883" w14:textId="2D4026CE" w:rsidR="00DD39F8" w:rsidRPr="00A1552F" w:rsidRDefault="00DD39F8" w:rsidP="00C95C77">
            <w:pPr>
              <w:jc w:val="both"/>
            </w:pPr>
            <w:r>
              <w:t>0</w:t>
            </w:r>
          </w:p>
        </w:tc>
      </w:tr>
      <w:tr w:rsidR="00F431C1" w:rsidRPr="00A1552F" w14:paraId="4E35E350"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4A42C720" w14:textId="77777777" w:rsidR="00DD39F8" w:rsidRPr="00A1552F" w:rsidRDefault="00DD39F8" w:rsidP="00C95C77">
            <w:r w:rsidRPr="00A1552F">
              <w:t>3.3. pašvaldību budžets</w:t>
            </w:r>
          </w:p>
        </w:tc>
        <w:tc>
          <w:tcPr>
            <w:tcW w:w="925" w:type="dxa"/>
            <w:gridSpan w:val="2"/>
            <w:shd w:val="clear" w:color="auto" w:fill="auto"/>
            <w:vAlign w:val="center"/>
            <w:hideMark/>
          </w:tcPr>
          <w:p w14:paraId="7EDDFDDF" w14:textId="111D8122" w:rsidR="00DD39F8" w:rsidRPr="00A1552F" w:rsidRDefault="00DD39F8" w:rsidP="00C95C77">
            <w:pPr>
              <w:jc w:val="both"/>
            </w:pPr>
            <w:r>
              <w:t>0</w:t>
            </w:r>
          </w:p>
        </w:tc>
        <w:tc>
          <w:tcPr>
            <w:tcW w:w="992" w:type="dxa"/>
            <w:shd w:val="clear" w:color="auto" w:fill="auto"/>
            <w:vAlign w:val="center"/>
            <w:hideMark/>
          </w:tcPr>
          <w:p w14:paraId="25615FC1" w14:textId="33EFB617" w:rsidR="00DD39F8" w:rsidRPr="00A1552F" w:rsidRDefault="00DD39F8" w:rsidP="00C95C77">
            <w:pPr>
              <w:jc w:val="both"/>
            </w:pPr>
            <w:r>
              <w:t>0</w:t>
            </w:r>
          </w:p>
        </w:tc>
        <w:tc>
          <w:tcPr>
            <w:tcW w:w="849" w:type="dxa"/>
            <w:shd w:val="clear" w:color="auto" w:fill="auto"/>
            <w:vAlign w:val="center"/>
            <w:hideMark/>
          </w:tcPr>
          <w:p w14:paraId="23A33FD0" w14:textId="0E2967CD" w:rsidR="00DD39F8" w:rsidRPr="00A1552F" w:rsidRDefault="00DD39F8" w:rsidP="00C95C77">
            <w:pPr>
              <w:jc w:val="both"/>
            </w:pPr>
            <w:r>
              <w:t>0</w:t>
            </w:r>
          </w:p>
        </w:tc>
        <w:tc>
          <w:tcPr>
            <w:tcW w:w="994" w:type="dxa"/>
            <w:shd w:val="clear" w:color="auto" w:fill="auto"/>
            <w:vAlign w:val="center"/>
            <w:hideMark/>
          </w:tcPr>
          <w:p w14:paraId="48D3DA17" w14:textId="657FD5F9" w:rsidR="00DD39F8" w:rsidRPr="00A1552F" w:rsidRDefault="00DD39F8" w:rsidP="00C95C77">
            <w:pPr>
              <w:jc w:val="both"/>
            </w:pPr>
            <w:r>
              <w:t>0</w:t>
            </w:r>
          </w:p>
        </w:tc>
        <w:tc>
          <w:tcPr>
            <w:tcW w:w="848" w:type="dxa"/>
            <w:shd w:val="clear" w:color="auto" w:fill="auto"/>
            <w:vAlign w:val="center"/>
            <w:hideMark/>
          </w:tcPr>
          <w:p w14:paraId="026281CC" w14:textId="74409BA1" w:rsidR="00DD39F8" w:rsidRPr="00A1552F" w:rsidRDefault="00DD39F8" w:rsidP="00C95C77">
            <w:pPr>
              <w:jc w:val="both"/>
            </w:pPr>
            <w:r>
              <w:t>0</w:t>
            </w:r>
          </w:p>
        </w:tc>
        <w:tc>
          <w:tcPr>
            <w:tcW w:w="994" w:type="dxa"/>
            <w:shd w:val="clear" w:color="auto" w:fill="auto"/>
            <w:vAlign w:val="center"/>
            <w:hideMark/>
          </w:tcPr>
          <w:p w14:paraId="181A0FA2" w14:textId="6D9F5816" w:rsidR="00DD39F8" w:rsidRPr="00A1552F" w:rsidRDefault="00DD39F8" w:rsidP="00C95C77">
            <w:pPr>
              <w:jc w:val="both"/>
            </w:pPr>
            <w:r>
              <w:t>0</w:t>
            </w:r>
          </w:p>
        </w:tc>
        <w:tc>
          <w:tcPr>
            <w:tcW w:w="1420" w:type="dxa"/>
            <w:shd w:val="clear" w:color="auto" w:fill="auto"/>
            <w:vAlign w:val="center"/>
            <w:hideMark/>
          </w:tcPr>
          <w:p w14:paraId="3AD666E3" w14:textId="150333B7" w:rsidR="00DD39F8" w:rsidRPr="00A1552F" w:rsidRDefault="00DD39F8" w:rsidP="00C95C77">
            <w:pPr>
              <w:jc w:val="both"/>
            </w:pPr>
            <w:r>
              <w:t>0</w:t>
            </w:r>
          </w:p>
        </w:tc>
      </w:tr>
      <w:tr w:rsidR="00F431C1" w:rsidRPr="00A1552F" w14:paraId="53932DB6"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045E4D88" w14:textId="77777777" w:rsidR="00DD39F8" w:rsidRPr="00A1552F" w:rsidRDefault="00DD39F8" w:rsidP="00C95C77">
            <w:r w:rsidRPr="00A1552F">
              <w:t>4. Finanšu līdzekļi papildu izdevumu finansēšanai (kompensējošu izdevumu samazinājumu norāda ar "+" zīmi)</w:t>
            </w:r>
          </w:p>
        </w:tc>
        <w:tc>
          <w:tcPr>
            <w:tcW w:w="925" w:type="dxa"/>
            <w:gridSpan w:val="2"/>
            <w:shd w:val="clear" w:color="auto" w:fill="auto"/>
            <w:vAlign w:val="center"/>
            <w:hideMark/>
          </w:tcPr>
          <w:p w14:paraId="30D1093D" w14:textId="060C3FA1" w:rsidR="00DD39F8" w:rsidRPr="00A1552F" w:rsidRDefault="0040178D" w:rsidP="00C95C77">
            <w:pPr>
              <w:jc w:val="both"/>
            </w:pPr>
            <w:r>
              <w:t>X</w:t>
            </w:r>
          </w:p>
        </w:tc>
        <w:tc>
          <w:tcPr>
            <w:tcW w:w="992" w:type="dxa"/>
            <w:shd w:val="clear" w:color="auto" w:fill="auto"/>
            <w:vAlign w:val="center"/>
            <w:hideMark/>
          </w:tcPr>
          <w:p w14:paraId="5E5C30CA" w14:textId="558BE20E" w:rsidR="00DD39F8" w:rsidRPr="00A1552F" w:rsidRDefault="00DD39F8" w:rsidP="00C95C77">
            <w:pPr>
              <w:jc w:val="both"/>
            </w:pPr>
            <w:r>
              <w:t>0</w:t>
            </w:r>
          </w:p>
        </w:tc>
        <w:tc>
          <w:tcPr>
            <w:tcW w:w="849" w:type="dxa"/>
            <w:shd w:val="clear" w:color="auto" w:fill="auto"/>
            <w:vAlign w:val="center"/>
            <w:hideMark/>
          </w:tcPr>
          <w:p w14:paraId="11C8A81A" w14:textId="39587B2A" w:rsidR="00DD39F8" w:rsidRPr="00A1552F" w:rsidRDefault="0040178D" w:rsidP="00C95C77">
            <w:pPr>
              <w:jc w:val="both"/>
            </w:pPr>
            <w:r>
              <w:t>X</w:t>
            </w:r>
          </w:p>
        </w:tc>
        <w:tc>
          <w:tcPr>
            <w:tcW w:w="994" w:type="dxa"/>
            <w:shd w:val="clear" w:color="auto" w:fill="auto"/>
            <w:vAlign w:val="center"/>
            <w:hideMark/>
          </w:tcPr>
          <w:p w14:paraId="59E5A471" w14:textId="38C2548B" w:rsidR="00DD39F8" w:rsidRPr="00A1552F" w:rsidRDefault="00DD39F8" w:rsidP="00C95C77">
            <w:pPr>
              <w:jc w:val="both"/>
            </w:pPr>
            <w:r>
              <w:t>0</w:t>
            </w:r>
          </w:p>
        </w:tc>
        <w:tc>
          <w:tcPr>
            <w:tcW w:w="848" w:type="dxa"/>
            <w:shd w:val="clear" w:color="auto" w:fill="auto"/>
            <w:vAlign w:val="center"/>
            <w:hideMark/>
          </w:tcPr>
          <w:p w14:paraId="59E26954" w14:textId="6388FA42" w:rsidR="00DD39F8" w:rsidRPr="00A1552F" w:rsidRDefault="0040178D" w:rsidP="00C95C77">
            <w:pPr>
              <w:jc w:val="both"/>
            </w:pPr>
            <w:r>
              <w:t>X</w:t>
            </w:r>
          </w:p>
        </w:tc>
        <w:tc>
          <w:tcPr>
            <w:tcW w:w="994" w:type="dxa"/>
            <w:shd w:val="clear" w:color="auto" w:fill="auto"/>
            <w:vAlign w:val="center"/>
            <w:hideMark/>
          </w:tcPr>
          <w:p w14:paraId="5DEF9308" w14:textId="2918720E" w:rsidR="00DD39F8" w:rsidRPr="00A1552F" w:rsidRDefault="00DD39F8" w:rsidP="00C95C77">
            <w:pPr>
              <w:jc w:val="both"/>
            </w:pPr>
            <w:r>
              <w:t>0</w:t>
            </w:r>
          </w:p>
        </w:tc>
        <w:tc>
          <w:tcPr>
            <w:tcW w:w="1420" w:type="dxa"/>
            <w:shd w:val="clear" w:color="auto" w:fill="auto"/>
            <w:vAlign w:val="center"/>
            <w:hideMark/>
          </w:tcPr>
          <w:p w14:paraId="4AE879BD" w14:textId="29DC5895" w:rsidR="00DD39F8" w:rsidRPr="00A1552F" w:rsidRDefault="00DD39F8" w:rsidP="00C95C77">
            <w:pPr>
              <w:jc w:val="both"/>
            </w:pPr>
            <w:r>
              <w:t>0</w:t>
            </w:r>
          </w:p>
        </w:tc>
      </w:tr>
      <w:tr w:rsidR="00F431C1" w:rsidRPr="00A1552F" w14:paraId="3E4CE1AB"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504D8817" w14:textId="77777777" w:rsidR="00DD39F8" w:rsidRPr="00A1552F" w:rsidRDefault="00DD39F8" w:rsidP="00C95C77">
            <w:r w:rsidRPr="00A1552F">
              <w:t>5. Precizēta finansiālā ietekme</w:t>
            </w:r>
          </w:p>
        </w:tc>
        <w:tc>
          <w:tcPr>
            <w:tcW w:w="925" w:type="dxa"/>
            <w:gridSpan w:val="2"/>
            <w:vMerge w:val="restart"/>
            <w:shd w:val="clear" w:color="auto" w:fill="auto"/>
            <w:vAlign w:val="center"/>
            <w:hideMark/>
          </w:tcPr>
          <w:p w14:paraId="496AC68D" w14:textId="206A0D4A" w:rsidR="00DD39F8" w:rsidRPr="00A1552F" w:rsidRDefault="0040178D" w:rsidP="00C95C77">
            <w:pPr>
              <w:jc w:val="both"/>
            </w:pPr>
            <w:r>
              <w:t>X</w:t>
            </w:r>
          </w:p>
        </w:tc>
        <w:tc>
          <w:tcPr>
            <w:tcW w:w="992" w:type="dxa"/>
            <w:shd w:val="clear" w:color="auto" w:fill="auto"/>
            <w:vAlign w:val="center"/>
            <w:hideMark/>
          </w:tcPr>
          <w:p w14:paraId="204FF427" w14:textId="5E537E4C" w:rsidR="00DD39F8" w:rsidRPr="00A1552F" w:rsidRDefault="00DD39F8" w:rsidP="00C95C77">
            <w:pPr>
              <w:jc w:val="both"/>
            </w:pPr>
            <w:r>
              <w:t>0</w:t>
            </w:r>
          </w:p>
        </w:tc>
        <w:tc>
          <w:tcPr>
            <w:tcW w:w="849" w:type="dxa"/>
            <w:vMerge w:val="restart"/>
            <w:shd w:val="clear" w:color="auto" w:fill="auto"/>
            <w:vAlign w:val="center"/>
            <w:hideMark/>
          </w:tcPr>
          <w:p w14:paraId="36564958" w14:textId="6E0DE147" w:rsidR="00DD39F8" w:rsidRPr="00A1552F" w:rsidRDefault="0040178D" w:rsidP="00C95C77">
            <w:pPr>
              <w:jc w:val="both"/>
            </w:pPr>
            <w:r>
              <w:t>X</w:t>
            </w:r>
          </w:p>
        </w:tc>
        <w:tc>
          <w:tcPr>
            <w:tcW w:w="994" w:type="dxa"/>
            <w:shd w:val="clear" w:color="auto" w:fill="auto"/>
            <w:vAlign w:val="center"/>
            <w:hideMark/>
          </w:tcPr>
          <w:p w14:paraId="27489242" w14:textId="18BF8D1A" w:rsidR="00DD39F8" w:rsidRPr="00A1552F" w:rsidRDefault="000D29E8" w:rsidP="00C95C77">
            <w:pPr>
              <w:jc w:val="both"/>
            </w:pPr>
            <w:r>
              <w:t>0</w:t>
            </w:r>
          </w:p>
        </w:tc>
        <w:tc>
          <w:tcPr>
            <w:tcW w:w="848" w:type="dxa"/>
            <w:vMerge w:val="restart"/>
            <w:shd w:val="clear" w:color="auto" w:fill="auto"/>
            <w:vAlign w:val="center"/>
            <w:hideMark/>
          </w:tcPr>
          <w:p w14:paraId="261FA6ED" w14:textId="7C2066D4" w:rsidR="00DD39F8" w:rsidRPr="00A1552F" w:rsidRDefault="0040178D" w:rsidP="00C95C77">
            <w:pPr>
              <w:jc w:val="both"/>
            </w:pPr>
            <w:r>
              <w:t>X</w:t>
            </w:r>
          </w:p>
        </w:tc>
        <w:tc>
          <w:tcPr>
            <w:tcW w:w="994" w:type="dxa"/>
            <w:shd w:val="clear" w:color="auto" w:fill="auto"/>
            <w:vAlign w:val="center"/>
            <w:hideMark/>
          </w:tcPr>
          <w:p w14:paraId="27538760" w14:textId="2800BD14" w:rsidR="00DD39F8" w:rsidRPr="00A1552F" w:rsidRDefault="000D29E8" w:rsidP="00C95C77">
            <w:pPr>
              <w:jc w:val="both"/>
            </w:pPr>
            <w:r>
              <w:t>0</w:t>
            </w:r>
          </w:p>
        </w:tc>
        <w:tc>
          <w:tcPr>
            <w:tcW w:w="1420" w:type="dxa"/>
            <w:shd w:val="clear" w:color="auto" w:fill="auto"/>
            <w:vAlign w:val="center"/>
            <w:hideMark/>
          </w:tcPr>
          <w:p w14:paraId="4A7D26F8" w14:textId="461F9B95" w:rsidR="00DD39F8" w:rsidRPr="00A1552F" w:rsidRDefault="000D29E8" w:rsidP="00C95C77">
            <w:pPr>
              <w:jc w:val="both"/>
            </w:pPr>
            <w:r>
              <w:t>0</w:t>
            </w:r>
          </w:p>
        </w:tc>
      </w:tr>
      <w:tr w:rsidR="00F431C1" w:rsidRPr="00A1552F" w14:paraId="47E9F8BD"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267A3457" w14:textId="77777777" w:rsidR="00DD39F8" w:rsidRPr="00A1552F" w:rsidRDefault="00DD39F8" w:rsidP="00C95C77">
            <w:r w:rsidRPr="00A1552F">
              <w:t>5.1. valsts pamatbudžets</w:t>
            </w:r>
          </w:p>
        </w:tc>
        <w:tc>
          <w:tcPr>
            <w:tcW w:w="925" w:type="dxa"/>
            <w:gridSpan w:val="2"/>
            <w:vMerge/>
            <w:shd w:val="clear" w:color="auto" w:fill="auto"/>
            <w:vAlign w:val="center"/>
            <w:hideMark/>
          </w:tcPr>
          <w:p w14:paraId="3936B191" w14:textId="77777777" w:rsidR="00DD39F8" w:rsidRPr="00A1552F" w:rsidRDefault="00DD39F8" w:rsidP="00C95C77">
            <w:pPr>
              <w:jc w:val="both"/>
            </w:pPr>
          </w:p>
        </w:tc>
        <w:tc>
          <w:tcPr>
            <w:tcW w:w="992" w:type="dxa"/>
            <w:shd w:val="clear" w:color="auto" w:fill="auto"/>
            <w:vAlign w:val="center"/>
            <w:hideMark/>
          </w:tcPr>
          <w:p w14:paraId="0246D7DA" w14:textId="6586B837" w:rsidR="00DD39F8" w:rsidRPr="00A1552F" w:rsidRDefault="000D29E8" w:rsidP="00C95C77">
            <w:pPr>
              <w:jc w:val="both"/>
            </w:pPr>
            <w:r>
              <w:t>0</w:t>
            </w:r>
          </w:p>
        </w:tc>
        <w:tc>
          <w:tcPr>
            <w:tcW w:w="849" w:type="dxa"/>
            <w:vMerge/>
            <w:shd w:val="clear" w:color="auto" w:fill="auto"/>
            <w:vAlign w:val="center"/>
            <w:hideMark/>
          </w:tcPr>
          <w:p w14:paraId="72D3874E" w14:textId="77777777" w:rsidR="00DD39F8" w:rsidRPr="00A1552F" w:rsidRDefault="00DD39F8" w:rsidP="00C95C77">
            <w:pPr>
              <w:jc w:val="both"/>
            </w:pPr>
          </w:p>
        </w:tc>
        <w:tc>
          <w:tcPr>
            <w:tcW w:w="994" w:type="dxa"/>
            <w:shd w:val="clear" w:color="auto" w:fill="auto"/>
            <w:vAlign w:val="center"/>
            <w:hideMark/>
          </w:tcPr>
          <w:p w14:paraId="37FAB59F" w14:textId="0794D0E0" w:rsidR="00DD39F8" w:rsidRPr="00A1552F" w:rsidRDefault="000D29E8" w:rsidP="00C95C77">
            <w:pPr>
              <w:jc w:val="both"/>
            </w:pPr>
            <w:r>
              <w:t>0</w:t>
            </w:r>
          </w:p>
        </w:tc>
        <w:tc>
          <w:tcPr>
            <w:tcW w:w="848" w:type="dxa"/>
            <w:vMerge/>
            <w:shd w:val="clear" w:color="auto" w:fill="auto"/>
            <w:vAlign w:val="center"/>
            <w:hideMark/>
          </w:tcPr>
          <w:p w14:paraId="2816701A" w14:textId="77777777" w:rsidR="00DD39F8" w:rsidRPr="00A1552F" w:rsidRDefault="00DD39F8" w:rsidP="00C95C77">
            <w:pPr>
              <w:jc w:val="both"/>
            </w:pPr>
          </w:p>
        </w:tc>
        <w:tc>
          <w:tcPr>
            <w:tcW w:w="994" w:type="dxa"/>
            <w:shd w:val="clear" w:color="auto" w:fill="auto"/>
            <w:vAlign w:val="center"/>
            <w:hideMark/>
          </w:tcPr>
          <w:p w14:paraId="7FD75907" w14:textId="3F625DB1" w:rsidR="00DD39F8" w:rsidRPr="00A1552F" w:rsidRDefault="000D29E8" w:rsidP="00C95C77">
            <w:pPr>
              <w:jc w:val="both"/>
            </w:pPr>
            <w:r>
              <w:t>0</w:t>
            </w:r>
          </w:p>
        </w:tc>
        <w:tc>
          <w:tcPr>
            <w:tcW w:w="1420" w:type="dxa"/>
            <w:shd w:val="clear" w:color="auto" w:fill="auto"/>
            <w:vAlign w:val="center"/>
            <w:hideMark/>
          </w:tcPr>
          <w:p w14:paraId="037F5B9B" w14:textId="45A08669" w:rsidR="00DD39F8" w:rsidRPr="00A1552F" w:rsidRDefault="000D29E8" w:rsidP="00C95C77">
            <w:pPr>
              <w:jc w:val="both"/>
            </w:pPr>
            <w:r>
              <w:t>0</w:t>
            </w:r>
          </w:p>
        </w:tc>
      </w:tr>
      <w:tr w:rsidR="00F431C1" w:rsidRPr="00A1552F" w14:paraId="5BDD0981"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75F843AC" w14:textId="77777777" w:rsidR="00DD39F8" w:rsidRPr="00A1552F" w:rsidRDefault="00DD39F8" w:rsidP="00C95C77">
            <w:r w:rsidRPr="00A1552F">
              <w:t>5.2. speciālais budžets</w:t>
            </w:r>
          </w:p>
        </w:tc>
        <w:tc>
          <w:tcPr>
            <w:tcW w:w="925" w:type="dxa"/>
            <w:gridSpan w:val="2"/>
            <w:vMerge/>
            <w:shd w:val="clear" w:color="auto" w:fill="auto"/>
            <w:vAlign w:val="center"/>
            <w:hideMark/>
          </w:tcPr>
          <w:p w14:paraId="50491598" w14:textId="77777777" w:rsidR="00DD39F8" w:rsidRPr="00A1552F" w:rsidRDefault="00DD39F8" w:rsidP="00C95C77">
            <w:pPr>
              <w:jc w:val="both"/>
            </w:pPr>
          </w:p>
        </w:tc>
        <w:tc>
          <w:tcPr>
            <w:tcW w:w="992" w:type="dxa"/>
            <w:shd w:val="clear" w:color="auto" w:fill="auto"/>
            <w:vAlign w:val="center"/>
            <w:hideMark/>
          </w:tcPr>
          <w:p w14:paraId="1ECE48A7" w14:textId="7C55F6B6" w:rsidR="00DD39F8" w:rsidRPr="00A1552F" w:rsidRDefault="000D29E8" w:rsidP="00C95C77">
            <w:pPr>
              <w:jc w:val="both"/>
            </w:pPr>
            <w:r>
              <w:t>0</w:t>
            </w:r>
          </w:p>
        </w:tc>
        <w:tc>
          <w:tcPr>
            <w:tcW w:w="849" w:type="dxa"/>
            <w:vMerge/>
            <w:shd w:val="clear" w:color="auto" w:fill="auto"/>
            <w:vAlign w:val="center"/>
            <w:hideMark/>
          </w:tcPr>
          <w:p w14:paraId="6AC5FFBD" w14:textId="77777777" w:rsidR="00DD39F8" w:rsidRPr="00A1552F" w:rsidRDefault="00DD39F8" w:rsidP="00C95C77">
            <w:pPr>
              <w:jc w:val="both"/>
            </w:pPr>
          </w:p>
        </w:tc>
        <w:tc>
          <w:tcPr>
            <w:tcW w:w="994" w:type="dxa"/>
            <w:shd w:val="clear" w:color="auto" w:fill="auto"/>
            <w:vAlign w:val="center"/>
            <w:hideMark/>
          </w:tcPr>
          <w:p w14:paraId="48F0E408" w14:textId="731DDE37" w:rsidR="00DD39F8" w:rsidRPr="00A1552F" w:rsidRDefault="000D29E8" w:rsidP="00C95C77">
            <w:pPr>
              <w:jc w:val="both"/>
            </w:pPr>
            <w:r>
              <w:t>0</w:t>
            </w:r>
          </w:p>
        </w:tc>
        <w:tc>
          <w:tcPr>
            <w:tcW w:w="848" w:type="dxa"/>
            <w:vMerge/>
            <w:shd w:val="clear" w:color="auto" w:fill="auto"/>
            <w:vAlign w:val="center"/>
            <w:hideMark/>
          </w:tcPr>
          <w:p w14:paraId="5C68CFCF" w14:textId="77777777" w:rsidR="00DD39F8" w:rsidRPr="00A1552F" w:rsidRDefault="00DD39F8" w:rsidP="00C95C77">
            <w:pPr>
              <w:jc w:val="both"/>
            </w:pPr>
          </w:p>
        </w:tc>
        <w:tc>
          <w:tcPr>
            <w:tcW w:w="994" w:type="dxa"/>
            <w:shd w:val="clear" w:color="auto" w:fill="auto"/>
            <w:vAlign w:val="center"/>
            <w:hideMark/>
          </w:tcPr>
          <w:p w14:paraId="3BF92E49" w14:textId="3BB11655" w:rsidR="00DD39F8" w:rsidRPr="00A1552F" w:rsidRDefault="000D29E8" w:rsidP="00C95C77">
            <w:pPr>
              <w:jc w:val="both"/>
            </w:pPr>
            <w:r>
              <w:t>0</w:t>
            </w:r>
          </w:p>
        </w:tc>
        <w:tc>
          <w:tcPr>
            <w:tcW w:w="1420" w:type="dxa"/>
            <w:shd w:val="clear" w:color="auto" w:fill="auto"/>
            <w:vAlign w:val="center"/>
            <w:hideMark/>
          </w:tcPr>
          <w:p w14:paraId="61718A8C" w14:textId="3A513779" w:rsidR="00DD39F8" w:rsidRPr="00A1552F" w:rsidRDefault="000D29E8" w:rsidP="00C95C77">
            <w:pPr>
              <w:jc w:val="both"/>
            </w:pPr>
            <w:r>
              <w:t>0</w:t>
            </w:r>
          </w:p>
        </w:tc>
      </w:tr>
      <w:tr w:rsidR="00F431C1" w:rsidRPr="00A1552F" w14:paraId="623BDD9B"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49C2823D" w14:textId="77777777" w:rsidR="00DD39F8" w:rsidRPr="00A1552F" w:rsidRDefault="00DD39F8" w:rsidP="00C95C77">
            <w:r w:rsidRPr="00A1552F">
              <w:t>5.3. pašvaldību budžets</w:t>
            </w:r>
          </w:p>
        </w:tc>
        <w:tc>
          <w:tcPr>
            <w:tcW w:w="925" w:type="dxa"/>
            <w:gridSpan w:val="2"/>
            <w:vMerge/>
            <w:shd w:val="clear" w:color="auto" w:fill="auto"/>
            <w:vAlign w:val="center"/>
            <w:hideMark/>
          </w:tcPr>
          <w:p w14:paraId="460B38F9" w14:textId="77777777" w:rsidR="00DD39F8" w:rsidRPr="00A1552F" w:rsidRDefault="00DD39F8" w:rsidP="00C95C77">
            <w:pPr>
              <w:jc w:val="both"/>
            </w:pPr>
          </w:p>
        </w:tc>
        <w:tc>
          <w:tcPr>
            <w:tcW w:w="992" w:type="dxa"/>
            <w:shd w:val="clear" w:color="auto" w:fill="auto"/>
            <w:vAlign w:val="center"/>
            <w:hideMark/>
          </w:tcPr>
          <w:p w14:paraId="379587FE" w14:textId="08E69111" w:rsidR="00DD39F8" w:rsidRPr="00A1552F" w:rsidRDefault="000D29E8" w:rsidP="00C95C77">
            <w:pPr>
              <w:jc w:val="both"/>
            </w:pPr>
            <w:r>
              <w:t>0</w:t>
            </w:r>
          </w:p>
        </w:tc>
        <w:tc>
          <w:tcPr>
            <w:tcW w:w="849" w:type="dxa"/>
            <w:vMerge/>
            <w:shd w:val="clear" w:color="auto" w:fill="auto"/>
            <w:vAlign w:val="center"/>
            <w:hideMark/>
          </w:tcPr>
          <w:p w14:paraId="7E8EE573" w14:textId="77777777" w:rsidR="00DD39F8" w:rsidRPr="00A1552F" w:rsidRDefault="00DD39F8" w:rsidP="00C95C77">
            <w:pPr>
              <w:jc w:val="both"/>
            </w:pPr>
          </w:p>
        </w:tc>
        <w:tc>
          <w:tcPr>
            <w:tcW w:w="994" w:type="dxa"/>
            <w:shd w:val="clear" w:color="auto" w:fill="auto"/>
            <w:vAlign w:val="center"/>
            <w:hideMark/>
          </w:tcPr>
          <w:p w14:paraId="4B05663C" w14:textId="5BE2D0B3" w:rsidR="00DD39F8" w:rsidRPr="00A1552F" w:rsidRDefault="000D29E8" w:rsidP="00C95C77">
            <w:pPr>
              <w:jc w:val="both"/>
            </w:pPr>
            <w:r>
              <w:t>0</w:t>
            </w:r>
          </w:p>
        </w:tc>
        <w:tc>
          <w:tcPr>
            <w:tcW w:w="848" w:type="dxa"/>
            <w:vMerge/>
            <w:shd w:val="clear" w:color="auto" w:fill="auto"/>
            <w:vAlign w:val="center"/>
            <w:hideMark/>
          </w:tcPr>
          <w:p w14:paraId="292FF692" w14:textId="77777777" w:rsidR="00DD39F8" w:rsidRPr="00A1552F" w:rsidRDefault="00DD39F8" w:rsidP="00C95C77">
            <w:pPr>
              <w:jc w:val="both"/>
            </w:pPr>
          </w:p>
        </w:tc>
        <w:tc>
          <w:tcPr>
            <w:tcW w:w="994" w:type="dxa"/>
            <w:shd w:val="clear" w:color="auto" w:fill="auto"/>
            <w:vAlign w:val="center"/>
            <w:hideMark/>
          </w:tcPr>
          <w:p w14:paraId="301312A9" w14:textId="13B29C37" w:rsidR="00DD39F8" w:rsidRPr="00A1552F" w:rsidRDefault="000D29E8" w:rsidP="00C95C77">
            <w:pPr>
              <w:jc w:val="both"/>
            </w:pPr>
            <w:r>
              <w:t>0</w:t>
            </w:r>
          </w:p>
        </w:tc>
        <w:tc>
          <w:tcPr>
            <w:tcW w:w="1420" w:type="dxa"/>
            <w:shd w:val="clear" w:color="auto" w:fill="auto"/>
            <w:vAlign w:val="center"/>
            <w:hideMark/>
          </w:tcPr>
          <w:p w14:paraId="66BFAC24" w14:textId="58C9E1D1" w:rsidR="00DD39F8" w:rsidRPr="00A1552F" w:rsidRDefault="000D29E8" w:rsidP="00C95C77">
            <w:pPr>
              <w:jc w:val="both"/>
            </w:pPr>
            <w:r>
              <w:t>0</w:t>
            </w:r>
          </w:p>
        </w:tc>
      </w:tr>
      <w:tr w:rsidR="00DD39F8" w:rsidRPr="00A1552F" w14:paraId="76158811"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2DB17F2B" w14:textId="77777777" w:rsidR="00DD39F8" w:rsidRPr="00A1552F" w:rsidRDefault="00DD39F8" w:rsidP="00C95C77">
            <w:r w:rsidRPr="00A1552F">
              <w:t>6. Detalizēts ieņēmumu un izdevumu aprēķins (ja nepieciešams, detalizētu ieņēmumu un izdevumu aprēķinu var pievienot anotācijas pielikumā)</w:t>
            </w:r>
          </w:p>
        </w:tc>
        <w:tc>
          <w:tcPr>
            <w:tcW w:w="7022" w:type="dxa"/>
            <w:gridSpan w:val="8"/>
            <w:vMerge w:val="restart"/>
            <w:shd w:val="clear" w:color="auto" w:fill="auto"/>
            <w:vAlign w:val="center"/>
            <w:hideMark/>
          </w:tcPr>
          <w:p w14:paraId="0D6851C4" w14:textId="2A1AFBC3" w:rsidR="00DD39F8" w:rsidRPr="00A1552F" w:rsidRDefault="00DD39F8" w:rsidP="00C95C77">
            <w:pPr>
              <w:jc w:val="both"/>
            </w:pPr>
            <w:r>
              <w:t>Nav.</w:t>
            </w:r>
          </w:p>
        </w:tc>
      </w:tr>
      <w:tr w:rsidR="00DD39F8" w:rsidRPr="00A1552F" w14:paraId="462B8073"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3311F966" w14:textId="77777777" w:rsidR="00DD39F8" w:rsidRPr="00A1552F" w:rsidRDefault="00DD39F8" w:rsidP="00C95C77">
            <w:r w:rsidRPr="00A1552F">
              <w:t>6.1. detalizēts ieņēmumu aprēķins</w:t>
            </w:r>
          </w:p>
        </w:tc>
        <w:tc>
          <w:tcPr>
            <w:tcW w:w="7022" w:type="dxa"/>
            <w:gridSpan w:val="8"/>
            <w:vMerge/>
            <w:shd w:val="clear" w:color="auto" w:fill="auto"/>
            <w:vAlign w:val="center"/>
            <w:hideMark/>
          </w:tcPr>
          <w:p w14:paraId="53999665" w14:textId="77777777" w:rsidR="00DD39F8" w:rsidRPr="00A1552F" w:rsidRDefault="00DD39F8" w:rsidP="00C95C77">
            <w:pPr>
              <w:jc w:val="both"/>
            </w:pPr>
          </w:p>
        </w:tc>
      </w:tr>
      <w:tr w:rsidR="00DD39F8" w:rsidRPr="00A1552F" w14:paraId="0F65A047"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0DEB9ADD" w14:textId="77777777" w:rsidR="00DD39F8" w:rsidRPr="00A1552F" w:rsidRDefault="00DD39F8" w:rsidP="00C95C77">
            <w:r w:rsidRPr="00A1552F">
              <w:t>6.2. detalizēts izdevumu aprēķins</w:t>
            </w:r>
          </w:p>
        </w:tc>
        <w:tc>
          <w:tcPr>
            <w:tcW w:w="7022" w:type="dxa"/>
            <w:gridSpan w:val="8"/>
            <w:vMerge/>
            <w:shd w:val="clear" w:color="auto" w:fill="auto"/>
            <w:vAlign w:val="center"/>
            <w:hideMark/>
          </w:tcPr>
          <w:p w14:paraId="22A0D705" w14:textId="77777777" w:rsidR="00DD39F8" w:rsidRPr="00A1552F" w:rsidRDefault="00DD39F8" w:rsidP="00C95C77">
            <w:pPr>
              <w:jc w:val="both"/>
            </w:pPr>
          </w:p>
        </w:tc>
      </w:tr>
      <w:tr w:rsidR="00DD39F8" w:rsidRPr="00A1552F" w14:paraId="5DAFCBBA"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48C285E1" w14:textId="77777777" w:rsidR="00DD39F8" w:rsidRPr="00A1552F" w:rsidRDefault="00DD39F8" w:rsidP="00C95C77">
            <w:r w:rsidRPr="00A1552F">
              <w:t>7. Amata vietu skaita izmaiņas</w:t>
            </w:r>
          </w:p>
        </w:tc>
        <w:tc>
          <w:tcPr>
            <w:tcW w:w="7022" w:type="dxa"/>
            <w:gridSpan w:val="8"/>
            <w:shd w:val="clear" w:color="auto" w:fill="auto"/>
            <w:hideMark/>
          </w:tcPr>
          <w:p w14:paraId="6996EA84" w14:textId="1D41311F" w:rsidR="00DD39F8" w:rsidRPr="00A1552F" w:rsidRDefault="00DD39F8" w:rsidP="00C95C77">
            <w:pPr>
              <w:jc w:val="both"/>
            </w:pPr>
            <w:r>
              <w:t>Nav.</w:t>
            </w:r>
          </w:p>
        </w:tc>
      </w:tr>
      <w:tr w:rsidR="00DD39F8" w:rsidRPr="00A1552F" w14:paraId="44C602A4" w14:textId="77777777" w:rsidTr="00480CA2">
        <w:tblPrEx>
          <w:tblCellMar>
            <w:top w:w="28" w:type="dxa"/>
            <w:left w:w="28" w:type="dxa"/>
            <w:bottom w:w="28" w:type="dxa"/>
            <w:right w:w="28" w:type="dxa"/>
          </w:tblCellMar>
        </w:tblPrEx>
        <w:trPr>
          <w:gridBefore w:val="1"/>
          <w:wBefore w:w="14" w:type="dxa"/>
          <w:cantSplit/>
        </w:trPr>
        <w:tc>
          <w:tcPr>
            <w:tcW w:w="2609" w:type="dxa"/>
            <w:gridSpan w:val="2"/>
            <w:shd w:val="clear" w:color="auto" w:fill="auto"/>
            <w:hideMark/>
          </w:tcPr>
          <w:p w14:paraId="3C278F7D" w14:textId="77777777" w:rsidR="00DD39F8" w:rsidRPr="00A1552F" w:rsidRDefault="00DD39F8" w:rsidP="00C95C77">
            <w:r w:rsidRPr="00A1552F">
              <w:t>8. Cita informācija</w:t>
            </w:r>
          </w:p>
        </w:tc>
        <w:tc>
          <w:tcPr>
            <w:tcW w:w="7022" w:type="dxa"/>
            <w:gridSpan w:val="8"/>
            <w:shd w:val="clear" w:color="auto" w:fill="auto"/>
            <w:hideMark/>
          </w:tcPr>
          <w:p w14:paraId="1D3B69EB" w14:textId="3C3F862A" w:rsidR="00DD39F8" w:rsidRPr="00005D3C" w:rsidRDefault="00DD39F8" w:rsidP="00DE7F34">
            <w:pPr>
              <w:ind w:firstLine="325"/>
              <w:jc w:val="both"/>
            </w:pPr>
            <w:r w:rsidRPr="00005D3C">
              <w:t xml:space="preserve">VAS </w:t>
            </w:r>
            <w:r w:rsidRPr="00005D3C">
              <w:rPr>
                <w:bCs/>
              </w:rPr>
              <w:t>"Tiesu namu aģentūra"</w:t>
            </w:r>
            <w:r w:rsidRPr="00005D3C">
              <w:t xml:space="preserve"> 2017.</w:t>
            </w:r>
            <w:r w:rsidR="00DE7F34">
              <w:t> </w:t>
            </w:r>
            <w:r w:rsidRPr="00005D3C">
              <w:t>gada kopējā tīrā peļņa</w:t>
            </w:r>
            <w:r w:rsidR="00480CA2">
              <w:t> </w:t>
            </w:r>
            <w:r w:rsidRPr="00005D3C">
              <w:t>685 145 </w:t>
            </w:r>
            <w:proofErr w:type="spellStart"/>
            <w:r w:rsidR="00AB74E1" w:rsidRPr="00DE7F34">
              <w:rPr>
                <w:i/>
              </w:rPr>
              <w:t>euro</w:t>
            </w:r>
            <w:proofErr w:type="spellEnd"/>
            <w:r w:rsidRPr="00005D3C">
              <w:t xml:space="preserve"> veidojas no divām daļām:</w:t>
            </w:r>
          </w:p>
          <w:p w14:paraId="0B5B1924" w14:textId="53C5B301" w:rsidR="00DD39F8" w:rsidRPr="00005D3C" w:rsidRDefault="00DD39F8" w:rsidP="00DE7F34">
            <w:pPr>
              <w:ind w:firstLine="325"/>
              <w:jc w:val="both"/>
            </w:pPr>
            <w:r w:rsidRPr="00005D3C">
              <w:t>1) 127 064 </w:t>
            </w:r>
            <w:proofErr w:type="spellStart"/>
            <w:r w:rsidR="00AB74E1" w:rsidRPr="00DE7F34">
              <w:rPr>
                <w:i/>
              </w:rPr>
              <w:t>euro</w:t>
            </w:r>
            <w:proofErr w:type="spellEnd"/>
            <w:r w:rsidR="00AB74E1" w:rsidRPr="00005D3C">
              <w:t xml:space="preserve"> </w:t>
            </w:r>
            <w:r w:rsidRPr="00005D3C">
              <w:t>plānotā un prognozētā peļņa no 2017.</w:t>
            </w:r>
            <w:r w:rsidR="00DE7F34">
              <w:t> </w:t>
            </w:r>
            <w:r w:rsidRPr="00005D3C">
              <w:t>gada darbības rezultāta;</w:t>
            </w:r>
          </w:p>
          <w:p w14:paraId="40E03978" w14:textId="565A8A0F" w:rsidR="00DD39F8" w:rsidRPr="00005D3C" w:rsidRDefault="00DD39F8" w:rsidP="00DE7F34">
            <w:pPr>
              <w:ind w:firstLine="325"/>
              <w:jc w:val="both"/>
            </w:pPr>
            <w:r w:rsidRPr="00005D3C">
              <w:t>2) 558 081</w:t>
            </w:r>
            <w:r w:rsidR="00AB74E1">
              <w:t> </w:t>
            </w:r>
            <w:proofErr w:type="spellStart"/>
            <w:r w:rsidR="00AB74E1" w:rsidRPr="00DE7F34">
              <w:rPr>
                <w:i/>
              </w:rPr>
              <w:t>euro</w:t>
            </w:r>
            <w:proofErr w:type="spellEnd"/>
            <w:r w:rsidRPr="00005D3C">
              <w:t xml:space="preserve"> neparedzētā peļņas daļa, kas izveidojusies, ņemot vērā Latvijas valstī veikto nodokļu reformu, kā rezultātā daudzu gadu garumā VAS </w:t>
            </w:r>
            <w:r w:rsidRPr="00005D3C">
              <w:rPr>
                <w:bCs/>
              </w:rPr>
              <w:t xml:space="preserve">"Tiesu namu aģentūra" </w:t>
            </w:r>
            <w:r w:rsidRPr="00005D3C">
              <w:t>veiktie aprēķini atliktā uzņēmuma ienākuma nodokļa saistībām neplānoti vienā gadā ir atzīstami pārskata gada ieņēmumos.</w:t>
            </w:r>
          </w:p>
          <w:p w14:paraId="75097DB1" w14:textId="76B5D339" w:rsidR="00DD39F8" w:rsidRPr="00005D3C" w:rsidRDefault="00DD39F8" w:rsidP="00DE7F34">
            <w:pPr>
              <w:ind w:firstLine="325"/>
              <w:jc w:val="both"/>
            </w:pPr>
            <w:r w:rsidRPr="00005D3C">
              <w:t xml:space="preserve">Saskaņā ar likuma </w:t>
            </w:r>
            <w:r w:rsidR="00AB74E1">
              <w:t>"</w:t>
            </w:r>
            <w:r w:rsidRPr="00005D3C">
              <w:t>Par vidēja termiņa budžeta ietvaru 2017., 2018. un 2019.</w:t>
            </w:r>
            <w:r w:rsidR="00DE7F34">
              <w:t> </w:t>
            </w:r>
            <w:r w:rsidRPr="00005D3C">
              <w:t>gadam</w:t>
            </w:r>
            <w:r w:rsidR="00AB74E1">
              <w:t>"</w:t>
            </w:r>
            <w:r w:rsidRPr="00005D3C">
              <w:t xml:space="preserve"> 19.</w:t>
            </w:r>
            <w:r w:rsidR="00DE7F34">
              <w:t> </w:t>
            </w:r>
            <w:r w:rsidRPr="00005D3C">
              <w:t>pantu minimālo dividendēs izmaksājamo peļņas daļu par 2017. pārskata gadu kapitālsabiedrībām, kurās visas kapitāla daļas tieši vai pastarpināti pieder valstij, nosaka un aprēķina 80</w:t>
            </w:r>
            <w:r w:rsidR="00DE7F34">
              <w:t> %</w:t>
            </w:r>
            <w:r w:rsidRPr="00005D3C">
              <w:t xml:space="preserve"> apmērā no attiecīgās kapitālsabiedrības tīrās peļņas. 80</w:t>
            </w:r>
            <w:r w:rsidR="00DE7F34">
              <w:t> </w:t>
            </w:r>
            <w:r w:rsidRPr="00005D3C">
              <w:t>% no 2017.</w:t>
            </w:r>
            <w:r w:rsidR="00AB74E1">
              <w:t> </w:t>
            </w:r>
            <w:r w:rsidRPr="00005D3C">
              <w:t>gada kopējās tīrās peļņas ir 101</w:t>
            </w:r>
            <w:r w:rsidR="00DE7F34">
              <w:t> </w:t>
            </w:r>
            <w:r w:rsidRPr="00005D3C">
              <w:t>651,20 </w:t>
            </w:r>
            <w:proofErr w:type="spellStart"/>
            <w:r w:rsidR="00AB74E1" w:rsidRPr="00DE7F34">
              <w:rPr>
                <w:i/>
              </w:rPr>
              <w:t>euro</w:t>
            </w:r>
            <w:proofErr w:type="spellEnd"/>
            <w:r w:rsidRPr="00005D3C">
              <w:t>.</w:t>
            </w:r>
          </w:p>
          <w:p w14:paraId="54B87DFC" w14:textId="1942B99C" w:rsidR="00DD39F8" w:rsidRPr="00A1552F" w:rsidRDefault="00DD39F8" w:rsidP="00DE7F34">
            <w:pPr>
              <w:ind w:firstLine="325"/>
              <w:jc w:val="both"/>
            </w:pPr>
            <w:r w:rsidRPr="00005D3C">
              <w:t>Faktiski lēmumam nav ietekmes uz valsts budžetu, jo minētā peļņas daļa 558 081</w:t>
            </w:r>
            <w:r w:rsidR="00AB74E1">
              <w:t> </w:t>
            </w:r>
            <w:proofErr w:type="spellStart"/>
            <w:r w:rsidR="00AB74E1" w:rsidRPr="00DE7F34">
              <w:rPr>
                <w:i/>
              </w:rPr>
              <w:t>euro</w:t>
            </w:r>
            <w:proofErr w:type="spellEnd"/>
            <w:r w:rsidRPr="00005D3C">
              <w:t xml:space="preserve"> veidojās 2017.</w:t>
            </w:r>
            <w:r w:rsidR="00DE7F34">
              <w:t> </w:t>
            </w:r>
            <w:r w:rsidRPr="00005D3C">
              <w:t>gadā valstī veiktās nodokļu reformas rezultātā un iepriekš plānošanas dokumentos nebija paredzēta. Līdz ar to dividendes no šīs summas nav ieplānotas 2018.</w:t>
            </w:r>
            <w:r w:rsidR="00DE7F34">
              <w:t> </w:t>
            </w:r>
            <w:r w:rsidRPr="00005D3C">
              <w:t>gada valsts budžetā.</w:t>
            </w:r>
          </w:p>
        </w:tc>
      </w:tr>
      <w:tr w:rsidR="00C865BF" w:rsidRPr="00086A43" w14:paraId="151F8F01" w14:textId="77777777" w:rsidTr="00480CA2">
        <w:tc>
          <w:tcPr>
            <w:tcW w:w="9640" w:type="dxa"/>
            <w:gridSpan w:val="11"/>
            <w:shd w:val="clear" w:color="auto" w:fill="auto"/>
          </w:tcPr>
          <w:p w14:paraId="527CB459" w14:textId="38753AC0" w:rsidR="00C865BF" w:rsidRPr="00086A43" w:rsidRDefault="00C865BF" w:rsidP="00480CA2">
            <w:pPr>
              <w:ind w:firstLine="300"/>
              <w:jc w:val="center"/>
              <w:rPr>
                <w:b/>
                <w:bCs/>
              </w:rPr>
            </w:pPr>
            <w:r w:rsidRPr="00086A43">
              <w:rPr>
                <w:b/>
                <w:bCs/>
              </w:rPr>
              <w:t>IV. Tiesību akta projekta ietekme uz spēkā esošo tiesību normu sistēmu</w:t>
            </w:r>
          </w:p>
        </w:tc>
      </w:tr>
      <w:tr w:rsidR="00C865BF" w:rsidRPr="00086A43" w14:paraId="6BDDD4F6" w14:textId="77777777" w:rsidTr="00480CA2">
        <w:tc>
          <w:tcPr>
            <w:tcW w:w="9640" w:type="dxa"/>
            <w:gridSpan w:val="11"/>
            <w:shd w:val="clear" w:color="auto" w:fill="auto"/>
          </w:tcPr>
          <w:p w14:paraId="76BDD694" w14:textId="77777777" w:rsidR="00C865BF" w:rsidRPr="00086A43" w:rsidRDefault="00C865BF" w:rsidP="0047681A">
            <w:pPr>
              <w:ind w:firstLine="300"/>
              <w:jc w:val="center"/>
              <w:rPr>
                <w:b/>
                <w:bCs/>
              </w:rPr>
            </w:pPr>
            <w:r w:rsidRPr="00086A43">
              <w:rPr>
                <w:bCs/>
              </w:rPr>
              <w:lastRenderedPageBreak/>
              <w:t>Projekts šo jomu neskar.</w:t>
            </w:r>
          </w:p>
        </w:tc>
      </w:tr>
      <w:tr w:rsidR="00C865BF" w:rsidRPr="00086A43" w14:paraId="05DFEE3D" w14:textId="77777777" w:rsidTr="00480CA2">
        <w:tc>
          <w:tcPr>
            <w:tcW w:w="9640" w:type="dxa"/>
            <w:gridSpan w:val="11"/>
            <w:shd w:val="clear" w:color="auto" w:fill="auto"/>
          </w:tcPr>
          <w:p w14:paraId="383FE278" w14:textId="77777777" w:rsidR="00C865BF" w:rsidRPr="00086A43" w:rsidRDefault="00C865BF" w:rsidP="0047681A">
            <w:pPr>
              <w:ind w:firstLine="300"/>
              <w:jc w:val="center"/>
              <w:rPr>
                <w:bCs/>
              </w:rPr>
            </w:pPr>
          </w:p>
        </w:tc>
      </w:tr>
      <w:tr w:rsidR="00C865BF" w:rsidRPr="00086A43" w14:paraId="3E539D99" w14:textId="77777777" w:rsidTr="00480CA2">
        <w:tc>
          <w:tcPr>
            <w:tcW w:w="9640" w:type="dxa"/>
            <w:gridSpan w:val="11"/>
            <w:shd w:val="clear" w:color="auto" w:fill="auto"/>
          </w:tcPr>
          <w:p w14:paraId="30D6DFC7" w14:textId="045BBA23" w:rsidR="00C865BF" w:rsidRPr="00086A43" w:rsidRDefault="00C865BF" w:rsidP="00480CA2">
            <w:pPr>
              <w:ind w:firstLine="300"/>
              <w:jc w:val="center"/>
              <w:rPr>
                <w:b/>
                <w:bCs/>
              </w:rPr>
            </w:pPr>
            <w:r w:rsidRPr="00086A43">
              <w:rPr>
                <w:b/>
                <w:bCs/>
              </w:rPr>
              <w:t>V. Tiesību akta projekta atbilstība Latvijas Republikas starptautiskajām saistībām</w:t>
            </w:r>
          </w:p>
        </w:tc>
      </w:tr>
      <w:tr w:rsidR="00C865BF" w:rsidRPr="00086A43" w14:paraId="15D65E28" w14:textId="77777777" w:rsidTr="00480CA2">
        <w:tc>
          <w:tcPr>
            <w:tcW w:w="9640" w:type="dxa"/>
            <w:gridSpan w:val="11"/>
            <w:shd w:val="clear" w:color="auto" w:fill="auto"/>
          </w:tcPr>
          <w:p w14:paraId="2DA3F40B" w14:textId="77777777" w:rsidR="00C865BF" w:rsidRDefault="00C865BF" w:rsidP="0047681A">
            <w:pPr>
              <w:ind w:firstLine="300"/>
              <w:jc w:val="center"/>
              <w:rPr>
                <w:bCs/>
              </w:rPr>
            </w:pPr>
            <w:r w:rsidRPr="00086A43">
              <w:rPr>
                <w:bCs/>
              </w:rPr>
              <w:t>Projekts šo jomu neskar.</w:t>
            </w:r>
          </w:p>
          <w:p w14:paraId="28D1DB4A" w14:textId="7A2662A9" w:rsidR="00480CA2" w:rsidRPr="00086A43" w:rsidRDefault="00480CA2" w:rsidP="0047681A">
            <w:pPr>
              <w:ind w:firstLine="300"/>
              <w:jc w:val="center"/>
              <w:rPr>
                <w:b/>
                <w:bCs/>
              </w:rPr>
            </w:pPr>
          </w:p>
        </w:tc>
      </w:tr>
      <w:tr w:rsidR="00C865BF" w:rsidRPr="00086A43" w14:paraId="44581B1C" w14:textId="77777777" w:rsidTr="00480CA2">
        <w:tc>
          <w:tcPr>
            <w:tcW w:w="9640" w:type="dxa"/>
            <w:gridSpan w:val="11"/>
            <w:shd w:val="clear" w:color="auto" w:fill="auto"/>
          </w:tcPr>
          <w:p w14:paraId="5BE6E7D1" w14:textId="77777777" w:rsidR="00C865BF" w:rsidRPr="00086A43" w:rsidRDefault="00C865BF" w:rsidP="0047681A">
            <w:pPr>
              <w:ind w:firstLine="300"/>
              <w:jc w:val="center"/>
              <w:rPr>
                <w:bCs/>
              </w:rPr>
            </w:pPr>
          </w:p>
        </w:tc>
      </w:tr>
      <w:tr w:rsidR="00C865BF" w:rsidRPr="00086A43" w14:paraId="3084F931" w14:textId="77777777" w:rsidTr="00480CA2">
        <w:tc>
          <w:tcPr>
            <w:tcW w:w="9640" w:type="dxa"/>
            <w:gridSpan w:val="11"/>
            <w:shd w:val="clear" w:color="auto" w:fill="auto"/>
          </w:tcPr>
          <w:p w14:paraId="53FD1E6C" w14:textId="05D62424" w:rsidR="00C865BF" w:rsidRPr="00086A43" w:rsidRDefault="00C865BF" w:rsidP="00480CA2">
            <w:pPr>
              <w:ind w:firstLine="300"/>
              <w:jc w:val="center"/>
              <w:rPr>
                <w:b/>
                <w:bCs/>
              </w:rPr>
            </w:pPr>
            <w:r w:rsidRPr="00086A43">
              <w:rPr>
                <w:b/>
                <w:bCs/>
              </w:rPr>
              <w:t>VI. Sabiedrības līdzdalība un komunikācijas aktivitātes</w:t>
            </w:r>
          </w:p>
        </w:tc>
      </w:tr>
      <w:tr w:rsidR="00C865BF" w:rsidRPr="00086A43" w14:paraId="7B769953" w14:textId="77777777" w:rsidTr="00480CA2">
        <w:tc>
          <w:tcPr>
            <w:tcW w:w="9640" w:type="dxa"/>
            <w:gridSpan w:val="11"/>
            <w:shd w:val="clear" w:color="auto" w:fill="auto"/>
          </w:tcPr>
          <w:p w14:paraId="272F5576" w14:textId="77777777" w:rsidR="00C865BF" w:rsidRDefault="00C865BF" w:rsidP="0047681A">
            <w:pPr>
              <w:ind w:firstLine="300"/>
              <w:jc w:val="center"/>
              <w:rPr>
                <w:bCs/>
              </w:rPr>
            </w:pPr>
            <w:r w:rsidRPr="00086A43">
              <w:rPr>
                <w:bCs/>
              </w:rPr>
              <w:t>Projekts šo jomu neskar.</w:t>
            </w:r>
          </w:p>
          <w:p w14:paraId="7858A31D" w14:textId="033519E7" w:rsidR="00480CA2" w:rsidRPr="00086A43" w:rsidRDefault="00480CA2" w:rsidP="0047681A">
            <w:pPr>
              <w:ind w:firstLine="300"/>
              <w:jc w:val="center"/>
              <w:rPr>
                <w:b/>
                <w:bCs/>
              </w:rPr>
            </w:pPr>
          </w:p>
        </w:tc>
      </w:tr>
      <w:tr w:rsidR="00390B8B" w:rsidRPr="00086A43" w14:paraId="1A91BC4D" w14:textId="77777777" w:rsidTr="00480CA2">
        <w:tc>
          <w:tcPr>
            <w:tcW w:w="9640" w:type="dxa"/>
            <w:gridSpan w:val="11"/>
            <w:shd w:val="clear" w:color="auto" w:fill="auto"/>
          </w:tcPr>
          <w:p w14:paraId="63A0600D" w14:textId="77777777" w:rsidR="00390B8B" w:rsidRPr="00086A43" w:rsidRDefault="00390B8B" w:rsidP="001E5489">
            <w:pPr>
              <w:pStyle w:val="naisf"/>
              <w:spacing w:before="0" w:after="0"/>
              <w:ind w:firstLine="0"/>
              <w:jc w:val="center"/>
            </w:pPr>
            <w:r w:rsidRPr="00086A43">
              <w:rPr>
                <w:b/>
              </w:rPr>
              <w:t>VII. Tiesību akta projekta izpildes nodrošināšana un tās ietekme uz institūcijām</w:t>
            </w:r>
          </w:p>
        </w:tc>
      </w:tr>
      <w:tr w:rsidR="001E5489" w:rsidRPr="00086A43" w14:paraId="37A0CBC0" w14:textId="77777777" w:rsidTr="00480CA2">
        <w:tc>
          <w:tcPr>
            <w:tcW w:w="700" w:type="dxa"/>
            <w:gridSpan w:val="2"/>
            <w:shd w:val="clear" w:color="auto" w:fill="auto"/>
          </w:tcPr>
          <w:p w14:paraId="63F186D3" w14:textId="77777777" w:rsidR="00390B8B" w:rsidRPr="00086A43" w:rsidRDefault="00390B8B" w:rsidP="001E5489">
            <w:pPr>
              <w:pStyle w:val="naisf"/>
              <w:spacing w:before="0" w:after="0"/>
              <w:ind w:firstLine="0"/>
            </w:pPr>
            <w:r w:rsidRPr="00086A43">
              <w:t>1.</w:t>
            </w:r>
          </w:p>
        </w:tc>
        <w:tc>
          <w:tcPr>
            <w:tcW w:w="2373" w:type="dxa"/>
            <w:gridSpan w:val="2"/>
            <w:shd w:val="clear" w:color="auto" w:fill="auto"/>
          </w:tcPr>
          <w:p w14:paraId="43CE36FA" w14:textId="77777777" w:rsidR="00390B8B" w:rsidRPr="00086A43" w:rsidRDefault="00390B8B" w:rsidP="001E5489">
            <w:pPr>
              <w:pStyle w:val="naisf"/>
              <w:spacing w:before="0" w:after="0"/>
              <w:ind w:firstLine="0"/>
            </w:pPr>
            <w:r w:rsidRPr="00086A43">
              <w:t>Projekta izpildē iesaistītās institūcijas</w:t>
            </w:r>
          </w:p>
        </w:tc>
        <w:tc>
          <w:tcPr>
            <w:tcW w:w="6567" w:type="dxa"/>
            <w:gridSpan w:val="7"/>
            <w:shd w:val="clear" w:color="auto" w:fill="auto"/>
          </w:tcPr>
          <w:p w14:paraId="591FE4FE" w14:textId="0AF09B71" w:rsidR="00390B8B" w:rsidRPr="00086A43" w:rsidRDefault="009E2C55" w:rsidP="00480CA2">
            <w:pPr>
              <w:pStyle w:val="naisf"/>
              <w:spacing w:before="0" w:after="0"/>
              <w:ind w:firstLine="369"/>
            </w:pPr>
            <w:r w:rsidRPr="00086A43">
              <w:t>Tieslietu ministrija, VAS</w:t>
            </w:r>
            <w:r w:rsidR="00AB74E1">
              <w:t xml:space="preserve"> "</w:t>
            </w:r>
            <w:r w:rsidRPr="00086A43">
              <w:t>Tiesu namu aģentūra</w:t>
            </w:r>
            <w:r w:rsidR="00AB74E1">
              <w:t>"</w:t>
            </w:r>
            <w:r w:rsidR="00390B8B" w:rsidRPr="00086A43">
              <w:t>.</w:t>
            </w:r>
          </w:p>
        </w:tc>
      </w:tr>
      <w:tr w:rsidR="001E5489" w:rsidRPr="00086A43" w14:paraId="77864CAD" w14:textId="77777777" w:rsidTr="00480CA2">
        <w:tc>
          <w:tcPr>
            <w:tcW w:w="700" w:type="dxa"/>
            <w:gridSpan w:val="2"/>
            <w:shd w:val="clear" w:color="auto" w:fill="auto"/>
          </w:tcPr>
          <w:p w14:paraId="2EB558AC" w14:textId="77777777" w:rsidR="00390B8B" w:rsidRPr="00086A43" w:rsidRDefault="00390B8B" w:rsidP="001E5489">
            <w:pPr>
              <w:pStyle w:val="naisf"/>
              <w:spacing w:before="0" w:after="0"/>
              <w:ind w:firstLine="0"/>
            </w:pPr>
            <w:r w:rsidRPr="00086A43">
              <w:t>2.</w:t>
            </w:r>
          </w:p>
        </w:tc>
        <w:tc>
          <w:tcPr>
            <w:tcW w:w="2373" w:type="dxa"/>
            <w:gridSpan w:val="2"/>
            <w:shd w:val="clear" w:color="auto" w:fill="auto"/>
          </w:tcPr>
          <w:p w14:paraId="7E1782BE" w14:textId="769793B2" w:rsidR="00390B8B" w:rsidRPr="00086A43" w:rsidRDefault="00390B8B" w:rsidP="001E5489">
            <w:pPr>
              <w:pStyle w:val="naisf"/>
              <w:spacing w:before="0" w:after="0"/>
              <w:ind w:firstLine="0"/>
            </w:pPr>
            <w:r w:rsidRPr="00086A43">
              <w:t>Projekta izpildes ietekme uz pārvaldes funkcijām un institucionālo struktūru. Jaunu institūciju izveide, esošu institūciju likvidācija vai reorganizācija, to ietekme uz institūcijas cilvēkresursiem</w:t>
            </w:r>
          </w:p>
        </w:tc>
        <w:tc>
          <w:tcPr>
            <w:tcW w:w="6567" w:type="dxa"/>
            <w:gridSpan w:val="7"/>
            <w:shd w:val="clear" w:color="auto" w:fill="auto"/>
          </w:tcPr>
          <w:p w14:paraId="66FF9F11" w14:textId="7A5D3D24" w:rsidR="00390B8B" w:rsidRPr="00086A43" w:rsidRDefault="00390B8B" w:rsidP="00480CA2">
            <w:pPr>
              <w:pStyle w:val="naisf"/>
              <w:spacing w:before="0" w:after="0"/>
              <w:ind w:firstLine="369"/>
            </w:pPr>
            <w:r w:rsidRPr="00086A43">
              <w:t xml:space="preserve">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w:t>
            </w:r>
            <w:r w:rsidR="005A09BE" w:rsidRPr="00086A43">
              <w:t xml:space="preserve">cilvēkresursiem un finanšu </w:t>
            </w:r>
            <w:r w:rsidRPr="00086A43">
              <w:t>resursiem.</w:t>
            </w:r>
          </w:p>
        </w:tc>
      </w:tr>
      <w:tr w:rsidR="001E5489" w:rsidRPr="00086A43" w14:paraId="617C8E55" w14:textId="77777777" w:rsidTr="00480CA2">
        <w:tc>
          <w:tcPr>
            <w:tcW w:w="700" w:type="dxa"/>
            <w:gridSpan w:val="2"/>
            <w:shd w:val="clear" w:color="auto" w:fill="auto"/>
          </w:tcPr>
          <w:p w14:paraId="76389290" w14:textId="77777777" w:rsidR="00390B8B" w:rsidRPr="00086A43" w:rsidRDefault="00390B8B" w:rsidP="001E5489">
            <w:pPr>
              <w:pStyle w:val="naisf"/>
              <w:spacing w:before="0" w:after="0"/>
              <w:ind w:firstLine="0"/>
            </w:pPr>
            <w:r w:rsidRPr="00086A43">
              <w:t>3.</w:t>
            </w:r>
          </w:p>
        </w:tc>
        <w:tc>
          <w:tcPr>
            <w:tcW w:w="2373" w:type="dxa"/>
            <w:gridSpan w:val="2"/>
            <w:shd w:val="clear" w:color="auto" w:fill="auto"/>
          </w:tcPr>
          <w:p w14:paraId="735B991E" w14:textId="77777777" w:rsidR="00390B8B" w:rsidRPr="00086A43" w:rsidRDefault="00390B8B" w:rsidP="001E5489">
            <w:pPr>
              <w:pStyle w:val="naisf"/>
              <w:spacing w:before="0" w:after="0"/>
              <w:ind w:firstLine="0"/>
            </w:pPr>
            <w:r w:rsidRPr="00086A43">
              <w:t>Cita informācija</w:t>
            </w:r>
          </w:p>
        </w:tc>
        <w:tc>
          <w:tcPr>
            <w:tcW w:w="6567" w:type="dxa"/>
            <w:gridSpan w:val="7"/>
            <w:shd w:val="clear" w:color="auto" w:fill="auto"/>
          </w:tcPr>
          <w:p w14:paraId="182DE799" w14:textId="3C521860" w:rsidR="00390B8B" w:rsidRPr="00086A43" w:rsidRDefault="00390B8B" w:rsidP="00480CA2">
            <w:pPr>
              <w:pStyle w:val="naisf"/>
              <w:spacing w:before="0" w:after="0"/>
              <w:ind w:firstLine="369"/>
            </w:pPr>
            <w:r w:rsidRPr="00086A43">
              <w:t>Nav</w:t>
            </w:r>
            <w:r w:rsidR="005A09BE" w:rsidRPr="00086A43">
              <w:t>.</w:t>
            </w:r>
          </w:p>
          <w:p w14:paraId="1C0E0904" w14:textId="103D3BDB" w:rsidR="00D722CD" w:rsidRPr="00086A43" w:rsidRDefault="00D722CD" w:rsidP="00480CA2">
            <w:pPr>
              <w:pStyle w:val="naisf"/>
              <w:spacing w:before="0" w:after="0"/>
              <w:ind w:firstLine="369"/>
            </w:pPr>
          </w:p>
        </w:tc>
      </w:tr>
    </w:tbl>
    <w:p w14:paraId="2C1604F8" w14:textId="77777777" w:rsidR="00EF41F3" w:rsidRPr="00086A43" w:rsidRDefault="00EF41F3" w:rsidP="00332C7B">
      <w:pPr>
        <w:tabs>
          <w:tab w:val="left" w:pos="6521"/>
        </w:tabs>
        <w:jc w:val="both"/>
      </w:pPr>
    </w:p>
    <w:p w14:paraId="174B5E7F" w14:textId="77777777" w:rsidR="00FD0B66" w:rsidRPr="00086A43" w:rsidRDefault="00FD0B66" w:rsidP="00332C7B">
      <w:pPr>
        <w:tabs>
          <w:tab w:val="left" w:pos="6521"/>
        </w:tabs>
        <w:jc w:val="both"/>
      </w:pPr>
    </w:p>
    <w:p w14:paraId="36B9A9BF" w14:textId="77777777" w:rsidR="00A56E1A" w:rsidRPr="00086A43" w:rsidRDefault="00A56E1A" w:rsidP="00313122">
      <w:pPr>
        <w:ind w:left="-284"/>
        <w:jc w:val="both"/>
        <w:rPr>
          <w:bCs/>
        </w:rPr>
      </w:pPr>
      <w:r w:rsidRPr="00086A43">
        <w:rPr>
          <w:bCs/>
        </w:rPr>
        <w:t>Iesniedzējs:</w:t>
      </w:r>
    </w:p>
    <w:p w14:paraId="3F3D248C" w14:textId="7CB908E3" w:rsidR="00A56E1A" w:rsidRPr="00086A43" w:rsidRDefault="00A3505E" w:rsidP="00313122">
      <w:pPr>
        <w:tabs>
          <w:tab w:val="left" w:pos="7088"/>
        </w:tabs>
        <w:ind w:left="-284"/>
        <w:jc w:val="both"/>
        <w:rPr>
          <w:bCs/>
        </w:rPr>
      </w:pPr>
      <w:r>
        <w:t>tieslietu ministr</w:t>
      </w:r>
      <w:r w:rsidR="00546D20">
        <w:t>s</w:t>
      </w:r>
      <w:r w:rsidR="00DE7F34">
        <w:rPr>
          <w:bCs/>
        </w:rPr>
        <w:tab/>
      </w:r>
      <w:r w:rsidR="00546D20">
        <w:rPr>
          <w:rFonts w:eastAsia="Calibri"/>
        </w:rPr>
        <w:t>Dzintars Rasnačs</w:t>
      </w:r>
      <w:bookmarkStart w:id="3" w:name="_GoBack"/>
      <w:bookmarkEnd w:id="3"/>
    </w:p>
    <w:p w14:paraId="50509C2B" w14:textId="77777777" w:rsidR="00963848" w:rsidRPr="00086A43" w:rsidRDefault="00963848" w:rsidP="00313122">
      <w:pPr>
        <w:pStyle w:val="Galvene"/>
        <w:tabs>
          <w:tab w:val="clear" w:pos="4153"/>
          <w:tab w:val="clear" w:pos="8306"/>
        </w:tabs>
        <w:ind w:left="-284"/>
      </w:pPr>
    </w:p>
    <w:p w14:paraId="7D6FB52F" w14:textId="77777777" w:rsidR="00D8409F" w:rsidRDefault="00D8409F" w:rsidP="00313122">
      <w:pPr>
        <w:pStyle w:val="Galvene"/>
        <w:tabs>
          <w:tab w:val="clear" w:pos="4153"/>
          <w:tab w:val="clear" w:pos="8306"/>
        </w:tabs>
        <w:ind w:left="-284"/>
      </w:pPr>
    </w:p>
    <w:p w14:paraId="4EDADB26" w14:textId="4DC687E7" w:rsidR="00FD0B66" w:rsidRPr="00DE7F34" w:rsidRDefault="00A56E1A" w:rsidP="00313122">
      <w:pPr>
        <w:pStyle w:val="Galvene"/>
        <w:tabs>
          <w:tab w:val="clear" w:pos="4153"/>
          <w:tab w:val="clear" w:pos="8306"/>
        </w:tabs>
        <w:ind w:left="-284"/>
        <w:rPr>
          <w:sz w:val="22"/>
          <w:szCs w:val="22"/>
        </w:rPr>
      </w:pPr>
      <w:r w:rsidRPr="00DE7F34">
        <w:rPr>
          <w:sz w:val="22"/>
          <w:szCs w:val="22"/>
        </w:rPr>
        <w:t>Elksnis</w:t>
      </w:r>
      <w:r w:rsidR="00FD0B66" w:rsidRPr="00DE7F34">
        <w:rPr>
          <w:sz w:val="22"/>
          <w:szCs w:val="22"/>
        </w:rPr>
        <w:t xml:space="preserve"> </w:t>
      </w:r>
      <w:r w:rsidRPr="00DE7F34">
        <w:rPr>
          <w:sz w:val="22"/>
          <w:szCs w:val="22"/>
        </w:rPr>
        <w:t>67804737</w:t>
      </w:r>
    </w:p>
    <w:p w14:paraId="0DBCCB59" w14:textId="36823ECC" w:rsidR="000E6876" w:rsidRPr="00DE7F34" w:rsidRDefault="00546D20" w:rsidP="00313122">
      <w:pPr>
        <w:pStyle w:val="Galvene"/>
        <w:tabs>
          <w:tab w:val="clear" w:pos="4153"/>
          <w:tab w:val="clear" w:pos="8306"/>
        </w:tabs>
        <w:ind w:left="-284"/>
        <w:rPr>
          <w:sz w:val="22"/>
          <w:szCs w:val="22"/>
        </w:rPr>
      </w:pPr>
      <w:hyperlink r:id="rId11" w:history="1">
        <w:r w:rsidR="009E3085" w:rsidRPr="008D57F1">
          <w:rPr>
            <w:rStyle w:val="Hipersaite"/>
            <w:sz w:val="22"/>
            <w:szCs w:val="22"/>
          </w:rPr>
          <w:t>Gunars.Elksnis@tna.lv</w:t>
        </w:r>
      </w:hyperlink>
    </w:p>
    <w:sectPr w:rsidR="000E6876" w:rsidRPr="00DE7F34" w:rsidSect="00DE7F3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A36A" w14:textId="77777777" w:rsidR="00CA0FE3" w:rsidRDefault="00CA0FE3">
      <w:r>
        <w:separator/>
      </w:r>
    </w:p>
  </w:endnote>
  <w:endnote w:type="continuationSeparator" w:id="0">
    <w:p w14:paraId="01012341" w14:textId="77777777" w:rsidR="00CA0FE3" w:rsidRDefault="00C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DokChampa">
    <w:altName w:val="DokChampa"/>
    <w:charset w:val="DE"/>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BA35" w14:textId="77777777" w:rsidR="003E6AC1" w:rsidRDefault="003E6AC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74F5" w14:textId="1409B63A" w:rsidR="00352CED" w:rsidRPr="003E6AC1" w:rsidRDefault="003E6AC1" w:rsidP="003E6AC1">
    <w:pPr>
      <w:pStyle w:val="Kjene"/>
      <w:rPr>
        <w:sz w:val="22"/>
        <w:szCs w:val="22"/>
      </w:rPr>
    </w:pPr>
    <w:r w:rsidRPr="00086A43">
      <w:rPr>
        <w:sz w:val="20"/>
        <w:szCs w:val="20"/>
      </w:rPr>
      <w:t>TMAnot_</w:t>
    </w:r>
    <w:r w:rsidRPr="003E6AC1">
      <w:rPr>
        <w:sz w:val="22"/>
        <w:szCs w:val="22"/>
      </w:rPr>
      <w:t>100718_dividendes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12A" w14:textId="5ADAB960" w:rsidR="00352CED" w:rsidRPr="003E6AC1" w:rsidRDefault="003E6AC1" w:rsidP="003E6AC1">
    <w:pPr>
      <w:pStyle w:val="Kjene"/>
      <w:rPr>
        <w:sz w:val="22"/>
        <w:szCs w:val="22"/>
      </w:rPr>
    </w:pPr>
    <w:r w:rsidRPr="003E6AC1">
      <w:rPr>
        <w:sz w:val="22"/>
        <w:szCs w:val="22"/>
      </w:rPr>
      <w:t>TMAnot_100718_dividendes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32CD" w14:textId="77777777" w:rsidR="00CA0FE3" w:rsidRDefault="00CA0FE3">
      <w:r>
        <w:separator/>
      </w:r>
    </w:p>
  </w:footnote>
  <w:footnote w:type="continuationSeparator" w:id="0">
    <w:p w14:paraId="0F3E473A" w14:textId="77777777" w:rsidR="00CA0FE3" w:rsidRDefault="00CA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AE2C" w14:textId="77777777" w:rsidR="00352CED" w:rsidRDefault="00352CE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A3087AF" w14:textId="77777777" w:rsidR="00352CED" w:rsidRDefault="00352CE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A572" w14:textId="197A575F" w:rsidR="00352CED" w:rsidRDefault="00352CE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7A16">
      <w:rPr>
        <w:rStyle w:val="Lappusesnumurs"/>
        <w:noProof/>
      </w:rPr>
      <w:t>2</w:t>
    </w:r>
    <w:r>
      <w:rPr>
        <w:rStyle w:val="Lappusesnumurs"/>
      </w:rPr>
      <w:fldChar w:fldCharType="end"/>
    </w:r>
  </w:p>
  <w:p w14:paraId="15EA64AB" w14:textId="77777777" w:rsidR="005872F6" w:rsidRDefault="00587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E074" w14:textId="77777777" w:rsidR="003E6AC1" w:rsidRDefault="003E6A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32595"/>
    <w:multiLevelType w:val="hybridMultilevel"/>
    <w:tmpl w:val="E72AF60E"/>
    <w:lvl w:ilvl="0" w:tplc="FC3E9A7A">
      <w:start w:val="63"/>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1AE9"/>
    <w:rsid w:val="00004CF3"/>
    <w:rsid w:val="00005D3C"/>
    <w:rsid w:val="00007F6C"/>
    <w:rsid w:val="00011D24"/>
    <w:rsid w:val="00011E56"/>
    <w:rsid w:val="00013DB0"/>
    <w:rsid w:val="00013FF4"/>
    <w:rsid w:val="000156E8"/>
    <w:rsid w:val="00020EDF"/>
    <w:rsid w:val="00020FE1"/>
    <w:rsid w:val="000217AF"/>
    <w:rsid w:val="00021C64"/>
    <w:rsid w:val="00021E55"/>
    <w:rsid w:val="000222F8"/>
    <w:rsid w:val="00022626"/>
    <w:rsid w:val="00022E13"/>
    <w:rsid w:val="000248DF"/>
    <w:rsid w:val="00030DDC"/>
    <w:rsid w:val="00030EEA"/>
    <w:rsid w:val="0003115E"/>
    <w:rsid w:val="00032388"/>
    <w:rsid w:val="00032938"/>
    <w:rsid w:val="000353A8"/>
    <w:rsid w:val="00035CE2"/>
    <w:rsid w:val="000417B6"/>
    <w:rsid w:val="00042784"/>
    <w:rsid w:val="00042BB3"/>
    <w:rsid w:val="00043EEC"/>
    <w:rsid w:val="000445F0"/>
    <w:rsid w:val="00046EA8"/>
    <w:rsid w:val="00047582"/>
    <w:rsid w:val="00050324"/>
    <w:rsid w:val="00051C65"/>
    <w:rsid w:val="0005266B"/>
    <w:rsid w:val="00052BEA"/>
    <w:rsid w:val="0005553B"/>
    <w:rsid w:val="0005668A"/>
    <w:rsid w:val="00057A52"/>
    <w:rsid w:val="0006008D"/>
    <w:rsid w:val="000604D2"/>
    <w:rsid w:val="00064757"/>
    <w:rsid w:val="00065155"/>
    <w:rsid w:val="00075BB1"/>
    <w:rsid w:val="00077871"/>
    <w:rsid w:val="00077E37"/>
    <w:rsid w:val="00086A43"/>
    <w:rsid w:val="00087D3E"/>
    <w:rsid w:val="00087F89"/>
    <w:rsid w:val="0009005E"/>
    <w:rsid w:val="00091E3A"/>
    <w:rsid w:val="00093710"/>
    <w:rsid w:val="00093E2F"/>
    <w:rsid w:val="000941C5"/>
    <w:rsid w:val="00096BBF"/>
    <w:rsid w:val="000974C4"/>
    <w:rsid w:val="00097841"/>
    <w:rsid w:val="000A03B1"/>
    <w:rsid w:val="000A0CB4"/>
    <w:rsid w:val="000A1918"/>
    <w:rsid w:val="000A5248"/>
    <w:rsid w:val="000A6451"/>
    <w:rsid w:val="000B064E"/>
    <w:rsid w:val="000B184A"/>
    <w:rsid w:val="000B69CF"/>
    <w:rsid w:val="000C5AF3"/>
    <w:rsid w:val="000C790C"/>
    <w:rsid w:val="000D062C"/>
    <w:rsid w:val="000D29E8"/>
    <w:rsid w:val="000D43BB"/>
    <w:rsid w:val="000D5103"/>
    <w:rsid w:val="000D5185"/>
    <w:rsid w:val="000D596E"/>
    <w:rsid w:val="000D705D"/>
    <w:rsid w:val="000D70BE"/>
    <w:rsid w:val="000D7D07"/>
    <w:rsid w:val="000E0306"/>
    <w:rsid w:val="000E276D"/>
    <w:rsid w:val="000E649E"/>
    <w:rsid w:val="000E6876"/>
    <w:rsid w:val="000F02F1"/>
    <w:rsid w:val="000F061D"/>
    <w:rsid w:val="000F25FB"/>
    <w:rsid w:val="000F4539"/>
    <w:rsid w:val="000F4794"/>
    <w:rsid w:val="00101D7D"/>
    <w:rsid w:val="00103B34"/>
    <w:rsid w:val="001044A1"/>
    <w:rsid w:val="00105487"/>
    <w:rsid w:val="001067DD"/>
    <w:rsid w:val="00107D54"/>
    <w:rsid w:val="00110658"/>
    <w:rsid w:val="0011130A"/>
    <w:rsid w:val="001134CD"/>
    <w:rsid w:val="001135E1"/>
    <w:rsid w:val="001136CE"/>
    <w:rsid w:val="001136D6"/>
    <w:rsid w:val="00115E3C"/>
    <w:rsid w:val="0011696A"/>
    <w:rsid w:val="00116A25"/>
    <w:rsid w:val="0012233C"/>
    <w:rsid w:val="001241CF"/>
    <w:rsid w:val="00124F12"/>
    <w:rsid w:val="00126AC5"/>
    <w:rsid w:val="00130443"/>
    <w:rsid w:val="0013063C"/>
    <w:rsid w:val="001311D9"/>
    <w:rsid w:val="00134041"/>
    <w:rsid w:val="00134C74"/>
    <w:rsid w:val="00141B25"/>
    <w:rsid w:val="00142600"/>
    <w:rsid w:val="00142FCB"/>
    <w:rsid w:val="00144E3A"/>
    <w:rsid w:val="0015060C"/>
    <w:rsid w:val="0015391E"/>
    <w:rsid w:val="0016018A"/>
    <w:rsid w:val="00161F0E"/>
    <w:rsid w:val="0016269C"/>
    <w:rsid w:val="00165AD8"/>
    <w:rsid w:val="00165B31"/>
    <w:rsid w:val="00170E2A"/>
    <w:rsid w:val="0017499C"/>
    <w:rsid w:val="00174C65"/>
    <w:rsid w:val="00177394"/>
    <w:rsid w:val="00182C18"/>
    <w:rsid w:val="00183B65"/>
    <w:rsid w:val="00183CC2"/>
    <w:rsid w:val="00184639"/>
    <w:rsid w:val="001849CC"/>
    <w:rsid w:val="00186520"/>
    <w:rsid w:val="001900E4"/>
    <w:rsid w:val="00190F88"/>
    <w:rsid w:val="00192DC3"/>
    <w:rsid w:val="0019360B"/>
    <w:rsid w:val="001943D0"/>
    <w:rsid w:val="0019541F"/>
    <w:rsid w:val="001978A3"/>
    <w:rsid w:val="001A03DE"/>
    <w:rsid w:val="001A21C6"/>
    <w:rsid w:val="001A3D2D"/>
    <w:rsid w:val="001A4066"/>
    <w:rsid w:val="001A6AE4"/>
    <w:rsid w:val="001B01FD"/>
    <w:rsid w:val="001B18B5"/>
    <w:rsid w:val="001B294D"/>
    <w:rsid w:val="001B3F4E"/>
    <w:rsid w:val="001B4A71"/>
    <w:rsid w:val="001B7051"/>
    <w:rsid w:val="001C19CD"/>
    <w:rsid w:val="001C2F59"/>
    <w:rsid w:val="001C4358"/>
    <w:rsid w:val="001C4DC9"/>
    <w:rsid w:val="001C58FE"/>
    <w:rsid w:val="001C61D5"/>
    <w:rsid w:val="001C67BA"/>
    <w:rsid w:val="001D096F"/>
    <w:rsid w:val="001D17BC"/>
    <w:rsid w:val="001D51E4"/>
    <w:rsid w:val="001D5B3A"/>
    <w:rsid w:val="001D5B54"/>
    <w:rsid w:val="001D6D09"/>
    <w:rsid w:val="001D71DC"/>
    <w:rsid w:val="001D7B6B"/>
    <w:rsid w:val="001E03FC"/>
    <w:rsid w:val="001E1A27"/>
    <w:rsid w:val="001E1DBF"/>
    <w:rsid w:val="001E35E8"/>
    <w:rsid w:val="001E4639"/>
    <w:rsid w:val="001E4A7D"/>
    <w:rsid w:val="001E4ABD"/>
    <w:rsid w:val="001E4F8D"/>
    <w:rsid w:val="001E5489"/>
    <w:rsid w:val="001E5DC2"/>
    <w:rsid w:val="001E7226"/>
    <w:rsid w:val="001F055A"/>
    <w:rsid w:val="001F1C5E"/>
    <w:rsid w:val="001F3DD8"/>
    <w:rsid w:val="001F43A8"/>
    <w:rsid w:val="001F5CD6"/>
    <w:rsid w:val="001F5DFB"/>
    <w:rsid w:val="001F65AB"/>
    <w:rsid w:val="001F6CEE"/>
    <w:rsid w:val="00201A4E"/>
    <w:rsid w:val="002113DE"/>
    <w:rsid w:val="0021263D"/>
    <w:rsid w:val="0021366B"/>
    <w:rsid w:val="00213F0C"/>
    <w:rsid w:val="00214094"/>
    <w:rsid w:val="0021592D"/>
    <w:rsid w:val="00216A47"/>
    <w:rsid w:val="00220F35"/>
    <w:rsid w:val="00222D76"/>
    <w:rsid w:val="002236AF"/>
    <w:rsid w:val="00223EB1"/>
    <w:rsid w:val="00224824"/>
    <w:rsid w:val="00224986"/>
    <w:rsid w:val="002303E3"/>
    <w:rsid w:val="00231344"/>
    <w:rsid w:val="0023436E"/>
    <w:rsid w:val="002347C0"/>
    <w:rsid w:val="00237834"/>
    <w:rsid w:val="00241A6C"/>
    <w:rsid w:val="00242D2B"/>
    <w:rsid w:val="00243AC6"/>
    <w:rsid w:val="002535EC"/>
    <w:rsid w:val="0025394F"/>
    <w:rsid w:val="002541A0"/>
    <w:rsid w:val="00254554"/>
    <w:rsid w:val="002546FB"/>
    <w:rsid w:val="00254C1C"/>
    <w:rsid w:val="00262B12"/>
    <w:rsid w:val="00262E2B"/>
    <w:rsid w:val="002653B5"/>
    <w:rsid w:val="00265C72"/>
    <w:rsid w:val="00266EC6"/>
    <w:rsid w:val="00270429"/>
    <w:rsid w:val="002723E9"/>
    <w:rsid w:val="00273DF8"/>
    <w:rsid w:val="00274F7E"/>
    <w:rsid w:val="00277929"/>
    <w:rsid w:val="00283B82"/>
    <w:rsid w:val="00284152"/>
    <w:rsid w:val="002845AF"/>
    <w:rsid w:val="002846E9"/>
    <w:rsid w:val="00284C34"/>
    <w:rsid w:val="0029066C"/>
    <w:rsid w:val="00293BE5"/>
    <w:rsid w:val="00295729"/>
    <w:rsid w:val="002A14DA"/>
    <w:rsid w:val="002A2B07"/>
    <w:rsid w:val="002A5C4C"/>
    <w:rsid w:val="002A6036"/>
    <w:rsid w:val="002B50DB"/>
    <w:rsid w:val="002C02AA"/>
    <w:rsid w:val="002C12AB"/>
    <w:rsid w:val="002C3E14"/>
    <w:rsid w:val="002C7B3E"/>
    <w:rsid w:val="002C7CAC"/>
    <w:rsid w:val="002D0977"/>
    <w:rsid w:val="002D10AE"/>
    <w:rsid w:val="002D28D3"/>
    <w:rsid w:val="002D3306"/>
    <w:rsid w:val="002D48AA"/>
    <w:rsid w:val="002D7BAA"/>
    <w:rsid w:val="002D7F54"/>
    <w:rsid w:val="002E11D1"/>
    <w:rsid w:val="002E28CF"/>
    <w:rsid w:val="002E3FF4"/>
    <w:rsid w:val="002E4495"/>
    <w:rsid w:val="002F3BF8"/>
    <w:rsid w:val="002F77EF"/>
    <w:rsid w:val="002F78C8"/>
    <w:rsid w:val="00301CF3"/>
    <w:rsid w:val="00304632"/>
    <w:rsid w:val="0030770E"/>
    <w:rsid w:val="00311585"/>
    <w:rsid w:val="0031159E"/>
    <w:rsid w:val="00311C4A"/>
    <w:rsid w:val="00313122"/>
    <w:rsid w:val="003158BF"/>
    <w:rsid w:val="00315BF9"/>
    <w:rsid w:val="00315E36"/>
    <w:rsid w:val="00316E84"/>
    <w:rsid w:val="003171CF"/>
    <w:rsid w:val="0032007B"/>
    <w:rsid w:val="0032020F"/>
    <w:rsid w:val="003202DE"/>
    <w:rsid w:val="00320821"/>
    <w:rsid w:val="0032715C"/>
    <w:rsid w:val="00330062"/>
    <w:rsid w:val="0033278A"/>
    <w:rsid w:val="00332C7B"/>
    <w:rsid w:val="00337CA5"/>
    <w:rsid w:val="00340953"/>
    <w:rsid w:val="00341231"/>
    <w:rsid w:val="00343A96"/>
    <w:rsid w:val="00350A80"/>
    <w:rsid w:val="00350AC1"/>
    <w:rsid w:val="00350AC2"/>
    <w:rsid w:val="00352CED"/>
    <w:rsid w:val="0036032F"/>
    <w:rsid w:val="00362478"/>
    <w:rsid w:val="0036335B"/>
    <w:rsid w:val="00370899"/>
    <w:rsid w:val="00370BE2"/>
    <w:rsid w:val="00374637"/>
    <w:rsid w:val="003759AD"/>
    <w:rsid w:val="00375ADC"/>
    <w:rsid w:val="00375B25"/>
    <w:rsid w:val="00375D43"/>
    <w:rsid w:val="0038523A"/>
    <w:rsid w:val="00390B8B"/>
    <w:rsid w:val="003911B0"/>
    <w:rsid w:val="00396542"/>
    <w:rsid w:val="0039685B"/>
    <w:rsid w:val="00397D31"/>
    <w:rsid w:val="003A0193"/>
    <w:rsid w:val="003A0935"/>
    <w:rsid w:val="003A2167"/>
    <w:rsid w:val="003A31A6"/>
    <w:rsid w:val="003A3217"/>
    <w:rsid w:val="003A514B"/>
    <w:rsid w:val="003A5F72"/>
    <w:rsid w:val="003A7F0C"/>
    <w:rsid w:val="003A7F79"/>
    <w:rsid w:val="003B47CE"/>
    <w:rsid w:val="003B6404"/>
    <w:rsid w:val="003C449B"/>
    <w:rsid w:val="003D1C5D"/>
    <w:rsid w:val="003D21FF"/>
    <w:rsid w:val="003D29FE"/>
    <w:rsid w:val="003D46C2"/>
    <w:rsid w:val="003D5A05"/>
    <w:rsid w:val="003D6775"/>
    <w:rsid w:val="003D6DF7"/>
    <w:rsid w:val="003E62B8"/>
    <w:rsid w:val="003E6AC1"/>
    <w:rsid w:val="003E752F"/>
    <w:rsid w:val="003F0112"/>
    <w:rsid w:val="003F071A"/>
    <w:rsid w:val="003F160B"/>
    <w:rsid w:val="003F1F14"/>
    <w:rsid w:val="003F35EA"/>
    <w:rsid w:val="003F431C"/>
    <w:rsid w:val="003F54D6"/>
    <w:rsid w:val="003F7B5D"/>
    <w:rsid w:val="00400032"/>
    <w:rsid w:val="00400B5B"/>
    <w:rsid w:val="0040178D"/>
    <w:rsid w:val="00401813"/>
    <w:rsid w:val="00405A00"/>
    <w:rsid w:val="00405C9E"/>
    <w:rsid w:val="0041156B"/>
    <w:rsid w:val="00412EFF"/>
    <w:rsid w:val="004179A7"/>
    <w:rsid w:val="00420870"/>
    <w:rsid w:val="004213FF"/>
    <w:rsid w:val="004226F4"/>
    <w:rsid w:val="004238E6"/>
    <w:rsid w:val="00426CC6"/>
    <w:rsid w:val="00427CEE"/>
    <w:rsid w:val="00431426"/>
    <w:rsid w:val="0043198F"/>
    <w:rsid w:val="00436F9A"/>
    <w:rsid w:val="0043791B"/>
    <w:rsid w:val="00441483"/>
    <w:rsid w:val="00441BCB"/>
    <w:rsid w:val="00441E0D"/>
    <w:rsid w:val="00444770"/>
    <w:rsid w:val="0044577E"/>
    <w:rsid w:val="00447967"/>
    <w:rsid w:val="00447CFB"/>
    <w:rsid w:val="004503EF"/>
    <w:rsid w:val="0045131B"/>
    <w:rsid w:val="0045134A"/>
    <w:rsid w:val="0045176A"/>
    <w:rsid w:val="00451816"/>
    <w:rsid w:val="00453BB7"/>
    <w:rsid w:val="004556AF"/>
    <w:rsid w:val="00456046"/>
    <w:rsid w:val="00456132"/>
    <w:rsid w:val="00456332"/>
    <w:rsid w:val="0046033B"/>
    <w:rsid w:val="00461826"/>
    <w:rsid w:val="004621B5"/>
    <w:rsid w:val="004621ED"/>
    <w:rsid w:val="00470165"/>
    <w:rsid w:val="00474131"/>
    <w:rsid w:val="00475BF6"/>
    <w:rsid w:val="00477D54"/>
    <w:rsid w:val="004800F9"/>
    <w:rsid w:val="00480CA2"/>
    <w:rsid w:val="00485BE8"/>
    <w:rsid w:val="00485EE5"/>
    <w:rsid w:val="00486E44"/>
    <w:rsid w:val="004876D7"/>
    <w:rsid w:val="0049134A"/>
    <w:rsid w:val="00492B69"/>
    <w:rsid w:val="00494391"/>
    <w:rsid w:val="00496203"/>
    <w:rsid w:val="004A25A5"/>
    <w:rsid w:val="004A2742"/>
    <w:rsid w:val="004A32CA"/>
    <w:rsid w:val="004A4543"/>
    <w:rsid w:val="004A58CB"/>
    <w:rsid w:val="004A5C96"/>
    <w:rsid w:val="004A6CBE"/>
    <w:rsid w:val="004B0BA4"/>
    <w:rsid w:val="004B1795"/>
    <w:rsid w:val="004B191D"/>
    <w:rsid w:val="004B2F61"/>
    <w:rsid w:val="004B3455"/>
    <w:rsid w:val="004B371F"/>
    <w:rsid w:val="004B56DD"/>
    <w:rsid w:val="004B6081"/>
    <w:rsid w:val="004B77EA"/>
    <w:rsid w:val="004C020F"/>
    <w:rsid w:val="004C12C6"/>
    <w:rsid w:val="004C1AFD"/>
    <w:rsid w:val="004C3040"/>
    <w:rsid w:val="004C3BBA"/>
    <w:rsid w:val="004C558B"/>
    <w:rsid w:val="004C65B4"/>
    <w:rsid w:val="004C6886"/>
    <w:rsid w:val="004D0523"/>
    <w:rsid w:val="004D2F42"/>
    <w:rsid w:val="004D52CB"/>
    <w:rsid w:val="004D64A0"/>
    <w:rsid w:val="004E04DB"/>
    <w:rsid w:val="004E5074"/>
    <w:rsid w:val="004E5540"/>
    <w:rsid w:val="004E7FA9"/>
    <w:rsid w:val="004F1F88"/>
    <w:rsid w:val="004F5F1B"/>
    <w:rsid w:val="004F7710"/>
    <w:rsid w:val="00500186"/>
    <w:rsid w:val="00501FF4"/>
    <w:rsid w:val="00502374"/>
    <w:rsid w:val="00503CC3"/>
    <w:rsid w:val="005045BF"/>
    <w:rsid w:val="00505D02"/>
    <w:rsid w:val="005060A1"/>
    <w:rsid w:val="00506CD0"/>
    <w:rsid w:val="0050779F"/>
    <w:rsid w:val="00511118"/>
    <w:rsid w:val="00514512"/>
    <w:rsid w:val="0051506A"/>
    <w:rsid w:val="00515CBA"/>
    <w:rsid w:val="00516072"/>
    <w:rsid w:val="0052421D"/>
    <w:rsid w:val="005264B7"/>
    <w:rsid w:val="005266B9"/>
    <w:rsid w:val="005275F1"/>
    <w:rsid w:val="00532015"/>
    <w:rsid w:val="00532443"/>
    <w:rsid w:val="005332EC"/>
    <w:rsid w:val="00534418"/>
    <w:rsid w:val="005353AB"/>
    <w:rsid w:val="00535720"/>
    <w:rsid w:val="00536235"/>
    <w:rsid w:val="00541188"/>
    <w:rsid w:val="00545F5A"/>
    <w:rsid w:val="00546D20"/>
    <w:rsid w:val="0054708E"/>
    <w:rsid w:val="00553352"/>
    <w:rsid w:val="00553825"/>
    <w:rsid w:val="005560BC"/>
    <w:rsid w:val="005573BE"/>
    <w:rsid w:val="00557BA0"/>
    <w:rsid w:val="00560B35"/>
    <w:rsid w:val="005616BD"/>
    <w:rsid w:val="00562AE4"/>
    <w:rsid w:val="00562D57"/>
    <w:rsid w:val="00564229"/>
    <w:rsid w:val="00567ED8"/>
    <w:rsid w:val="00567FEC"/>
    <w:rsid w:val="005703A9"/>
    <w:rsid w:val="00571005"/>
    <w:rsid w:val="00571E21"/>
    <w:rsid w:val="00572513"/>
    <w:rsid w:val="00572700"/>
    <w:rsid w:val="00580468"/>
    <w:rsid w:val="005834DE"/>
    <w:rsid w:val="00585169"/>
    <w:rsid w:val="0058603B"/>
    <w:rsid w:val="005872F6"/>
    <w:rsid w:val="00591D4D"/>
    <w:rsid w:val="0059431B"/>
    <w:rsid w:val="00595AA9"/>
    <w:rsid w:val="005A09BE"/>
    <w:rsid w:val="005A39CC"/>
    <w:rsid w:val="005A4574"/>
    <w:rsid w:val="005A6AD5"/>
    <w:rsid w:val="005B1F45"/>
    <w:rsid w:val="005B27A2"/>
    <w:rsid w:val="005B2D36"/>
    <w:rsid w:val="005B3BF3"/>
    <w:rsid w:val="005B4493"/>
    <w:rsid w:val="005B4730"/>
    <w:rsid w:val="005B4C51"/>
    <w:rsid w:val="005B5060"/>
    <w:rsid w:val="005B7DCC"/>
    <w:rsid w:val="005C0ED4"/>
    <w:rsid w:val="005C1940"/>
    <w:rsid w:val="005C2780"/>
    <w:rsid w:val="005D0AB6"/>
    <w:rsid w:val="005D2DC4"/>
    <w:rsid w:val="005E05D7"/>
    <w:rsid w:val="005E41E7"/>
    <w:rsid w:val="005E450F"/>
    <w:rsid w:val="005E47A3"/>
    <w:rsid w:val="005E6DBF"/>
    <w:rsid w:val="005F0AD1"/>
    <w:rsid w:val="005F0B95"/>
    <w:rsid w:val="005F1FEA"/>
    <w:rsid w:val="005F2DD6"/>
    <w:rsid w:val="005F5C39"/>
    <w:rsid w:val="005F670B"/>
    <w:rsid w:val="005F67AA"/>
    <w:rsid w:val="005F7131"/>
    <w:rsid w:val="005F71DF"/>
    <w:rsid w:val="006002BA"/>
    <w:rsid w:val="00600F88"/>
    <w:rsid w:val="006016DE"/>
    <w:rsid w:val="00602106"/>
    <w:rsid w:val="00604CC3"/>
    <w:rsid w:val="00605FCD"/>
    <w:rsid w:val="006071DB"/>
    <w:rsid w:val="0061008A"/>
    <w:rsid w:val="00610236"/>
    <w:rsid w:val="0061026C"/>
    <w:rsid w:val="0061258F"/>
    <w:rsid w:val="00613F97"/>
    <w:rsid w:val="00616DE3"/>
    <w:rsid w:val="0061720F"/>
    <w:rsid w:val="006209FB"/>
    <w:rsid w:val="00621814"/>
    <w:rsid w:val="00621EE0"/>
    <w:rsid w:val="00621FA6"/>
    <w:rsid w:val="0062298A"/>
    <w:rsid w:val="006229B3"/>
    <w:rsid w:val="00622CCB"/>
    <w:rsid w:val="006240B4"/>
    <w:rsid w:val="00624660"/>
    <w:rsid w:val="00624B4B"/>
    <w:rsid w:val="00626514"/>
    <w:rsid w:val="00626589"/>
    <w:rsid w:val="006306DB"/>
    <w:rsid w:val="0063139A"/>
    <w:rsid w:val="0063181A"/>
    <w:rsid w:val="006339A0"/>
    <w:rsid w:val="0063587D"/>
    <w:rsid w:val="00636C93"/>
    <w:rsid w:val="006413A8"/>
    <w:rsid w:val="006420C7"/>
    <w:rsid w:val="00642E56"/>
    <w:rsid w:val="00643108"/>
    <w:rsid w:val="00643F85"/>
    <w:rsid w:val="00645118"/>
    <w:rsid w:val="00646274"/>
    <w:rsid w:val="00646A42"/>
    <w:rsid w:val="00651E00"/>
    <w:rsid w:val="00674572"/>
    <w:rsid w:val="00677813"/>
    <w:rsid w:val="0068334B"/>
    <w:rsid w:val="00683472"/>
    <w:rsid w:val="006834AB"/>
    <w:rsid w:val="00687763"/>
    <w:rsid w:val="0069241A"/>
    <w:rsid w:val="00692929"/>
    <w:rsid w:val="00692B0D"/>
    <w:rsid w:val="006931B5"/>
    <w:rsid w:val="006935E1"/>
    <w:rsid w:val="00693D2B"/>
    <w:rsid w:val="00693E0E"/>
    <w:rsid w:val="00695AD0"/>
    <w:rsid w:val="00695FC9"/>
    <w:rsid w:val="0069672A"/>
    <w:rsid w:val="006A1AE3"/>
    <w:rsid w:val="006A45C0"/>
    <w:rsid w:val="006A639E"/>
    <w:rsid w:val="006A7E4F"/>
    <w:rsid w:val="006B1F7F"/>
    <w:rsid w:val="006B39A1"/>
    <w:rsid w:val="006B4812"/>
    <w:rsid w:val="006B5B26"/>
    <w:rsid w:val="006B7F41"/>
    <w:rsid w:val="006C30E1"/>
    <w:rsid w:val="006C4607"/>
    <w:rsid w:val="006C4A09"/>
    <w:rsid w:val="006D0C6B"/>
    <w:rsid w:val="006D1C13"/>
    <w:rsid w:val="006D1ED5"/>
    <w:rsid w:val="006D2D59"/>
    <w:rsid w:val="006D3EA7"/>
    <w:rsid w:val="006D48F1"/>
    <w:rsid w:val="006E34B8"/>
    <w:rsid w:val="006E4F2C"/>
    <w:rsid w:val="006E5080"/>
    <w:rsid w:val="006E6557"/>
    <w:rsid w:val="006E6FE4"/>
    <w:rsid w:val="006F003E"/>
    <w:rsid w:val="006F21F6"/>
    <w:rsid w:val="006F2B20"/>
    <w:rsid w:val="006F45BE"/>
    <w:rsid w:val="006F55D5"/>
    <w:rsid w:val="006F56A6"/>
    <w:rsid w:val="006F583E"/>
    <w:rsid w:val="006F5C1B"/>
    <w:rsid w:val="006F6B19"/>
    <w:rsid w:val="007004FC"/>
    <w:rsid w:val="007006AF"/>
    <w:rsid w:val="0070071D"/>
    <w:rsid w:val="00706670"/>
    <w:rsid w:val="007102DA"/>
    <w:rsid w:val="0071451A"/>
    <w:rsid w:val="00721135"/>
    <w:rsid w:val="0072417C"/>
    <w:rsid w:val="00727540"/>
    <w:rsid w:val="00727BCF"/>
    <w:rsid w:val="00733E81"/>
    <w:rsid w:val="00734450"/>
    <w:rsid w:val="00736060"/>
    <w:rsid w:val="00736EFC"/>
    <w:rsid w:val="00741A6B"/>
    <w:rsid w:val="00741BF2"/>
    <w:rsid w:val="00742FC8"/>
    <w:rsid w:val="00745F67"/>
    <w:rsid w:val="007474FA"/>
    <w:rsid w:val="00747C0E"/>
    <w:rsid w:val="0075039E"/>
    <w:rsid w:val="00752D9D"/>
    <w:rsid w:val="00754784"/>
    <w:rsid w:val="00755B5B"/>
    <w:rsid w:val="0075746C"/>
    <w:rsid w:val="00757C6E"/>
    <w:rsid w:val="00762BDA"/>
    <w:rsid w:val="007648DF"/>
    <w:rsid w:val="007655A5"/>
    <w:rsid w:val="007728D5"/>
    <w:rsid w:val="007805FD"/>
    <w:rsid w:val="00780B98"/>
    <w:rsid w:val="007837FD"/>
    <w:rsid w:val="00784422"/>
    <w:rsid w:val="007861C7"/>
    <w:rsid w:val="00792CE9"/>
    <w:rsid w:val="007A6783"/>
    <w:rsid w:val="007A6934"/>
    <w:rsid w:val="007B120D"/>
    <w:rsid w:val="007B1B8D"/>
    <w:rsid w:val="007B3B54"/>
    <w:rsid w:val="007B3FA0"/>
    <w:rsid w:val="007B70BE"/>
    <w:rsid w:val="007B7D06"/>
    <w:rsid w:val="007C0DB5"/>
    <w:rsid w:val="007C0F2C"/>
    <w:rsid w:val="007C15EA"/>
    <w:rsid w:val="007C2BCC"/>
    <w:rsid w:val="007C42F5"/>
    <w:rsid w:val="007C4EF0"/>
    <w:rsid w:val="007C6809"/>
    <w:rsid w:val="007C7027"/>
    <w:rsid w:val="007D099D"/>
    <w:rsid w:val="007D14D8"/>
    <w:rsid w:val="007D18FD"/>
    <w:rsid w:val="007D4849"/>
    <w:rsid w:val="007D54C9"/>
    <w:rsid w:val="007E008A"/>
    <w:rsid w:val="007E0907"/>
    <w:rsid w:val="007E1812"/>
    <w:rsid w:val="007E2664"/>
    <w:rsid w:val="007E3ABF"/>
    <w:rsid w:val="007E5BFA"/>
    <w:rsid w:val="007E5E6A"/>
    <w:rsid w:val="007E5F99"/>
    <w:rsid w:val="007E6689"/>
    <w:rsid w:val="007E6F09"/>
    <w:rsid w:val="007E731C"/>
    <w:rsid w:val="007F0A03"/>
    <w:rsid w:val="007F1D2A"/>
    <w:rsid w:val="007F1F24"/>
    <w:rsid w:val="007F7824"/>
    <w:rsid w:val="00800292"/>
    <w:rsid w:val="00800CCE"/>
    <w:rsid w:val="00803554"/>
    <w:rsid w:val="00803A1F"/>
    <w:rsid w:val="0080498E"/>
    <w:rsid w:val="00807AC7"/>
    <w:rsid w:val="00810040"/>
    <w:rsid w:val="00810EA5"/>
    <w:rsid w:val="00811F3E"/>
    <w:rsid w:val="0081410B"/>
    <w:rsid w:val="008142D1"/>
    <w:rsid w:val="0082023A"/>
    <w:rsid w:val="00820461"/>
    <w:rsid w:val="00821A7A"/>
    <w:rsid w:val="00822563"/>
    <w:rsid w:val="008239C7"/>
    <w:rsid w:val="00824DAC"/>
    <w:rsid w:val="008253F8"/>
    <w:rsid w:val="008267C9"/>
    <w:rsid w:val="008301B3"/>
    <w:rsid w:val="00830D62"/>
    <w:rsid w:val="008325E4"/>
    <w:rsid w:val="00832A2B"/>
    <w:rsid w:val="0083449D"/>
    <w:rsid w:val="008345BE"/>
    <w:rsid w:val="0083721B"/>
    <w:rsid w:val="008372CD"/>
    <w:rsid w:val="00844A17"/>
    <w:rsid w:val="00844C3A"/>
    <w:rsid w:val="00845811"/>
    <w:rsid w:val="00846994"/>
    <w:rsid w:val="00846EEA"/>
    <w:rsid w:val="00850451"/>
    <w:rsid w:val="00851029"/>
    <w:rsid w:val="00852042"/>
    <w:rsid w:val="0085266D"/>
    <w:rsid w:val="008532E8"/>
    <w:rsid w:val="008534C9"/>
    <w:rsid w:val="0085599D"/>
    <w:rsid w:val="00856DAD"/>
    <w:rsid w:val="00857FFD"/>
    <w:rsid w:val="00861B1F"/>
    <w:rsid w:val="00870923"/>
    <w:rsid w:val="00871ED9"/>
    <w:rsid w:val="008726FF"/>
    <w:rsid w:val="0087510C"/>
    <w:rsid w:val="0088015E"/>
    <w:rsid w:val="0088017E"/>
    <w:rsid w:val="00882730"/>
    <w:rsid w:val="0088362F"/>
    <w:rsid w:val="00883827"/>
    <w:rsid w:val="00884505"/>
    <w:rsid w:val="008863DE"/>
    <w:rsid w:val="00891ACE"/>
    <w:rsid w:val="00891CE5"/>
    <w:rsid w:val="00892BF7"/>
    <w:rsid w:val="0089738E"/>
    <w:rsid w:val="008A2844"/>
    <w:rsid w:val="008A3282"/>
    <w:rsid w:val="008A4202"/>
    <w:rsid w:val="008A46D6"/>
    <w:rsid w:val="008A7D85"/>
    <w:rsid w:val="008B0996"/>
    <w:rsid w:val="008B10F8"/>
    <w:rsid w:val="008B3DD6"/>
    <w:rsid w:val="008B5FDB"/>
    <w:rsid w:val="008C02BD"/>
    <w:rsid w:val="008C50F4"/>
    <w:rsid w:val="008C5649"/>
    <w:rsid w:val="008C72FE"/>
    <w:rsid w:val="008D2095"/>
    <w:rsid w:val="008E06CA"/>
    <w:rsid w:val="008E14D4"/>
    <w:rsid w:val="008E44A2"/>
    <w:rsid w:val="008E697D"/>
    <w:rsid w:val="008E701D"/>
    <w:rsid w:val="008F01A8"/>
    <w:rsid w:val="008F0A4C"/>
    <w:rsid w:val="008F19F3"/>
    <w:rsid w:val="008F2743"/>
    <w:rsid w:val="008F5C1C"/>
    <w:rsid w:val="008F6C07"/>
    <w:rsid w:val="0090080C"/>
    <w:rsid w:val="00903186"/>
    <w:rsid w:val="00903263"/>
    <w:rsid w:val="00904754"/>
    <w:rsid w:val="00906A21"/>
    <w:rsid w:val="009079C3"/>
    <w:rsid w:val="00910462"/>
    <w:rsid w:val="00912B44"/>
    <w:rsid w:val="00915AB1"/>
    <w:rsid w:val="00917532"/>
    <w:rsid w:val="009208CB"/>
    <w:rsid w:val="00921A64"/>
    <w:rsid w:val="009235BA"/>
    <w:rsid w:val="00923896"/>
    <w:rsid w:val="00924023"/>
    <w:rsid w:val="00924CE2"/>
    <w:rsid w:val="00925B9F"/>
    <w:rsid w:val="00927196"/>
    <w:rsid w:val="00930A5E"/>
    <w:rsid w:val="0093159C"/>
    <w:rsid w:val="00931AED"/>
    <w:rsid w:val="00936192"/>
    <w:rsid w:val="0093737C"/>
    <w:rsid w:val="009439D4"/>
    <w:rsid w:val="00944250"/>
    <w:rsid w:val="009476A3"/>
    <w:rsid w:val="0095334F"/>
    <w:rsid w:val="0095487E"/>
    <w:rsid w:val="00954FA5"/>
    <w:rsid w:val="009553D8"/>
    <w:rsid w:val="00963848"/>
    <w:rsid w:val="0096476B"/>
    <w:rsid w:val="00965897"/>
    <w:rsid w:val="009659BC"/>
    <w:rsid w:val="0096655A"/>
    <w:rsid w:val="0096765C"/>
    <w:rsid w:val="0097110E"/>
    <w:rsid w:val="00971798"/>
    <w:rsid w:val="00971B48"/>
    <w:rsid w:val="009727E4"/>
    <w:rsid w:val="00972B1F"/>
    <w:rsid w:val="00974AA0"/>
    <w:rsid w:val="0097547E"/>
    <w:rsid w:val="00980CA5"/>
    <w:rsid w:val="00984C04"/>
    <w:rsid w:val="00986747"/>
    <w:rsid w:val="009876FF"/>
    <w:rsid w:val="0099063B"/>
    <w:rsid w:val="009934C5"/>
    <w:rsid w:val="00994C0F"/>
    <w:rsid w:val="00994F6C"/>
    <w:rsid w:val="009A0996"/>
    <w:rsid w:val="009A14D3"/>
    <w:rsid w:val="009A17E7"/>
    <w:rsid w:val="009A3924"/>
    <w:rsid w:val="009A57A7"/>
    <w:rsid w:val="009B09C2"/>
    <w:rsid w:val="009B09E7"/>
    <w:rsid w:val="009B0DD0"/>
    <w:rsid w:val="009B22D7"/>
    <w:rsid w:val="009B4B96"/>
    <w:rsid w:val="009B672D"/>
    <w:rsid w:val="009B7209"/>
    <w:rsid w:val="009B72ED"/>
    <w:rsid w:val="009C1495"/>
    <w:rsid w:val="009C28FD"/>
    <w:rsid w:val="009C5AB4"/>
    <w:rsid w:val="009C6DEB"/>
    <w:rsid w:val="009D07EE"/>
    <w:rsid w:val="009D504B"/>
    <w:rsid w:val="009D624F"/>
    <w:rsid w:val="009D6504"/>
    <w:rsid w:val="009D6B45"/>
    <w:rsid w:val="009E12D7"/>
    <w:rsid w:val="009E1C06"/>
    <w:rsid w:val="009E1F86"/>
    <w:rsid w:val="009E2C55"/>
    <w:rsid w:val="009E3085"/>
    <w:rsid w:val="009E4983"/>
    <w:rsid w:val="009E661A"/>
    <w:rsid w:val="009E7A16"/>
    <w:rsid w:val="009F10B2"/>
    <w:rsid w:val="009F26C2"/>
    <w:rsid w:val="009F34B9"/>
    <w:rsid w:val="009F41AA"/>
    <w:rsid w:val="009F7520"/>
    <w:rsid w:val="00A01109"/>
    <w:rsid w:val="00A05FA5"/>
    <w:rsid w:val="00A06781"/>
    <w:rsid w:val="00A074C3"/>
    <w:rsid w:val="00A12B71"/>
    <w:rsid w:val="00A13E43"/>
    <w:rsid w:val="00A1509C"/>
    <w:rsid w:val="00A20D86"/>
    <w:rsid w:val="00A21870"/>
    <w:rsid w:val="00A2273F"/>
    <w:rsid w:val="00A22DA3"/>
    <w:rsid w:val="00A23231"/>
    <w:rsid w:val="00A25296"/>
    <w:rsid w:val="00A26066"/>
    <w:rsid w:val="00A27035"/>
    <w:rsid w:val="00A273CF"/>
    <w:rsid w:val="00A274FD"/>
    <w:rsid w:val="00A2752B"/>
    <w:rsid w:val="00A27EFD"/>
    <w:rsid w:val="00A31E09"/>
    <w:rsid w:val="00A34260"/>
    <w:rsid w:val="00A3505E"/>
    <w:rsid w:val="00A35DE7"/>
    <w:rsid w:val="00A4087D"/>
    <w:rsid w:val="00A425CF"/>
    <w:rsid w:val="00A42A98"/>
    <w:rsid w:val="00A43DC3"/>
    <w:rsid w:val="00A5472F"/>
    <w:rsid w:val="00A55F0B"/>
    <w:rsid w:val="00A56E1A"/>
    <w:rsid w:val="00A62434"/>
    <w:rsid w:val="00A62F25"/>
    <w:rsid w:val="00A63F3F"/>
    <w:rsid w:val="00A665B6"/>
    <w:rsid w:val="00A66972"/>
    <w:rsid w:val="00A66D0A"/>
    <w:rsid w:val="00A70CFD"/>
    <w:rsid w:val="00A72A0B"/>
    <w:rsid w:val="00A73120"/>
    <w:rsid w:val="00A81E42"/>
    <w:rsid w:val="00A85AB5"/>
    <w:rsid w:val="00A864FE"/>
    <w:rsid w:val="00A86882"/>
    <w:rsid w:val="00A86F41"/>
    <w:rsid w:val="00A87D04"/>
    <w:rsid w:val="00A915BF"/>
    <w:rsid w:val="00A944AD"/>
    <w:rsid w:val="00A950C5"/>
    <w:rsid w:val="00A95589"/>
    <w:rsid w:val="00A955B0"/>
    <w:rsid w:val="00AA04B8"/>
    <w:rsid w:val="00AA1D25"/>
    <w:rsid w:val="00AA20EA"/>
    <w:rsid w:val="00AB0D5F"/>
    <w:rsid w:val="00AB1510"/>
    <w:rsid w:val="00AB2B1A"/>
    <w:rsid w:val="00AB397F"/>
    <w:rsid w:val="00AB4166"/>
    <w:rsid w:val="00AB57D1"/>
    <w:rsid w:val="00AB5832"/>
    <w:rsid w:val="00AB7328"/>
    <w:rsid w:val="00AB74E1"/>
    <w:rsid w:val="00AC0083"/>
    <w:rsid w:val="00AC1A73"/>
    <w:rsid w:val="00AC1E64"/>
    <w:rsid w:val="00AC3ED3"/>
    <w:rsid w:val="00AC51F2"/>
    <w:rsid w:val="00AC5B4C"/>
    <w:rsid w:val="00AC6EC7"/>
    <w:rsid w:val="00AD0F5C"/>
    <w:rsid w:val="00AD11C6"/>
    <w:rsid w:val="00AD168C"/>
    <w:rsid w:val="00AD2110"/>
    <w:rsid w:val="00AD3056"/>
    <w:rsid w:val="00AD31DC"/>
    <w:rsid w:val="00AD3237"/>
    <w:rsid w:val="00AD53A3"/>
    <w:rsid w:val="00AD6387"/>
    <w:rsid w:val="00AD6656"/>
    <w:rsid w:val="00AE23FB"/>
    <w:rsid w:val="00AE359B"/>
    <w:rsid w:val="00AE5066"/>
    <w:rsid w:val="00AE5691"/>
    <w:rsid w:val="00AE5E24"/>
    <w:rsid w:val="00AE5E9E"/>
    <w:rsid w:val="00AE61B7"/>
    <w:rsid w:val="00AE6CBA"/>
    <w:rsid w:val="00AE79AD"/>
    <w:rsid w:val="00AF0EB9"/>
    <w:rsid w:val="00AF35E4"/>
    <w:rsid w:val="00AF5CDE"/>
    <w:rsid w:val="00AF7E75"/>
    <w:rsid w:val="00B00491"/>
    <w:rsid w:val="00B06F6D"/>
    <w:rsid w:val="00B10AC8"/>
    <w:rsid w:val="00B11A57"/>
    <w:rsid w:val="00B14EA1"/>
    <w:rsid w:val="00B211C3"/>
    <w:rsid w:val="00B25597"/>
    <w:rsid w:val="00B267B9"/>
    <w:rsid w:val="00B27AB7"/>
    <w:rsid w:val="00B31607"/>
    <w:rsid w:val="00B31C3F"/>
    <w:rsid w:val="00B33E09"/>
    <w:rsid w:val="00B349B5"/>
    <w:rsid w:val="00B36EC3"/>
    <w:rsid w:val="00B41081"/>
    <w:rsid w:val="00B42ED0"/>
    <w:rsid w:val="00B47E14"/>
    <w:rsid w:val="00B50377"/>
    <w:rsid w:val="00B50708"/>
    <w:rsid w:val="00B507D5"/>
    <w:rsid w:val="00B50C68"/>
    <w:rsid w:val="00B51293"/>
    <w:rsid w:val="00B52B1E"/>
    <w:rsid w:val="00B5366B"/>
    <w:rsid w:val="00B55481"/>
    <w:rsid w:val="00B56C32"/>
    <w:rsid w:val="00B57ACF"/>
    <w:rsid w:val="00B64AD3"/>
    <w:rsid w:val="00B64BB1"/>
    <w:rsid w:val="00B70E63"/>
    <w:rsid w:val="00B713CB"/>
    <w:rsid w:val="00B71FBB"/>
    <w:rsid w:val="00B73063"/>
    <w:rsid w:val="00B73166"/>
    <w:rsid w:val="00B75E24"/>
    <w:rsid w:val="00B75E6E"/>
    <w:rsid w:val="00B774FF"/>
    <w:rsid w:val="00B80402"/>
    <w:rsid w:val="00B80981"/>
    <w:rsid w:val="00B813C8"/>
    <w:rsid w:val="00B8426C"/>
    <w:rsid w:val="00B91B8D"/>
    <w:rsid w:val="00B91FAF"/>
    <w:rsid w:val="00B94E90"/>
    <w:rsid w:val="00BA41E5"/>
    <w:rsid w:val="00BB0A82"/>
    <w:rsid w:val="00BB0DE8"/>
    <w:rsid w:val="00BB1661"/>
    <w:rsid w:val="00BB2409"/>
    <w:rsid w:val="00BB54B4"/>
    <w:rsid w:val="00BB7C94"/>
    <w:rsid w:val="00BC023F"/>
    <w:rsid w:val="00BC0A9D"/>
    <w:rsid w:val="00BC2D58"/>
    <w:rsid w:val="00BC48D4"/>
    <w:rsid w:val="00BC67D9"/>
    <w:rsid w:val="00BD0A84"/>
    <w:rsid w:val="00BE4E65"/>
    <w:rsid w:val="00BE5E1E"/>
    <w:rsid w:val="00BE7CA0"/>
    <w:rsid w:val="00BF067B"/>
    <w:rsid w:val="00BF11FC"/>
    <w:rsid w:val="00BF40ED"/>
    <w:rsid w:val="00BF4D67"/>
    <w:rsid w:val="00BF5BC2"/>
    <w:rsid w:val="00C046DE"/>
    <w:rsid w:val="00C1133D"/>
    <w:rsid w:val="00C13169"/>
    <w:rsid w:val="00C1541C"/>
    <w:rsid w:val="00C15D5B"/>
    <w:rsid w:val="00C230C1"/>
    <w:rsid w:val="00C23D0D"/>
    <w:rsid w:val="00C271BC"/>
    <w:rsid w:val="00C27A08"/>
    <w:rsid w:val="00C303E2"/>
    <w:rsid w:val="00C31312"/>
    <w:rsid w:val="00C326C6"/>
    <w:rsid w:val="00C32D7F"/>
    <w:rsid w:val="00C3338B"/>
    <w:rsid w:val="00C34D9A"/>
    <w:rsid w:val="00C35295"/>
    <w:rsid w:val="00C357AE"/>
    <w:rsid w:val="00C36ADD"/>
    <w:rsid w:val="00C36D20"/>
    <w:rsid w:val="00C36E74"/>
    <w:rsid w:val="00C40595"/>
    <w:rsid w:val="00C41621"/>
    <w:rsid w:val="00C422B0"/>
    <w:rsid w:val="00C42405"/>
    <w:rsid w:val="00C449FA"/>
    <w:rsid w:val="00C46263"/>
    <w:rsid w:val="00C46696"/>
    <w:rsid w:val="00C47A12"/>
    <w:rsid w:val="00C47E56"/>
    <w:rsid w:val="00C51680"/>
    <w:rsid w:val="00C5384F"/>
    <w:rsid w:val="00C54495"/>
    <w:rsid w:val="00C555F7"/>
    <w:rsid w:val="00C56964"/>
    <w:rsid w:val="00C57415"/>
    <w:rsid w:val="00C6250F"/>
    <w:rsid w:val="00C656D5"/>
    <w:rsid w:val="00C65DAA"/>
    <w:rsid w:val="00C67103"/>
    <w:rsid w:val="00C678DC"/>
    <w:rsid w:val="00C71A76"/>
    <w:rsid w:val="00C71BB9"/>
    <w:rsid w:val="00C71F7F"/>
    <w:rsid w:val="00C72202"/>
    <w:rsid w:val="00C74588"/>
    <w:rsid w:val="00C77FE7"/>
    <w:rsid w:val="00C807E1"/>
    <w:rsid w:val="00C80983"/>
    <w:rsid w:val="00C8165D"/>
    <w:rsid w:val="00C81FAE"/>
    <w:rsid w:val="00C8226D"/>
    <w:rsid w:val="00C831AC"/>
    <w:rsid w:val="00C8527B"/>
    <w:rsid w:val="00C85BF7"/>
    <w:rsid w:val="00C865BF"/>
    <w:rsid w:val="00C867F9"/>
    <w:rsid w:val="00C9454D"/>
    <w:rsid w:val="00C94C28"/>
    <w:rsid w:val="00C94DE6"/>
    <w:rsid w:val="00C956B4"/>
    <w:rsid w:val="00C95CC7"/>
    <w:rsid w:val="00C97575"/>
    <w:rsid w:val="00CA0FE3"/>
    <w:rsid w:val="00CA1643"/>
    <w:rsid w:val="00CA345E"/>
    <w:rsid w:val="00CA5833"/>
    <w:rsid w:val="00CA609A"/>
    <w:rsid w:val="00CA627C"/>
    <w:rsid w:val="00CA7D05"/>
    <w:rsid w:val="00CB0247"/>
    <w:rsid w:val="00CB3440"/>
    <w:rsid w:val="00CB4210"/>
    <w:rsid w:val="00CB68B6"/>
    <w:rsid w:val="00CB6A99"/>
    <w:rsid w:val="00CC04A4"/>
    <w:rsid w:val="00CC0FD9"/>
    <w:rsid w:val="00CC1692"/>
    <w:rsid w:val="00CC2D61"/>
    <w:rsid w:val="00CC3E3E"/>
    <w:rsid w:val="00CC5B6D"/>
    <w:rsid w:val="00CC659C"/>
    <w:rsid w:val="00CC678B"/>
    <w:rsid w:val="00CC7084"/>
    <w:rsid w:val="00CD0676"/>
    <w:rsid w:val="00CD138B"/>
    <w:rsid w:val="00CD290A"/>
    <w:rsid w:val="00CD318A"/>
    <w:rsid w:val="00CD3E31"/>
    <w:rsid w:val="00CD5EF5"/>
    <w:rsid w:val="00CD698F"/>
    <w:rsid w:val="00CD74A3"/>
    <w:rsid w:val="00CE0527"/>
    <w:rsid w:val="00CE5351"/>
    <w:rsid w:val="00CE5379"/>
    <w:rsid w:val="00CE5B23"/>
    <w:rsid w:val="00CF20C0"/>
    <w:rsid w:val="00CF41ED"/>
    <w:rsid w:val="00CF4E42"/>
    <w:rsid w:val="00CF70AD"/>
    <w:rsid w:val="00CF7729"/>
    <w:rsid w:val="00D00059"/>
    <w:rsid w:val="00D01883"/>
    <w:rsid w:val="00D06C4C"/>
    <w:rsid w:val="00D107FA"/>
    <w:rsid w:val="00D1159A"/>
    <w:rsid w:val="00D11DEF"/>
    <w:rsid w:val="00D12275"/>
    <w:rsid w:val="00D12766"/>
    <w:rsid w:val="00D1426E"/>
    <w:rsid w:val="00D16EA9"/>
    <w:rsid w:val="00D20FF4"/>
    <w:rsid w:val="00D21883"/>
    <w:rsid w:val="00D219ED"/>
    <w:rsid w:val="00D2267F"/>
    <w:rsid w:val="00D245E8"/>
    <w:rsid w:val="00D24D2C"/>
    <w:rsid w:val="00D26549"/>
    <w:rsid w:val="00D278BB"/>
    <w:rsid w:val="00D27CEA"/>
    <w:rsid w:val="00D3237F"/>
    <w:rsid w:val="00D35774"/>
    <w:rsid w:val="00D35881"/>
    <w:rsid w:val="00D36BFA"/>
    <w:rsid w:val="00D463E0"/>
    <w:rsid w:val="00D467DE"/>
    <w:rsid w:val="00D47A88"/>
    <w:rsid w:val="00D54294"/>
    <w:rsid w:val="00D5441B"/>
    <w:rsid w:val="00D55B1C"/>
    <w:rsid w:val="00D6155B"/>
    <w:rsid w:val="00D6410D"/>
    <w:rsid w:val="00D646D9"/>
    <w:rsid w:val="00D70329"/>
    <w:rsid w:val="00D705BB"/>
    <w:rsid w:val="00D708FC"/>
    <w:rsid w:val="00D722CD"/>
    <w:rsid w:val="00D743F2"/>
    <w:rsid w:val="00D757B6"/>
    <w:rsid w:val="00D8111E"/>
    <w:rsid w:val="00D83E1C"/>
    <w:rsid w:val="00D8409F"/>
    <w:rsid w:val="00D8646E"/>
    <w:rsid w:val="00D87BA8"/>
    <w:rsid w:val="00D93242"/>
    <w:rsid w:val="00D944E5"/>
    <w:rsid w:val="00D945AD"/>
    <w:rsid w:val="00D9529C"/>
    <w:rsid w:val="00D95617"/>
    <w:rsid w:val="00D95F75"/>
    <w:rsid w:val="00DA1C19"/>
    <w:rsid w:val="00DA7DA5"/>
    <w:rsid w:val="00DB073B"/>
    <w:rsid w:val="00DB40BA"/>
    <w:rsid w:val="00DB78F0"/>
    <w:rsid w:val="00DC1B10"/>
    <w:rsid w:val="00DC2214"/>
    <w:rsid w:val="00DC2E43"/>
    <w:rsid w:val="00DC3B88"/>
    <w:rsid w:val="00DC4120"/>
    <w:rsid w:val="00DC4976"/>
    <w:rsid w:val="00DC49CB"/>
    <w:rsid w:val="00DC5497"/>
    <w:rsid w:val="00DC56FC"/>
    <w:rsid w:val="00DC5EB3"/>
    <w:rsid w:val="00DC6B5A"/>
    <w:rsid w:val="00DD0186"/>
    <w:rsid w:val="00DD023E"/>
    <w:rsid w:val="00DD095C"/>
    <w:rsid w:val="00DD0A47"/>
    <w:rsid w:val="00DD1020"/>
    <w:rsid w:val="00DD1330"/>
    <w:rsid w:val="00DD38C7"/>
    <w:rsid w:val="00DD39F8"/>
    <w:rsid w:val="00DD5347"/>
    <w:rsid w:val="00DD68F7"/>
    <w:rsid w:val="00DE0B83"/>
    <w:rsid w:val="00DE1A81"/>
    <w:rsid w:val="00DE1C13"/>
    <w:rsid w:val="00DE2891"/>
    <w:rsid w:val="00DE364F"/>
    <w:rsid w:val="00DE4ADF"/>
    <w:rsid w:val="00DE4E10"/>
    <w:rsid w:val="00DE7F34"/>
    <w:rsid w:val="00DF0118"/>
    <w:rsid w:val="00DF48C4"/>
    <w:rsid w:val="00E00188"/>
    <w:rsid w:val="00E02915"/>
    <w:rsid w:val="00E02ABF"/>
    <w:rsid w:val="00E03375"/>
    <w:rsid w:val="00E043C8"/>
    <w:rsid w:val="00E14995"/>
    <w:rsid w:val="00E14E3C"/>
    <w:rsid w:val="00E15EFF"/>
    <w:rsid w:val="00E179CD"/>
    <w:rsid w:val="00E205F7"/>
    <w:rsid w:val="00E23E8D"/>
    <w:rsid w:val="00E261A1"/>
    <w:rsid w:val="00E2660F"/>
    <w:rsid w:val="00E271FF"/>
    <w:rsid w:val="00E2759F"/>
    <w:rsid w:val="00E3020C"/>
    <w:rsid w:val="00E31550"/>
    <w:rsid w:val="00E33D54"/>
    <w:rsid w:val="00E36980"/>
    <w:rsid w:val="00E3771D"/>
    <w:rsid w:val="00E37D5F"/>
    <w:rsid w:val="00E37F98"/>
    <w:rsid w:val="00E416A6"/>
    <w:rsid w:val="00E444CE"/>
    <w:rsid w:val="00E46559"/>
    <w:rsid w:val="00E50372"/>
    <w:rsid w:val="00E50DFD"/>
    <w:rsid w:val="00E512DB"/>
    <w:rsid w:val="00E542AB"/>
    <w:rsid w:val="00E62FA9"/>
    <w:rsid w:val="00E6670C"/>
    <w:rsid w:val="00E669FF"/>
    <w:rsid w:val="00E672DE"/>
    <w:rsid w:val="00E71006"/>
    <w:rsid w:val="00E72282"/>
    <w:rsid w:val="00E73272"/>
    <w:rsid w:val="00E75ECD"/>
    <w:rsid w:val="00E776E8"/>
    <w:rsid w:val="00E77CC7"/>
    <w:rsid w:val="00E82CE0"/>
    <w:rsid w:val="00E871C2"/>
    <w:rsid w:val="00E92C1F"/>
    <w:rsid w:val="00E93A18"/>
    <w:rsid w:val="00E94853"/>
    <w:rsid w:val="00E95D4B"/>
    <w:rsid w:val="00E96965"/>
    <w:rsid w:val="00E97EA4"/>
    <w:rsid w:val="00EA5BF9"/>
    <w:rsid w:val="00EB199F"/>
    <w:rsid w:val="00EB3F0A"/>
    <w:rsid w:val="00EB56E4"/>
    <w:rsid w:val="00EB64D4"/>
    <w:rsid w:val="00EC23F7"/>
    <w:rsid w:val="00EC3E24"/>
    <w:rsid w:val="00EC4BD8"/>
    <w:rsid w:val="00EC5D62"/>
    <w:rsid w:val="00EC60A3"/>
    <w:rsid w:val="00EC63EB"/>
    <w:rsid w:val="00EC685B"/>
    <w:rsid w:val="00EC7B22"/>
    <w:rsid w:val="00ED0C81"/>
    <w:rsid w:val="00ED1002"/>
    <w:rsid w:val="00ED30A2"/>
    <w:rsid w:val="00ED412F"/>
    <w:rsid w:val="00ED5F01"/>
    <w:rsid w:val="00EE072D"/>
    <w:rsid w:val="00EE0F46"/>
    <w:rsid w:val="00EE43AC"/>
    <w:rsid w:val="00EE6035"/>
    <w:rsid w:val="00EE6396"/>
    <w:rsid w:val="00EE717E"/>
    <w:rsid w:val="00EE7575"/>
    <w:rsid w:val="00EF1F6F"/>
    <w:rsid w:val="00EF36B2"/>
    <w:rsid w:val="00EF41F3"/>
    <w:rsid w:val="00EF76C8"/>
    <w:rsid w:val="00F0060B"/>
    <w:rsid w:val="00F01162"/>
    <w:rsid w:val="00F01522"/>
    <w:rsid w:val="00F02CBD"/>
    <w:rsid w:val="00F03903"/>
    <w:rsid w:val="00F03970"/>
    <w:rsid w:val="00F041DE"/>
    <w:rsid w:val="00F05B77"/>
    <w:rsid w:val="00F071E8"/>
    <w:rsid w:val="00F10468"/>
    <w:rsid w:val="00F10561"/>
    <w:rsid w:val="00F10EDE"/>
    <w:rsid w:val="00F137FB"/>
    <w:rsid w:val="00F13FBF"/>
    <w:rsid w:val="00F1520A"/>
    <w:rsid w:val="00F158A6"/>
    <w:rsid w:val="00F15D64"/>
    <w:rsid w:val="00F16C8A"/>
    <w:rsid w:val="00F176DA"/>
    <w:rsid w:val="00F201EC"/>
    <w:rsid w:val="00F208A9"/>
    <w:rsid w:val="00F22489"/>
    <w:rsid w:val="00F23D6E"/>
    <w:rsid w:val="00F3124C"/>
    <w:rsid w:val="00F31D13"/>
    <w:rsid w:val="00F31F32"/>
    <w:rsid w:val="00F3417C"/>
    <w:rsid w:val="00F41D75"/>
    <w:rsid w:val="00F431C1"/>
    <w:rsid w:val="00F43E73"/>
    <w:rsid w:val="00F44128"/>
    <w:rsid w:val="00F445F5"/>
    <w:rsid w:val="00F44B55"/>
    <w:rsid w:val="00F4576B"/>
    <w:rsid w:val="00F5068B"/>
    <w:rsid w:val="00F50DAE"/>
    <w:rsid w:val="00F5139D"/>
    <w:rsid w:val="00F52BB2"/>
    <w:rsid w:val="00F53BC6"/>
    <w:rsid w:val="00F54A5E"/>
    <w:rsid w:val="00F61C0B"/>
    <w:rsid w:val="00F62A06"/>
    <w:rsid w:val="00F63334"/>
    <w:rsid w:val="00F63DAC"/>
    <w:rsid w:val="00F6443A"/>
    <w:rsid w:val="00F64CD5"/>
    <w:rsid w:val="00F65E13"/>
    <w:rsid w:val="00F7454F"/>
    <w:rsid w:val="00F77988"/>
    <w:rsid w:val="00F77F48"/>
    <w:rsid w:val="00F8246B"/>
    <w:rsid w:val="00F860EB"/>
    <w:rsid w:val="00F86319"/>
    <w:rsid w:val="00F86A2F"/>
    <w:rsid w:val="00F9140C"/>
    <w:rsid w:val="00F9751B"/>
    <w:rsid w:val="00F97C6C"/>
    <w:rsid w:val="00FA0842"/>
    <w:rsid w:val="00FA1AE7"/>
    <w:rsid w:val="00FA4231"/>
    <w:rsid w:val="00FA69BF"/>
    <w:rsid w:val="00FB230B"/>
    <w:rsid w:val="00FB30F1"/>
    <w:rsid w:val="00FB4C72"/>
    <w:rsid w:val="00FB53E7"/>
    <w:rsid w:val="00FB54EE"/>
    <w:rsid w:val="00FC110C"/>
    <w:rsid w:val="00FC1977"/>
    <w:rsid w:val="00FC236C"/>
    <w:rsid w:val="00FC2BC5"/>
    <w:rsid w:val="00FC38E6"/>
    <w:rsid w:val="00FC66A3"/>
    <w:rsid w:val="00FD0B66"/>
    <w:rsid w:val="00FD0B73"/>
    <w:rsid w:val="00FD5E9E"/>
    <w:rsid w:val="00FD6C0B"/>
    <w:rsid w:val="00FE044A"/>
    <w:rsid w:val="00FE0B50"/>
    <w:rsid w:val="00FE24EA"/>
    <w:rsid w:val="00FE388F"/>
    <w:rsid w:val="00FF0351"/>
    <w:rsid w:val="00FF1A0B"/>
    <w:rsid w:val="00FF5A5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70CEAA2"/>
  <w15:docId w15:val="{DAEA64E2-F4DC-4535-A412-AFC9CF08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lang w:bidi="ar-SA"/>
    </w:rPr>
  </w:style>
  <w:style w:type="paragraph" w:styleId="Virsraksts3">
    <w:name w:val="heading 3"/>
    <w:basedOn w:val="Parasts"/>
    <w:link w:val="Virsraksts3Rakstz"/>
    <w:uiPriority w:val="9"/>
    <w:qFormat/>
    <w:rsid w:val="000222F8"/>
    <w:pPr>
      <w:spacing w:before="100" w:beforeAutospacing="1" w:after="100" w:afterAutospacing="1"/>
      <w:outlineLvl w:val="2"/>
    </w:pPr>
    <w:rPr>
      <w:b/>
      <w:bCs/>
      <w:sz w:val="27"/>
      <w:szCs w:val="27"/>
      <w:lang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E77CC7"/>
    <w:pPr>
      <w:ind w:right="72" w:firstLine="720"/>
      <w:jc w:val="both"/>
    </w:pPr>
    <w:rPr>
      <w:sz w:val="28"/>
      <w:lang w:val="x-none" w:eastAsia="x-none"/>
    </w:rPr>
  </w:style>
  <w:style w:type="character" w:customStyle="1" w:styleId="Pamattekstaatkpe2Rakstz">
    <w:name w:val="Pamatteksta atkāpe 2 Rakstz."/>
    <w:link w:val="Pamattekstaatkpe2"/>
    <w:rsid w:val="00E77CC7"/>
    <w:rPr>
      <w:sz w:val="28"/>
      <w:szCs w:val="24"/>
    </w:rPr>
  </w:style>
  <w:style w:type="paragraph" w:styleId="Pamattekstsaratkpi">
    <w:name w:val="Body Text Indent"/>
    <w:basedOn w:val="Parasts"/>
    <w:link w:val="PamattekstsaratkpiRakstz"/>
    <w:rsid w:val="000C5AF3"/>
    <w:pPr>
      <w:spacing w:after="120"/>
      <w:ind w:left="283"/>
    </w:pPr>
    <w:rPr>
      <w:lang w:val="x-none" w:eastAsia="x-none"/>
    </w:rPr>
  </w:style>
  <w:style w:type="character" w:customStyle="1" w:styleId="PamattekstsaratkpiRakstz">
    <w:name w:val="Pamatteksts ar atkāpi Rakstz."/>
    <w:link w:val="Pamattekstsaratkpi"/>
    <w:rsid w:val="000C5AF3"/>
    <w:rPr>
      <w:sz w:val="24"/>
      <w:szCs w:val="24"/>
    </w:rPr>
  </w:style>
  <w:style w:type="paragraph" w:styleId="Sarakstarindkopa">
    <w:name w:val="List Paragraph"/>
    <w:basedOn w:val="Parasts"/>
    <w:uiPriority w:val="34"/>
    <w:qFormat/>
    <w:rsid w:val="002653B5"/>
    <w:pPr>
      <w:ind w:left="720"/>
      <w:contextualSpacing/>
    </w:pPr>
  </w:style>
  <w:style w:type="paragraph" w:customStyle="1" w:styleId="tv2131">
    <w:name w:val="tv2131"/>
    <w:basedOn w:val="Parasts"/>
    <w:rsid w:val="00DF0118"/>
    <w:pPr>
      <w:spacing w:line="360" w:lineRule="auto"/>
      <w:ind w:firstLine="300"/>
    </w:pPr>
    <w:rPr>
      <w:color w:val="414142"/>
      <w:sz w:val="20"/>
      <w:szCs w:val="20"/>
    </w:rPr>
  </w:style>
  <w:style w:type="character" w:customStyle="1" w:styleId="spelle">
    <w:name w:val="spelle"/>
    <w:rsid w:val="00451816"/>
  </w:style>
  <w:style w:type="character" w:customStyle="1" w:styleId="GalveneRakstz">
    <w:name w:val="Galvene Rakstz."/>
    <w:link w:val="Galvene"/>
    <w:rsid w:val="00332C7B"/>
    <w:rPr>
      <w:sz w:val="24"/>
      <w:szCs w:val="24"/>
    </w:rPr>
  </w:style>
  <w:style w:type="paragraph" w:styleId="Bezatstarpm">
    <w:name w:val="No Spacing"/>
    <w:uiPriority w:val="1"/>
    <w:qFormat/>
    <w:rsid w:val="004C3BBA"/>
    <w:pPr>
      <w:widowControl w:val="0"/>
      <w:ind w:firstLine="720"/>
      <w:jc w:val="both"/>
    </w:pPr>
    <w:rPr>
      <w:sz w:val="26"/>
      <w:lang w:val="en-AU" w:eastAsia="en-US" w:bidi="ar-SA"/>
    </w:rPr>
  </w:style>
  <w:style w:type="character" w:customStyle="1" w:styleId="Virsraksts3Rakstz">
    <w:name w:val="Virsraksts 3 Rakstz."/>
    <w:basedOn w:val="Noklusjumarindkopasfonts"/>
    <w:link w:val="Virsraksts3"/>
    <w:uiPriority w:val="9"/>
    <w:rsid w:val="000222F8"/>
    <w:rPr>
      <w:b/>
      <w:bCs/>
      <w:sz w:val="27"/>
      <w:szCs w:val="27"/>
    </w:rPr>
  </w:style>
  <w:style w:type="character" w:styleId="Neatrisintapieminana">
    <w:name w:val="Unresolved Mention"/>
    <w:basedOn w:val="Noklusjumarindkopasfonts"/>
    <w:uiPriority w:val="99"/>
    <w:semiHidden/>
    <w:unhideWhenUsed/>
    <w:rsid w:val="009E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5690">
      <w:bodyDiv w:val="1"/>
      <w:marLeft w:val="0"/>
      <w:marRight w:val="0"/>
      <w:marTop w:val="0"/>
      <w:marBottom w:val="0"/>
      <w:divBdr>
        <w:top w:val="none" w:sz="0" w:space="0" w:color="auto"/>
        <w:left w:val="none" w:sz="0" w:space="0" w:color="auto"/>
        <w:bottom w:val="none" w:sz="0" w:space="0" w:color="auto"/>
        <w:right w:val="none" w:sz="0" w:space="0" w:color="auto"/>
      </w:divBdr>
    </w:div>
    <w:div w:id="320543814">
      <w:bodyDiv w:val="1"/>
      <w:marLeft w:val="0"/>
      <w:marRight w:val="0"/>
      <w:marTop w:val="0"/>
      <w:marBottom w:val="0"/>
      <w:divBdr>
        <w:top w:val="none" w:sz="0" w:space="0" w:color="auto"/>
        <w:left w:val="none" w:sz="0" w:space="0" w:color="auto"/>
        <w:bottom w:val="none" w:sz="0" w:space="0" w:color="auto"/>
        <w:right w:val="none" w:sz="0" w:space="0" w:color="auto"/>
      </w:divBdr>
    </w:div>
    <w:div w:id="386681734">
      <w:bodyDiv w:val="1"/>
      <w:marLeft w:val="0"/>
      <w:marRight w:val="0"/>
      <w:marTop w:val="0"/>
      <w:marBottom w:val="0"/>
      <w:divBdr>
        <w:top w:val="none" w:sz="0" w:space="0" w:color="auto"/>
        <w:left w:val="none" w:sz="0" w:space="0" w:color="auto"/>
        <w:bottom w:val="none" w:sz="0" w:space="0" w:color="auto"/>
        <w:right w:val="none" w:sz="0" w:space="0" w:color="auto"/>
      </w:divBdr>
    </w:div>
    <w:div w:id="560480395">
      <w:bodyDiv w:val="1"/>
      <w:marLeft w:val="0"/>
      <w:marRight w:val="0"/>
      <w:marTop w:val="0"/>
      <w:marBottom w:val="0"/>
      <w:divBdr>
        <w:top w:val="none" w:sz="0" w:space="0" w:color="auto"/>
        <w:left w:val="none" w:sz="0" w:space="0" w:color="auto"/>
        <w:bottom w:val="none" w:sz="0" w:space="0" w:color="auto"/>
        <w:right w:val="none" w:sz="0" w:space="0" w:color="auto"/>
      </w:divBdr>
    </w:div>
    <w:div w:id="587076408">
      <w:bodyDiv w:val="1"/>
      <w:marLeft w:val="0"/>
      <w:marRight w:val="0"/>
      <w:marTop w:val="0"/>
      <w:marBottom w:val="0"/>
      <w:divBdr>
        <w:top w:val="none" w:sz="0" w:space="0" w:color="auto"/>
        <w:left w:val="none" w:sz="0" w:space="0" w:color="auto"/>
        <w:bottom w:val="none" w:sz="0" w:space="0" w:color="auto"/>
        <w:right w:val="none" w:sz="0" w:space="0" w:color="auto"/>
      </w:divBdr>
    </w:div>
    <w:div w:id="630287237">
      <w:bodyDiv w:val="1"/>
      <w:marLeft w:val="0"/>
      <w:marRight w:val="0"/>
      <w:marTop w:val="0"/>
      <w:marBottom w:val="0"/>
      <w:divBdr>
        <w:top w:val="none" w:sz="0" w:space="0" w:color="auto"/>
        <w:left w:val="none" w:sz="0" w:space="0" w:color="auto"/>
        <w:bottom w:val="none" w:sz="0" w:space="0" w:color="auto"/>
        <w:right w:val="none" w:sz="0" w:space="0" w:color="auto"/>
      </w:divBdr>
    </w:div>
    <w:div w:id="1148938805">
      <w:bodyDiv w:val="1"/>
      <w:marLeft w:val="0"/>
      <w:marRight w:val="0"/>
      <w:marTop w:val="0"/>
      <w:marBottom w:val="0"/>
      <w:divBdr>
        <w:top w:val="none" w:sz="0" w:space="0" w:color="auto"/>
        <w:left w:val="none" w:sz="0" w:space="0" w:color="auto"/>
        <w:bottom w:val="none" w:sz="0" w:space="0" w:color="auto"/>
        <w:right w:val="none" w:sz="0" w:space="0" w:color="auto"/>
      </w:divBdr>
    </w:div>
    <w:div w:id="12751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ars.Elksnis@tna.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7E4D-8FAB-47AE-A0C1-09A17AF5C05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1EAA3590-56F7-4C4F-90FB-8375D13C0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6BA295-03A1-4E5F-ADAC-7CB25DCE21DA}">
  <ds:schemaRefs>
    <ds:schemaRef ds:uri="http://schemas.microsoft.com/sharepoint/v3/contenttype/forms"/>
  </ds:schemaRefs>
</ds:datastoreItem>
</file>

<file path=customXml/itemProps4.xml><?xml version="1.0" encoding="utf-8"?>
<ds:datastoreItem xmlns:ds="http://schemas.openxmlformats.org/officeDocument/2006/customXml" ds:itemID="{D401EC4C-FD7A-4EBE-959E-D3A2CB33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9667</Characters>
  <Application>Microsoft Office Word</Application>
  <DocSecurity>0</DocSecurity>
  <Lines>80</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atšķirīgu dividendēs izmaksājamo valsts akciju sabiedrības "Tiesu namu aģentūra" peļņas daļu par 2017.gadu"sākotnējās ietekmes novērtējuma ziņojums (anotācija)</vt:lpstr>
      <vt:lpstr>Ministru kabineta rīkojuma projekta „Par valsts nekustamā īpašuma ieguldīšanu akciju sabiedrības „Latvenergo” pamatkapitālā”</vt:lpstr>
    </vt:vector>
  </TitlesOfParts>
  <Company>Tieslietu ministrija</Company>
  <LinksUpToDate>false</LinksUpToDate>
  <CharactersWithSpaces>11231</CharactersWithSpaces>
  <SharedDoc>false</SharedDoc>
  <HLinks>
    <vt:vector size="6" baseType="variant">
      <vt:variant>
        <vt:i4>1245229</vt:i4>
      </vt:variant>
      <vt:variant>
        <vt:i4>0</vt:i4>
      </vt:variant>
      <vt:variant>
        <vt:i4>0</vt:i4>
      </vt:variant>
      <vt:variant>
        <vt:i4>5</vt:i4>
      </vt:variant>
      <vt:variant>
        <vt:lpwstr>mailto:Jana.Sviderska@em.gov.lv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"Tiesu namu aģentūra" peļņas daļu par 2017.gadu"sākotnējās ietekmes novērtējuma ziņojums (anotācija)</dc:title>
  <dc:subject>Anotācija</dc:subject>
  <dc:creator>Gunars.Elksnis@tna.lv</dc:creator>
  <dc:description>Elksnis 67804737_x000d_
Gunars.Elksnis@tna.lv</dc:description>
  <cp:lastModifiedBy>Baiba Spalviņa</cp:lastModifiedBy>
  <cp:revision>4</cp:revision>
  <cp:lastPrinted>2018-07-12T06:39:00Z</cp:lastPrinted>
  <dcterms:created xsi:type="dcterms:W3CDTF">2018-07-12T06:41:00Z</dcterms:created>
  <dcterms:modified xsi:type="dcterms:W3CDTF">2018-07-12T13:40:00Z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