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A3B7D" w14:textId="77777777" w:rsidR="003A10F7" w:rsidRDefault="003A10F7" w:rsidP="003A10F7">
      <w:pPr>
        <w:shd w:val="clear" w:color="auto" w:fill="FFFFFF"/>
        <w:spacing w:before="130" w:line="260" w:lineRule="exact"/>
        <w:jc w:val="both"/>
        <w:rPr>
          <w:rFonts w:asciiTheme="majorHAnsi" w:hAnsiTheme="majorHAnsi"/>
          <w:b/>
          <w:bCs/>
          <w:sz w:val="19"/>
          <w:szCs w:val="19"/>
        </w:rPr>
      </w:pPr>
      <w:r w:rsidRPr="00B608B0">
        <w:rPr>
          <w:rFonts w:asciiTheme="majorHAnsi" w:hAnsiTheme="majorHAnsi"/>
          <w:b/>
          <w:sz w:val="19"/>
          <w:szCs w:val="19"/>
        </w:rPr>
        <w:t>Ministru kabineta noteikumu projekta “</w:t>
      </w:r>
      <w:r w:rsidRPr="00B608B0">
        <w:rPr>
          <w:rFonts w:asciiTheme="majorHAnsi" w:hAnsiTheme="majorHAnsi"/>
          <w:b/>
          <w:bCs/>
          <w:sz w:val="19"/>
          <w:szCs w:val="19"/>
        </w:rPr>
        <w:t>Grozījumi Ministru kabineta 2012. gada 8. maija noteikumos Nr. 331 “Kārtība, kādā izsniedz speciālās atļaujas (licences) komercdarbībai ar Eiropas Savienības Kopējā militāro preču sarakstā minētajām precēm”  sākotnējās ietekmes novērtējuma ziņojums (anotācija)</w:t>
      </w:r>
    </w:p>
    <w:p w14:paraId="1328DA71" w14:textId="77777777" w:rsidR="003A10F7" w:rsidRPr="00A531B0" w:rsidRDefault="003A10F7" w:rsidP="003A10F7">
      <w:pPr>
        <w:shd w:val="clear" w:color="auto" w:fill="FFFFFF"/>
        <w:spacing w:before="130" w:line="260" w:lineRule="exact"/>
        <w:jc w:val="both"/>
        <w:rPr>
          <w:rFonts w:asciiTheme="majorHAnsi" w:hAnsiTheme="majorHAnsi"/>
          <w:b/>
          <w:bCs/>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12"/>
        <w:gridCol w:w="5284"/>
      </w:tblGrid>
      <w:tr w:rsidR="003A10F7" w:rsidRPr="002D7166" w14:paraId="37715422" w14:textId="77777777" w:rsidTr="002E47AB">
        <w:trPr>
          <w:cantSplit/>
        </w:trPr>
        <w:tc>
          <w:tcPr>
            <w:tcW w:w="9581" w:type="dxa"/>
            <w:gridSpan w:val="2"/>
            <w:shd w:val="clear" w:color="auto" w:fill="FFFFFF"/>
            <w:vAlign w:val="center"/>
            <w:hideMark/>
          </w:tcPr>
          <w:p w14:paraId="2150E516" w14:textId="77777777" w:rsidR="003A10F7" w:rsidRPr="002D7166" w:rsidRDefault="003A10F7" w:rsidP="002E47AB">
            <w:pPr>
              <w:jc w:val="center"/>
              <w:rPr>
                <w:rFonts w:ascii="Cambria" w:hAnsi="Cambria"/>
                <w:b/>
                <w:iCs/>
                <w:sz w:val="19"/>
                <w:szCs w:val="19"/>
                <w:lang w:eastAsia="en-US"/>
              </w:rPr>
            </w:pPr>
            <w:r w:rsidRPr="002D7166">
              <w:rPr>
                <w:rFonts w:ascii="Cambria" w:hAnsi="Cambria"/>
                <w:b/>
                <w:iCs/>
                <w:sz w:val="19"/>
                <w:szCs w:val="19"/>
                <w:lang w:eastAsia="en-US"/>
              </w:rPr>
              <w:t>Tiesību akta projekta anotācijas kopsavilkums</w:t>
            </w:r>
          </w:p>
        </w:tc>
      </w:tr>
      <w:tr w:rsidR="003A10F7" w:rsidRPr="002D7166" w14:paraId="0E0E0E77" w14:textId="77777777" w:rsidTr="002E47AB">
        <w:trPr>
          <w:cantSplit/>
        </w:trPr>
        <w:tc>
          <w:tcPr>
            <w:tcW w:w="3430" w:type="dxa"/>
            <w:shd w:val="clear" w:color="auto" w:fill="FFFFFF"/>
            <w:hideMark/>
          </w:tcPr>
          <w:p w14:paraId="11B57FB6" w14:textId="77777777" w:rsidR="003A10F7" w:rsidRPr="002D7166" w:rsidRDefault="003A10F7" w:rsidP="002E47AB">
            <w:pPr>
              <w:rPr>
                <w:rFonts w:ascii="Cambria" w:hAnsi="Cambria"/>
                <w:iCs/>
                <w:sz w:val="19"/>
                <w:szCs w:val="19"/>
                <w:lang w:eastAsia="en-US"/>
              </w:rPr>
            </w:pPr>
            <w:r w:rsidRPr="002D7166">
              <w:rPr>
                <w:rFonts w:ascii="Cambria" w:hAnsi="Cambria"/>
                <w:iCs/>
                <w:sz w:val="19"/>
                <w:szCs w:val="19"/>
                <w:lang w:eastAsia="en-US"/>
              </w:rPr>
              <w:t>Mērķis, risinājums un projekta spēkā stāšanās laiks (500 zīmes bez atstarpēm)</w:t>
            </w:r>
          </w:p>
        </w:tc>
        <w:tc>
          <w:tcPr>
            <w:tcW w:w="6151" w:type="dxa"/>
            <w:shd w:val="clear" w:color="auto" w:fill="FFFFFF"/>
            <w:hideMark/>
          </w:tcPr>
          <w:p w14:paraId="7AF1170C" w14:textId="77777777" w:rsidR="003A10F7" w:rsidRPr="002D7166" w:rsidRDefault="003A10F7" w:rsidP="002E47AB">
            <w:pPr>
              <w:rPr>
                <w:rFonts w:ascii="Cambria" w:hAnsi="Cambria"/>
                <w:i/>
                <w:iCs/>
                <w:sz w:val="19"/>
                <w:szCs w:val="19"/>
                <w:lang w:eastAsia="en-US"/>
              </w:rPr>
            </w:pPr>
            <w:r>
              <w:rPr>
                <w:rFonts w:ascii="Cambria" w:hAnsi="Cambria"/>
                <w:i/>
                <w:iCs/>
                <w:sz w:val="19"/>
                <w:szCs w:val="19"/>
                <w:lang w:eastAsia="en-US"/>
              </w:rPr>
              <w:t>Nav attiecināms</w:t>
            </w:r>
            <w:r w:rsidR="009B19DA">
              <w:rPr>
                <w:rFonts w:ascii="Cambria" w:hAnsi="Cambria"/>
                <w:i/>
                <w:iCs/>
                <w:sz w:val="19"/>
                <w:szCs w:val="19"/>
                <w:lang w:eastAsia="en-US"/>
              </w:rPr>
              <w:t>.</w:t>
            </w:r>
          </w:p>
        </w:tc>
      </w:tr>
    </w:tbl>
    <w:p w14:paraId="4C4D9C4F" w14:textId="77777777" w:rsidR="00BD5588" w:rsidRPr="002D7166" w:rsidRDefault="00BD5588" w:rsidP="007F5A97">
      <w:pPr>
        <w:pStyle w:val="Title"/>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B517C3" w14:paraId="362F8D7D" w14:textId="77777777" w:rsidTr="009E0502">
        <w:trPr>
          <w:cantSplit/>
        </w:trPr>
        <w:tc>
          <w:tcPr>
            <w:tcW w:w="5000" w:type="pct"/>
            <w:gridSpan w:val="3"/>
            <w:vAlign w:val="center"/>
            <w:hideMark/>
          </w:tcPr>
          <w:p w14:paraId="2D0430C0" w14:textId="718285A8" w:rsidR="00BD5588" w:rsidRPr="00500E03" w:rsidRDefault="00BD5588" w:rsidP="00500E03">
            <w:pPr>
              <w:jc w:val="center"/>
              <w:rPr>
                <w:rFonts w:ascii="Cambria" w:hAnsi="Cambria"/>
                <w:b/>
                <w:bCs/>
                <w:sz w:val="19"/>
                <w:szCs w:val="19"/>
              </w:rPr>
            </w:pPr>
            <w:r w:rsidRPr="00B517C3">
              <w:rPr>
                <w:rFonts w:ascii="Cambria" w:hAnsi="Cambria"/>
                <w:b/>
                <w:bCs/>
                <w:sz w:val="19"/>
                <w:szCs w:val="19"/>
              </w:rPr>
              <w:t>I. Tiesību akta projekta izstrādes nepieciešamība</w:t>
            </w:r>
          </w:p>
        </w:tc>
      </w:tr>
      <w:tr w:rsidR="00BD5588" w:rsidRPr="00B517C3" w14:paraId="7DCB9320" w14:textId="77777777" w:rsidTr="00500E03">
        <w:trPr>
          <w:cantSplit/>
        </w:trPr>
        <w:tc>
          <w:tcPr>
            <w:tcW w:w="311" w:type="pct"/>
            <w:hideMark/>
          </w:tcPr>
          <w:p w14:paraId="5953B6A5" w14:textId="77777777" w:rsidR="00BD5588" w:rsidRPr="00B517C3" w:rsidRDefault="00BD5588" w:rsidP="009E0502">
            <w:pPr>
              <w:jc w:val="center"/>
              <w:rPr>
                <w:rFonts w:ascii="Cambria" w:hAnsi="Cambria"/>
                <w:sz w:val="19"/>
                <w:szCs w:val="19"/>
              </w:rPr>
            </w:pPr>
            <w:r w:rsidRPr="00B517C3">
              <w:rPr>
                <w:rFonts w:ascii="Cambria" w:hAnsi="Cambria"/>
                <w:sz w:val="19"/>
                <w:szCs w:val="19"/>
              </w:rPr>
              <w:t>1.</w:t>
            </w:r>
          </w:p>
        </w:tc>
        <w:tc>
          <w:tcPr>
            <w:tcW w:w="1479" w:type="pct"/>
          </w:tcPr>
          <w:p w14:paraId="711EB4AE" w14:textId="029F496C" w:rsidR="00500E03" w:rsidRDefault="00500E03" w:rsidP="00500E03">
            <w:pPr>
              <w:rPr>
                <w:rFonts w:ascii="Cambria" w:hAnsi="Cambria"/>
                <w:sz w:val="19"/>
                <w:szCs w:val="19"/>
              </w:rPr>
            </w:pPr>
          </w:p>
          <w:p w14:paraId="0E80A66D" w14:textId="77777777" w:rsidR="00500E03" w:rsidRPr="00500E03" w:rsidRDefault="00500E03" w:rsidP="00500E03">
            <w:pPr>
              <w:rPr>
                <w:rFonts w:ascii="Cambria" w:hAnsi="Cambria"/>
                <w:sz w:val="19"/>
                <w:szCs w:val="19"/>
              </w:rPr>
            </w:pPr>
          </w:p>
          <w:p w14:paraId="7C991907" w14:textId="77777777" w:rsidR="00500E03" w:rsidRPr="00500E03" w:rsidRDefault="00500E03" w:rsidP="00500E03">
            <w:pPr>
              <w:rPr>
                <w:rFonts w:ascii="Cambria" w:hAnsi="Cambria"/>
                <w:sz w:val="19"/>
                <w:szCs w:val="19"/>
              </w:rPr>
            </w:pPr>
          </w:p>
          <w:p w14:paraId="053D0A97" w14:textId="77777777" w:rsidR="00500E03" w:rsidRPr="00500E03" w:rsidRDefault="00500E03" w:rsidP="00500E03">
            <w:pPr>
              <w:rPr>
                <w:rFonts w:ascii="Cambria" w:hAnsi="Cambria"/>
                <w:sz w:val="19"/>
                <w:szCs w:val="19"/>
              </w:rPr>
            </w:pPr>
          </w:p>
          <w:p w14:paraId="5793999D" w14:textId="77777777" w:rsidR="00500E03" w:rsidRPr="00500E03" w:rsidRDefault="00500E03" w:rsidP="00500E03">
            <w:pPr>
              <w:rPr>
                <w:rFonts w:ascii="Cambria" w:hAnsi="Cambria"/>
                <w:sz w:val="19"/>
                <w:szCs w:val="19"/>
              </w:rPr>
            </w:pPr>
          </w:p>
          <w:p w14:paraId="33D074F9" w14:textId="613262C9" w:rsidR="00BD5588" w:rsidRPr="00500E03" w:rsidRDefault="00BD5588" w:rsidP="00500E03">
            <w:pPr>
              <w:rPr>
                <w:rFonts w:ascii="Cambria" w:hAnsi="Cambria"/>
                <w:sz w:val="19"/>
                <w:szCs w:val="19"/>
              </w:rPr>
            </w:pPr>
            <w:bookmarkStart w:id="0" w:name="_GoBack"/>
            <w:bookmarkEnd w:id="0"/>
          </w:p>
        </w:tc>
        <w:tc>
          <w:tcPr>
            <w:tcW w:w="3210" w:type="pct"/>
          </w:tcPr>
          <w:p w14:paraId="49027191" w14:textId="77777777" w:rsidR="00BD5588" w:rsidRPr="00B517C3" w:rsidRDefault="003A10F7" w:rsidP="009E0502">
            <w:pPr>
              <w:rPr>
                <w:rFonts w:ascii="Cambria" w:hAnsi="Cambria"/>
                <w:sz w:val="19"/>
                <w:szCs w:val="19"/>
              </w:rPr>
            </w:pPr>
            <w:r w:rsidRPr="000403C7">
              <w:rPr>
                <w:rFonts w:asciiTheme="majorHAnsi" w:hAnsiTheme="majorHAnsi"/>
                <w:bCs/>
                <w:sz w:val="19"/>
                <w:szCs w:val="19"/>
              </w:rPr>
              <w:t xml:space="preserve">Stratēģiskas nozīmes preču aprites likuma </w:t>
            </w:r>
            <w:r w:rsidRPr="000403C7">
              <w:rPr>
                <w:rFonts w:asciiTheme="majorHAnsi" w:hAnsiTheme="majorHAnsi"/>
                <w:sz w:val="19"/>
                <w:szCs w:val="19"/>
              </w:rPr>
              <w:t>5. panta trešā daļa un Aizsardzības ministrijas vajadzība noteikt papildus nosacījumus komersantu pārbaudei, k</w:t>
            </w:r>
            <w:r>
              <w:rPr>
                <w:rFonts w:asciiTheme="majorHAnsi" w:hAnsiTheme="majorHAnsi"/>
                <w:sz w:val="19"/>
                <w:szCs w:val="19"/>
              </w:rPr>
              <w:t>as</w:t>
            </w:r>
            <w:r w:rsidRPr="000403C7">
              <w:rPr>
                <w:rFonts w:asciiTheme="majorHAnsi" w:hAnsiTheme="majorHAnsi"/>
                <w:sz w:val="19"/>
                <w:szCs w:val="19"/>
              </w:rPr>
              <w:t xml:space="preserve"> saņēmuši Aizsardzības ministrijas izsniegto speciālo atļauju (licenci) komercdarbībai ar Eiropas Savienības Kopējā militāro preču sarakstā minētajām precēm vai iesn</w:t>
            </w:r>
            <w:r>
              <w:rPr>
                <w:rFonts w:asciiTheme="majorHAnsi" w:hAnsiTheme="majorHAnsi"/>
                <w:sz w:val="19"/>
                <w:szCs w:val="19"/>
              </w:rPr>
              <w:t>ieguši iesniegumu to saņemšanai</w:t>
            </w:r>
            <w:r w:rsidR="009B19DA">
              <w:rPr>
                <w:rFonts w:asciiTheme="majorHAnsi" w:hAnsiTheme="majorHAnsi"/>
                <w:sz w:val="19"/>
                <w:szCs w:val="19"/>
              </w:rPr>
              <w:t>.</w:t>
            </w:r>
          </w:p>
        </w:tc>
      </w:tr>
      <w:tr w:rsidR="00DE0F72" w:rsidRPr="00B517C3" w14:paraId="3E76B563" w14:textId="77777777" w:rsidTr="003A10F7">
        <w:trPr>
          <w:cantSplit/>
        </w:trPr>
        <w:tc>
          <w:tcPr>
            <w:tcW w:w="311" w:type="pct"/>
          </w:tcPr>
          <w:p w14:paraId="67A5A28E" w14:textId="2E2A3BA4" w:rsidR="00DE0F72" w:rsidRPr="00B517C3" w:rsidRDefault="00DE0F72" w:rsidP="00DE0F72">
            <w:pPr>
              <w:jc w:val="center"/>
              <w:rPr>
                <w:rFonts w:ascii="Cambria" w:hAnsi="Cambria"/>
                <w:sz w:val="19"/>
                <w:szCs w:val="19"/>
              </w:rPr>
            </w:pPr>
            <w:r w:rsidRPr="00B517C3">
              <w:rPr>
                <w:rFonts w:ascii="Cambria" w:hAnsi="Cambria"/>
                <w:sz w:val="19"/>
                <w:szCs w:val="19"/>
              </w:rPr>
              <w:t>2.</w:t>
            </w:r>
          </w:p>
        </w:tc>
        <w:tc>
          <w:tcPr>
            <w:tcW w:w="1479" w:type="pct"/>
          </w:tcPr>
          <w:p w14:paraId="585A0B3C" w14:textId="48A34D5D" w:rsidR="00500E03" w:rsidRDefault="00DE0F72" w:rsidP="00DE0F72">
            <w:pPr>
              <w:rPr>
                <w:rFonts w:ascii="Cambria" w:hAnsi="Cambria"/>
                <w:sz w:val="19"/>
                <w:szCs w:val="19"/>
              </w:rPr>
            </w:pPr>
            <w:r w:rsidRPr="00B517C3">
              <w:rPr>
                <w:rFonts w:ascii="Cambria" w:hAnsi="Cambria"/>
                <w:sz w:val="19"/>
                <w:szCs w:val="19"/>
              </w:rPr>
              <w:t>Pašreizējā situācija un problēmas, kuru risināšanai tiesību akta projekts izstrādāts, tiesiskā regulējuma mērķis un būtība</w:t>
            </w:r>
          </w:p>
          <w:p w14:paraId="26D4609E" w14:textId="77777777" w:rsidR="00500E03" w:rsidRPr="00500E03" w:rsidRDefault="00500E03" w:rsidP="00500E03">
            <w:pPr>
              <w:rPr>
                <w:rFonts w:ascii="Cambria" w:hAnsi="Cambria"/>
                <w:sz w:val="19"/>
                <w:szCs w:val="19"/>
              </w:rPr>
            </w:pPr>
          </w:p>
          <w:p w14:paraId="4A74A74C" w14:textId="77777777" w:rsidR="00500E03" w:rsidRPr="00500E03" w:rsidRDefault="00500E03" w:rsidP="00500E03">
            <w:pPr>
              <w:rPr>
                <w:rFonts w:ascii="Cambria" w:hAnsi="Cambria"/>
                <w:sz w:val="19"/>
                <w:szCs w:val="19"/>
              </w:rPr>
            </w:pPr>
          </w:p>
          <w:p w14:paraId="3BED3DA7" w14:textId="77777777" w:rsidR="00500E03" w:rsidRPr="00500E03" w:rsidRDefault="00500E03" w:rsidP="00500E03">
            <w:pPr>
              <w:rPr>
                <w:rFonts w:ascii="Cambria" w:hAnsi="Cambria"/>
                <w:sz w:val="19"/>
                <w:szCs w:val="19"/>
              </w:rPr>
            </w:pPr>
          </w:p>
          <w:p w14:paraId="5682AB9E" w14:textId="77777777" w:rsidR="00500E03" w:rsidRPr="00500E03" w:rsidRDefault="00500E03" w:rsidP="00500E03">
            <w:pPr>
              <w:rPr>
                <w:rFonts w:ascii="Cambria" w:hAnsi="Cambria"/>
                <w:sz w:val="19"/>
                <w:szCs w:val="19"/>
              </w:rPr>
            </w:pPr>
          </w:p>
          <w:p w14:paraId="60839E11" w14:textId="77777777" w:rsidR="00500E03" w:rsidRPr="00500E03" w:rsidRDefault="00500E03" w:rsidP="00500E03">
            <w:pPr>
              <w:rPr>
                <w:rFonts w:ascii="Cambria" w:hAnsi="Cambria"/>
                <w:sz w:val="19"/>
                <w:szCs w:val="19"/>
              </w:rPr>
            </w:pPr>
          </w:p>
          <w:p w14:paraId="115E5DBE" w14:textId="77777777" w:rsidR="00500E03" w:rsidRPr="00500E03" w:rsidRDefault="00500E03" w:rsidP="00500E03">
            <w:pPr>
              <w:rPr>
                <w:rFonts w:ascii="Cambria" w:hAnsi="Cambria"/>
                <w:sz w:val="19"/>
                <w:szCs w:val="19"/>
              </w:rPr>
            </w:pPr>
          </w:p>
          <w:p w14:paraId="49E39890" w14:textId="77777777" w:rsidR="00500E03" w:rsidRPr="00500E03" w:rsidRDefault="00500E03" w:rsidP="00500E03">
            <w:pPr>
              <w:rPr>
                <w:rFonts w:ascii="Cambria" w:hAnsi="Cambria"/>
                <w:sz w:val="19"/>
                <w:szCs w:val="19"/>
              </w:rPr>
            </w:pPr>
          </w:p>
          <w:p w14:paraId="35C6E8F2" w14:textId="6C3F0D06" w:rsidR="00DE0F72" w:rsidRPr="00500E03" w:rsidRDefault="00DE0F72" w:rsidP="00500E03">
            <w:pPr>
              <w:rPr>
                <w:rFonts w:ascii="Cambria" w:hAnsi="Cambria"/>
                <w:sz w:val="19"/>
                <w:szCs w:val="19"/>
              </w:rPr>
            </w:pPr>
          </w:p>
        </w:tc>
        <w:tc>
          <w:tcPr>
            <w:tcW w:w="3210" w:type="pct"/>
          </w:tcPr>
          <w:p w14:paraId="43E0CB0E" w14:textId="77777777" w:rsidR="00DE0F72" w:rsidRPr="0036797B" w:rsidRDefault="00DE0F72" w:rsidP="00DE0F72">
            <w:pPr>
              <w:rPr>
                <w:rFonts w:asciiTheme="majorHAnsi" w:hAnsiTheme="majorHAnsi"/>
                <w:bCs/>
                <w:sz w:val="19"/>
                <w:szCs w:val="19"/>
              </w:rPr>
            </w:pPr>
            <w:r w:rsidRPr="000403C7">
              <w:rPr>
                <w:rFonts w:asciiTheme="majorHAnsi" w:hAnsiTheme="majorHAnsi"/>
                <w:sz w:val="19"/>
                <w:szCs w:val="19"/>
              </w:rPr>
              <w:t xml:space="preserve">Šobrīd </w:t>
            </w:r>
            <w:r w:rsidRPr="000403C7">
              <w:rPr>
                <w:rFonts w:asciiTheme="majorHAnsi" w:hAnsiTheme="majorHAnsi"/>
                <w:bCs/>
                <w:sz w:val="19"/>
                <w:szCs w:val="19"/>
              </w:rPr>
              <w:t>Ministru kabineta 2012. gada 8. maija noteikumi Nr. 331 “Kārtība, kādā izsniedz speciālās atļaujas (licences) komercdarbībai ar Eiropas Savienības Kopējā militāro preču sarakstā minētajām precēm”</w:t>
            </w:r>
            <w:r>
              <w:rPr>
                <w:rFonts w:asciiTheme="majorHAnsi" w:hAnsiTheme="majorHAnsi"/>
                <w:bCs/>
                <w:sz w:val="19"/>
                <w:szCs w:val="19"/>
              </w:rPr>
              <w:t xml:space="preserve"> (turpmāk – Ministru kabineta noteikumi)</w:t>
            </w:r>
            <w:r w:rsidRPr="000403C7">
              <w:rPr>
                <w:rFonts w:asciiTheme="majorHAnsi" w:hAnsiTheme="majorHAnsi"/>
                <w:bCs/>
                <w:sz w:val="19"/>
                <w:szCs w:val="19"/>
              </w:rPr>
              <w:t xml:space="preserve"> </w:t>
            </w:r>
            <w:r w:rsidRPr="0036797B">
              <w:rPr>
                <w:rFonts w:asciiTheme="majorHAnsi" w:hAnsiTheme="majorHAnsi"/>
                <w:bCs/>
                <w:sz w:val="19"/>
                <w:szCs w:val="19"/>
              </w:rPr>
              <w:t>neparedz Iekšlietu ministrijas padotības iestādei – Informācijas centram – sniegt ziņas Aizsardzības ministrijas Licencēšanas komisijai atbilstoši Stratēģiskas nozīmes preču aprites likuma 5. panta ceturtās daļas 2. punktā izvirzītajām prasībām.</w:t>
            </w:r>
          </w:p>
          <w:p w14:paraId="21DAA377" w14:textId="77777777" w:rsidR="00DE0F72" w:rsidRPr="0036797B" w:rsidRDefault="00DE0F72" w:rsidP="00DE0F72">
            <w:pPr>
              <w:rPr>
                <w:rFonts w:asciiTheme="majorHAnsi" w:hAnsiTheme="majorHAnsi"/>
                <w:bCs/>
                <w:sz w:val="19"/>
                <w:szCs w:val="19"/>
              </w:rPr>
            </w:pPr>
            <w:r w:rsidRPr="0036797B">
              <w:rPr>
                <w:rFonts w:asciiTheme="majorHAnsi" w:hAnsiTheme="majorHAnsi"/>
                <w:bCs/>
                <w:sz w:val="19"/>
                <w:szCs w:val="19"/>
              </w:rPr>
              <w:t xml:space="preserve">Lai novērstu šo nepilnību, noteikumu projekts paredz Informācijas centram sniegt ziņas Aizsardzības ministrijas Licencēšanas komisijai atbilstoši Stratēģiskas nozīmes preču aprites likuma 5. panta ceturtās daļas 2. punktā izvirzītajām prasībām. </w:t>
            </w:r>
          </w:p>
          <w:p w14:paraId="5BBDDBBA" w14:textId="77777777" w:rsidR="00DE0F72" w:rsidRPr="000403C7" w:rsidRDefault="00DE0F72" w:rsidP="00DE0F72">
            <w:pPr>
              <w:rPr>
                <w:rFonts w:asciiTheme="majorHAnsi" w:hAnsiTheme="majorHAnsi"/>
                <w:bCs/>
                <w:sz w:val="19"/>
                <w:szCs w:val="19"/>
              </w:rPr>
            </w:pPr>
            <w:r w:rsidRPr="0036797B">
              <w:rPr>
                <w:rFonts w:asciiTheme="majorHAnsi" w:hAnsiTheme="majorHAnsi"/>
                <w:bCs/>
                <w:sz w:val="19"/>
                <w:szCs w:val="19"/>
              </w:rPr>
              <w:t>Tāpat, šobrīd Ministru kabineta noteikumi neparedz  Iekšlietu ministrijas padotības iestādei – Valsts policijai – sniegt atzinumu</w:t>
            </w:r>
            <w:r w:rsidRPr="000403C7">
              <w:rPr>
                <w:rFonts w:asciiTheme="majorHAnsi" w:hAnsiTheme="majorHAnsi"/>
                <w:bCs/>
                <w:sz w:val="19"/>
                <w:szCs w:val="19"/>
              </w:rPr>
              <w:t xml:space="preserve"> Aizsardzības ministrijas Licencēšanas komisijai par komersantu glabātavu atbilstību Ieroču un speciālo līdzekļu aprites likumā un Stratēģiskas nozīmes preču aprites likumā noteiktajām prasībām, ja komersants vēlas veikt vai veic komercdarbību ar Eiropas Savienības Kopējā militāro preču saraksta sadaļā ML8 iekļautajām militārajām precēm (militārā pirotehnika, militārās sprāgstvielas, spridzināšanas ietaises u. c.). Savukārt saskaņā ar </w:t>
            </w:r>
            <w:r w:rsidRPr="000403C7">
              <w:rPr>
                <w:rFonts w:asciiTheme="majorHAnsi" w:hAnsiTheme="majorHAnsi"/>
                <w:sz w:val="19"/>
                <w:szCs w:val="19"/>
              </w:rPr>
              <w:t xml:space="preserve">Ministru kabineta 2012. gada 10. janvāra Ministru kabineta noteikumu Nr. 33 “Kārtība, kādā komersants glabā Eiropas Savienības Kopējā militāro preču sarakstā minēto militāro munīciju, militāro pirotehniku, militārās sprāgstvielas un spridzināšanas ietaises” </w:t>
            </w:r>
            <w:r w:rsidRPr="000403C7">
              <w:rPr>
                <w:rFonts w:asciiTheme="majorHAnsi" w:hAnsiTheme="majorHAnsi"/>
                <w:bCs/>
                <w:sz w:val="19"/>
                <w:szCs w:val="19"/>
              </w:rPr>
              <w:t xml:space="preserve">3. punktu attiecīgās pārbaudes </w:t>
            </w:r>
            <w:r>
              <w:rPr>
                <w:rFonts w:asciiTheme="majorHAnsi" w:hAnsiTheme="majorHAnsi"/>
                <w:bCs/>
                <w:sz w:val="19"/>
                <w:szCs w:val="19"/>
              </w:rPr>
              <w:t xml:space="preserve">veic </w:t>
            </w:r>
            <w:r w:rsidRPr="000403C7">
              <w:rPr>
                <w:rFonts w:asciiTheme="majorHAnsi" w:hAnsiTheme="majorHAnsi"/>
                <w:bCs/>
                <w:sz w:val="19"/>
                <w:szCs w:val="19"/>
              </w:rPr>
              <w:t xml:space="preserve">Valsts policija. </w:t>
            </w:r>
          </w:p>
          <w:p w14:paraId="116DDAFC" w14:textId="29AE225A" w:rsidR="00DE0F72" w:rsidRPr="000403C7" w:rsidRDefault="00DE0F72" w:rsidP="00DE0F72">
            <w:pPr>
              <w:rPr>
                <w:rFonts w:asciiTheme="majorHAnsi" w:hAnsiTheme="majorHAnsi"/>
                <w:bCs/>
                <w:sz w:val="19"/>
                <w:szCs w:val="19"/>
              </w:rPr>
            </w:pPr>
            <w:r w:rsidRPr="000403C7">
              <w:rPr>
                <w:rFonts w:asciiTheme="majorHAnsi" w:hAnsiTheme="majorHAnsi"/>
                <w:bCs/>
                <w:sz w:val="19"/>
                <w:szCs w:val="19"/>
              </w:rPr>
              <w:t xml:space="preserve">Lai novērstu šo pretrunu, noteikumu projekts paredz Valsts policijas atzinumu sniegšanu Aizsardzības ministrijas Licencēšanas komisijai par komersantu glabātuvju atbilstību Ieroču un speciālo līdzekļu aprites likumā un Stratēģiskas nozīmes preču aprites likumā noteiktajām prasībām, ja komersants vēlas veikt vai veic komercdarbību ar Eiropas Savienības Kopējā militāro preču saraksta sadaļā ML8 minētajām precēm. </w:t>
            </w:r>
          </w:p>
        </w:tc>
      </w:tr>
      <w:tr w:rsidR="00DE0F72" w:rsidRPr="00B517C3" w14:paraId="2D86FDD0" w14:textId="77777777" w:rsidTr="00DE0F72">
        <w:trPr>
          <w:cantSplit/>
        </w:trPr>
        <w:tc>
          <w:tcPr>
            <w:tcW w:w="311" w:type="pct"/>
          </w:tcPr>
          <w:p w14:paraId="05D82F76" w14:textId="62C5C5CB" w:rsidR="00DE0F72" w:rsidRPr="00B517C3" w:rsidRDefault="00DE0F72" w:rsidP="00DE0F72">
            <w:pPr>
              <w:jc w:val="center"/>
              <w:rPr>
                <w:rFonts w:ascii="Cambria" w:hAnsi="Cambria"/>
                <w:sz w:val="19"/>
                <w:szCs w:val="19"/>
              </w:rPr>
            </w:pPr>
          </w:p>
        </w:tc>
        <w:tc>
          <w:tcPr>
            <w:tcW w:w="1479" w:type="pct"/>
          </w:tcPr>
          <w:p w14:paraId="51A166A8" w14:textId="6F10637E" w:rsidR="00DE0F72" w:rsidRPr="00B517C3" w:rsidRDefault="00DE0F72" w:rsidP="00DE0F72">
            <w:pPr>
              <w:rPr>
                <w:rFonts w:ascii="Cambria" w:hAnsi="Cambria"/>
                <w:sz w:val="19"/>
                <w:szCs w:val="19"/>
              </w:rPr>
            </w:pPr>
          </w:p>
        </w:tc>
        <w:tc>
          <w:tcPr>
            <w:tcW w:w="3210" w:type="pct"/>
          </w:tcPr>
          <w:p w14:paraId="3F369F38" w14:textId="55BE24D5" w:rsidR="00DE0F72" w:rsidRPr="003A10F7" w:rsidRDefault="00DE0F72" w:rsidP="00DE0F72">
            <w:pPr>
              <w:autoSpaceDE w:val="0"/>
              <w:autoSpaceDN w:val="0"/>
              <w:adjustRightInd w:val="0"/>
              <w:rPr>
                <w:rFonts w:asciiTheme="majorHAnsi" w:hAnsiTheme="majorHAnsi"/>
                <w:sz w:val="19"/>
                <w:szCs w:val="19"/>
              </w:rPr>
            </w:pPr>
            <w:r w:rsidRPr="000403C7">
              <w:rPr>
                <w:rFonts w:asciiTheme="majorHAnsi" w:hAnsiTheme="majorHAnsi"/>
                <w:sz w:val="19"/>
                <w:szCs w:val="19"/>
              </w:rPr>
              <w:t xml:space="preserve">Atbilstoši Stratēģiskas nozīmes preču aprites likuma 5. panta piektajā daļā noteiktajam Aizsardzības ministrija izsniedz speciālās atļaujas (licences) komercdarbībai ar Eiropas Savienības Kopējā militāro preču sarakstā minētajām precēm uz nenoteiktu laiku, un katru gadu šīs atļaujas tiek pārreģistrētas Aizsardzības ministrijā. </w:t>
            </w:r>
            <w:r>
              <w:rPr>
                <w:rFonts w:asciiTheme="majorHAnsi" w:hAnsiTheme="majorHAnsi"/>
                <w:sz w:val="19"/>
                <w:szCs w:val="19"/>
              </w:rPr>
              <w:t>Papildus</w:t>
            </w:r>
            <w:r w:rsidRPr="000403C7">
              <w:rPr>
                <w:rFonts w:asciiTheme="majorHAnsi" w:hAnsiTheme="majorHAnsi"/>
                <w:sz w:val="19"/>
                <w:szCs w:val="19"/>
              </w:rPr>
              <w:t xml:space="preserve"> komersantu komercdarbības kontrol</w:t>
            </w:r>
            <w:r>
              <w:rPr>
                <w:rFonts w:asciiTheme="majorHAnsi" w:hAnsiTheme="majorHAnsi"/>
                <w:sz w:val="19"/>
                <w:szCs w:val="19"/>
              </w:rPr>
              <w:t>e</w:t>
            </w:r>
            <w:r w:rsidRPr="000403C7">
              <w:rPr>
                <w:rFonts w:asciiTheme="majorHAnsi" w:hAnsiTheme="majorHAnsi"/>
                <w:sz w:val="19"/>
                <w:szCs w:val="19"/>
              </w:rPr>
              <w:t>i, noteikumu projekts paredz komersantu iepriekšējā gadā veikto darījumu ar Eiropas Savienības Kopējā militāro preču sarakstā minētajām precēm pārskata iesniegšanu Aizsardzības ministrijas Licencēšanai komisijai, kā arī g</w:t>
            </w:r>
            <w:r>
              <w:rPr>
                <w:rFonts w:asciiTheme="majorHAnsi" w:hAnsiTheme="majorHAnsi"/>
                <w:sz w:val="19"/>
                <w:szCs w:val="19"/>
              </w:rPr>
              <w:t>labātavu apsekošanu un kontroli.</w:t>
            </w:r>
            <w:r w:rsidRPr="000403C7">
              <w:rPr>
                <w:rFonts w:asciiTheme="majorHAnsi" w:hAnsiTheme="majorHAnsi"/>
                <w:sz w:val="19"/>
                <w:szCs w:val="19"/>
              </w:rPr>
              <w:t xml:space="preserve">   </w:t>
            </w:r>
          </w:p>
        </w:tc>
      </w:tr>
      <w:tr w:rsidR="00DE0F72" w:rsidRPr="00B517C3" w14:paraId="18205378" w14:textId="77777777" w:rsidTr="009E0502">
        <w:trPr>
          <w:cantSplit/>
        </w:trPr>
        <w:tc>
          <w:tcPr>
            <w:tcW w:w="311" w:type="pct"/>
            <w:hideMark/>
          </w:tcPr>
          <w:p w14:paraId="2EC3DF91" w14:textId="77777777" w:rsidR="00DE0F72" w:rsidRPr="00B517C3" w:rsidRDefault="00DE0F72" w:rsidP="00DE0F72">
            <w:pPr>
              <w:jc w:val="center"/>
              <w:rPr>
                <w:rFonts w:ascii="Cambria" w:hAnsi="Cambria"/>
                <w:sz w:val="19"/>
                <w:szCs w:val="19"/>
              </w:rPr>
            </w:pPr>
            <w:r w:rsidRPr="00B517C3">
              <w:rPr>
                <w:rFonts w:ascii="Cambria" w:hAnsi="Cambria"/>
                <w:sz w:val="19"/>
                <w:szCs w:val="19"/>
              </w:rPr>
              <w:t>3.</w:t>
            </w:r>
          </w:p>
        </w:tc>
        <w:tc>
          <w:tcPr>
            <w:tcW w:w="1479" w:type="pct"/>
            <w:hideMark/>
          </w:tcPr>
          <w:p w14:paraId="2B6490B3" w14:textId="77777777" w:rsidR="00DE0F72" w:rsidRPr="00B517C3" w:rsidRDefault="00DE0F72" w:rsidP="00DE0F72">
            <w:pPr>
              <w:rPr>
                <w:rFonts w:ascii="Cambria" w:hAnsi="Cambria"/>
                <w:sz w:val="19"/>
                <w:szCs w:val="19"/>
              </w:rPr>
            </w:pPr>
            <w:r w:rsidRPr="00B517C3">
              <w:rPr>
                <w:rFonts w:ascii="Cambria" w:hAnsi="Cambria"/>
                <w:sz w:val="19"/>
                <w:szCs w:val="19"/>
              </w:rPr>
              <w:t>Projekta izstrādē iesaistītās institūcijas un publiskas personas kapitālsabiedrības</w:t>
            </w:r>
          </w:p>
        </w:tc>
        <w:tc>
          <w:tcPr>
            <w:tcW w:w="3210" w:type="pct"/>
            <w:hideMark/>
          </w:tcPr>
          <w:p w14:paraId="4C0FE065" w14:textId="77777777" w:rsidR="00DE0F72" w:rsidRPr="00B517C3" w:rsidRDefault="00DE0F72" w:rsidP="00DE0F72">
            <w:pPr>
              <w:rPr>
                <w:rFonts w:ascii="Cambria" w:hAnsi="Cambria"/>
                <w:sz w:val="19"/>
                <w:szCs w:val="19"/>
              </w:rPr>
            </w:pPr>
            <w:r>
              <w:rPr>
                <w:rFonts w:ascii="Cambria" w:hAnsi="Cambria"/>
                <w:sz w:val="19"/>
                <w:szCs w:val="19"/>
              </w:rPr>
              <w:t>Aizsardzības ministrija.</w:t>
            </w:r>
          </w:p>
        </w:tc>
      </w:tr>
      <w:tr w:rsidR="00DE0F72" w:rsidRPr="00B517C3" w14:paraId="4AF4C615" w14:textId="77777777" w:rsidTr="009E0502">
        <w:trPr>
          <w:cantSplit/>
        </w:trPr>
        <w:tc>
          <w:tcPr>
            <w:tcW w:w="311" w:type="pct"/>
            <w:hideMark/>
          </w:tcPr>
          <w:p w14:paraId="2B2ECEBA" w14:textId="77777777" w:rsidR="00DE0F72" w:rsidRPr="00B517C3" w:rsidRDefault="00DE0F72" w:rsidP="00DE0F72">
            <w:pPr>
              <w:jc w:val="center"/>
              <w:rPr>
                <w:rFonts w:ascii="Cambria" w:hAnsi="Cambria"/>
                <w:sz w:val="19"/>
                <w:szCs w:val="19"/>
              </w:rPr>
            </w:pPr>
            <w:r w:rsidRPr="00B517C3">
              <w:rPr>
                <w:rFonts w:ascii="Cambria" w:hAnsi="Cambria"/>
                <w:sz w:val="19"/>
                <w:szCs w:val="19"/>
              </w:rPr>
              <w:t>4.</w:t>
            </w:r>
          </w:p>
        </w:tc>
        <w:tc>
          <w:tcPr>
            <w:tcW w:w="1479" w:type="pct"/>
            <w:hideMark/>
          </w:tcPr>
          <w:p w14:paraId="3DBD8EE3" w14:textId="77777777" w:rsidR="00DE0F72" w:rsidRPr="00B517C3" w:rsidRDefault="00DE0F72" w:rsidP="00DE0F72">
            <w:pPr>
              <w:rPr>
                <w:rFonts w:ascii="Cambria" w:hAnsi="Cambria"/>
                <w:sz w:val="19"/>
                <w:szCs w:val="19"/>
              </w:rPr>
            </w:pPr>
            <w:r w:rsidRPr="00B517C3">
              <w:rPr>
                <w:rFonts w:ascii="Cambria" w:hAnsi="Cambria"/>
                <w:sz w:val="19"/>
                <w:szCs w:val="19"/>
              </w:rPr>
              <w:t>Cita informācija</w:t>
            </w:r>
          </w:p>
        </w:tc>
        <w:tc>
          <w:tcPr>
            <w:tcW w:w="3210" w:type="pct"/>
            <w:hideMark/>
          </w:tcPr>
          <w:p w14:paraId="2C1F61B9" w14:textId="77777777" w:rsidR="00DE0F72" w:rsidRPr="00AB28E9" w:rsidRDefault="00DE0F72" w:rsidP="00DE0F72">
            <w:pPr>
              <w:rPr>
                <w:rFonts w:ascii="Cambria" w:hAnsi="Cambria"/>
                <w:i/>
                <w:sz w:val="19"/>
                <w:szCs w:val="19"/>
              </w:rPr>
            </w:pPr>
            <w:r w:rsidRPr="00AB28E9">
              <w:rPr>
                <w:rFonts w:ascii="Cambria" w:hAnsi="Cambria"/>
                <w:i/>
                <w:sz w:val="19"/>
                <w:szCs w:val="19"/>
              </w:rPr>
              <w:t>Nav</w:t>
            </w:r>
            <w:r>
              <w:rPr>
                <w:rFonts w:ascii="Cambria" w:hAnsi="Cambria"/>
                <w:i/>
                <w:sz w:val="19"/>
                <w:szCs w:val="19"/>
              </w:rPr>
              <w:t>.</w:t>
            </w:r>
          </w:p>
        </w:tc>
      </w:tr>
    </w:tbl>
    <w:p w14:paraId="2B5FDF3C" w14:textId="77777777" w:rsidR="00BD5588" w:rsidRPr="002D7166" w:rsidRDefault="00BD5588" w:rsidP="00BD5588">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B517C3" w14:paraId="62BD00DD" w14:textId="77777777" w:rsidTr="009E0502">
        <w:trPr>
          <w:cantSplit/>
        </w:trPr>
        <w:tc>
          <w:tcPr>
            <w:tcW w:w="5000" w:type="pct"/>
            <w:gridSpan w:val="3"/>
            <w:vAlign w:val="center"/>
            <w:hideMark/>
          </w:tcPr>
          <w:p w14:paraId="1803BED7" w14:textId="77777777" w:rsidR="00BD5588" w:rsidRPr="00B517C3" w:rsidRDefault="00BD5588" w:rsidP="009E0502">
            <w:pPr>
              <w:jc w:val="center"/>
              <w:rPr>
                <w:rFonts w:ascii="Cambria" w:hAnsi="Cambria"/>
                <w:b/>
                <w:bCs/>
                <w:sz w:val="19"/>
                <w:szCs w:val="19"/>
              </w:rPr>
            </w:pPr>
            <w:r w:rsidRPr="00B517C3">
              <w:rPr>
                <w:rFonts w:ascii="Cambria" w:hAnsi="Cambria"/>
                <w:b/>
                <w:bCs/>
                <w:sz w:val="19"/>
                <w:szCs w:val="19"/>
              </w:rPr>
              <w:t>II. Tiesību akta projekta ietekme uz sabiedrību, tautsaimniecības attīstību un administratīvo slogu</w:t>
            </w:r>
          </w:p>
        </w:tc>
      </w:tr>
      <w:tr w:rsidR="00AB28E9" w:rsidRPr="00B517C3" w14:paraId="7F141B9D" w14:textId="77777777" w:rsidTr="00AB28E9">
        <w:trPr>
          <w:cantSplit/>
        </w:trPr>
        <w:tc>
          <w:tcPr>
            <w:tcW w:w="311" w:type="pct"/>
            <w:hideMark/>
          </w:tcPr>
          <w:p w14:paraId="07D7186C" w14:textId="77777777" w:rsidR="00AB28E9" w:rsidRPr="00B517C3" w:rsidRDefault="00AB28E9" w:rsidP="00AB28E9">
            <w:pPr>
              <w:jc w:val="center"/>
              <w:rPr>
                <w:rFonts w:ascii="Cambria" w:hAnsi="Cambria"/>
                <w:sz w:val="19"/>
                <w:szCs w:val="19"/>
              </w:rPr>
            </w:pPr>
            <w:r w:rsidRPr="00B517C3">
              <w:rPr>
                <w:rFonts w:ascii="Cambria" w:hAnsi="Cambria"/>
                <w:sz w:val="19"/>
                <w:szCs w:val="19"/>
              </w:rPr>
              <w:t>1.</w:t>
            </w:r>
          </w:p>
        </w:tc>
        <w:tc>
          <w:tcPr>
            <w:tcW w:w="1479" w:type="pct"/>
            <w:hideMark/>
          </w:tcPr>
          <w:p w14:paraId="61D09D8E" w14:textId="77777777" w:rsidR="00AB28E9" w:rsidRPr="00B517C3" w:rsidRDefault="00AB28E9" w:rsidP="00AB28E9">
            <w:pPr>
              <w:rPr>
                <w:rFonts w:ascii="Cambria" w:hAnsi="Cambria"/>
                <w:sz w:val="19"/>
                <w:szCs w:val="19"/>
              </w:rPr>
            </w:pPr>
            <w:r w:rsidRPr="00B517C3">
              <w:rPr>
                <w:rFonts w:ascii="Cambria" w:hAnsi="Cambria"/>
                <w:sz w:val="19"/>
                <w:szCs w:val="19"/>
              </w:rPr>
              <w:t>Sabiedrības mērķgrupas, kuras tiesiskais regulējums ietekmē vai varētu ietekmēt</w:t>
            </w:r>
          </w:p>
        </w:tc>
        <w:tc>
          <w:tcPr>
            <w:tcW w:w="3210" w:type="pct"/>
          </w:tcPr>
          <w:p w14:paraId="1B3944E1" w14:textId="77777777" w:rsidR="00AB28E9" w:rsidRPr="00C71B34" w:rsidRDefault="00AB28E9" w:rsidP="00AB28E9">
            <w:pPr>
              <w:rPr>
                <w:rFonts w:asciiTheme="majorHAnsi" w:hAnsiTheme="majorHAnsi"/>
                <w:sz w:val="19"/>
                <w:szCs w:val="19"/>
              </w:rPr>
            </w:pPr>
            <w:r w:rsidRPr="00C71B34">
              <w:rPr>
                <w:rFonts w:asciiTheme="majorHAnsi" w:hAnsiTheme="majorHAnsi"/>
                <w:sz w:val="19"/>
                <w:szCs w:val="19"/>
              </w:rPr>
              <w:t>Komersanti, kas saņēmuši Aizsardzības ministrijas speciālo atļauju (licenci) komercdarbībai ar Eiropas Savienības Kopējā militāro preču sarakstā minētajām precēm.</w:t>
            </w:r>
          </w:p>
        </w:tc>
      </w:tr>
      <w:tr w:rsidR="00AB28E9" w:rsidRPr="00B517C3" w14:paraId="41155DAC" w14:textId="77777777" w:rsidTr="00AB28E9">
        <w:trPr>
          <w:cantSplit/>
        </w:trPr>
        <w:tc>
          <w:tcPr>
            <w:tcW w:w="311" w:type="pct"/>
            <w:hideMark/>
          </w:tcPr>
          <w:p w14:paraId="417458DC" w14:textId="77777777" w:rsidR="00AB28E9" w:rsidRPr="00B517C3" w:rsidRDefault="00AB28E9" w:rsidP="00AB28E9">
            <w:pPr>
              <w:jc w:val="center"/>
              <w:rPr>
                <w:rFonts w:ascii="Cambria" w:hAnsi="Cambria"/>
                <w:sz w:val="19"/>
                <w:szCs w:val="19"/>
              </w:rPr>
            </w:pPr>
            <w:r w:rsidRPr="00B517C3">
              <w:rPr>
                <w:rFonts w:ascii="Cambria" w:hAnsi="Cambria"/>
                <w:sz w:val="19"/>
                <w:szCs w:val="19"/>
              </w:rPr>
              <w:t>2.</w:t>
            </w:r>
          </w:p>
        </w:tc>
        <w:tc>
          <w:tcPr>
            <w:tcW w:w="1479" w:type="pct"/>
            <w:hideMark/>
          </w:tcPr>
          <w:p w14:paraId="2781CF75" w14:textId="77777777" w:rsidR="00AB28E9" w:rsidRPr="00B517C3" w:rsidRDefault="00AB28E9" w:rsidP="00AB28E9">
            <w:pPr>
              <w:rPr>
                <w:rFonts w:ascii="Cambria" w:hAnsi="Cambria"/>
                <w:sz w:val="19"/>
                <w:szCs w:val="19"/>
              </w:rPr>
            </w:pPr>
            <w:r w:rsidRPr="00B517C3">
              <w:rPr>
                <w:rFonts w:ascii="Cambria" w:hAnsi="Cambria"/>
                <w:sz w:val="19"/>
                <w:szCs w:val="19"/>
              </w:rPr>
              <w:t>Tiesiskā regulējuma ietekme uz tautsaimniecību un administratīvo slogu</w:t>
            </w:r>
          </w:p>
        </w:tc>
        <w:tc>
          <w:tcPr>
            <w:tcW w:w="3210" w:type="pct"/>
          </w:tcPr>
          <w:p w14:paraId="3A0085AF" w14:textId="77777777" w:rsidR="00AB28E9" w:rsidRPr="00C71B34" w:rsidRDefault="00AB28E9" w:rsidP="00AB28E9">
            <w:pPr>
              <w:rPr>
                <w:rFonts w:asciiTheme="majorHAnsi" w:hAnsiTheme="majorHAnsi"/>
                <w:sz w:val="19"/>
                <w:szCs w:val="19"/>
              </w:rPr>
            </w:pPr>
            <w:r w:rsidRPr="00C71B34">
              <w:rPr>
                <w:rFonts w:asciiTheme="majorHAnsi" w:hAnsiTheme="majorHAnsi"/>
                <w:sz w:val="19"/>
                <w:szCs w:val="19"/>
              </w:rPr>
              <w:t>Noteikumu projekts palielinās administratīvo slogu komersantiem, kas saņēmuši Aizsardzības ministrijas speciālo atļauju (licenci) komercdarbībai ar Eiropas Savienības Kopējā militāro preču sarakstā minētajām precēm.</w:t>
            </w:r>
          </w:p>
        </w:tc>
      </w:tr>
      <w:tr w:rsidR="00AB28E9" w:rsidRPr="00B517C3" w14:paraId="3BE917F9" w14:textId="77777777" w:rsidTr="00AB28E9">
        <w:trPr>
          <w:cantSplit/>
        </w:trPr>
        <w:tc>
          <w:tcPr>
            <w:tcW w:w="311" w:type="pct"/>
            <w:hideMark/>
          </w:tcPr>
          <w:p w14:paraId="6BB753D1" w14:textId="77777777" w:rsidR="00AB28E9" w:rsidRPr="00B517C3" w:rsidRDefault="00AB28E9" w:rsidP="00AB28E9">
            <w:pPr>
              <w:jc w:val="center"/>
              <w:rPr>
                <w:rFonts w:ascii="Cambria" w:hAnsi="Cambria"/>
                <w:sz w:val="19"/>
                <w:szCs w:val="19"/>
              </w:rPr>
            </w:pPr>
            <w:r w:rsidRPr="00B517C3">
              <w:rPr>
                <w:rFonts w:ascii="Cambria" w:hAnsi="Cambria"/>
                <w:sz w:val="19"/>
                <w:szCs w:val="19"/>
              </w:rPr>
              <w:lastRenderedPageBreak/>
              <w:t>3.</w:t>
            </w:r>
          </w:p>
        </w:tc>
        <w:tc>
          <w:tcPr>
            <w:tcW w:w="1479" w:type="pct"/>
            <w:hideMark/>
          </w:tcPr>
          <w:p w14:paraId="73176BF0" w14:textId="77777777" w:rsidR="00AB28E9" w:rsidRPr="00B517C3" w:rsidRDefault="00AB28E9" w:rsidP="00AB28E9">
            <w:pPr>
              <w:rPr>
                <w:rFonts w:ascii="Cambria" w:hAnsi="Cambria"/>
                <w:sz w:val="19"/>
                <w:szCs w:val="19"/>
              </w:rPr>
            </w:pPr>
            <w:r w:rsidRPr="00B517C3">
              <w:rPr>
                <w:rFonts w:ascii="Cambria" w:hAnsi="Cambria"/>
                <w:sz w:val="19"/>
                <w:szCs w:val="19"/>
              </w:rPr>
              <w:t>Administratīvo izmaksu monetārs novērtējums</w:t>
            </w:r>
          </w:p>
        </w:tc>
        <w:tc>
          <w:tcPr>
            <w:tcW w:w="3210" w:type="pct"/>
          </w:tcPr>
          <w:p w14:paraId="6494CF7F" w14:textId="77777777" w:rsidR="00AB28E9" w:rsidRPr="00C71B34" w:rsidRDefault="00AB28E9" w:rsidP="00AB28E9">
            <w:pPr>
              <w:rPr>
                <w:rFonts w:asciiTheme="majorHAnsi" w:hAnsiTheme="majorHAnsi"/>
                <w:sz w:val="19"/>
                <w:szCs w:val="19"/>
              </w:rPr>
            </w:pPr>
            <w:r w:rsidRPr="00C71B34">
              <w:rPr>
                <w:rFonts w:asciiTheme="majorHAnsi" w:hAnsiTheme="majorHAnsi"/>
                <w:i/>
                <w:iCs/>
                <w:sz w:val="19"/>
                <w:szCs w:val="19"/>
                <w:lang w:eastAsia="en-US"/>
              </w:rPr>
              <w:t>Nav attiecināms</w:t>
            </w:r>
            <w:r w:rsidR="009B19DA">
              <w:rPr>
                <w:rFonts w:asciiTheme="majorHAnsi" w:hAnsiTheme="majorHAnsi"/>
                <w:i/>
                <w:iCs/>
                <w:sz w:val="19"/>
                <w:szCs w:val="19"/>
                <w:lang w:eastAsia="en-US"/>
              </w:rPr>
              <w:t>.</w:t>
            </w:r>
          </w:p>
        </w:tc>
      </w:tr>
      <w:tr w:rsidR="00AB28E9" w:rsidRPr="00B517C3" w14:paraId="66738B6E" w14:textId="77777777" w:rsidTr="00AB28E9">
        <w:trPr>
          <w:cantSplit/>
        </w:trPr>
        <w:tc>
          <w:tcPr>
            <w:tcW w:w="311" w:type="pct"/>
            <w:hideMark/>
          </w:tcPr>
          <w:p w14:paraId="78498751" w14:textId="77777777" w:rsidR="00AB28E9" w:rsidRPr="00B517C3" w:rsidRDefault="00AB28E9" w:rsidP="00AB28E9">
            <w:pPr>
              <w:jc w:val="center"/>
              <w:rPr>
                <w:rFonts w:ascii="Cambria" w:hAnsi="Cambria"/>
                <w:sz w:val="19"/>
                <w:szCs w:val="19"/>
              </w:rPr>
            </w:pPr>
            <w:r w:rsidRPr="00B517C3">
              <w:rPr>
                <w:rFonts w:ascii="Cambria" w:hAnsi="Cambria"/>
                <w:sz w:val="19"/>
                <w:szCs w:val="19"/>
              </w:rPr>
              <w:t>4.</w:t>
            </w:r>
          </w:p>
        </w:tc>
        <w:tc>
          <w:tcPr>
            <w:tcW w:w="1479" w:type="pct"/>
            <w:hideMark/>
          </w:tcPr>
          <w:p w14:paraId="37D922CA" w14:textId="77777777" w:rsidR="00AB28E9" w:rsidRPr="00B517C3" w:rsidRDefault="00AB28E9" w:rsidP="00AB28E9">
            <w:pPr>
              <w:rPr>
                <w:rFonts w:ascii="Cambria" w:hAnsi="Cambria"/>
                <w:sz w:val="19"/>
                <w:szCs w:val="19"/>
              </w:rPr>
            </w:pPr>
            <w:r w:rsidRPr="00B517C3">
              <w:rPr>
                <w:rFonts w:ascii="Cambria" w:hAnsi="Cambria"/>
                <w:sz w:val="19"/>
                <w:szCs w:val="19"/>
              </w:rPr>
              <w:t>Atbilstības izmaksu monetārs novērtējums</w:t>
            </w:r>
          </w:p>
        </w:tc>
        <w:tc>
          <w:tcPr>
            <w:tcW w:w="3210" w:type="pct"/>
          </w:tcPr>
          <w:p w14:paraId="20187CAC" w14:textId="77777777" w:rsidR="00AB28E9" w:rsidRPr="00C71B34" w:rsidRDefault="00AB28E9" w:rsidP="00AB28E9">
            <w:pPr>
              <w:rPr>
                <w:rFonts w:asciiTheme="majorHAnsi" w:hAnsiTheme="majorHAnsi"/>
                <w:sz w:val="19"/>
                <w:szCs w:val="19"/>
              </w:rPr>
            </w:pPr>
            <w:r w:rsidRPr="00C71B34">
              <w:rPr>
                <w:rFonts w:asciiTheme="majorHAnsi" w:hAnsiTheme="majorHAnsi"/>
                <w:i/>
                <w:iCs/>
                <w:sz w:val="19"/>
                <w:szCs w:val="19"/>
                <w:lang w:eastAsia="en-US"/>
              </w:rPr>
              <w:t>Nav attiecināms</w:t>
            </w:r>
            <w:r w:rsidR="009B19DA">
              <w:rPr>
                <w:rFonts w:asciiTheme="majorHAnsi" w:hAnsiTheme="majorHAnsi"/>
                <w:i/>
                <w:iCs/>
                <w:sz w:val="19"/>
                <w:szCs w:val="19"/>
                <w:lang w:eastAsia="en-US"/>
              </w:rPr>
              <w:t>.</w:t>
            </w:r>
          </w:p>
        </w:tc>
      </w:tr>
      <w:tr w:rsidR="00AB28E9" w:rsidRPr="00B517C3" w14:paraId="6D2DD036" w14:textId="77777777" w:rsidTr="00AB28E9">
        <w:trPr>
          <w:cantSplit/>
        </w:trPr>
        <w:tc>
          <w:tcPr>
            <w:tcW w:w="311" w:type="pct"/>
            <w:hideMark/>
          </w:tcPr>
          <w:p w14:paraId="79B8D698" w14:textId="77777777" w:rsidR="00AB28E9" w:rsidRPr="00B517C3" w:rsidRDefault="00AB28E9" w:rsidP="00AB28E9">
            <w:pPr>
              <w:jc w:val="center"/>
              <w:rPr>
                <w:rFonts w:ascii="Cambria" w:hAnsi="Cambria"/>
                <w:sz w:val="19"/>
                <w:szCs w:val="19"/>
              </w:rPr>
            </w:pPr>
            <w:r w:rsidRPr="00B517C3">
              <w:rPr>
                <w:rFonts w:ascii="Cambria" w:hAnsi="Cambria"/>
                <w:sz w:val="19"/>
                <w:szCs w:val="19"/>
              </w:rPr>
              <w:t>5.</w:t>
            </w:r>
          </w:p>
        </w:tc>
        <w:tc>
          <w:tcPr>
            <w:tcW w:w="1479" w:type="pct"/>
            <w:hideMark/>
          </w:tcPr>
          <w:p w14:paraId="430D8B0A" w14:textId="77777777" w:rsidR="00AB28E9" w:rsidRPr="00B517C3" w:rsidRDefault="00AB28E9" w:rsidP="00AB28E9">
            <w:pPr>
              <w:rPr>
                <w:rFonts w:ascii="Cambria" w:hAnsi="Cambria"/>
                <w:sz w:val="19"/>
                <w:szCs w:val="19"/>
              </w:rPr>
            </w:pPr>
            <w:r w:rsidRPr="00B517C3">
              <w:rPr>
                <w:rFonts w:ascii="Cambria" w:hAnsi="Cambria"/>
                <w:sz w:val="19"/>
                <w:szCs w:val="19"/>
              </w:rPr>
              <w:t>Cita informācija</w:t>
            </w:r>
          </w:p>
        </w:tc>
        <w:tc>
          <w:tcPr>
            <w:tcW w:w="3210" w:type="pct"/>
          </w:tcPr>
          <w:p w14:paraId="799BE85A" w14:textId="77777777" w:rsidR="00AB28E9" w:rsidRPr="00AB28E9" w:rsidRDefault="00AB28E9" w:rsidP="00AB28E9">
            <w:pPr>
              <w:rPr>
                <w:rFonts w:asciiTheme="majorHAnsi" w:hAnsiTheme="majorHAnsi"/>
                <w:i/>
                <w:sz w:val="19"/>
                <w:szCs w:val="19"/>
              </w:rPr>
            </w:pPr>
            <w:r w:rsidRPr="00AB28E9">
              <w:rPr>
                <w:rFonts w:asciiTheme="majorHAnsi" w:hAnsiTheme="majorHAnsi"/>
                <w:i/>
                <w:sz w:val="19"/>
                <w:szCs w:val="19"/>
              </w:rPr>
              <w:t>Nav</w:t>
            </w:r>
            <w:r w:rsidR="009B19DA">
              <w:rPr>
                <w:rFonts w:asciiTheme="majorHAnsi" w:hAnsiTheme="majorHAnsi"/>
                <w:i/>
                <w:sz w:val="19"/>
                <w:szCs w:val="19"/>
              </w:rPr>
              <w:t>.</w:t>
            </w:r>
          </w:p>
        </w:tc>
      </w:tr>
    </w:tbl>
    <w:p w14:paraId="119989DA" w14:textId="77777777" w:rsidR="00BD5588" w:rsidRPr="002D7166" w:rsidRDefault="00BD5588" w:rsidP="00BD5588">
      <w:pPr>
        <w:pStyle w:val="Title"/>
        <w:spacing w:before="130" w:line="260" w:lineRule="exact"/>
        <w:ind w:firstLine="539"/>
        <w:jc w:val="both"/>
        <w:rPr>
          <w:rFonts w:ascii="Cambria" w:hAnsi="Cambria"/>
          <w:sz w:val="19"/>
          <w:szCs w:val="19"/>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24"/>
        <w:gridCol w:w="2441"/>
        <w:gridCol w:w="5334"/>
      </w:tblGrid>
      <w:tr w:rsidR="00AC6695" w:rsidRPr="002D7166" w14:paraId="1A0AC65D" w14:textId="77777777" w:rsidTr="002E47AB">
        <w:trPr>
          <w:cantSplit/>
        </w:trPr>
        <w:tc>
          <w:tcPr>
            <w:tcW w:w="8299" w:type="dxa"/>
            <w:gridSpan w:val="3"/>
            <w:shd w:val="clear" w:color="auto" w:fill="auto"/>
            <w:vAlign w:val="center"/>
            <w:hideMark/>
          </w:tcPr>
          <w:p w14:paraId="4A4A28C4" w14:textId="77777777" w:rsidR="00AC6695" w:rsidRPr="002D7166" w:rsidRDefault="00AC6695" w:rsidP="002E47AB">
            <w:pPr>
              <w:jc w:val="center"/>
              <w:rPr>
                <w:rFonts w:ascii="Cambria" w:hAnsi="Cambria"/>
                <w:b/>
                <w:bCs/>
                <w:sz w:val="19"/>
                <w:szCs w:val="19"/>
                <w:lang w:eastAsia="en-US"/>
              </w:rPr>
            </w:pPr>
            <w:r w:rsidRPr="002D7166">
              <w:rPr>
                <w:rFonts w:ascii="Cambria" w:hAnsi="Cambria"/>
                <w:b/>
                <w:bCs/>
                <w:sz w:val="19"/>
                <w:szCs w:val="19"/>
                <w:lang w:eastAsia="en-US"/>
              </w:rPr>
              <w:t>III. Tiesību akta projekta ietekme uz valsts budžetu un pašvaldību budžetiem</w:t>
            </w:r>
          </w:p>
        </w:tc>
      </w:tr>
      <w:tr w:rsidR="00AC6695" w:rsidRPr="002D7166" w14:paraId="0C879BC0" w14:textId="77777777" w:rsidTr="002E47AB">
        <w:trPr>
          <w:cantSplit/>
        </w:trPr>
        <w:tc>
          <w:tcPr>
            <w:tcW w:w="8299" w:type="dxa"/>
            <w:gridSpan w:val="3"/>
            <w:shd w:val="clear" w:color="auto" w:fill="auto"/>
            <w:vAlign w:val="center"/>
          </w:tcPr>
          <w:p w14:paraId="2A68AB7D" w14:textId="77777777" w:rsidR="00AC6695" w:rsidRPr="002D7166" w:rsidRDefault="00AC6695" w:rsidP="002E47AB">
            <w:pPr>
              <w:jc w:val="center"/>
              <w:rPr>
                <w:rFonts w:ascii="Cambria" w:hAnsi="Cambria"/>
                <w:b/>
                <w:bCs/>
                <w:sz w:val="19"/>
                <w:szCs w:val="19"/>
                <w:lang w:eastAsia="en-US"/>
              </w:rPr>
            </w:pPr>
            <w:r w:rsidRPr="008E4879">
              <w:rPr>
                <w:rFonts w:ascii="Cambria" w:hAnsi="Cambria"/>
                <w:bCs/>
                <w:i/>
                <w:sz w:val="19"/>
                <w:szCs w:val="19"/>
                <w:lang w:eastAsia="en-US"/>
              </w:rPr>
              <w:t>Noteikumu projekts šo jomu neskar</w:t>
            </w:r>
            <w:r w:rsidR="009B19DA">
              <w:rPr>
                <w:rFonts w:ascii="Cambria" w:hAnsi="Cambria"/>
                <w:bCs/>
                <w:i/>
                <w:sz w:val="19"/>
                <w:szCs w:val="19"/>
                <w:lang w:eastAsia="en-US"/>
              </w:rPr>
              <w:t>.</w:t>
            </w:r>
          </w:p>
        </w:tc>
      </w:tr>
      <w:tr w:rsidR="00AC6695" w:rsidRPr="002D7166" w14:paraId="3C4310E1" w14:textId="77777777" w:rsidTr="002E47AB">
        <w:trPr>
          <w:cantSplit/>
        </w:trPr>
        <w:tc>
          <w:tcPr>
            <w:tcW w:w="8299" w:type="dxa"/>
            <w:gridSpan w:val="3"/>
            <w:shd w:val="clear" w:color="auto" w:fill="auto"/>
            <w:vAlign w:val="center"/>
          </w:tcPr>
          <w:p w14:paraId="496ED736" w14:textId="77777777" w:rsidR="00AC6695" w:rsidRPr="002D7166" w:rsidRDefault="00AC6695" w:rsidP="002E47AB">
            <w:pPr>
              <w:jc w:val="center"/>
              <w:rPr>
                <w:rFonts w:ascii="Cambria" w:hAnsi="Cambria"/>
                <w:b/>
                <w:bCs/>
                <w:sz w:val="19"/>
                <w:szCs w:val="19"/>
                <w:lang w:eastAsia="en-US"/>
              </w:rPr>
            </w:pPr>
          </w:p>
        </w:tc>
      </w:tr>
      <w:tr w:rsidR="00AC6695" w:rsidRPr="002D7166" w14:paraId="25311D4A" w14:textId="77777777" w:rsidTr="002E47AB">
        <w:tblPrEx>
          <w:tblCellMar>
            <w:top w:w="30" w:type="dxa"/>
            <w:left w:w="30" w:type="dxa"/>
            <w:bottom w:w="30" w:type="dxa"/>
            <w:right w:w="30" w:type="dxa"/>
          </w:tblCellMar>
        </w:tblPrEx>
        <w:trPr>
          <w:cantSplit/>
        </w:trPr>
        <w:tc>
          <w:tcPr>
            <w:tcW w:w="8299" w:type="dxa"/>
            <w:gridSpan w:val="3"/>
            <w:vAlign w:val="center"/>
            <w:hideMark/>
          </w:tcPr>
          <w:p w14:paraId="73EB4E8B" w14:textId="77777777" w:rsidR="00AC6695" w:rsidRPr="002D7166" w:rsidRDefault="00AC6695" w:rsidP="002E47AB">
            <w:pPr>
              <w:jc w:val="center"/>
              <w:rPr>
                <w:rFonts w:ascii="Cambria" w:hAnsi="Cambria"/>
                <w:b/>
                <w:bCs/>
                <w:sz w:val="19"/>
                <w:szCs w:val="19"/>
              </w:rPr>
            </w:pPr>
            <w:r w:rsidRPr="002D7166">
              <w:rPr>
                <w:rFonts w:ascii="Cambria" w:hAnsi="Cambria"/>
                <w:b/>
                <w:bCs/>
                <w:sz w:val="19"/>
                <w:szCs w:val="19"/>
              </w:rPr>
              <w:t>IV. Tiesību akta projekta ietekme uz spēkā esošo tiesību normu sistēmu</w:t>
            </w:r>
          </w:p>
        </w:tc>
      </w:tr>
      <w:tr w:rsidR="00AC6695" w:rsidRPr="002D7166" w14:paraId="1B0F98C9" w14:textId="77777777" w:rsidTr="002E47AB">
        <w:tblPrEx>
          <w:tblCellMar>
            <w:top w:w="30" w:type="dxa"/>
            <w:left w:w="30" w:type="dxa"/>
            <w:bottom w:w="30" w:type="dxa"/>
            <w:right w:w="30" w:type="dxa"/>
          </w:tblCellMar>
        </w:tblPrEx>
        <w:trPr>
          <w:cantSplit/>
        </w:trPr>
        <w:tc>
          <w:tcPr>
            <w:tcW w:w="524" w:type="dxa"/>
            <w:hideMark/>
          </w:tcPr>
          <w:p w14:paraId="683D5DD9" w14:textId="77777777" w:rsidR="00AC6695" w:rsidRPr="002D7166" w:rsidRDefault="00AC6695" w:rsidP="002E47AB">
            <w:pPr>
              <w:jc w:val="center"/>
              <w:rPr>
                <w:rFonts w:ascii="Cambria" w:hAnsi="Cambria"/>
                <w:sz w:val="19"/>
                <w:szCs w:val="19"/>
              </w:rPr>
            </w:pPr>
            <w:r w:rsidRPr="002D7166">
              <w:rPr>
                <w:rFonts w:ascii="Cambria" w:hAnsi="Cambria"/>
                <w:sz w:val="19"/>
                <w:szCs w:val="19"/>
              </w:rPr>
              <w:t>1.</w:t>
            </w:r>
          </w:p>
        </w:tc>
        <w:tc>
          <w:tcPr>
            <w:tcW w:w="2441" w:type="dxa"/>
            <w:hideMark/>
          </w:tcPr>
          <w:p w14:paraId="15462FFE" w14:textId="77777777" w:rsidR="00AC6695" w:rsidRPr="002D7166" w:rsidRDefault="00AC6695" w:rsidP="002E47AB">
            <w:pPr>
              <w:rPr>
                <w:rFonts w:ascii="Cambria" w:hAnsi="Cambria"/>
                <w:sz w:val="19"/>
                <w:szCs w:val="19"/>
              </w:rPr>
            </w:pPr>
            <w:r w:rsidRPr="002D7166">
              <w:rPr>
                <w:rFonts w:ascii="Cambria" w:hAnsi="Cambria"/>
                <w:sz w:val="19"/>
                <w:szCs w:val="19"/>
              </w:rPr>
              <w:t>Saistītie tiesību aktu projekti</w:t>
            </w:r>
          </w:p>
        </w:tc>
        <w:tc>
          <w:tcPr>
            <w:tcW w:w="5334" w:type="dxa"/>
          </w:tcPr>
          <w:p w14:paraId="40ABD4CD" w14:textId="77777777" w:rsidR="00AC6695" w:rsidRPr="00EC4B5C" w:rsidRDefault="00AC6695" w:rsidP="002E47AB">
            <w:pPr>
              <w:rPr>
                <w:rFonts w:asciiTheme="majorHAnsi" w:hAnsiTheme="majorHAnsi"/>
                <w:sz w:val="19"/>
                <w:szCs w:val="19"/>
              </w:rPr>
            </w:pPr>
            <w:r w:rsidRPr="00EC4B5C">
              <w:rPr>
                <w:rFonts w:asciiTheme="majorHAnsi" w:hAnsiTheme="majorHAnsi"/>
                <w:sz w:val="19"/>
                <w:szCs w:val="19"/>
              </w:rPr>
              <w:t>Stratēģiskas nozīmes preču aprites likums</w:t>
            </w:r>
            <w:r w:rsidR="009B19DA">
              <w:rPr>
                <w:rFonts w:asciiTheme="majorHAnsi" w:hAnsiTheme="majorHAnsi"/>
                <w:sz w:val="19"/>
                <w:szCs w:val="19"/>
              </w:rPr>
              <w:t>.</w:t>
            </w:r>
          </w:p>
        </w:tc>
      </w:tr>
      <w:tr w:rsidR="00AC6695" w:rsidRPr="002D7166" w14:paraId="4A43F930" w14:textId="77777777" w:rsidTr="002E47AB">
        <w:tblPrEx>
          <w:tblCellMar>
            <w:top w:w="30" w:type="dxa"/>
            <w:left w:w="30" w:type="dxa"/>
            <w:bottom w:w="30" w:type="dxa"/>
            <w:right w:w="30" w:type="dxa"/>
          </w:tblCellMar>
        </w:tblPrEx>
        <w:trPr>
          <w:cantSplit/>
        </w:trPr>
        <w:tc>
          <w:tcPr>
            <w:tcW w:w="524" w:type="dxa"/>
            <w:hideMark/>
          </w:tcPr>
          <w:p w14:paraId="40652878" w14:textId="77777777" w:rsidR="00AC6695" w:rsidRPr="002D7166" w:rsidRDefault="00AC6695" w:rsidP="002E47AB">
            <w:pPr>
              <w:jc w:val="center"/>
              <w:rPr>
                <w:rFonts w:ascii="Cambria" w:hAnsi="Cambria"/>
                <w:sz w:val="19"/>
                <w:szCs w:val="19"/>
              </w:rPr>
            </w:pPr>
            <w:r w:rsidRPr="002D7166">
              <w:rPr>
                <w:rFonts w:ascii="Cambria" w:hAnsi="Cambria"/>
                <w:sz w:val="19"/>
                <w:szCs w:val="19"/>
              </w:rPr>
              <w:t>2.</w:t>
            </w:r>
          </w:p>
        </w:tc>
        <w:tc>
          <w:tcPr>
            <w:tcW w:w="2441" w:type="dxa"/>
            <w:hideMark/>
          </w:tcPr>
          <w:p w14:paraId="03CE4815" w14:textId="77777777" w:rsidR="00AC6695" w:rsidRPr="002D7166" w:rsidRDefault="00AC6695" w:rsidP="002E47AB">
            <w:pPr>
              <w:rPr>
                <w:rFonts w:ascii="Cambria" w:hAnsi="Cambria"/>
                <w:sz w:val="19"/>
                <w:szCs w:val="19"/>
              </w:rPr>
            </w:pPr>
            <w:r w:rsidRPr="002D7166">
              <w:rPr>
                <w:rFonts w:ascii="Cambria" w:hAnsi="Cambria"/>
                <w:sz w:val="19"/>
                <w:szCs w:val="19"/>
              </w:rPr>
              <w:t>Atbildīgā institūcija</w:t>
            </w:r>
          </w:p>
        </w:tc>
        <w:tc>
          <w:tcPr>
            <w:tcW w:w="5334" w:type="dxa"/>
          </w:tcPr>
          <w:p w14:paraId="1BB001DB" w14:textId="77777777" w:rsidR="00AC6695" w:rsidRPr="00EC4B5C" w:rsidRDefault="00AC6695" w:rsidP="002E47AB">
            <w:pPr>
              <w:rPr>
                <w:rFonts w:asciiTheme="majorHAnsi" w:hAnsiTheme="majorHAnsi"/>
                <w:sz w:val="19"/>
                <w:szCs w:val="19"/>
              </w:rPr>
            </w:pPr>
            <w:r w:rsidRPr="00EC4B5C">
              <w:rPr>
                <w:rFonts w:asciiTheme="majorHAnsi" w:hAnsiTheme="majorHAnsi"/>
                <w:sz w:val="19"/>
                <w:szCs w:val="19"/>
              </w:rPr>
              <w:t>Aizsardzības ministrija</w:t>
            </w:r>
            <w:r w:rsidR="009B19DA">
              <w:rPr>
                <w:rFonts w:asciiTheme="majorHAnsi" w:hAnsiTheme="majorHAnsi"/>
                <w:sz w:val="19"/>
                <w:szCs w:val="19"/>
              </w:rPr>
              <w:t>.</w:t>
            </w:r>
          </w:p>
        </w:tc>
      </w:tr>
      <w:tr w:rsidR="00AC6695" w:rsidRPr="002D7166" w14:paraId="2F756C11" w14:textId="77777777" w:rsidTr="002E47AB">
        <w:tblPrEx>
          <w:tblCellMar>
            <w:top w:w="30" w:type="dxa"/>
            <w:left w:w="30" w:type="dxa"/>
            <w:bottom w:w="30" w:type="dxa"/>
            <w:right w:w="30" w:type="dxa"/>
          </w:tblCellMar>
        </w:tblPrEx>
        <w:trPr>
          <w:cantSplit/>
        </w:trPr>
        <w:tc>
          <w:tcPr>
            <w:tcW w:w="524" w:type="dxa"/>
            <w:hideMark/>
          </w:tcPr>
          <w:p w14:paraId="2CBB7CFB" w14:textId="77777777" w:rsidR="00AC6695" w:rsidRPr="002D7166" w:rsidRDefault="00AC6695" w:rsidP="002E47AB">
            <w:pPr>
              <w:jc w:val="center"/>
              <w:rPr>
                <w:rFonts w:ascii="Cambria" w:hAnsi="Cambria"/>
                <w:sz w:val="19"/>
                <w:szCs w:val="19"/>
              </w:rPr>
            </w:pPr>
            <w:r w:rsidRPr="002D7166">
              <w:rPr>
                <w:rFonts w:ascii="Cambria" w:hAnsi="Cambria"/>
                <w:sz w:val="19"/>
                <w:szCs w:val="19"/>
              </w:rPr>
              <w:t>3.</w:t>
            </w:r>
          </w:p>
        </w:tc>
        <w:tc>
          <w:tcPr>
            <w:tcW w:w="2441" w:type="dxa"/>
            <w:hideMark/>
          </w:tcPr>
          <w:p w14:paraId="2FB67B28" w14:textId="77777777" w:rsidR="00AC6695" w:rsidRPr="002D7166" w:rsidRDefault="00AC6695" w:rsidP="002E47AB">
            <w:pPr>
              <w:rPr>
                <w:rFonts w:ascii="Cambria" w:hAnsi="Cambria"/>
                <w:sz w:val="19"/>
                <w:szCs w:val="19"/>
              </w:rPr>
            </w:pPr>
            <w:r w:rsidRPr="002D7166">
              <w:rPr>
                <w:rFonts w:ascii="Cambria" w:hAnsi="Cambria"/>
                <w:sz w:val="19"/>
                <w:szCs w:val="19"/>
              </w:rPr>
              <w:t>Cita informācija</w:t>
            </w:r>
          </w:p>
        </w:tc>
        <w:tc>
          <w:tcPr>
            <w:tcW w:w="5334" w:type="dxa"/>
          </w:tcPr>
          <w:p w14:paraId="069F7C6F" w14:textId="77777777" w:rsidR="00AC6695" w:rsidRPr="0029553A" w:rsidRDefault="00AC6695" w:rsidP="002E47AB">
            <w:pPr>
              <w:rPr>
                <w:rFonts w:asciiTheme="majorHAnsi" w:hAnsiTheme="majorHAnsi"/>
                <w:i/>
                <w:sz w:val="19"/>
                <w:szCs w:val="19"/>
              </w:rPr>
            </w:pPr>
            <w:r w:rsidRPr="0029553A">
              <w:rPr>
                <w:rFonts w:asciiTheme="majorHAnsi" w:hAnsiTheme="majorHAnsi"/>
                <w:i/>
                <w:sz w:val="19"/>
                <w:szCs w:val="19"/>
              </w:rPr>
              <w:t>Nav</w:t>
            </w:r>
            <w:r w:rsidR="009B19DA">
              <w:rPr>
                <w:rFonts w:asciiTheme="majorHAnsi" w:hAnsiTheme="majorHAnsi"/>
                <w:i/>
                <w:sz w:val="19"/>
                <w:szCs w:val="19"/>
              </w:rPr>
              <w:t>.</w:t>
            </w:r>
          </w:p>
        </w:tc>
      </w:tr>
    </w:tbl>
    <w:p w14:paraId="46BF956D" w14:textId="77777777" w:rsidR="00AC6695" w:rsidRPr="002D7166" w:rsidRDefault="00AC6695" w:rsidP="00AC6695">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AC6695" w:rsidRPr="002D7166" w14:paraId="73AE3861" w14:textId="77777777" w:rsidTr="002E47AB">
        <w:trPr>
          <w:cantSplit/>
        </w:trPr>
        <w:tc>
          <w:tcPr>
            <w:tcW w:w="5000" w:type="pct"/>
            <w:vAlign w:val="center"/>
            <w:hideMark/>
          </w:tcPr>
          <w:p w14:paraId="3ED45ADA" w14:textId="77777777" w:rsidR="00AC6695" w:rsidRPr="002D7166" w:rsidRDefault="00AC6695" w:rsidP="002E47AB">
            <w:pPr>
              <w:jc w:val="center"/>
              <w:rPr>
                <w:rFonts w:ascii="Cambria" w:hAnsi="Cambria"/>
                <w:b/>
                <w:bCs/>
                <w:sz w:val="19"/>
                <w:szCs w:val="19"/>
              </w:rPr>
            </w:pPr>
            <w:r w:rsidRPr="002D7166">
              <w:rPr>
                <w:rFonts w:ascii="Cambria" w:hAnsi="Cambria"/>
                <w:b/>
                <w:bCs/>
                <w:sz w:val="19"/>
                <w:szCs w:val="19"/>
              </w:rPr>
              <w:t>V. Tiesību akta projekta atbilstība Latvijas Republikas starptautiskajām saistībām</w:t>
            </w:r>
          </w:p>
        </w:tc>
      </w:tr>
      <w:tr w:rsidR="00AC6695" w:rsidRPr="002D7166" w14:paraId="45E9D9F9" w14:textId="77777777" w:rsidTr="002E47AB">
        <w:trPr>
          <w:cantSplit/>
        </w:trPr>
        <w:tc>
          <w:tcPr>
            <w:tcW w:w="5000" w:type="pct"/>
            <w:vAlign w:val="center"/>
          </w:tcPr>
          <w:p w14:paraId="7DB5E39C" w14:textId="77777777" w:rsidR="00AC6695" w:rsidRPr="002D7166" w:rsidRDefault="00AC6695" w:rsidP="002E47AB">
            <w:pPr>
              <w:jc w:val="center"/>
              <w:rPr>
                <w:rFonts w:ascii="Cambria" w:hAnsi="Cambria"/>
                <w:b/>
                <w:bCs/>
                <w:sz w:val="19"/>
                <w:szCs w:val="19"/>
                <w:lang w:eastAsia="en-US"/>
              </w:rPr>
            </w:pPr>
            <w:r w:rsidRPr="008E4879">
              <w:rPr>
                <w:rFonts w:ascii="Cambria" w:hAnsi="Cambria"/>
                <w:bCs/>
                <w:i/>
                <w:sz w:val="19"/>
                <w:szCs w:val="19"/>
                <w:lang w:eastAsia="en-US"/>
              </w:rPr>
              <w:t>Noteikumu projekts šo jomu neskar</w:t>
            </w:r>
            <w:r w:rsidR="009B19DA">
              <w:rPr>
                <w:rFonts w:ascii="Cambria" w:hAnsi="Cambria"/>
                <w:bCs/>
                <w:i/>
                <w:sz w:val="19"/>
                <w:szCs w:val="19"/>
                <w:lang w:eastAsia="en-US"/>
              </w:rPr>
              <w:t>.</w:t>
            </w:r>
          </w:p>
        </w:tc>
      </w:tr>
    </w:tbl>
    <w:p w14:paraId="375BFA80" w14:textId="77777777" w:rsidR="00AC6695" w:rsidRPr="002D7166" w:rsidRDefault="00AC6695" w:rsidP="00AC6695">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AC6695" w:rsidRPr="00425AF0" w14:paraId="1CA4A28C" w14:textId="77777777" w:rsidTr="002E47AB">
        <w:trPr>
          <w:cantSplit/>
        </w:trPr>
        <w:tc>
          <w:tcPr>
            <w:tcW w:w="5000" w:type="pct"/>
            <w:gridSpan w:val="3"/>
            <w:vAlign w:val="center"/>
            <w:hideMark/>
          </w:tcPr>
          <w:p w14:paraId="5EA5E08E" w14:textId="77777777" w:rsidR="00AC6695" w:rsidRPr="00425AF0" w:rsidRDefault="00AC6695" w:rsidP="002E47AB">
            <w:pPr>
              <w:jc w:val="center"/>
              <w:rPr>
                <w:rFonts w:ascii="Cambria" w:hAnsi="Cambria"/>
                <w:b/>
                <w:bCs/>
                <w:sz w:val="19"/>
                <w:szCs w:val="19"/>
              </w:rPr>
            </w:pPr>
            <w:r w:rsidRPr="00425AF0">
              <w:rPr>
                <w:rFonts w:ascii="Cambria" w:hAnsi="Cambria"/>
                <w:b/>
                <w:bCs/>
                <w:sz w:val="19"/>
                <w:szCs w:val="19"/>
              </w:rPr>
              <w:t>VI. Sabiedrības līdzdalība un komunikācijas aktivitātes</w:t>
            </w:r>
          </w:p>
        </w:tc>
      </w:tr>
      <w:tr w:rsidR="00AC6695" w:rsidRPr="00425AF0" w14:paraId="408B8CA7" w14:textId="77777777" w:rsidTr="002E47AB">
        <w:trPr>
          <w:cantSplit/>
        </w:trPr>
        <w:tc>
          <w:tcPr>
            <w:tcW w:w="311" w:type="pct"/>
            <w:hideMark/>
          </w:tcPr>
          <w:p w14:paraId="72FC8B1B" w14:textId="77777777" w:rsidR="00AC6695" w:rsidRPr="00425AF0" w:rsidRDefault="00AC6695" w:rsidP="002E47AB">
            <w:pPr>
              <w:jc w:val="center"/>
              <w:rPr>
                <w:rFonts w:ascii="Cambria" w:hAnsi="Cambria"/>
                <w:sz w:val="19"/>
                <w:szCs w:val="19"/>
              </w:rPr>
            </w:pPr>
            <w:r w:rsidRPr="00425AF0">
              <w:rPr>
                <w:rFonts w:ascii="Cambria" w:hAnsi="Cambria"/>
                <w:sz w:val="19"/>
                <w:szCs w:val="19"/>
              </w:rPr>
              <w:t>1.</w:t>
            </w:r>
          </w:p>
        </w:tc>
        <w:tc>
          <w:tcPr>
            <w:tcW w:w="1479" w:type="pct"/>
            <w:hideMark/>
          </w:tcPr>
          <w:p w14:paraId="5D717821" w14:textId="77777777" w:rsidR="00AC6695" w:rsidRPr="00425AF0" w:rsidRDefault="00AC6695" w:rsidP="002E47AB">
            <w:pPr>
              <w:rPr>
                <w:rFonts w:ascii="Cambria" w:hAnsi="Cambria"/>
                <w:sz w:val="19"/>
                <w:szCs w:val="19"/>
              </w:rPr>
            </w:pPr>
            <w:r w:rsidRPr="00425AF0">
              <w:rPr>
                <w:rFonts w:ascii="Cambria" w:hAnsi="Cambria"/>
                <w:sz w:val="19"/>
                <w:szCs w:val="19"/>
              </w:rPr>
              <w:t>Plānotās sabiedrības līdzdalības un komunikācijas aktivitātes saistībā ar projektu</w:t>
            </w:r>
          </w:p>
        </w:tc>
        <w:tc>
          <w:tcPr>
            <w:tcW w:w="3210" w:type="pct"/>
          </w:tcPr>
          <w:p w14:paraId="651A646D" w14:textId="77777777" w:rsidR="00AC6695" w:rsidRPr="0041494A" w:rsidRDefault="00AC6695" w:rsidP="00D908B0">
            <w:pPr>
              <w:rPr>
                <w:rFonts w:asciiTheme="majorHAnsi" w:hAnsiTheme="majorHAnsi"/>
                <w:sz w:val="19"/>
                <w:szCs w:val="19"/>
              </w:rPr>
            </w:pPr>
            <w:r w:rsidRPr="0041494A">
              <w:rPr>
                <w:rFonts w:asciiTheme="majorHAnsi" w:hAnsiTheme="majorHAnsi"/>
                <w:sz w:val="19"/>
                <w:szCs w:val="19"/>
              </w:rPr>
              <w:t xml:space="preserve">Atbilstoši </w:t>
            </w:r>
            <w:hyperlink r:id="rId7" w:history="1">
              <w:r w:rsidRPr="0041494A">
                <w:rPr>
                  <w:rFonts w:asciiTheme="majorHAnsi" w:hAnsiTheme="majorHAnsi"/>
                  <w:sz w:val="19"/>
                  <w:szCs w:val="19"/>
                </w:rPr>
                <w:t>Ministru kabineta 2009. gada 25. augusta noteikumiem Nr. 970 "Sabiedrības līdzdalības kārtība attīstības plānošanas procesā"</w:t>
              </w:r>
            </w:hyperlink>
            <w:r w:rsidRPr="0041494A">
              <w:rPr>
                <w:rFonts w:asciiTheme="majorHAnsi" w:hAnsiTheme="majorHAnsi"/>
                <w:sz w:val="19"/>
                <w:szCs w:val="19"/>
              </w:rPr>
              <w:t>, l</w:t>
            </w:r>
            <w:r w:rsidRPr="0041494A">
              <w:rPr>
                <w:rFonts w:asciiTheme="majorHAnsi" w:eastAsia="Calibri" w:hAnsiTheme="majorHAnsi"/>
                <w:sz w:val="19"/>
                <w:szCs w:val="19"/>
              </w:rPr>
              <w:t xml:space="preserve">ai informētu sabiedrību par noteikumu projektu un dotu iespēju izteikt viedokli, noteikumu projekts </w:t>
            </w:r>
            <w:r w:rsidRPr="0041494A">
              <w:rPr>
                <w:rFonts w:asciiTheme="majorHAnsi" w:hAnsiTheme="majorHAnsi"/>
                <w:sz w:val="19"/>
                <w:szCs w:val="19"/>
              </w:rPr>
              <w:t xml:space="preserve">pirms tā iesniegšanas Valsts sekretāru sanāksmē </w:t>
            </w:r>
            <w:r w:rsidRPr="0041494A">
              <w:rPr>
                <w:rFonts w:asciiTheme="majorHAnsi" w:eastAsia="Calibri" w:hAnsiTheme="majorHAnsi"/>
                <w:sz w:val="19"/>
                <w:szCs w:val="19"/>
              </w:rPr>
              <w:t>ievietots Aizsardzības ministrijas mājaslapā</w:t>
            </w:r>
            <w:r w:rsidR="009B19DA">
              <w:rPr>
                <w:rFonts w:asciiTheme="majorHAnsi" w:eastAsia="Calibri" w:hAnsiTheme="majorHAnsi"/>
                <w:sz w:val="19"/>
                <w:szCs w:val="19"/>
              </w:rPr>
              <w:t>.</w:t>
            </w:r>
          </w:p>
        </w:tc>
      </w:tr>
      <w:tr w:rsidR="00AC6695" w:rsidRPr="00425AF0" w14:paraId="49642786" w14:textId="77777777" w:rsidTr="002E47AB">
        <w:trPr>
          <w:cantSplit/>
        </w:trPr>
        <w:tc>
          <w:tcPr>
            <w:tcW w:w="311" w:type="pct"/>
            <w:hideMark/>
          </w:tcPr>
          <w:p w14:paraId="449FC174" w14:textId="77777777" w:rsidR="00AC6695" w:rsidRPr="00425AF0" w:rsidRDefault="00AC6695" w:rsidP="002E47AB">
            <w:pPr>
              <w:jc w:val="center"/>
              <w:rPr>
                <w:rFonts w:ascii="Cambria" w:hAnsi="Cambria"/>
                <w:sz w:val="19"/>
                <w:szCs w:val="19"/>
              </w:rPr>
            </w:pPr>
            <w:r w:rsidRPr="00425AF0">
              <w:rPr>
                <w:rFonts w:ascii="Cambria" w:hAnsi="Cambria"/>
                <w:sz w:val="19"/>
                <w:szCs w:val="19"/>
              </w:rPr>
              <w:t>2.</w:t>
            </w:r>
          </w:p>
        </w:tc>
        <w:tc>
          <w:tcPr>
            <w:tcW w:w="1479" w:type="pct"/>
            <w:hideMark/>
          </w:tcPr>
          <w:p w14:paraId="3FCD505D" w14:textId="77777777" w:rsidR="00AC6695" w:rsidRPr="00425AF0" w:rsidRDefault="00AC6695" w:rsidP="002E47AB">
            <w:pPr>
              <w:rPr>
                <w:rFonts w:ascii="Cambria" w:hAnsi="Cambria"/>
                <w:sz w:val="19"/>
                <w:szCs w:val="19"/>
              </w:rPr>
            </w:pPr>
            <w:r w:rsidRPr="00425AF0">
              <w:rPr>
                <w:rFonts w:ascii="Cambria" w:hAnsi="Cambria"/>
                <w:sz w:val="19"/>
                <w:szCs w:val="19"/>
              </w:rPr>
              <w:t>Sabiedrības līdzdalība projekta izstrādē</w:t>
            </w:r>
          </w:p>
        </w:tc>
        <w:tc>
          <w:tcPr>
            <w:tcW w:w="3210" w:type="pct"/>
          </w:tcPr>
          <w:p w14:paraId="4290D5BA" w14:textId="77777777" w:rsidR="00AC6695" w:rsidRPr="0041494A" w:rsidRDefault="00AC6695" w:rsidP="00D908B0">
            <w:pPr>
              <w:rPr>
                <w:rFonts w:asciiTheme="majorHAnsi" w:hAnsiTheme="majorHAnsi"/>
                <w:sz w:val="19"/>
                <w:szCs w:val="19"/>
              </w:rPr>
            </w:pPr>
            <w:r w:rsidRPr="0041494A">
              <w:rPr>
                <w:rFonts w:asciiTheme="majorHAnsi" w:hAnsiTheme="majorHAnsi"/>
                <w:sz w:val="19"/>
                <w:szCs w:val="19"/>
              </w:rPr>
              <w:t xml:space="preserve">Lai informētu sabiedrību par noteikumu projektu un dotu iespēju izteikt viedokli, noteikumu projekts 2018. gada 18. jūnijā ievietots Aizsardzības ministrijas mājaslapā: </w:t>
            </w:r>
            <w:hyperlink r:id="rId8" w:history="1">
              <w:r w:rsidRPr="00950C5D">
                <w:rPr>
                  <w:rStyle w:val="Hyperlink"/>
                  <w:rFonts w:asciiTheme="majorHAnsi" w:hAnsiTheme="majorHAnsi"/>
                  <w:sz w:val="19"/>
                  <w:szCs w:val="19"/>
                </w:rPr>
                <w:t>http://www.mod.gov.lv/Ministrija/Sab_lidzdaliba/Sa_Pa.aspx</w:t>
              </w:r>
            </w:hyperlink>
            <w:r>
              <w:rPr>
                <w:rFonts w:asciiTheme="majorHAnsi" w:hAnsiTheme="majorHAnsi"/>
                <w:sz w:val="19"/>
                <w:szCs w:val="19"/>
              </w:rPr>
              <w:t xml:space="preserve"> </w:t>
            </w:r>
          </w:p>
        </w:tc>
      </w:tr>
      <w:tr w:rsidR="00AC6695" w:rsidRPr="00425AF0" w14:paraId="334156FF" w14:textId="77777777" w:rsidTr="002E47AB">
        <w:trPr>
          <w:cantSplit/>
        </w:trPr>
        <w:tc>
          <w:tcPr>
            <w:tcW w:w="311" w:type="pct"/>
            <w:hideMark/>
          </w:tcPr>
          <w:p w14:paraId="224D0930" w14:textId="77777777" w:rsidR="00AC6695" w:rsidRPr="00425AF0" w:rsidRDefault="00AC6695" w:rsidP="002E47AB">
            <w:pPr>
              <w:jc w:val="center"/>
              <w:rPr>
                <w:rFonts w:ascii="Cambria" w:hAnsi="Cambria"/>
                <w:sz w:val="19"/>
                <w:szCs w:val="19"/>
              </w:rPr>
            </w:pPr>
            <w:r w:rsidRPr="00425AF0">
              <w:rPr>
                <w:rFonts w:ascii="Cambria" w:hAnsi="Cambria"/>
                <w:sz w:val="19"/>
                <w:szCs w:val="19"/>
              </w:rPr>
              <w:t>3.</w:t>
            </w:r>
          </w:p>
        </w:tc>
        <w:tc>
          <w:tcPr>
            <w:tcW w:w="1479" w:type="pct"/>
            <w:hideMark/>
          </w:tcPr>
          <w:p w14:paraId="0066312F" w14:textId="77777777" w:rsidR="00AC6695" w:rsidRPr="00425AF0" w:rsidRDefault="00AC6695" w:rsidP="002E47AB">
            <w:pPr>
              <w:rPr>
                <w:rFonts w:ascii="Cambria" w:hAnsi="Cambria"/>
                <w:sz w:val="19"/>
                <w:szCs w:val="19"/>
              </w:rPr>
            </w:pPr>
            <w:r w:rsidRPr="00425AF0">
              <w:rPr>
                <w:rFonts w:ascii="Cambria" w:hAnsi="Cambria"/>
                <w:sz w:val="19"/>
                <w:szCs w:val="19"/>
              </w:rPr>
              <w:t>Sabiedrības līdzdalības rezultāti</w:t>
            </w:r>
          </w:p>
        </w:tc>
        <w:tc>
          <w:tcPr>
            <w:tcW w:w="3210" w:type="pct"/>
          </w:tcPr>
          <w:p w14:paraId="092B90F3" w14:textId="43D9125A" w:rsidR="00D908B0" w:rsidRDefault="0036797B" w:rsidP="00D908B0">
            <w:pPr>
              <w:rPr>
                <w:rFonts w:asciiTheme="majorHAnsi" w:hAnsiTheme="majorHAnsi"/>
                <w:sz w:val="19"/>
                <w:szCs w:val="19"/>
              </w:rPr>
            </w:pPr>
            <w:r>
              <w:rPr>
                <w:rFonts w:asciiTheme="majorHAnsi" w:hAnsiTheme="majorHAnsi"/>
                <w:sz w:val="19"/>
                <w:szCs w:val="19"/>
              </w:rPr>
              <w:t xml:space="preserve">Latvijas Drošības un aizsardzības industriju federācijas 2018. gada </w:t>
            </w:r>
            <w:r w:rsidR="00D908B0">
              <w:rPr>
                <w:rFonts w:asciiTheme="majorHAnsi" w:hAnsiTheme="majorHAnsi"/>
                <w:sz w:val="19"/>
                <w:szCs w:val="19"/>
              </w:rPr>
              <w:t>19. jūlija atzinums:</w:t>
            </w:r>
          </w:p>
          <w:p w14:paraId="5295772C" w14:textId="3B34C693" w:rsidR="00AC6695" w:rsidRDefault="00D908B0" w:rsidP="00D908B0">
            <w:pPr>
              <w:rPr>
                <w:rFonts w:asciiTheme="majorHAnsi" w:hAnsiTheme="majorHAnsi"/>
                <w:sz w:val="19"/>
                <w:szCs w:val="19"/>
              </w:rPr>
            </w:pPr>
            <w:r>
              <w:rPr>
                <w:rFonts w:asciiTheme="majorHAnsi" w:hAnsiTheme="majorHAnsi"/>
                <w:sz w:val="19"/>
                <w:szCs w:val="19"/>
              </w:rPr>
              <w:t xml:space="preserve">- </w:t>
            </w:r>
            <w:r>
              <w:rPr>
                <w:rFonts w:asciiTheme="majorHAnsi" w:hAnsiTheme="majorHAnsi"/>
                <w:sz w:val="19"/>
                <w:szCs w:val="19"/>
              </w:rPr>
              <w:t xml:space="preserve">Latvijas Drošības un aizsardzības industriju federācija </w:t>
            </w:r>
            <w:r>
              <w:rPr>
                <w:rFonts w:asciiTheme="majorHAnsi" w:hAnsiTheme="majorHAnsi"/>
                <w:sz w:val="19"/>
                <w:szCs w:val="19"/>
              </w:rPr>
              <w:t>atbalsta projekta turpmāku virzību apstiprināšanai Ministru kabinetā;</w:t>
            </w:r>
          </w:p>
          <w:p w14:paraId="6B799B22" w14:textId="4A0C3DD4" w:rsidR="00D908B0" w:rsidRPr="0041494A" w:rsidRDefault="00D908B0" w:rsidP="00D908B0">
            <w:pPr>
              <w:rPr>
                <w:rFonts w:asciiTheme="majorHAnsi" w:hAnsiTheme="majorHAnsi"/>
                <w:sz w:val="19"/>
                <w:szCs w:val="19"/>
              </w:rPr>
            </w:pPr>
            <w:r>
              <w:rPr>
                <w:rFonts w:asciiTheme="majorHAnsi" w:hAnsiTheme="majorHAnsi"/>
                <w:sz w:val="19"/>
                <w:szCs w:val="19"/>
              </w:rPr>
              <w:t xml:space="preserve">- priekšlikums svītrot projekta pārskata 6. punktu neņemts vērā, jo informācija ir nepieciešama drošības nolūkos. </w:t>
            </w:r>
          </w:p>
        </w:tc>
      </w:tr>
      <w:tr w:rsidR="00AC6695" w:rsidRPr="00425AF0" w14:paraId="12863604" w14:textId="77777777" w:rsidTr="002E47AB">
        <w:trPr>
          <w:cantSplit/>
        </w:trPr>
        <w:tc>
          <w:tcPr>
            <w:tcW w:w="311" w:type="pct"/>
            <w:hideMark/>
          </w:tcPr>
          <w:p w14:paraId="6CB34F39" w14:textId="77777777" w:rsidR="00AC6695" w:rsidRPr="00425AF0" w:rsidRDefault="00AC6695" w:rsidP="002E47AB">
            <w:pPr>
              <w:jc w:val="center"/>
              <w:rPr>
                <w:rFonts w:ascii="Cambria" w:hAnsi="Cambria"/>
                <w:sz w:val="19"/>
                <w:szCs w:val="19"/>
              </w:rPr>
            </w:pPr>
            <w:r w:rsidRPr="00425AF0">
              <w:rPr>
                <w:rFonts w:ascii="Cambria" w:hAnsi="Cambria"/>
                <w:sz w:val="19"/>
                <w:szCs w:val="19"/>
              </w:rPr>
              <w:t>4.</w:t>
            </w:r>
          </w:p>
        </w:tc>
        <w:tc>
          <w:tcPr>
            <w:tcW w:w="1479" w:type="pct"/>
            <w:hideMark/>
          </w:tcPr>
          <w:p w14:paraId="35F32EB3" w14:textId="77777777" w:rsidR="00AC6695" w:rsidRPr="00425AF0" w:rsidRDefault="00AC6695" w:rsidP="002E47AB">
            <w:pPr>
              <w:rPr>
                <w:rFonts w:ascii="Cambria" w:hAnsi="Cambria"/>
                <w:sz w:val="19"/>
                <w:szCs w:val="19"/>
              </w:rPr>
            </w:pPr>
            <w:r w:rsidRPr="00425AF0">
              <w:rPr>
                <w:rFonts w:ascii="Cambria" w:hAnsi="Cambria"/>
                <w:sz w:val="19"/>
                <w:szCs w:val="19"/>
              </w:rPr>
              <w:t>Cita informācija</w:t>
            </w:r>
          </w:p>
        </w:tc>
        <w:tc>
          <w:tcPr>
            <w:tcW w:w="3210" w:type="pct"/>
          </w:tcPr>
          <w:p w14:paraId="4D535F92" w14:textId="77777777" w:rsidR="00AC6695" w:rsidRPr="0029553A" w:rsidRDefault="00AC6695" w:rsidP="002E47AB">
            <w:pPr>
              <w:rPr>
                <w:rFonts w:asciiTheme="majorHAnsi" w:hAnsiTheme="majorHAnsi"/>
                <w:i/>
                <w:sz w:val="19"/>
                <w:szCs w:val="19"/>
              </w:rPr>
            </w:pPr>
            <w:r w:rsidRPr="0029553A">
              <w:rPr>
                <w:rFonts w:asciiTheme="majorHAnsi" w:hAnsiTheme="majorHAnsi"/>
                <w:i/>
                <w:sz w:val="19"/>
                <w:szCs w:val="19"/>
              </w:rPr>
              <w:t>Nav</w:t>
            </w:r>
            <w:r w:rsidR="009B19DA">
              <w:rPr>
                <w:rFonts w:asciiTheme="majorHAnsi" w:hAnsiTheme="majorHAnsi"/>
                <w:i/>
                <w:sz w:val="19"/>
                <w:szCs w:val="19"/>
              </w:rPr>
              <w:t>.</w:t>
            </w:r>
          </w:p>
        </w:tc>
      </w:tr>
    </w:tbl>
    <w:p w14:paraId="454A53B4" w14:textId="1EC265D3" w:rsidR="00BD5588" w:rsidRPr="002D7166" w:rsidRDefault="00BD5588" w:rsidP="00DE0F72">
      <w:pPr>
        <w:pStyle w:val="Title"/>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425AF0" w14:paraId="03981301" w14:textId="77777777" w:rsidTr="009E0502">
        <w:trPr>
          <w:cantSplit/>
        </w:trPr>
        <w:tc>
          <w:tcPr>
            <w:tcW w:w="5000" w:type="pct"/>
            <w:gridSpan w:val="3"/>
            <w:vAlign w:val="center"/>
            <w:hideMark/>
          </w:tcPr>
          <w:p w14:paraId="17110922" w14:textId="77D443F4" w:rsidR="00BD5588" w:rsidRPr="00425AF0" w:rsidRDefault="00BD5588" w:rsidP="009E0502">
            <w:pPr>
              <w:jc w:val="center"/>
              <w:rPr>
                <w:rFonts w:ascii="Cambria" w:hAnsi="Cambria"/>
                <w:b/>
                <w:bCs/>
                <w:sz w:val="19"/>
                <w:szCs w:val="19"/>
              </w:rPr>
            </w:pPr>
            <w:r>
              <w:br w:type="page"/>
            </w:r>
            <w:r w:rsidRPr="00425AF0">
              <w:rPr>
                <w:rFonts w:ascii="Cambria" w:hAnsi="Cambria"/>
                <w:b/>
                <w:bCs/>
                <w:sz w:val="19"/>
                <w:szCs w:val="19"/>
              </w:rPr>
              <w:t>VII. Tiesību akta projekta izpildes nodrošināšana un tās ietekme uz institūcijām</w:t>
            </w:r>
          </w:p>
        </w:tc>
      </w:tr>
      <w:tr w:rsidR="0029553A" w:rsidRPr="00425AF0" w14:paraId="7EA3404D" w14:textId="77777777" w:rsidTr="0029553A">
        <w:trPr>
          <w:cantSplit/>
        </w:trPr>
        <w:tc>
          <w:tcPr>
            <w:tcW w:w="311" w:type="pct"/>
            <w:hideMark/>
          </w:tcPr>
          <w:p w14:paraId="7C1DC2EF" w14:textId="77777777" w:rsidR="0029553A" w:rsidRPr="00425AF0" w:rsidRDefault="0029553A" w:rsidP="0029553A">
            <w:pPr>
              <w:jc w:val="center"/>
              <w:rPr>
                <w:rFonts w:ascii="Cambria" w:hAnsi="Cambria"/>
                <w:sz w:val="19"/>
                <w:szCs w:val="19"/>
              </w:rPr>
            </w:pPr>
            <w:r w:rsidRPr="00425AF0">
              <w:rPr>
                <w:rFonts w:ascii="Cambria" w:hAnsi="Cambria"/>
                <w:sz w:val="19"/>
                <w:szCs w:val="19"/>
              </w:rPr>
              <w:t>1.</w:t>
            </w:r>
          </w:p>
        </w:tc>
        <w:tc>
          <w:tcPr>
            <w:tcW w:w="1479" w:type="pct"/>
            <w:hideMark/>
          </w:tcPr>
          <w:p w14:paraId="1CCC4629" w14:textId="77777777" w:rsidR="0029553A" w:rsidRPr="00425AF0" w:rsidRDefault="0029553A" w:rsidP="0029553A">
            <w:pPr>
              <w:rPr>
                <w:rFonts w:ascii="Cambria" w:hAnsi="Cambria"/>
                <w:sz w:val="19"/>
                <w:szCs w:val="19"/>
              </w:rPr>
            </w:pPr>
            <w:r w:rsidRPr="00425AF0">
              <w:rPr>
                <w:rFonts w:ascii="Cambria" w:hAnsi="Cambria"/>
                <w:sz w:val="19"/>
                <w:szCs w:val="19"/>
              </w:rPr>
              <w:t>Projekta izpildē iesaistītās institūcijas</w:t>
            </w:r>
          </w:p>
        </w:tc>
        <w:tc>
          <w:tcPr>
            <w:tcW w:w="3210" w:type="pct"/>
          </w:tcPr>
          <w:p w14:paraId="62FD7D37" w14:textId="76A3D989" w:rsidR="0029553A" w:rsidRPr="006255D2" w:rsidRDefault="0029553A" w:rsidP="0029553A">
            <w:pPr>
              <w:rPr>
                <w:rFonts w:asciiTheme="majorHAnsi" w:hAnsiTheme="majorHAnsi"/>
                <w:sz w:val="19"/>
                <w:szCs w:val="19"/>
              </w:rPr>
            </w:pPr>
            <w:r w:rsidRPr="006255D2">
              <w:rPr>
                <w:rFonts w:asciiTheme="majorHAnsi" w:hAnsiTheme="majorHAnsi"/>
                <w:sz w:val="19"/>
                <w:szCs w:val="19"/>
              </w:rPr>
              <w:t>Aizsardzības ministrija</w:t>
            </w:r>
            <w:r w:rsidR="00F12203">
              <w:rPr>
                <w:rFonts w:asciiTheme="majorHAnsi" w:hAnsiTheme="majorHAnsi"/>
                <w:sz w:val="19"/>
                <w:szCs w:val="19"/>
              </w:rPr>
              <w:t>.</w:t>
            </w:r>
          </w:p>
          <w:p w14:paraId="396F51D6" w14:textId="06DD5BED" w:rsidR="0029553A" w:rsidRPr="006255D2" w:rsidRDefault="0029553A" w:rsidP="0029553A">
            <w:pPr>
              <w:rPr>
                <w:rFonts w:asciiTheme="majorHAnsi" w:hAnsiTheme="majorHAnsi"/>
                <w:sz w:val="19"/>
                <w:szCs w:val="19"/>
              </w:rPr>
            </w:pPr>
          </w:p>
        </w:tc>
      </w:tr>
      <w:tr w:rsidR="0029553A" w:rsidRPr="00425AF0" w14:paraId="0A6FD393" w14:textId="77777777" w:rsidTr="0029553A">
        <w:trPr>
          <w:cantSplit/>
        </w:trPr>
        <w:tc>
          <w:tcPr>
            <w:tcW w:w="311" w:type="pct"/>
            <w:hideMark/>
          </w:tcPr>
          <w:p w14:paraId="57E6C7B4" w14:textId="77777777" w:rsidR="0029553A" w:rsidRPr="00425AF0" w:rsidRDefault="0029553A" w:rsidP="0029553A">
            <w:pPr>
              <w:jc w:val="center"/>
              <w:rPr>
                <w:rFonts w:ascii="Cambria" w:hAnsi="Cambria"/>
                <w:sz w:val="19"/>
                <w:szCs w:val="19"/>
              </w:rPr>
            </w:pPr>
            <w:r w:rsidRPr="00425AF0">
              <w:rPr>
                <w:rFonts w:ascii="Cambria" w:hAnsi="Cambria"/>
                <w:sz w:val="19"/>
                <w:szCs w:val="19"/>
              </w:rPr>
              <w:t>2.</w:t>
            </w:r>
          </w:p>
        </w:tc>
        <w:tc>
          <w:tcPr>
            <w:tcW w:w="1479" w:type="pct"/>
            <w:hideMark/>
          </w:tcPr>
          <w:p w14:paraId="4B881670" w14:textId="77777777" w:rsidR="0029553A" w:rsidRPr="00425AF0" w:rsidRDefault="0029553A" w:rsidP="0029553A">
            <w:pPr>
              <w:rPr>
                <w:rFonts w:ascii="Cambria" w:hAnsi="Cambria"/>
                <w:sz w:val="19"/>
                <w:szCs w:val="19"/>
              </w:rPr>
            </w:pPr>
            <w:r w:rsidRPr="00425AF0">
              <w:rPr>
                <w:rFonts w:ascii="Cambria" w:hAnsi="Cambria"/>
                <w:sz w:val="19"/>
                <w:szCs w:val="19"/>
              </w:rPr>
              <w:t>Projekta izpildes ietekme uz pārvaldes funkcijām un institucionālo struktūru.</w:t>
            </w:r>
            <w:r w:rsidRPr="00425AF0">
              <w:rPr>
                <w:rFonts w:ascii="Cambria" w:hAnsi="Cambria"/>
                <w:sz w:val="19"/>
                <w:szCs w:val="19"/>
              </w:rPr>
              <w:br/>
              <w:t>Jaunu institūciju izveide, esošu institūciju likvidācija vai reorganizācija, to ietekme uz institūcijas cilvēkresursiem</w:t>
            </w:r>
          </w:p>
        </w:tc>
        <w:tc>
          <w:tcPr>
            <w:tcW w:w="3210" w:type="pct"/>
          </w:tcPr>
          <w:p w14:paraId="3ED19C8E" w14:textId="77777777" w:rsidR="0029553A" w:rsidRPr="006255D2" w:rsidRDefault="0029553A" w:rsidP="0029553A">
            <w:pPr>
              <w:jc w:val="both"/>
              <w:rPr>
                <w:rFonts w:asciiTheme="majorHAnsi" w:hAnsiTheme="majorHAnsi"/>
                <w:sz w:val="19"/>
                <w:szCs w:val="19"/>
              </w:rPr>
            </w:pPr>
            <w:r w:rsidRPr="006255D2">
              <w:rPr>
                <w:rFonts w:asciiTheme="majorHAnsi" w:hAnsiTheme="majorHAnsi"/>
                <w:sz w:val="19"/>
                <w:szCs w:val="19"/>
              </w:rPr>
              <w:t>Nav paredzēta esošu institūciju likvidācija vai reorganizācija. Iestāžu institucionālā struktūra netiek ietekmēta, papildu resursi nav nepieciešami</w:t>
            </w:r>
            <w:r w:rsidR="009B19DA">
              <w:rPr>
                <w:rFonts w:asciiTheme="majorHAnsi" w:hAnsiTheme="majorHAnsi"/>
                <w:sz w:val="19"/>
                <w:szCs w:val="19"/>
              </w:rPr>
              <w:t>.</w:t>
            </w:r>
          </w:p>
        </w:tc>
      </w:tr>
      <w:tr w:rsidR="0029553A" w:rsidRPr="00425AF0" w14:paraId="5CE9BBD0" w14:textId="77777777" w:rsidTr="0029553A">
        <w:trPr>
          <w:cantSplit/>
        </w:trPr>
        <w:tc>
          <w:tcPr>
            <w:tcW w:w="311" w:type="pct"/>
            <w:hideMark/>
          </w:tcPr>
          <w:p w14:paraId="7F1455A9" w14:textId="77777777" w:rsidR="0029553A" w:rsidRPr="00425AF0" w:rsidRDefault="0029553A" w:rsidP="0029553A">
            <w:pPr>
              <w:jc w:val="center"/>
              <w:rPr>
                <w:rFonts w:ascii="Cambria" w:hAnsi="Cambria"/>
                <w:sz w:val="19"/>
                <w:szCs w:val="19"/>
              </w:rPr>
            </w:pPr>
            <w:r w:rsidRPr="00425AF0">
              <w:rPr>
                <w:rFonts w:ascii="Cambria" w:hAnsi="Cambria"/>
                <w:sz w:val="19"/>
                <w:szCs w:val="19"/>
              </w:rPr>
              <w:t>3.</w:t>
            </w:r>
          </w:p>
        </w:tc>
        <w:tc>
          <w:tcPr>
            <w:tcW w:w="1479" w:type="pct"/>
            <w:hideMark/>
          </w:tcPr>
          <w:p w14:paraId="4A273B7D" w14:textId="77777777" w:rsidR="0029553A" w:rsidRPr="00425AF0" w:rsidRDefault="0029553A" w:rsidP="0029553A">
            <w:pPr>
              <w:rPr>
                <w:rFonts w:ascii="Cambria" w:hAnsi="Cambria"/>
                <w:sz w:val="19"/>
                <w:szCs w:val="19"/>
              </w:rPr>
            </w:pPr>
            <w:r w:rsidRPr="00425AF0">
              <w:rPr>
                <w:rFonts w:ascii="Cambria" w:hAnsi="Cambria"/>
                <w:sz w:val="19"/>
                <w:szCs w:val="19"/>
              </w:rPr>
              <w:t>Cita informācija</w:t>
            </w:r>
          </w:p>
        </w:tc>
        <w:tc>
          <w:tcPr>
            <w:tcW w:w="3210" w:type="pct"/>
          </w:tcPr>
          <w:p w14:paraId="5E22176E" w14:textId="77777777" w:rsidR="0029553A" w:rsidRPr="0029553A" w:rsidRDefault="0029553A" w:rsidP="0029553A">
            <w:pPr>
              <w:rPr>
                <w:rFonts w:asciiTheme="majorHAnsi" w:hAnsiTheme="majorHAnsi"/>
                <w:i/>
                <w:sz w:val="19"/>
                <w:szCs w:val="19"/>
              </w:rPr>
            </w:pPr>
            <w:r w:rsidRPr="0029553A">
              <w:rPr>
                <w:rFonts w:asciiTheme="majorHAnsi" w:hAnsiTheme="majorHAnsi"/>
                <w:i/>
                <w:sz w:val="19"/>
                <w:szCs w:val="19"/>
              </w:rPr>
              <w:t>Nav</w:t>
            </w:r>
            <w:r w:rsidR="009B19DA">
              <w:rPr>
                <w:rFonts w:asciiTheme="majorHAnsi" w:hAnsiTheme="majorHAnsi"/>
                <w:i/>
                <w:sz w:val="19"/>
                <w:szCs w:val="19"/>
              </w:rPr>
              <w:t>.</w:t>
            </w:r>
          </w:p>
        </w:tc>
      </w:tr>
    </w:tbl>
    <w:p w14:paraId="0DD70723" w14:textId="77777777" w:rsidR="00E44472" w:rsidRDefault="00E44472"/>
    <w:p w14:paraId="0D3984C3" w14:textId="77777777" w:rsidR="00AC6695" w:rsidRDefault="00AC6695" w:rsidP="00AC6695">
      <w:pPr>
        <w:tabs>
          <w:tab w:val="right" w:pos="9074"/>
        </w:tabs>
        <w:ind w:left="-709"/>
        <w:rPr>
          <w:rFonts w:asciiTheme="majorHAnsi" w:hAnsiTheme="majorHAnsi"/>
        </w:rPr>
      </w:pPr>
      <w:r w:rsidRPr="006255D2">
        <w:rPr>
          <w:rFonts w:asciiTheme="majorHAnsi" w:hAnsiTheme="majorHAnsi"/>
        </w:rPr>
        <w:t xml:space="preserve">    </w:t>
      </w:r>
    </w:p>
    <w:p w14:paraId="72A6E568" w14:textId="77777777" w:rsidR="000B0D3B" w:rsidRDefault="000B0D3B" w:rsidP="00AC6695">
      <w:pPr>
        <w:tabs>
          <w:tab w:val="right" w:pos="9074"/>
        </w:tabs>
        <w:ind w:left="-709"/>
        <w:rPr>
          <w:rFonts w:asciiTheme="majorHAnsi" w:hAnsiTheme="majorHAnsi"/>
        </w:rPr>
      </w:pPr>
    </w:p>
    <w:p w14:paraId="07BBCC4F" w14:textId="77777777" w:rsidR="000B0D3B" w:rsidRDefault="000B0D3B" w:rsidP="00AC6695">
      <w:pPr>
        <w:tabs>
          <w:tab w:val="right" w:pos="9074"/>
        </w:tabs>
        <w:ind w:left="-709"/>
        <w:rPr>
          <w:rFonts w:asciiTheme="majorHAnsi" w:hAnsiTheme="majorHAnsi"/>
        </w:rPr>
      </w:pPr>
    </w:p>
    <w:p w14:paraId="4A999A30" w14:textId="77777777" w:rsidR="000B0D3B" w:rsidRDefault="000B0D3B" w:rsidP="00AC6695">
      <w:pPr>
        <w:tabs>
          <w:tab w:val="right" w:pos="9074"/>
        </w:tabs>
        <w:ind w:left="-709"/>
        <w:rPr>
          <w:rFonts w:asciiTheme="majorHAnsi" w:hAnsiTheme="majorHAnsi"/>
        </w:rPr>
      </w:pPr>
    </w:p>
    <w:p w14:paraId="01BCF2B7" w14:textId="77777777" w:rsidR="00AC6695" w:rsidRPr="006255D2" w:rsidRDefault="00AC6695" w:rsidP="00AC6695">
      <w:pPr>
        <w:tabs>
          <w:tab w:val="right" w:pos="9074"/>
        </w:tabs>
        <w:ind w:left="-709"/>
        <w:rPr>
          <w:rFonts w:asciiTheme="majorHAnsi" w:hAnsiTheme="majorHAnsi"/>
        </w:rPr>
      </w:pPr>
      <w:r>
        <w:rPr>
          <w:rFonts w:asciiTheme="majorHAnsi" w:hAnsiTheme="majorHAnsi"/>
        </w:rPr>
        <w:t xml:space="preserve">     </w:t>
      </w:r>
      <w:r w:rsidRPr="006255D2">
        <w:rPr>
          <w:rFonts w:asciiTheme="majorHAnsi" w:hAnsiTheme="majorHAnsi"/>
        </w:rPr>
        <w:t xml:space="preserve">Aizsardzības ministrs                                                                    </w:t>
      </w:r>
      <w:r>
        <w:rPr>
          <w:rFonts w:asciiTheme="majorHAnsi" w:hAnsiTheme="majorHAnsi"/>
        </w:rPr>
        <w:t xml:space="preserve">                            </w:t>
      </w:r>
      <w:r w:rsidRPr="006255D2">
        <w:rPr>
          <w:rFonts w:asciiTheme="majorHAnsi" w:hAnsiTheme="majorHAnsi"/>
        </w:rPr>
        <w:t>R. Bergmanis</w:t>
      </w:r>
    </w:p>
    <w:p w14:paraId="48B810B3" w14:textId="77777777" w:rsidR="00AC6695" w:rsidRPr="006255D2" w:rsidRDefault="00AC6695" w:rsidP="00AC6695">
      <w:pPr>
        <w:tabs>
          <w:tab w:val="right" w:pos="9074"/>
        </w:tabs>
        <w:ind w:left="-709"/>
        <w:rPr>
          <w:rFonts w:asciiTheme="majorHAnsi" w:hAnsiTheme="majorHAnsi"/>
        </w:rPr>
      </w:pPr>
    </w:p>
    <w:p w14:paraId="5865820A" w14:textId="77777777" w:rsidR="00AC6695" w:rsidRPr="006255D2" w:rsidRDefault="00AC6695" w:rsidP="00AC6695">
      <w:pPr>
        <w:ind w:left="-709"/>
        <w:rPr>
          <w:rFonts w:asciiTheme="majorHAnsi" w:hAnsiTheme="majorHAnsi"/>
        </w:rPr>
      </w:pPr>
      <w:r w:rsidRPr="006255D2">
        <w:rPr>
          <w:rFonts w:asciiTheme="majorHAnsi" w:hAnsiTheme="majorHAnsi"/>
        </w:rPr>
        <w:t xml:space="preserve">     </w:t>
      </w:r>
    </w:p>
    <w:p w14:paraId="493A9066" w14:textId="77777777" w:rsidR="00AC6695" w:rsidRPr="006255D2" w:rsidRDefault="00AC6695" w:rsidP="00AC6695">
      <w:pPr>
        <w:ind w:left="-709"/>
        <w:rPr>
          <w:rFonts w:asciiTheme="majorHAnsi" w:hAnsiTheme="majorHAnsi"/>
        </w:rPr>
      </w:pPr>
      <w:r w:rsidRPr="006255D2">
        <w:rPr>
          <w:rFonts w:asciiTheme="majorHAnsi" w:hAnsiTheme="majorHAnsi"/>
        </w:rPr>
        <w:t xml:space="preserve">      Vīza: Valsts sekretārs</w:t>
      </w:r>
      <w:r w:rsidRPr="006255D2">
        <w:rPr>
          <w:rFonts w:asciiTheme="majorHAnsi" w:hAnsiTheme="majorHAnsi"/>
        </w:rPr>
        <w:tab/>
      </w:r>
      <w:r w:rsidRPr="006255D2">
        <w:rPr>
          <w:rFonts w:asciiTheme="majorHAnsi" w:hAnsiTheme="majorHAnsi"/>
        </w:rPr>
        <w:tab/>
      </w:r>
      <w:r w:rsidRPr="006255D2">
        <w:rPr>
          <w:rFonts w:asciiTheme="majorHAnsi" w:hAnsiTheme="majorHAnsi"/>
        </w:rPr>
        <w:tab/>
      </w:r>
      <w:r w:rsidRPr="006255D2">
        <w:rPr>
          <w:rFonts w:asciiTheme="majorHAnsi" w:hAnsiTheme="majorHAnsi"/>
        </w:rPr>
        <w:tab/>
      </w:r>
      <w:r w:rsidRPr="006255D2">
        <w:rPr>
          <w:rFonts w:asciiTheme="majorHAnsi" w:hAnsiTheme="majorHAnsi"/>
        </w:rPr>
        <w:tab/>
        <w:t xml:space="preserve">                  </w:t>
      </w:r>
      <w:r>
        <w:rPr>
          <w:rFonts w:asciiTheme="majorHAnsi" w:hAnsiTheme="majorHAnsi"/>
        </w:rPr>
        <w:t xml:space="preserve">        </w:t>
      </w:r>
      <w:r w:rsidRPr="006255D2">
        <w:rPr>
          <w:rFonts w:asciiTheme="majorHAnsi" w:hAnsiTheme="majorHAnsi"/>
        </w:rPr>
        <w:tab/>
        <w:t xml:space="preserve">       J. Garisons</w:t>
      </w:r>
    </w:p>
    <w:p w14:paraId="66C27FEE" w14:textId="77777777" w:rsidR="00AC6695" w:rsidRPr="006255D2" w:rsidRDefault="00AC6695" w:rsidP="00AC6695">
      <w:pPr>
        <w:ind w:left="-709"/>
        <w:rPr>
          <w:rFonts w:asciiTheme="majorHAnsi" w:hAnsiTheme="majorHAnsi"/>
        </w:rPr>
      </w:pPr>
    </w:p>
    <w:p w14:paraId="4EB2B65C" w14:textId="77777777" w:rsidR="00AC6695" w:rsidRDefault="00AC6695" w:rsidP="00AC6695">
      <w:pPr>
        <w:ind w:left="-709"/>
        <w:rPr>
          <w:rFonts w:asciiTheme="majorHAnsi" w:hAnsiTheme="majorHAnsi"/>
        </w:rPr>
      </w:pPr>
    </w:p>
    <w:p w14:paraId="390ACCA7" w14:textId="77777777" w:rsidR="000B0D3B" w:rsidRDefault="000B0D3B" w:rsidP="00AC6695">
      <w:pPr>
        <w:ind w:left="-709"/>
        <w:rPr>
          <w:rFonts w:asciiTheme="majorHAnsi" w:hAnsiTheme="majorHAnsi"/>
        </w:rPr>
      </w:pPr>
    </w:p>
    <w:p w14:paraId="6E59E55A" w14:textId="77777777" w:rsidR="000B0D3B" w:rsidRDefault="000B0D3B" w:rsidP="00AC6695">
      <w:pPr>
        <w:ind w:left="-709"/>
        <w:rPr>
          <w:rFonts w:asciiTheme="majorHAnsi" w:hAnsiTheme="majorHAnsi"/>
        </w:rPr>
      </w:pPr>
    </w:p>
    <w:p w14:paraId="09C0A0DD" w14:textId="77777777" w:rsidR="000B0D3B" w:rsidRDefault="000B0D3B" w:rsidP="00AC6695">
      <w:pPr>
        <w:ind w:left="-709"/>
        <w:rPr>
          <w:rFonts w:asciiTheme="majorHAnsi" w:hAnsiTheme="majorHAnsi"/>
        </w:rPr>
      </w:pPr>
    </w:p>
    <w:p w14:paraId="3DE7F8CE" w14:textId="77777777" w:rsidR="000B0D3B" w:rsidRPr="006255D2" w:rsidRDefault="000B0D3B" w:rsidP="00AC6695">
      <w:pPr>
        <w:ind w:left="-709"/>
        <w:rPr>
          <w:rFonts w:asciiTheme="majorHAnsi" w:hAnsiTheme="majorHAnsi"/>
        </w:rPr>
      </w:pPr>
    </w:p>
    <w:p w14:paraId="0740CB5C" w14:textId="77777777" w:rsidR="00AC6695" w:rsidRPr="006255D2" w:rsidRDefault="00AC6695" w:rsidP="00AC6695">
      <w:pPr>
        <w:rPr>
          <w:rFonts w:asciiTheme="majorHAnsi" w:hAnsiTheme="majorHAnsi"/>
        </w:rPr>
      </w:pPr>
    </w:p>
    <w:p w14:paraId="5BC637B3" w14:textId="77777777" w:rsidR="00AC6695" w:rsidRPr="006255D2" w:rsidRDefault="00AC6695" w:rsidP="00AC6695">
      <w:pPr>
        <w:ind w:hanging="284"/>
        <w:rPr>
          <w:rFonts w:asciiTheme="majorHAnsi" w:hAnsiTheme="majorHAnsi"/>
          <w:sz w:val="19"/>
          <w:szCs w:val="19"/>
        </w:rPr>
      </w:pPr>
      <w:r w:rsidRPr="006255D2">
        <w:rPr>
          <w:rFonts w:asciiTheme="majorHAnsi" w:hAnsiTheme="majorHAnsi"/>
          <w:sz w:val="19"/>
          <w:szCs w:val="19"/>
        </w:rPr>
        <w:t>H.Brinkmane, 7335233;</w:t>
      </w:r>
    </w:p>
    <w:p w14:paraId="5E53BF78" w14:textId="77777777" w:rsidR="00AC6695" w:rsidRPr="006255D2" w:rsidRDefault="00500E03" w:rsidP="00AC6695">
      <w:pPr>
        <w:ind w:hanging="284"/>
        <w:rPr>
          <w:rFonts w:asciiTheme="majorHAnsi" w:hAnsiTheme="majorHAnsi"/>
          <w:sz w:val="19"/>
          <w:szCs w:val="19"/>
        </w:rPr>
      </w:pPr>
      <w:hyperlink r:id="rId9" w:history="1">
        <w:r w:rsidR="00AC6695" w:rsidRPr="006255D2">
          <w:rPr>
            <w:rStyle w:val="Hyperlink"/>
            <w:rFonts w:asciiTheme="majorHAnsi" w:hAnsiTheme="majorHAnsi"/>
            <w:sz w:val="19"/>
            <w:szCs w:val="19"/>
          </w:rPr>
          <w:t>helena.brinkmane@mod.gov.lv</w:t>
        </w:r>
      </w:hyperlink>
      <w:r w:rsidR="00AC6695" w:rsidRPr="006255D2">
        <w:rPr>
          <w:rFonts w:asciiTheme="majorHAnsi" w:hAnsiTheme="majorHAnsi"/>
          <w:sz w:val="19"/>
          <w:szCs w:val="19"/>
        </w:rPr>
        <w:t xml:space="preserve"> </w:t>
      </w:r>
    </w:p>
    <w:p w14:paraId="4DE53895" w14:textId="77777777" w:rsidR="00AC6695" w:rsidRPr="006255D2" w:rsidRDefault="00AC6695" w:rsidP="00AC6695">
      <w:pPr>
        <w:rPr>
          <w:rFonts w:asciiTheme="majorHAnsi" w:hAnsiTheme="majorHAnsi"/>
          <w:sz w:val="19"/>
          <w:szCs w:val="19"/>
        </w:rPr>
      </w:pPr>
    </w:p>
    <w:p w14:paraId="6DB88BBC" w14:textId="77777777" w:rsidR="00AC6695" w:rsidRPr="006255D2" w:rsidRDefault="00AC6695" w:rsidP="00AC6695">
      <w:pPr>
        <w:rPr>
          <w:rFonts w:asciiTheme="majorHAnsi" w:hAnsiTheme="majorHAnsi"/>
          <w:sz w:val="19"/>
          <w:szCs w:val="19"/>
        </w:rPr>
      </w:pPr>
    </w:p>
    <w:p w14:paraId="5BD5A2CE" w14:textId="77777777" w:rsidR="00AC6695" w:rsidRPr="006255D2" w:rsidRDefault="00AC6695" w:rsidP="00AC6695">
      <w:pPr>
        <w:rPr>
          <w:rFonts w:asciiTheme="majorHAnsi" w:hAnsiTheme="majorHAnsi"/>
        </w:rPr>
      </w:pPr>
    </w:p>
    <w:p w14:paraId="2DD3AE40" w14:textId="77777777" w:rsidR="00AC6695" w:rsidRDefault="00AC6695"/>
    <w:sectPr w:rsidR="00AC6695" w:rsidSect="00500E03">
      <w:footerReference w:type="default" r:id="rId10"/>
      <w:pgSz w:w="11906" w:h="16838"/>
      <w:pgMar w:top="851" w:right="1800" w:bottom="1440" w:left="1800" w:header="708" w:footer="6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1F21D" w14:textId="77777777" w:rsidR="003A10F7" w:rsidRDefault="003A10F7" w:rsidP="003A10F7">
      <w:r>
        <w:separator/>
      </w:r>
    </w:p>
  </w:endnote>
  <w:endnote w:type="continuationSeparator" w:id="0">
    <w:p w14:paraId="4A3C2348" w14:textId="77777777" w:rsidR="003A10F7" w:rsidRDefault="003A10F7" w:rsidP="003A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779285"/>
      <w:docPartObj>
        <w:docPartGallery w:val="Page Numbers (Bottom of Page)"/>
        <w:docPartUnique/>
      </w:docPartObj>
    </w:sdtPr>
    <w:sdtEndPr>
      <w:rPr>
        <w:rFonts w:asciiTheme="majorHAnsi" w:hAnsiTheme="majorHAnsi"/>
        <w:noProof/>
        <w:sz w:val="19"/>
        <w:szCs w:val="19"/>
      </w:rPr>
    </w:sdtEndPr>
    <w:sdtContent>
      <w:p w14:paraId="55B94904" w14:textId="77777777" w:rsidR="00500E03" w:rsidRDefault="00500E03">
        <w:pPr>
          <w:pStyle w:val="Footer"/>
          <w:jc w:val="right"/>
        </w:pPr>
      </w:p>
      <w:p w14:paraId="62F3DA96" w14:textId="16306C1C" w:rsidR="00500E03" w:rsidRPr="00500E03" w:rsidRDefault="00500E03">
        <w:pPr>
          <w:pStyle w:val="Footer"/>
          <w:jc w:val="right"/>
          <w:rPr>
            <w:rFonts w:asciiTheme="majorHAnsi" w:hAnsiTheme="majorHAnsi"/>
            <w:sz w:val="19"/>
            <w:szCs w:val="19"/>
          </w:rPr>
        </w:pPr>
        <w:r w:rsidRPr="00500E03">
          <w:rPr>
            <w:rFonts w:asciiTheme="majorHAnsi" w:hAnsiTheme="majorHAnsi"/>
            <w:sz w:val="19"/>
            <w:szCs w:val="19"/>
          </w:rPr>
          <w:fldChar w:fldCharType="begin"/>
        </w:r>
        <w:r w:rsidRPr="00500E03">
          <w:rPr>
            <w:rFonts w:asciiTheme="majorHAnsi" w:hAnsiTheme="majorHAnsi"/>
            <w:sz w:val="19"/>
            <w:szCs w:val="19"/>
          </w:rPr>
          <w:instrText xml:space="preserve"> PAGE   \* MERGEFORMAT </w:instrText>
        </w:r>
        <w:r w:rsidRPr="00500E03">
          <w:rPr>
            <w:rFonts w:asciiTheme="majorHAnsi" w:hAnsiTheme="majorHAnsi"/>
            <w:sz w:val="19"/>
            <w:szCs w:val="19"/>
          </w:rPr>
          <w:fldChar w:fldCharType="separate"/>
        </w:r>
        <w:r>
          <w:rPr>
            <w:rFonts w:asciiTheme="majorHAnsi" w:hAnsiTheme="majorHAnsi"/>
            <w:noProof/>
            <w:sz w:val="19"/>
            <w:szCs w:val="19"/>
          </w:rPr>
          <w:t>3</w:t>
        </w:r>
        <w:r w:rsidRPr="00500E03">
          <w:rPr>
            <w:rFonts w:asciiTheme="majorHAnsi" w:hAnsiTheme="majorHAnsi"/>
            <w:noProof/>
            <w:sz w:val="19"/>
            <w:szCs w:val="19"/>
          </w:rPr>
          <w:fldChar w:fldCharType="end"/>
        </w:r>
      </w:p>
    </w:sdtContent>
  </w:sdt>
  <w:p w14:paraId="0F4A7349" w14:textId="77777777" w:rsidR="00500E03" w:rsidRPr="00500E03" w:rsidRDefault="00500E03" w:rsidP="00500E03">
    <w:pPr>
      <w:pStyle w:val="Footer"/>
      <w:rPr>
        <w:rFonts w:asciiTheme="majorHAnsi" w:hAnsiTheme="majorHAnsi"/>
        <w:sz w:val="19"/>
        <w:szCs w:val="19"/>
      </w:rPr>
    </w:pPr>
    <w:r w:rsidRPr="00500E03">
      <w:rPr>
        <w:rFonts w:asciiTheme="majorHAnsi" w:hAnsiTheme="majorHAnsi"/>
        <w:sz w:val="19"/>
        <w:szCs w:val="19"/>
      </w:rPr>
      <w:t xml:space="preserve">AIMAnot_240818_MKnotNr.331 </w:t>
    </w:r>
  </w:p>
  <w:p w14:paraId="0DB6FB1C" w14:textId="77777777" w:rsidR="003A10F7" w:rsidRDefault="003A1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72C4C" w14:textId="77777777" w:rsidR="003A10F7" w:rsidRDefault="003A10F7" w:rsidP="003A10F7">
      <w:r>
        <w:separator/>
      </w:r>
    </w:p>
  </w:footnote>
  <w:footnote w:type="continuationSeparator" w:id="0">
    <w:p w14:paraId="0DA89A1A" w14:textId="77777777" w:rsidR="003A10F7" w:rsidRDefault="003A10F7" w:rsidP="003A1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96E53"/>
    <w:rsid w:val="000B0D3B"/>
    <w:rsid w:val="0029553A"/>
    <w:rsid w:val="002A552D"/>
    <w:rsid w:val="0036797B"/>
    <w:rsid w:val="003A10F7"/>
    <w:rsid w:val="00500E03"/>
    <w:rsid w:val="00522D01"/>
    <w:rsid w:val="00612E3C"/>
    <w:rsid w:val="006E2A97"/>
    <w:rsid w:val="00766595"/>
    <w:rsid w:val="007F5A97"/>
    <w:rsid w:val="008C4465"/>
    <w:rsid w:val="008F0A77"/>
    <w:rsid w:val="009B19DA"/>
    <w:rsid w:val="00AB28E9"/>
    <w:rsid w:val="00AC6695"/>
    <w:rsid w:val="00B347FB"/>
    <w:rsid w:val="00B94112"/>
    <w:rsid w:val="00BD5588"/>
    <w:rsid w:val="00CF6A1F"/>
    <w:rsid w:val="00D85177"/>
    <w:rsid w:val="00D908B0"/>
    <w:rsid w:val="00DE0F72"/>
    <w:rsid w:val="00E44472"/>
    <w:rsid w:val="00F12203"/>
    <w:rsid w:val="00F76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F0378"/>
  <w15:docId w15:val="{448FA869-77CC-4547-90A2-BD17605B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Header">
    <w:name w:val="header"/>
    <w:basedOn w:val="Normal"/>
    <w:link w:val="HeaderChar"/>
    <w:uiPriority w:val="99"/>
    <w:unhideWhenUsed/>
    <w:rsid w:val="003A10F7"/>
    <w:pPr>
      <w:tabs>
        <w:tab w:val="center" w:pos="4153"/>
        <w:tab w:val="right" w:pos="8306"/>
      </w:tabs>
    </w:pPr>
  </w:style>
  <w:style w:type="character" w:customStyle="1" w:styleId="HeaderChar">
    <w:name w:val="Header Char"/>
    <w:basedOn w:val="DefaultParagraphFont"/>
    <w:link w:val="Header"/>
    <w:uiPriority w:val="99"/>
    <w:rsid w:val="003A10F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A10F7"/>
    <w:pPr>
      <w:tabs>
        <w:tab w:val="center" w:pos="4153"/>
        <w:tab w:val="right" w:pos="8306"/>
      </w:tabs>
    </w:pPr>
  </w:style>
  <w:style w:type="character" w:customStyle="1" w:styleId="FooterChar">
    <w:name w:val="Footer Char"/>
    <w:basedOn w:val="DefaultParagraphFont"/>
    <w:link w:val="Footer"/>
    <w:uiPriority w:val="99"/>
    <w:rsid w:val="003A10F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B1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096E53"/>
    <w:rPr>
      <w:sz w:val="16"/>
      <w:szCs w:val="16"/>
    </w:rPr>
  </w:style>
  <w:style w:type="paragraph" w:styleId="CommentText">
    <w:name w:val="annotation text"/>
    <w:basedOn w:val="Normal"/>
    <w:link w:val="CommentTextChar"/>
    <w:uiPriority w:val="99"/>
    <w:semiHidden/>
    <w:unhideWhenUsed/>
    <w:rsid w:val="00096E53"/>
    <w:rPr>
      <w:sz w:val="20"/>
      <w:szCs w:val="20"/>
    </w:rPr>
  </w:style>
  <w:style w:type="character" w:customStyle="1" w:styleId="CommentTextChar">
    <w:name w:val="Comment Text Char"/>
    <w:basedOn w:val="DefaultParagraphFont"/>
    <w:link w:val="CommentText"/>
    <w:uiPriority w:val="99"/>
    <w:semiHidden/>
    <w:rsid w:val="00096E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96E53"/>
    <w:rPr>
      <w:b/>
      <w:bCs/>
    </w:rPr>
  </w:style>
  <w:style w:type="character" w:customStyle="1" w:styleId="CommentSubjectChar">
    <w:name w:val="Comment Subject Char"/>
    <w:basedOn w:val="CommentTextChar"/>
    <w:link w:val="CommentSubject"/>
    <w:uiPriority w:val="99"/>
    <w:semiHidden/>
    <w:rsid w:val="00096E5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Ministrija/Sab_lidzdaliba/Sa_Pa.aspx" TargetMode="External"/><Relationship Id="rId3" Type="http://schemas.openxmlformats.org/officeDocument/2006/relationships/settings" Target="settings.xml"/><Relationship Id="rId7" Type="http://schemas.openxmlformats.org/officeDocument/2006/relationships/hyperlink" Target="http://likumi.lv/doc.php?id=1970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ena.brinkmane@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42C15-88EB-478F-AEF8-05D37C15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4586</Words>
  <Characters>2615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Helēna Brinkmane</cp:lastModifiedBy>
  <cp:revision>13</cp:revision>
  <cp:lastPrinted>2018-08-23T07:34:00Z</cp:lastPrinted>
  <dcterms:created xsi:type="dcterms:W3CDTF">2018-08-22T12:40:00Z</dcterms:created>
  <dcterms:modified xsi:type="dcterms:W3CDTF">2018-08-23T07:39:00Z</dcterms:modified>
</cp:coreProperties>
</file>