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68E6" w14:textId="77777777" w:rsidR="000F716B" w:rsidRDefault="000F716B" w:rsidP="000F716B">
      <w:pPr>
        <w:spacing w:after="0"/>
        <w:jc w:val="right"/>
        <w:rPr>
          <w:b/>
        </w:rPr>
      </w:pPr>
    </w:p>
    <w:p w14:paraId="39AE68E7" w14:textId="77777777" w:rsidR="00104688" w:rsidRDefault="00104688" w:rsidP="000F716B">
      <w:pPr>
        <w:spacing w:after="0"/>
        <w:jc w:val="right"/>
        <w:rPr>
          <w:b/>
        </w:rPr>
      </w:pPr>
    </w:p>
    <w:p w14:paraId="39AE68E8" w14:textId="42689FD0" w:rsidR="007A2264" w:rsidRPr="00483AAD" w:rsidRDefault="00483AAD" w:rsidP="000F716B">
      <w:pPr>
        <w:spacing w:after="0"/>
        <w:jc w:val="right"/>
        <w:rPr>
          <w:b/>
          <w:sz w:val="28"/>
          <w:szCs w:val="28"/>
        </w:rPr>
      </w:pPr>
      <w:r w:rsidRPr="00483AAD">
        <w:rPr>
          <w:b/>
          <w:noProof/>
          <w:sz w:val="28"/>
          <w:szCs w:val="28"/>
        </w:rPr>
        <w:t>Latvijas Republikas Ministru prezidentam</w:t>
      </w:r>
    </w:p>
    <w:p w14:paraId="39AE68E9" w14:textId="77777777" w:rsidR="00104688" w:rsidRDefault="00104688" w:rsidP="000F716B">
      <w:pPr>
        <w:spacing w:after="0"/>
        <w:jc w:val="right"/>
        <w:rPr>
          <w:b/>
        </w:rPr>
      </w:pPr>
    </w:p>
    <w:p w14:paraId="39AE68EA" w14:textId="77777777" w:rsidR="00104688" w:rsidRDefault="00104688" w:rsidP="000F716B">
      <w:pPr>
        <w:spacing w:after="0"/>
        <w:jc w:val="right"/>
        <w:rPr>
          <w:b/>
        </w:rPr>
      </w:pPr>
    </w:p>
    <w:p w14:paraId="08CB08D8" w14:textId="77777777" w:rsidR="00483AAD" w:rsidRPr="0092785B" w:rsidRDefault="00483AAD" w:rsidP="00483AAD">
      <w:pPr>
        <w:widowControl/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01F0CD3" w14:textId="77777777" w:rsidR="00483AAD" w:rsidRPr="0092785B" w:rsidRDefault="00483AAD" w:rsidP="00483AAD">
      <w:pPr>
        <w:widowControl/>
        <w:spacing w:after="0" w:line="240" w:lineRule="auto"/>
        <w:ind w:right="5115"/>
        <w:jc w:val="both"/>
        <w:rPr>
          <w:rFonts w:eastAsia="Times New Roman"/>
          <w:i/>
          <w:sz w:val="28"/>
          <w:szCs w:val="28"/>
          <w:lang w:eastAsia="zh-TW"/>
        </w:rPr>
      </w:pPr>
      <w:r>
        <w:rPr>
          <w:rFonts w:eastAsia="Times New Roman"/>
          <w:i/>
          <w:sz w:val="28"/>
          <w:szCs w:val="28"/>
          <w:lang w:eastAsia="zh-TW"/>
        </w:rPr>
        <w:t>Par Ministru k</w:t>
      </w:r>
      <w:r w:rsidRPr="0092785B">
        <w:rPr>
          <w:rFonts w:eastAsia="Times New Roman"/>
          <w:i/>
          <w:sz w:val="28"/>
          <w:szCs w:val="28"/>
          <w:lang w:eastAsia="zh-TW"/>
        </w:rPr>
        <w:t xml:space="preserve">abineta sēdes </w:t>
      </w:r>
      <w:bookmarkStart w:id="0" w:name="_GoBack"/>
      <w:bookmarkEnd w:id="0"/>
      <w:r w:rsidRPr="0092785B">
        <w:rPr>
          <w:rFonts w:eastAsia="Times New Roman"/>
          <w:i/>
          <w:sz w:val="28"/>
          <w:szCs w:val="28"/>
          <w:lang w:eastAsia="zh-TW"/>
        </w:rPr>
        <w:t>protokollēmuma projektu</w:t>
      </w:r>
    </w:p>
    <w:p w14:paraId="723BE9FE" w14:textId="77777777" w:rsidR="00483AAD" w:rsidRPr="0092785B" w:rsidRDefault="00483AAD" w:rsidP="00483AAD">
      <w:pPr>
        <w:widowControl/>
        <w:spacing w:after="0" w:line="240" w:lineRule="auto"/>
        <w:ind w:right="5115"/>
        <w:jc w:val="both"/>
        <w:rPr>
          <w:rFonts w:eastAsia="Times New Roman"/>
          <w:sz w:val="28"/>
          <w:szCs w:val="28"/>
          <w:lang w:eastAsia="zh-TW"/>
        </w:rPr>
      </w:pPr>
    </w:p>
    <w:p w14:paraId="7F8CB27A" w14:textId="77777777" w:rsidR="00483AAD" w:rsidRPr="0092785B" w:rsidRDefault="00483AAD" w:rsidP="00483AAD">
      <w:pPr>
        <w:widowControl/>
        <w:spacing w:after="0" w:line="240" w:lineRule="auto"/>
        <w:ind w:right="5115"/>
        <w:jc w:val="both"/>
        <w:rPr>
          <w:rFonts w:eastAsia="Times New Roman"/>
          <w:sz w:val="28"/>
          <w:szCs w:val="28"/>
          <w:lang w:eastAsia="zh-TW"/>
        </w:rPr>
      </w:pPr>
    </w:p>
    <w:p w14:paraId="53A7E03D" w14:textId="77777777" w:rsidR="00483AAD" w:rsidRPr="0092785B" w:rsidRDefault="00483AAD" w:rsidP="00483AAD">
      <w:pPr>
        <w:widowControl/>
        <w:spacing w:after="0" w:line="240" w:lineRule="auto"/>
        <w:ind w:right="5115"/>
        <w:jc w:val="both"/>
        <w:rPr>
          <w:rFonts w:eastAsia="Times New Roman"/>
          <w:sz w:val="28"/>
          <w:szCs w:val="28"/>
          <w:lang w:eastAsia="zh-TW"/>
        </w:rPr>
      </w:pPr>
    </w:p>
    <w:p w14:paraId="6A526FFB" w14:textId="77F58B18" w:rsidR="00483AAD" w:rsidRPr="0092785B" w:rsidRDefault="00483AAD" w:rsidP="00483AAD">
      <w:pPr>
        <w:spacing w:line="240" w:lineRule="auto"/>
        <w:ind w:firstLine="720"/>
        <w:jc w:val="both"/>
        <w:rPr>
          <w:sz w:val="28"/>
          <w:szCs w:val="28"/>
        </w:rPr>
      </w:pPr>
      <w:r w:rsidRPr="0092785B">
        <w:rPr>
          <w:sz w:val="28"/>
          <w:szCs w:val="28"/>
        </w:rPr>
        <w:t>Saskaņā ar Ministru Kabineta 2009.</w:t>
      </w:r>
      <w:r>
        <w:rPr>
          <w:sz w:val="28"/>
          <w:szCs w:val="28"/>
        </w:rPr>
        <w:t> </w:t>
      </w:r>
      <w:r w:rsidRPr="0092785B">
        <w:rPr>
          <w:sz w:val="28"/>
          <w:szCs w:val="28"/>
        </w:rPr>
        <w:t>gada 7.</w:t>
      </w:r>
      <w:r>
        <w:rPr>
          <w:sz w:val="28"/>
          <w:szCs w:val="28"/>
        </w:rPr>
        <w:t> aprīļa noteikumu</w:t>
      </w:r>
      <w:r w:rsidRPr="0092785B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. 300 </w:t>
      </w:r>
      <w:r w:rsidRPr="0092785B">
        <w:rPr>
          <w:sz w:val="28"/>
          <w:szCs w:val="28"/>
        </w:rPr>
        <w:t>“Ministru kabineta kārtības rullis”</w:t>
      </w:r>
      <w:r>
        <w:rPr>
          <w:sz w:val="28"/>
          <w:szCs w:val="28"/>
        </w:rPr>
        <w:t xml:space="preserve"> </w:t>
      </w:r>
      <w:r w:rsidRPr="0092785B">
        <w:rPr>
          <w:sz w:val="28"/>
          <w:szCs w:val="28"/>
        </w:rPr>
        <w:t>244.</w:t>
      </w:r>
      <w:r>
        <w:rPr>
          <w:sz w:val="28"/>
          <w:szCs w:val="28"/>
        </w:rPr>
        <w:t> </w:t>
      </w:r>
      <w:r w:rsidRPr="0092785B">
        <w:rPr>
          <w:sz w:val="28"/>
          <w:szCs w:val="28"/>
        </w:rPr>
        <w:t xml:space="preserve">punktu </w:t>
      </w:r>
      <w:r w:rsidR="00456779">
        <w:rPr>
          <w:sz w:val="28"/>
          <w:szCs w:val="28"/>
        </w:rPr>
        <w:t xml:space="preserve">un izpildot Ministru prezidenta 2018.gada 16.augusta rezolūciju </w:t>
      </w:r>
      <w:r w:rsidR="00456779" w:rsidRPr="00456779">
        <w:rPr>
          <w:sz w:val="28"/>
          <w:szCs w:val="28"/>
        </w:rPr>
        <w:t>Nr. 12/SAN-875</w:t>
      </w:r>
      <w:r w:rsidR="00456779">
        <w:rPr>
          <w:sz w:val="28"/>
          <w:szCs w:val="28"/>
        </w:rPr>
        <w:t xml:space="preserve"> </w:t>
      </w:r>
      <w:r w:rsidRPr="0092785B">
        <w:rPr>
          <w:sz w:val="28"/>
          <w:szCs w:val="28"/>
        </w:rPr>
        <w:t xml:space="preserve">Aizsardzības ministrija iesniedz izskatīšanai Ministru kabineta sēdē protokollēmuma projektu “Par Ministru kabineta </w:t>
      </w:r>
      <w:r w:rsidRPr="0092785B">
        <w:rPr>
          <w:rFonts w:eastAsia="Times New Roman"/>
          <w:sz w:val="28"/>
          <w:szCs w:val="28"/>
        </w:rPr>
        <w:t>2017.</w:t>
      </w:r>
      <w:r>
        <w:rPr>
          <w:rFonts w:eastAsia="Times New Roman"/>
          <w:sz w:val="28"/>
          <w:szCs w:val="28"/>
        </w:rPr>
        <w:t> </w:t>
      </w:r>
      <w:r w:rsidRPr="0092785B">
        <w:rPr>
          <w:rFonts w:eastAsia="Times New Roman"/>
          <w:sz w:val="28"/>
          <w:szCs w:val="28"/>
        </w:rPr>
        <w:t>gada 12.</w:t>
      </w:r>
      <w:r>
        <w:rPr>
          <w:rFonts w:eastAsia="Times New Roman"/>
          <w:sz w:val="28"/>
          <w:szCs w:val="28"/>
        </w:rPr>
        <w:t> </w:t>
      </w:r>
      <w:r w:rsidR="00CD3E37">
        <w:rPr>
          <w:rFonts w:eastAsia="Times New Roman"/>
          <w:sz w:val="28"/>
          <w:szCs w:val="28"/>
        </w:rPr>
        <w:t xml:space="preserve">decembra sēdes protokollēmuma </w:t>
      </w:r>
      <w:r w:rsidRPr="0092785B">
        <w:rPr>
          <w:rFonts w:eastAsia="Times New Roman"/>
          <w:sz w:val="28"/>
          <w:szCs w:val="28"/>
        </w:rPr>
        <w:t>(prot.</w:t>
      </w:r>
      <w:r>
        <w:rPr>
          <w:rFonts w:eastAsia="Times New Roman"/>
          <w:sz w:val="28"/>
          <w:szCs w:val="28"/>
        </w:rPr>
        <w:t xml:space="preserve"> </w:t>
      </w:r>
      <w:r w:rsidRPr="0092785B">
        <w:rPr>
          <w:rFonts w:eastAsia="Times New Roman"/>
          <w:sz w:val="28"/>
          <w:szCs w:val="28"/>
        </w:rPr>
        <w:t>Nr.</w:t>
      </w:r>
      <w:r>
        <w:rPr>
          <w:rFonts w:eastAsia="Times New Roman"/>
          <w:sz w:val="28"/>
          <w:szCs w:val="28"/>
        </w:rPr>
        <w:t> </w:t>
      </w:r>
      <w:r w:rsidR="00BA5E6B">
        <w:rPr>
          <w:rFonts w:eastAsia="Times New Roman"/>
          <w:sz w:val="28"/>
          <w:szCs w:val="28"/>
        </w:rPr>
        <w:t>61</w:t>
      </w:r>
      <w:r>
        <w:rPr>
          <w:rFonts w:eastAsia="Times New Roman"/>
          <w:sz w:val="28"/>
          <w:szCs w:val="28"/>
        </w:rPr>
        <w:t>,</w:t>
      </w:r>
      <w:r w:rsidRPr="0092785B">
        <w:rPr>
          <w:rFonts w:eastAsia="Times New Roman"/>
          <w:sz w:val="28"/>
          <w:szCs w:val="28"/>
        </w:rPr>
        <w:t xml:space="preserve"> </w:t>
      </w:r>
      <w:r w:rsidR="00BA5E6B">
        <w:rPr>
          <w:rFonts w:eastAsia="Times New Roman"/>
          <w:sz w:val="28"/>
          <w:szCs w:val="28"/>
        </w:rPr>
        <w:t>85</w:t>
      </w:r>
      <w:r>
        <w:rPr>
          <w:rFonts w:eastAsia="Times New Roman"/>
          <w:sz w:val="28"/>
          <w:szCs w:val="28"/>
        </w:rPr>
        <w:t>. §</w:t>
      </w:r>
      <w:r w:rsidRPr="0092785B">
        <w:rPr>
          <w:rFonts w:eastAsia="Times New Roman"/>
          <w:sz w:val="28"/>
          <w:szCs w:val="28"/>
        </w:rPr>
        <w:t>) “Informatīvais ziņojums “Par Zemessardzes attīstību 2018.</w:t>
      </w:r>
      <w:r w:rsidR="00CD3E3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2</w:t>
      </w:r>
      <w:r w:rsidRPr="0092785B">
        <w:rPr>
          <w:rFonts w:eastAsia="Times New Roman"/>
          <w:sz w:val="28"/>
          <w:szCs w:val="28"/>
        </w:rPr>
        <w:t>027.</w:t>
      </w:r>
      <w:r w:rsidR="00CD3E37">
        <w:rPr>
          <w:rFonts w:eastAsia="Times New Roman"/>
          <w:sz w:val="28"/>
          <w:szCs w:val="28"/>
        </w:rPr>
        <w:t> </w:t>
      </w:r>
      <w:r w:rsidRPr="0092785B">
        <w:rPr>
          <w:rFonts w:eastAsia="Times New Roman"/>
          <w:sz w:val="28"/>
          <w:szCs w:val="28"/>
        </w:rPr>
        <w:t>gadā un Zemessardzes paaugstinātas gatavības apakšvienību ieviešanas gaitu”” 3.</w:t>
      </w:r>
      <w:r w:rsidR="00CD3E37">
        <w:rPr>
          <w:rFonts w:eastAsia="Times New Roman"/>
          <w:sz w:val="28"/>
          <w:szCs w:val="28"/>
        </w:rPr>
        <w:t> </w:t>
      </w:r>
      <w:r w:rsidRPr="0092785B">
        <w:rPr>
          <w:rFonts w:eastAsia="Times New Roman"/>
          <w:sz w:val="28"/>
          <w:szCs w:val="28"/>
        </w:rPr>
        <w:t>punktā dotā uzdevuma izpildes termiņa pagarināšanu”.</w:t>
      </w:r>
    </w:p>
    <w:p w14:paraId="779ED8A1" w14:textId="77777777" w:rsidR="00483AAD" w:rsidRPr="0092785B" w:rsidRDefault="00483AAD" w:rsidP="00483AAD">
      <w:pPr>
        <w:widowControl/>
        <w:spacing w:after="0" w:line="240" w:lineRule="auto"/>
        <w:ind w:right="5115"/>
        <w:jc w:val="both"/>
        <w:rPr>
          <w:rFonts w:eastAsia="Times New Roman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34"/>
        <w:gridCol w:w="5466"/>
      </w:tblGrid>
      <w:tr w:rsidR="00483AAD" w:rsidRPr="0092785B" w14:paraId="18AB548E" w14:textId="77777777" w:rsidTr="006E127B">
        <w:trPr>
          <w:trHeight w:val="6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0A3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257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Iesniegšanas pamatojums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22" w14:textId="1783FA99" w:rsidR="00483AAD" w:rsidRPr="0092785B" w:rsidRDefault="00483AAD" w:rsidP="006E127B">
            <w:pPr>
              <w:widowControl/>
              <w:tabs>
                <w:tab w:val="left" w:pos="6237"/>
              </w:tabs>
              <w:spacing w:after="0" w:line="24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92785B">
              <w:rPr>
                <w:rFonts w:eastAsia="Times New Roman"/>
                <w:sz w:val="28"/>
                <w:szCs w:val="28"/>
              </w:rPr>
              <w:t>2017.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gada 12.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decembra Ministru</w:t>
            </w:r>
            <w:r>
              <w:rPr>
                <w:rFonts w:eastAsia="Times New Roman"/>
                <w:sz w:val="28"/>
                <w:szCs w:val="28"/>
              </w:rPr>
              <w:t xml:space="preserve"> kabineta sēdē (protokola Nr.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="00BA5E6B">
              <w:rPr>
                <w:rFonts w:eastAsia="Times New Roman"/>
                <w:sz w:val="28"/>
                <w:szCs w:val="28"/>
              </w:rPr>
              <w:t>61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BA5E6B">
              <w:rPr>
                <w:rFonts w:eastAsia="Times New Roman"/>
                <w:sz w:val="28"/>
                <w:szCs w:val="28"/>
              </w:rPr>
              <w:t>85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§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3.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 xml:space="preserve">punkts) Aizsardzības ministrijai tika </w:t>
            </w:r>
            <w:r>
              <w:rPr>
                <w:rFonts w:eastAsia="Times New Roman"/>
                <w:sz w:val="28"/>
                <w:szCs w:val="28"/>
              </w:rPr>
              <w:t>uz</w:t>
            </w:r>
            <w:r w:rsidRPr="0092785B">
              <w:rPr>
                <w:rFonts w:eastAsia="Times New Roman"/>
                <w:sz w:val="28"/>
                <w:szCs w:val="28"/>
              </w:rPr>
              <w:t>dots līdz š.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g. 1.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 xml:space="preserve">aprīlim iesniegt izskatīšanai Ministru kabinetā </w:t>
            </w:r>
            <w:r w:rsidRPr="0092785B">
              <w:rPr>
                <w:sz w:val="28"/>
                <w:szCs w:val="28"/>
                <w:lang w:eastAsia="en-US"/>
              </w:rPr>
              <w:t>grozījumus Ministru kabineta 2015.</w:t>
            </w:r>
            <w:r>
              <w:rPr>
                <w:sz w:val="28"/>
                <w:szCs w:val="28"/>
                <w:lang w:eastAsia="en-US"/>
              </w:rPr>
              <w:t> gada 11. marta rīkojumā Nr. </w:t>
            </w:r>
            <w:r w:rsidR="00CD3E37">
              <w:rPr>
                <w:sz w:val="28"/>
                <w:szCs w:val="28"/>
                <w:lang w:eastAsia="en-US"/>
              </w:rPr>
              <w:t>123 “</w:t>
            </w:r>
            <w:r w:rsidRPr="0092785B">
              <w:rPr>
                <w:sz w:val="28"/>
                <w:szCs w:val="28"/>
                <w:lang w:eastAsia="en-US"/>
              </w:rPr>
              <w:t>Par finansējumu Aizsardzības ministrijas</w:t>
            </w:r>
            <w:r w:rsidR="00CD3E37">
              <w:rPr>
                <w:sz w:val="28"/>
                <w:szCs w:val="28"/>
                <w:lang w:eastAsia="en-US"/>
              </w:rPr>
              <w:t xml:space="preserve"> ilgtermiņa saistību pasākumam “</w:t>
            </w:r>
            <w:r w:rsidRPr="0092785B">
              <w:rPr>
                <w:sz w:val="28"/>
                <w:szCs w:val="28"/>
                <w:lang w:eastAsia="en-US"/>
              </w:rPr>
              <w:t>Nacionālo br</w:t>
            </w:r>
            <w:r w:rsidR="00CD3E37">
              <w:rPr>
                <w:sz w:val="28"/>
                <w:szCs w:val="28"/>
                <w:lang w:eastAsia="en-US"/>
              </w:rPr>
              <w:t>uņoto spēku ilgtermiņa līgumi””</w:t>
            </w:r>
            <w:r w:rsidRPr="0092785B">
              <w:rPr>
                <w:sz w:val="28"/>
                <w:szCs w:val="28"/>
                <w:lang w:eastAsia="en-US"/>
              </w:rPr>
              <w:t xml:space="preserve">, paredzot saistību apjoma izmaiņas ar 2021. gadu atbilstoši informatīvajam ziņojumam un nepārsniedzot kopējo Aizsardzības ministrijai plānoto finanšu </w:t>
            </w:r>
            <w:r w:rsidRPr="0092785B">
              <w:rPr>
                <w:sz w:val="28"/>
                <w:szCs w:val="28"/>
                <w:lang w:eastAsia="en-US"/>
              </w:rPr>
              <w:lastRenderedPageBreak/>
              <w:t>resursu apjomu 2% apmērā no iekšzemes kopprodukta.</w:t>
            </w:r>
          </w:p>
          <w:p w14:paraId="7ACA1E70" w14:textId="2185E53D" w:rsidR="00483AAD" w:rsidRPr="0092785B" w:rsidRDefault="00483AAD" w:rsidP="006E127B">
            <w:pPr>
              <w:widowControl/>
              <w:tabs>
                <w:tab w:val="left" w:pos="6237"/>
              </w:tabs>
              <w:spacing w:after="0" w:line="240" w:lineRule="auto"/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92785B">
              <w:rPr>
                <w:sz w:val="28"/>
                <w:szCs w:val="28"/>
                <w:lang w:eastAsia="en-US"/>
              </w:rPr>
              <w:t>Ņemot vērā, ka 2018.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92785B">
              <w:rPr>
                <w:sz w:val="28"/>
                <w:szCs w:val="28"/>
                <w:lang w:eastAsia="en-US"/>
              </w:rPr>
              <w:t>gada 10.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92785B">
              <w:rPr>
                <w:sz w:val="28"/>
                <w:szCs w:val="28"/>
                <w:lang w:eastAsia="en-US"/>
              </w:rPr>
              <w:t>aprīļa Ministru kabineta sēdē (protokols Nr.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92785B">
              <w:rPr>
                <w:sz w:val="28"/>
                <w:szCs w:val="28"/>
                <w:lang w:eastAsia="en-US"/>
              </w:rPr>
              <w:t>19, 36</w:t>
            </w:r>
            <w:r>
              <w:rPr>
                <w:sz w:val="28"/>
                <w:szCs w:val="28"/>
                <w:lang w:eastAsia="en-US"/>
              </w:rPr>
              <w:t>. </w:t>
            </w:r>
            <w:r w:rsidRPr="0092785B">
              <w:rPr>
                <w:rFonts w:eastAsia="Times New Roman"/>
                <w:sz w:val="28"/>
                <w:szCs w:val="28"/>
              </w:rPr>
              <w:t>§) tika noteikts Aizsardzības mini</w:t>
            </w:r>
            <w:r>
              <w:rPr>
                <w:rFonts w:eastAsia="Times New Roman"/>
                <w:sz w:val="28"/>
                <w:szCs w:val="28"/>
              </w:rPr>
              <w:t>strijas budžeta izdevumu apmērs (2% no IKP) 2019., 2020. un 2021. gadam, bija nepieciešama budžeta izdevumu (tai skaitā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Nacionālo bruņoto spēku ilgte</w:t>
            </w:r>
            <w:r>
              <w:rPr>
                <w:rFonts w:eastAsia="Times New Roman"/>
                <w:sz w:val="28"/>
                <w:szCs w:val="28"/>
              </w:rPr>
              <w:t xml:space="preserve">rmiņa līgumu) pārskatīšana. Turklāt </w:t>
            </w:r>
            <w:r w:rsidRPr="0092785B">
              <w:rPr>
                <w:rFonts w:eastAsia="Times New Roman"/>
                <w:sz w:val="28"/>
                <w:szCs w:val="28"/>
              </w:rPr>
              <w:t>2018.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gada 3.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jūlija Minist</w:t>
            </w:r>
            <w:r>
              <w:rPr>
                <w:rFonts w:eastAsia="Times New Roman"/>
                <w:sz w:val="28"/>
                <w:szCs w:val="28"/>
              </w:rPr>
              <w:t>ru kabineta sēdē (protokola Nr. </w:t>
            </w:r>
            <w:r w:rsidRPr="0092785B">
              <w:rPr>
                <w:rFonts w:eastAsia="Times New Roman"/>
                <w:sz w:val="28"/>
                <w:szCs w:val="28"/>
              </w:rPr>
              <w:t xml:space="preserve">31, </w:t>
            </w:r>
            <w:r w:rsidRPr="0092785B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>. </w:t>
            </w:r>
            <w:r w:rsidRPr="0092785B">
              <w:rPr>
                <w:rFonts w:eastAsia="Times New Roman"/>
                <w:sz w:val="28"/>
                <w:szCs w:val="28"/>
              </w:rPr>
              <w:t>§</w:t>
            </w:r>
            <w:r>
              <w:rPr>
                <w:rFonts w:eastAsia="Times New Roman"/>
                <w:sz w:val="28"/>
                <w:szCs w:val="28"/>
              </w:rPr>
              <w:t>, (DV)</w:t>
            </w:r>
            <w:r w:rsidRPr="0092785B">
              <w:rPr>
                <w:rFonts w:eastAsia="Times New Roman"/>
                <w:sz w:val="28"/>
                <w:szCs w:val="28"/>
              </w:rPr>
              <w:t xml:space="preserve">) Aizsardzības ministrijai tika </w:t>
            </w:r>
            <w:r>
              <w:rPr>
                <w:rFonts w:eastAsia="Times New Roman"/>
                <w:sz w:val="28"/>
                <w:szCs w:val="28"/>
              </w:rPr>
              <w:t>uz</w:t>
            </w:r>
            <w:r w:rsidRPr="0092785B">
              <w:rPr>
                <w:rFonts w:eastAsia="Times New Roman"/>
                <w:sz w:val="28"/>
                <w:szCs w:val="28"/>
              </w:rPr>
              <w:t xml:space="preserve">dots </w:t>
            </w:r>
            <w:r>
              <w:rPr>
                <w:rFonts w:eastAsia="Times New Roman"/>
                <w:sz w:val="28"/>
                <w:szCs w:val="28"/>
              </w:rPr>
              <w:t>jauns uzdevums</w:t>
            </w:r>
            <w:r w:rsidRPr="0092785B">
              <w:rPr>
                <w:rFonts w:eastAsia="Times New Roman"/>
                <w:sz w:val="28"/>
                <w:szCs w:val="28"/>
              </w:rPr>
              <w:t xml:space="preserve">, kura izpilde jānodrošina piešķirto budžeta līdzekļu </w:t>
            </w:r>
            <w:r>
              <w:rPr>
                <w:rFonts w:eastAsia="Times New Roman"/>
                <w:sz w:val="28"/>
                <w:szCs w:val="28"/>
              </w:rPr>
              <w:t>ietvaros. Tas noteica, ka  jāpārskata visi ilgtermiņu saistību pasākumi un jau noslēgto līgumu apmaksas grafiki,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lai nodrošinā</w:t>
            </w:r>
            <w:r>
              <w:rPr>
                <w:rFonts w:eastAsia="Times New Roman"/>
                <w:sz w:val="28"/>
                <w:szCs w:val="28"/>
              </w:rPr>
              <w:t>tu nepieciešamo finansējumu šī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uzdevum</w:t>
            </w:r>
            <w:r>
              <w:rPr>
                <w:rFonts w:eastAsia="Times New Roman"/>
                <w:sz w:val="28"/>
                <w:szCs w:val="28"/>
              </w:rPr>
              <w:t>a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izpildei. Šobrīd </w:t>
            </w:r>
            <w:r>
              <w:rPr>
                <w:rFonts w:eastAsia="Times New Roman"/>
                <w:sz w:val="28"/>
                <w:szCs w:val="28"/>
              </w:rPr>
              <w:t xml:space="preserve">Aizsardzības ministrija veic sarunas ar NATO sabiedrotajiem par līguma slēgšanu, kā arī </w:t>
            </w:r>
            <w:r w:rsidRPr="0092785B">
              <w:rPr>
                <w:rFonts w:eastAsia="Times New Roman"/>
                <w:sz w:val="28"/>
                <w:szCs w:val="28"/>
              </w:rPr>
              <w:t xml:space="preserve">intensīvi strādā pie </w:t>
            </w:r>
            <w:r>
              <w:rPr>
                <w:rFonts w:eastAsia="Times New Roman"/>
                <w:sz w:val="28"/>
                <w:szCs w:val="28"/>
              </w:rPr>
              <w:t xml:space="preserve">esošo </w:t>
            </w:r>
            <w:r w:rsidRPr="0092785B">
              <w:rPr>
                <w:rFonts w:eastAsia="Times New Roman"/>
                <w:sz w:val="28"/>
                <w:szCs w:val="28"/>
              </w:rPr>
              <w:t>saistību apjoma un l</w:t>
            </w:r>
            <w:r>
              <w:rPr>
                <w:rFonts w:eastAsia="Times New Roman"/>
                <w:sz w:val="28"/>
                <w:szCs w:val="28"/>
              </w:rPr>
              <w:t>īgumu apmaksas grafiku korekcijām. T</w:t>
            </w:r>
            <w:r w:rsidRPr="0092785B">
              <w:rPr>
                <w:rFonts w:eastAsia="Times New Roman"/>
                <w:sz w:val="28"/>
                <w:szCs w:val="28"/>
              </w:rPr>
              <w:t xml:space="preserve">ā kā </w:t>
            </w:r>
            <w:r>
              <w:rPr>
                <w:rFonts w:eastAsia="Times New Roman"/>
                <w:sz w:val="28"/>
                <w:szCs w:val="28"/>
              </w:rPr>
              <w:t xml:space="preserve">šis process </w:t>
            </w:r>
            <w:r w:rsidRPr="0092785B">
              <w:rPr>
                <w:rFonts w:eastAsia="Times New Roman"/>
                <w:sz w:val="28"/>
                <w:szCs w:val="28"/>
              </w:rPr>
              <w:t xml:space="preserve">ietver starptautisku līgumu </w:t>
            </w:r>
            <w:r>
              <w:rPr>
                <w:rFonts w:eastAsia="Times New Roman"/>
                <w:sz w:val="28"/>
                <w:szCs w:val="28"/>
              </w:rPr>
              <w:t xml:space="preserve">izmaiņas par piegādēm </w:t>
            </w:r>
            <w:r w:rsidRPr="0092785B">
              <w:rPr>
                <w:rFonts w:eastAsia="Times New Roman"/>
                <w:sz w:val="28"/>
                <w:szCs w:val="28"/>
              </w:rPr>
              <w:t xml:space="preserve">un </w:t>
            </w:r>
            <w:r>
              <w:rPr>
                <w:rFonts w:eastAsia="Times New Roman"/>
                <w:sz w:val="28"/>
                <w:szCs w:val="28"/>
              </w:rPr>
              <w:t xml:space="preserve">korekcijas par apmaksas grafikiem </w:t>
            </w:r>
            <w:r w:rsidRPr="0092785B">
              <w:rPr>
                <w:rFonts w:eastAsia="Times New Roman"/>
                <w:sz w:val="28"/>
                <w:szCs w:val="28"/>
              </w:rPr>
              <w:t xml:space="preserve">ar projektā iesaistītajiem partneriem, precīzu informāciju varēsim iegūt </w:t>
            </w:r>
            <w:r w:rsidR="00CD3E37">
              <w:rPr>
                <w:rFonts w:eastAsia="Times New Roman"/>
                <w:sz w:val="28"/>
                <w:szCs w:val="28"/>
              </w:rPr>
              <w:t xml:space="preserve">procesa beigās – </w:t>
            </w:r>
            <w:r>
              <w:rPr>
                <w:rFonts w:eastAsia="Times New Roman"/>
                <w:sz w:val="28"/>
                <w:szCs w:val="28"/>
              </w:rPr>
              <w:t>pēc visu jautājumu sa</w:t>
            </w:r>
            <w:r w:rsidRPr="0092785B">
              <w:rPr>
                <w:rFonts w:eastAsia="Times New Roman"/>
                <w:sz w:val="28"/>
                <w:szCs w:val="28"/>
              </w:rPr>
              <w:t>skaņošanas ar</w:t>
            </w:r>
            <w:r>
              <w:rPr>
                <w:rFonts w:eastAsia="Times New Roman"/>
                <w:sz w:val="28"/>
                <w:szCs w:val="28"/>
              </w:rPr>
              <w:t xml:space="preserve"> līgumslēdzēju pusēm. Tādējādi iepriekšminētais process paildzina dotā uzdevuma izpildi.</w:t>
            </w:r>
          </w:p>
          <w:p w14:paraId="36FEAB85" w14:textId="7631024F" w:rsidR="00483AAD" w:rsidRPr="00CF6E48" w:rsidRDefault="00483AAD" w:rsidP="006E127B">
            <w:pPr>
              <w:widowControl/>
              <w:tabs>
                <w:tab w:val="left" w:pos="6237"/>
              </w:tabs>
              <w:spacing w:after="0" w:line="240" w:lineRule="auto"/>
              <w:ind w:firstLine="85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F6E48">
              <w:rPr>
                <w:rFonts w:eastAsia="Times New Roman"/>
                <w:b/>
                <w:sz w:val="28"/>
                <w:szCs w:val="28"/>
              </w:rPr>
              <w:t xml:space="preserve">Pamatojoties uz iepriekšminēto, lūdzu pagarināt </w:t>
            </w:r>
            <w:r w:rsidRPr="0092785B">
              <w:rPr>
                <w:sz w:val="28"/>
                <w:szCs w:val="28"/>
              </w:rPr>
              <w:t xml:space="preserve">Ministru kabineta </w:t>
            </w:r>
            <w:r w:rsidRPr="0092785B">
              <w:rPr>
                <w:rFonts w:eastAsia="Times New Roman"/>
                <w:sz w:val="28"/>
                <w:szCs w:val="28"/>
              </w:rPr>
              <w:t>2017.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gada 12.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="00CD3E37">
              <w:rPr>
                <w:rFonts w:eastAsia="Times New Roman"/>
                <w:sz w:val="28"/>
                <w:szCs w:val="28"/>
              </w:rPr>
              <w:t xml:space="preserve">decembra sēdes protokollēmuma </w:t>
            </w:r>
            <w:r w:rsidRPr="0092785B">
              <w:rPr>
                <w:rFonts w:eastAsia="Times New Roman"/>
                <w:sz w:val="28"/>
                <w:szCs w:val="28"/>
              </w:rPr>
              <w:t>(prot.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2785B">
              <w:rPr>
                <w:rFonts w:eastAsia="Times New Roman"/>
                <w:sz w:val="28"/>
                <w:szCs w:val="28"/>
              </w:rPr>
              <w:t>Nr.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="00BA5E6B">
              <w:rPr>
                <w:rFonts w:eastAsia="Times New Roman"/>
                <w:sz w:val="28"/>
                <w:szCs w:val="28"/>
              </w:rPr>
              <w:t>61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92785B">
              <w:rPr>
                <w:rFonts w:eastAsia="Times New Roman"/>
                <w:sz w:val="28"/>
                <w:szCs w:val="28"/>
              </w:rPr>
              <w:t xml:space="preserve"> </w:t>
            </w:r>
            <w:r w:rsidR="00BA5E6B">
              <w:rPr>
                <w:rFonts w:eastAsia="Times New Roman"/>
                <w:sz w:val="28"/>
                <w:szCs w:val="28"/>
              </w:rPr>
              <w:t>85</w:t>
            </w:r>
            <w:r>
              <w:rPr>
                <w:rFonts w:eastAsia="Times New Roman"/>
                <w:sz w:val="28"/>
                <w:szCs w:val="28"/>
              </w:rPr>
              <w:t>. §</w:t>
            </w:r>
            <w:r w:rsidRPr="0092785B">
              <w:rPr>
                <w:rFonts w:eastAsia="Times New Roman"/>
                <w:sz w:val="28"/>
                <w:szCs w:val="28"/>
              </w:rPr>
              <w:t>) “Informatīvais ziņojums “P</w:t>
            </w:r>
            <w:r w:rsidR="00CD3E37">
              <w:rPr>
                <w:rFonts w:eastAsia="Times New Roman"/>
                <w:sz w:val="28"/>
                <w:szCs w:val="28"/>
              </w:rPr>
              <w:t>ar Zemessardzes attīstību 2018.–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92785B">
              <w:rPr>
                <w:rFonts w:eastAsia="Times New Roman"/>
                <w:sz w:val="28"/>
                <w:szCs w:val="28"/>
              </w:rPr>
              <w:t>027.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>gadā un Zemessardzes paaugstinātas gatavības apakšvienību ieviešanas gaitu”” 3.</w:t>
            </w:r>
            <w:r w:rsidR="00CD3E37">
              <w:rPr>
                <w:rFonts w:eastAsia="Times New Roman"/>
                <w:sz w:val="28"/>
                <w:szCs w:val="28"/>
              </w:rPr>
              <w:t> </w:t>
            </w:r>
            <w:r w:rsidRPr="0092785B">
              <w:rPr>
                <w:rFonts w:eastAsia="Times New Roman"/>
                <w:sz w:val="28"/>
                <w:szCs w:val="28"/>
              </w:rPr>
              <w:t xml:space="preserve">punktā dotā uzdevuma </w:t>
            </w:r>
            <w:r w:rsidRPr="00CF6E48">
              <w:rPr>
                <w:rFonts w:eastAsia="Times New Roman"/>
                <w:b/>
                <w:sz w:val="28"/>
                <w:szCs w:val="28"/>
              </w:rPr>
              <w:t>izpildes termiņu līdz š.</w:t>
            </w:r>
            <w:r>
              <w:rPr>
                <w:rFonts w:eastAsia="Times New Roman"/>
                <w:b/>
                <w:sz w:val="28"/>
                <w:szCs w:val="28"/>
              </w:rPr>
              <w:t> </w:t>
            </w:r>
            <w:r w:rsidRPr="00CF6E48">
              <w:rPr>
                <w:rFonts w:eastAsia="Times New Roman"/>
                <w:b/>
                <w:sz w:val="28"/>
                <w:szCs w:val="28"/>
              </w:rPr>
              <w:t>g. 1.</w:t>
            </w:r>
            <w:r>
              <w:rPr>
                <w:rFonts w:eastAsia="Times New Roman"/>
                <w:b/>
                <w:sz w:val="28"/>
                <w:szCs w:val="28"/>
              </w:rPr>
              <w:t> </w:t>
            </w:r>
            <w:r w:rsidRPr="00CF6E48">
              <w:rPr>
                <w:rFonts w:eastAsia="Times New Roman"/>
                <w:b/>
                <w:sz w:val="28"/>
                <w:szCs w:val="28"/>
              </w:rPr>
              <w:t>novembrim</w:t>
            </w:r>
          </w:p>
          <w:p w14:paraId="6306D878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483AAD" w:rsidRPr="0092785B" w14:paraId="73661B5F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80B5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7A5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Valsts sekretāru sanāksmes </w:t>
            </w: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datums un numurs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A07" w14:textId="72D00E79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sz w:val="28"/>
                <w:szCs w:val="28"/>
              </w:rPr>
              <w:lastRenderedPageBreak/>
              <w:t>Saskaņā ar M</w:t>
            </w:r>
            <w:r w:rsidR="00CD3E37">
              <w:rPr>
                <w:sz w:val="28"/>
                <w:szCs w:val="28"/>
              </w:rPr>
              <w:t>inistru k</w:t>
            </w:r>
            <w:r w:rsidRPr="0092785B">
              <w:rPr>
                <w:sz w:val="28"/>
                <w:szCs w:val="28"/>
              </w:rPr>
              <w:t>abineta 2009.</w:t>
            </w:r>
            <w:r>
              <w:rPr>
                <w:sz w:val="28"/>
                <w:szCs w:val="28"/>
              </w:rPr>
              <w:t> </w:t>
            </w:r>
            <w:r w:rsidRPr="0092785B">
              <w:rPr>
                <w:sz w:val="28"/>
                <w:szCs w:val="28"/>
              </w:rPr>
              <w:t>gada 7.</w:t>
            </w:r>
            <w:r>
              <w:rPr>
                <w:sz w:val="28"/>
                <w:szCs w:val="28"/>
              </w:rPr>
              <w:t> aprīļa noteikumu</w:t>
            </w:r>
            <w:r w:rsidRPr="0092785B">
              <w:rPr>
                <w:sz w:val="28"/>
                <w:szCs w:val="28"/>
              </w:rPr>
              <w:t xml:space="preserve"> Nr</w:t>
            </w:r>
            <w:r>
              <w:rPr>
                <w:sz w:val="28"/>
                <w:szCs w:val="28"/>
              </w:rPr>
              <w:t>.</w:t>
            </w:r>
            <w:r w:rsidR="00CD3E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300 </w:t>
            </w:r>
            <w:r w:rsidRPr="0092785B">
              <w:rPr>
                <w:sz w:val="28"/>
                <w:szCs w:val="28"/>
              </w:rPr>
              <w:t>“Ministru kabineta kārtības rullis”</w:t>
            </w:r>
            <w:r w:rsidR="00CD3E37">
              <w:rPr>
                <w:sz w:val="28"/>
                <w:szCs w:val="28"/>
              </w:rPr>
              <w:t xml:space="preserve"> 73.1. </w:t>
            </w:r>
            <w:r>
              <w:rPr>
                <w:sz w:val="28"/>
                <w:szCs w:val="28"/>
              </w:rPr>
              <w:t xml:space="preserve">apakšpunktu </w:t>
            </w:r>
            <w:r>
              <w:rPr>
                <w:sz w:val="28"/>
                <w:szCs w:val="28"/>
              </w:rPr>
              <w:lastRenderedPageBreak/>
              <w:t>projekts nav izsludināts Valsts sekretāru sanāksmē.</w:t>
            </w:r>
          </w:p>
        </w:tc>
      </w:tr>
      <w:tr w:rsidR="00483AAD" w:rsidRPr="0092785B" w14:paraId="5072CFEB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FCE1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6D6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Informācija par saskaņojumiem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414" w14:textId="77777777" w:rsidR="00483AAD" w:rsidRPr="0092785B" w:rsidRDefault="00483AAD" w:rsidP="006E127B">
            <w:pPr>
              <w:widowControl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zh-TW"/>
              </w:rPr>
            </w:pPr>
            <w:r>
              <w:rPr>
                <w:rFonts w:eastAsia="Times New Roman"/>
                <w:sz w:val="28"/>
                <w:szCs w:val="28"/>
                <w:lang w:eastAsia="zh-TW"/>
              </w:rPr>
              <w:t>Nav.</w:t>
            </w:r>
          </w:p>
        </w:tc>
      </w:tr>
      <w:tr w:rsidR="00483AAD" w:rsidRPr="0092785B" w14:paraId="2F5C9DCD" w14:textId="77777777" w:rsidTr="006E127B">
        <w:trPr>
          <w:trHeight w:val="9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3D3D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4950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Informācija par saskaņojumu ar Eiropas Savienības institūcijām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170" w14:textId="77777777" w:rsidR="00483AAD" w:rsidRPr="0092785B" w:rsidRDefault="00483AAD" w:rsidP="006E127B">
            <w:pPr>
              <w:widowControl/>
              <w:spacing w:after="0" w:line="240" w:lineRule="auto"/>
              <w:ind w:left="34"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Nav attiecināms.</w:t>
            </w:r>
          </w:p>
        </w:tc>
      </w:tr>
      <w:tr w:rsidR="00483AAD" w:rsidRPr="0092785B" w14:paraId="055B6AD5" w14:textId="77777777" w:rsidTr="006E127B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B78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74B3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Politikas joma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328" w14:textId="77777777" w:rsidR="00483AAD" w:rsidRDefault="00483AAD" w:rsidP="006E127B">
            <w:pPr>
              <w:widowControl/>
              <w:spacing w:after="0" w:line="240" w:lineRule="auto"/>
              <w:ind w:left="34"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16.Valsts aizsardzības politika</w:t>
            </w:r>
          </w:p>
          <w:p w14:paraId="545B9DFC" w14:textId="77777777" w:rsidR="00483AAD" w:rsidRDefault="00483AAD" w:rsidP="006E127B">
            <w:pPr>
              <w:widowControl/>
              <w:spacing w:after="0" w:line="240" w:lineRule="auto"/>
              <w:ind w:left="34"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16.2. Nacionālo bruņoto spēku attīstība</w:t>
            </w:r>
          </w:p>
          <w:p w14:paraId="59C8BF30" w14:textId="77777777" w:rsidR="00483AAD" w:rsidRPr="0092785B" w:rsidRDefault="00483AAD" w:rsidP="006E127B">
            <w:pPr>
              <w:widowControl/>
              <w:spacing w:after="0" w:line="240" w:lineRule="auto"/>
              <w:ind w:left="34"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483AAD" w:rsidRPr="0092785B" w14:paraId="2CD134B1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16B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86A6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Atbildīgā amatpersona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1A8" w14:textId="77777777" w:rsidR="00483AAD" w:rsidRPr="0092785B" w:rsidRDefault="00483AAD" w:rsidP="006E127B">
            <w:pPr>
              <w:widowControl/>
              <w:spacing w:after="0" w:line="240" w:lineRule="auto"/>
              <w:ind w:left="34"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Aizsardzības ministrijas Resursu plānošanas departamenta Budžeta un investīciju plānošanas nodaļas vadītājas vietniece Ina Ozoliņa</w:t>
            </w:r>
          </w:p>
        </w:tc>
      </w:tr>
      <w:tr w:rsidR="00483AAD" w:rsidRPr="0092785B" w14:paraId="03E10C95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2B1C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5F2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Uzaicināmās personas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9A8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Nav</w:t>
            </w:r>
          </w:p>
        </w:tc>
      </w:tr>
      <w:tr w:rsidR="00483AAD" w:rsidRPr="0092785B" w14:paraId="7072A430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EFE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EF52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Projekta ierobežotas pieejamības statuss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01A" w14:textId="77777777" w:rsidR="00483AAD" w:rsidRPr="0092785B" w:rsidRDefault="00483AAD" w:rsidP="006E127B">
            <w:pPr>
              <w:widowControl/>
              <w:shd w:val="clear" w:color="auto" w:fill="FFFFFF"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Nav attiecināms</w:t>
            </w:r>
          </w:p>
        </w:tc>
      </w:tr>
      <w:tr w:rsidR="00483AAD" w:rsidRPr="0092785B" w14:paraId="194E4A6A" w14:textId="77777777" w:rsidTr="006E12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B142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981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2785B">
              <w:rPr>
                <w:rFonts w:eastAsiaTheme="minorHAnsi"/>
                <w:b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C54" w14:textId="77777777" w:rsidR="00483AAD" w:rsidRPr="0092785B" w:rsidRDefault="00483AAD" w:rsidP="006E127B">
            <w:pPr>
              <w:widowControl/>
              <w:spacing w:after="0" w:line="240" w:lineRule="auto"/>
              <w:ind w:right="15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Nav attiecināms</w:t>
            </w:r>
          </w:p>
        </w:tc>
      </w:tr>
    </w:tbl>
    <w:p w14:paraId="6B898B51" w14:textId="77777777" w:rsidR="00483AAD" w:rsidRPr="0092785B" w:rsidRDefault="00483AAD" w:rsidP="00483AAD">
      <w:pPr>
        <w:spacing w:line="240" w:lineRule="auto"/>
        <w:jc w:val="both"/>
        <w:rPr>
          <w:sz w:val="28"/>
          <w:szCs w:val="28"/>
        </w:rPr>
      </w:pPr>
    </w:p>
    <w:p w14:paraId="16B285DC" w14:textId="77777777" w:rsidR="00483AAD" w:rsidRPr="00D1063F" w:rsidRDefault="00483AAD" w:rsidP="00483AAD">
      <w:pPr>
        <w:spacing w:line="240" w:lineRule="auto"/>
        <w:rPr>
          <w:sz w:val="28"/>
          <w:szCs w:val="28"/>
        </w:rPr>
      </w:pPr>
      <w:r w:rsidRPr="00D1063F">
        <w:rPr>
          <w:sz w:val="28"/>
          <w:szCs w:val="28"/>
        </w:rPr>
        <w:t>Pielikumā:</w:t>
      </w:r>
    </w:p>
    <w:p w14:paraId="59C5FDE5" w14:textId="2BCF4437" w:rsidR="00483AAD" w:rsidRPr="00E649D0" w:rsidRDefault="00483AAD" w:rsidP="00483AAD">
      <w:pPr>
        <w:spacing w:line="240" w:lineRule="auto"/>
        <w:ind w:firstLine="720"/>
        <w:jc w:val="both"/>
        <w:rPr>
          <w:sz w:val="28"/>
          <w:szCs w:val="28"/>
        </w:rPr>
      </w:pPr>
      <w:r w:rsidRPr="00E649D0">
        <w:rPr>
          <w:sz w:val="28"/>
          <w:szCs w:val="28"/>
        </w:rPr>
        <w:t xml:space="preserve">Ministru Kabineta sēdes protokollēmuma projekts “Par Ministru kabineta </w:t>
      </w:r>
      <w:r w:rsidRPr="00E649D0">
        <w:rPr>
          <w:rFonts w:eastAsia="Times New Roman"/>
          <w:sz w:val="28"/>
          <w:szCs w:val="28"/>
        </w:rPr>
        <w:t>2017.</w:t>
      </w:r>
      <w:r>
        <w:rPr>
          <w:rFonts w:eastAsia="Times New Roman"/>
          <w:sz w:val="28"/>
          <w:szCs w:val="28"/>
        </w:rPr>
        <w:t> </w:t>
      </w:r>
      <w:r w:rsidRPr="00E649D0">
        <w:rPr>
          <w:rFonts w:eastAsia="Times New Roman"/>
          <w:sz w:val="28"/>
          <w:szCs w:val="28"/>
        </w:rPr>
        <w:t>gada 12.</w:t>
      </w:r>
      <w:r>
        <w:rPr>
          <w:rFonts w:eastAsia="Times New Roman"/>
          <w:sz w:val="28"/>
          <w:szCs w:val="28"/>
        </w:rPr>
        <w:t> </w:t>
      </w:r>
      <w:r w:rsidRPr="00E649D0">
        <w:rPr>
          <w:rFonts w:eastAsia="Times New Roman"/>
          <w:sz w:val="28"/>
          <w:szCs w:val="28"/>
        </w:rPr>
        <w:t>decembra sēdes protokollēmuma  (prot. Nr.</w:t>
      </w:r>
      <w:r>
        <w:rPr>
          <w:rFonts w:eastAsia="Times New Roman"/>
          <w:sz w:val="28"/>
          <w:szCs w:val="28"/>
        </w:rPr>
        <w:t> </w:t>
      </w:r>
      <w:r w:rsidR="00BA5E6B">
        <w:rPr>
          <w:rFonts w:eastAsia="Times New Roman"/>
          <w:sz w:val="28"/>
          <w:szCs w:val="28"/>
        </w:rPr>
        <w:t>61</w:t>
      </w:r>
      <w:r>
        <w:rPr>
          <w:rFonts w:eastAsia="Times New Roman"/>
          <w:sz w:val="28"/>
          <w:szCs w:val="28"/>
        </w:rPr>
        <w:t>,</w:t>
      </w:r>
      <w:r w:rsidR="00BA5E6B">
        <w:rPr>
          <w:rFonts w:eastAsia="Times New Roman"/>
          <w:sz w:val="28"/>
          <w:szCs w:val="28"/>
        </w:rPr>
        <w:t xml:space="preserve"> 85</w:t>
      </w:r>
      <w:r w:rsidRPr="00E649D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E649D0">
        <w:rPr>
          <w:rFonts w:eastAsia="Times New Roman"/>
          <w:sz w:val="28"/>
          <w:szCs w:val="28"/>
        </w:rPr>
        <w:t>§) “Informatīvais ziņojums “Par Zemessardzes attīstību 2018.-2027.gadā un Zemessardzes paaugstinātas gatavības apakšvienību ieviešanas gaitu”” 3.</w:t>
      </w:r>
      <w:r>
        <w:rPr>
          <w:rFonts w:eastAsia="Times New Roman"/>
          <w:sz w:val="28"/>
          <w:szCs w:val="28"/>
        </w:rPr>
        <w:t> </w:t>
      </w:r>
      <w:r w:rsidRPr="00E649D0">
        <w:rPr>
          <w:rFonts w:eastAsia="Times New Roman"/>
          <w:sz w:val="28"/>
          <w:szCs w:val="28"/>
        </w:rPr>
        <w:t>punktā dotā uzdevuma izpildes termiņa pagarināšanu”.</w:t>
      </w:r>
    </w:p>
    <w:p w14:paraId="1BAA2424" w14:textId="77777777" w:rsidR="00483AAD" w:rsidRDefault="00483AAD" w:rsidP="00483AAD">
      <w:pPr>
        <w:pStyle w:val="ListParagraph"/>
        <w:spacing w:line="240" w:lineRule="auto"/>
      </w:pPr>
      <w:r>
        <w:t xml:space="preserve"> </w:t>
      </w:r>
    </w:p>
    <w:p w14:paraId="39AE68EF" w14:textId="77777777" w:rsidR="00104688" w:rsidRDefault="00104688" w:rsidP="00104688">
      <w:pPr>
        <w:spacing w:after="0" w:line="240" w:lineRule="auto"/>
        <w:jc w:val="both"/>
      </w:pPr>
    </w:p>
    <w:p w14:paraId="39AE68F0" w14:textId="77777777" w:rsidR="00104688" w:rsidRDefault="00104688" w:rsidP="00104688">
      <w:pPr>
        <w:spacing w:after="0" w:line="240" w:lineRule="auto"/>
        <w:jc w:val="both"/>
      </w:pPr>
    </w:p>
    <w:p w14:paraId="39AE68F1" w14:textId="77777777" w:rsidR="000F716B" w:rsidRDefault="000F716B" w:rsidP="00104688">
      <w:pPr>
        <w:tabs>
          <w:tab w:val="left" w:pos="6663"/>
        </w:tabs>
        <w:spacing w:after="0" w:line="240" w:lineRule="auto"/>
        <w:jc w:val="both"/>
      </w:pPr>
    </w:p>
    <w:p w14:paraId="39AE68F2" w14:textId="77777777" w:rsidR="007A2264" w:rsidRPr="00483AAD" w:rsidRDefault="00483AAD" w:rsidP="000F716B">
      <w:pPr>
        <w:tabs>
          <w:tab w:val="left" w:pos="6663"/>
        </w:tabs>
        <w:spacing w:after="0"/>
        <w:jc w:val="both"/>
        <w:rPr>
          <w:sz w:val="28"/>
          <w:szCs w:val="28"/>
        </w:rPr>
      </w:pPr>
      <w:r w:rsidRPr="00483AAD">
        <w:rPr>
          <w:noProof/>
          <w:sz w:val="28"/>
          <w:szCs w:val="28"/>
        </w:rPr>
        <w:t>Aizsardzības ministrs</w:t>
      </w:r>
      <w:r w:rsidRPr="00483AAD">
        <w:rPr>
          <w:sz w:val="28"/>
          <w:szCs w:val="28"/>
        </w:rPr>
        <w:tab/>
      </w:r>
      <w:r w:rsidRPr="00483AAD">
        <w:rPr>
          <w:noProof/>
          <w:sz w:val="28"/>
          <w:szCs w:val="28"/>
        </w:rPr>
        <w:t>Raimonds Bergmanis</w:t>
      </w:r>
    </w:p>
    <w:p w14:paraId="39AE68F3" w14:textId="77777777" w:rsidR="007A2264" w:rsidRDefault="00483AAD" w:rsidP="007A2264">
      <w:pPr>
        <w:spacing w:before="720"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Ina Ozoliņa</w:t>
      </w:r>
      <w:r>
        <w:rPr>
          <w:sz w:val="16"/>
          <w:szCs w:val="16"/>
        </w:rPr>
        <w:t xml:space="preserve">, </w:t>
      </w:r>
      <w:r>
        <w:rPr>
          <w:noProof/>
          <w:sz w:val="16"/>
          <w:szCs w:val="16"/>
        </w:rPr>
        <w:t>67335297</w:t>
      </w:r>
    </w:p>
    <w:p w14:paraId="39AE68F4" w14:textId="77777777" w:rsidR="00104688" w:rsidRPr="00104688" w:rsidRDefault="00483AAD" w:rsidP="00104688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Ina.Ozolina@mod.gov.lv</w:t>
      </w:r>
    </w:p>
    <w:sectPr w:rsidR="00104688" w:rsidRPr="00104688" w:rsidSect="00330D43"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95B0" w14:textId="77777777" w:rsidR="00F34BBD" w:rsidRDefault="00F34BBD">
      <w:pPr>
        <w:spacing w:after="0" w:line="240" w:lineRule="auto"/>
      </w:pPr>
      <w:r>
        <w:separator/>
      </w:r>
    </w:p>
  </w:endnote>
  <w:endnote w:type="continuationSeparator" w:id="0">
    <w:p w14:paraId="05B5A1B9" w14:textId="77777777" w:rsidR="00F34BBD" w:rsidRDefault="00F3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334161"/>
      <w:docPartObj>
        <w:docPartGallery w:val="Page Numbers (Bottom of Page)"/>
        <w:docPartUnique/>
      </w:docPartObj>
    </w:sdtPr>
    <w:sdtEndPr/>
    <w:sdtContent>
      <w:p w14:paraId="39AE68F5" w14:textId="77777777" w:rsidR="00104688" w:rsidRDefault="00483AAD" w:rsidP="00104688">
        <w:pPr>
          <w:pStyle w:val="Footer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>DOKUMENTS IR ELEKTRONISKI PARAKSTĪTS AR DROŠU ELEKTRONISKO PARAKSTU UN SATUR LAIKA ZĪMOGU</w:t>
        </w:r>
      </w:p>
      <w:p w14:paraId="39AE68F6" w14:textId="1BBBA605" w:rsidR="00104688" w:rsidRPr="00104688" w:rsidRDefault="00F34BBD" w:rsidP="00104688">
        <w:pPr>
          <w:pStyle w:val="Footer"/>
          <w:jc w:val="right"/>
          <w:rPr>
            <w:bCs/>
          </w:rPr>
        </w:pPr>
        <w:sdt>
          <w:sdtPr>
            <w:id w:val="488424221"/>
            <w:docPartObj>
              <w:docPartGallery w:val="Page Numbers (Top of Page)"/>
              <w:docPartUnique/>
            </w:docPartObj>
          </w:sdtPr>
          <w:sdtEndPr/>
          <w:sdtContent>
            <w:r w:rsidR="00483AAD" w:rsidRPr="00104688">
              <w:rPr>
                <w:bCs/>
              </w:rPr>
              <w:fldChar w:fldCharType="begin"/>
            </w:r>
            <w:r w:rsidR="00483AAD" w:rsidRPr="00104688">
              <w:rPr>
                <w:bCs/>
              </w:rPr>
              <w:instrText xml:space="preserve"> PAGE </w:instrText>
            </w:r>
            <w:r w:rsidR="00483AAD" w:rsidRPr="00104688">
              <w:rPr>
                <w:bCs/>
              </w:rPr>
              <w:fldChar w:fldCharType="separate"/>
            </w:r>
            <w:r w:rsidR="00BA5E6B">
              <w:rPr>
                <w:bCs/>
                <w:noProof/>
              </w:rPr>
              <w:t>3</w:t>
            </w:r>
            <w:r w:rsidR="00483AAD" w:rsidRPr="00104688">
              <w:rPr>
                <w:bCs/>
              </w:rPr>
              <w:fldChar w:fldCharType="end"/>
            </w:r>
            <w:r w:rsidR="00483AAD" w:rsidRPr="00104688">
              <w:t xml:space="preserve"> - </w:t>
            </w:r>
            <w:r w:rsidR="00483AAD" w:rsidRPr="00104688">
              <w:rPr>
                <w:bCs/>
              </w:rPr>
              <w:fldChar w:fldCharType="begin"/>
            </w:r>
            <w:r w:rsidR="00483AAD" w:rsidRPr="00104688">
              <w:rPr>
                <w:bCs/>
              </w:rPr>
              <w:instrText xml:space="preserve"> NUMPAGES  </w:instrText>
            </w:r>
            <w:r w:rsidR="00483AAD" w:rsidRPr="00104688">
              <w:rPr>
                <w:bCs/>
              </w:rPr>
              <w:fldChar w:fldCharType="separate"/>
            </w:r>
            <w:r w:rsidR="00BA5E6B">
              <w:rPr>
                <w:bCs/>
                <w:noProof/>
              </w:rPr>
              <w:t>3</w:t>
            </w:r>
            <w:r w:rsidR="00483AAD"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68FC" w14:textId="77777777" w:rsidR="005D2424" w:rsidRDefault="00483AAD" w:rsidP="00E330D3">
    <w:pPr>
      <w:pStyle w:val="Footer"/>
      <w:jc w:val="center"/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66DD" w14:textId="77777777" w:rsidR="00F34BBD" w:rsidRDefault="00F34BBD">
      <w:pPr>
        <w:spacing w:after="0" w:line="240" w:lineRule="auto"/>
      </w:pPr>
      <w:r>
        <w:separator/>
      </w:r>
    </w:p>
  </w:footnote>
  <w:footnote w:type="continuationSeparator" w:id="0">
    <w:p w14:paraId="1867CF7F" w14:textId="77777777" w:rsidR="00F34BBD" w:rsidRDefault="00F3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68F7" w14:textId="77777777" w:rsidR="000A0B61" w:rsidRDefault="000A0B61" w:rsidP="00BE56C2">
    <w:pPr>
      <w:pStyle w:val="Header"/>
      <w:tabs>
        <w:tab w:val="clear" w:pos="4320"/>
      </w:tabs>
      <w:spacing w:before="2880"/>
    </w:pP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793396" w14:paraId="39AE68FA" w14:textId="77777777" w:rsidTr="00DD3458">
      <w:trPr>
        <w:cantSplit/>
      </w:trPr>
      <w:tc>
        <w:tcPr>
          <w:tcW w:w="3969" w:type="dxa"/>
        </w:tcPr>
        <w:p w14:paraId="39AE68F8" w14:textId="2CC9C1B2" w:rsidR="009C426E" w:rsidRPr="00C56EDF" w:rsidRDefault="00BC5DDB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>
            <w:rPr>
              <w:color w:val="000000"/>
              <w:lang w:eastAsia="en-US"/>
            </w:rPr>
            <w:t>28.08.2018.</w:t>
          </w:r>
        </w:p>
      </w:tc>
      <w:tc>
        <w:tcPr>
          <w:tcW w:w="3827" w:type="dxa"/>
        </w:tcPr>
        <w:p w14:paraId="39AE68F9" w14:textId="193467D4" w:rsidR="009C426E" w:rsidRPr="0099125D" w:rsidRDefault="00BC5DDB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Nr</w:t>
          </w:r>
          <w:proofErr w:type="spellEnd"/>
          <w:r>
            <w:rPr>
              <w:color w:val="000000"/>
              <w:lang w:val="en-US" w:eastAsia="en-US"/>
            </w:rPr>
            <w:t>. MV-N/2058</w:t>
          </w:r>
        </w:p>
      </w:tc>
    </w:tr>
  </w:tbl>
  <w:p w14:paraId="39AE68FB" w14:textId="77777777" w:rsidR="009C426E" w:rsidRPr="008669E5" w:rsidRDefault="00483AAD" w:rsidP="009C426E">
    <w:pPr>
      <w:pStyle w:val="Header"/>
      <w:tabs>
        <w:tab w:val="clear" w:pos="4320"/>
        <w:tab w:val="left" w:pos="4111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 wp14:anchorId="39AE68FD" wp14:editId="39AE68FE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353023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E68FF" wp14:editId="39AE6900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E6903" w14:textId="77777777" w:rsidR="009A40B4" w:rsidRPr="008669E5" w:rsidRDefault="00483AAD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67212307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kanceleja@mod.gov.lv</w:t>
                          </w:r>
                          <w:proofErr w:type="spellEnd"/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www.mod.gov.lv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68F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61.4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O0XqCDgAAAADAEAAA8AAABkcnMvZG93&#10;bnJldi54bWxMj8FOwzAQRO9I/IO1SNyo3bSUEuJUFYITEiINB45OvE2ixusQu234e7YnOM7s0+xM&#10;tplcL044hs6ThvlMgUCqve2o0fBZvt6tQYRoyJreE2r4wQCb/PoqM6n1ZyrwtIuN4BAKqdHQxjik&#10;Uoa6RWfCzA9IfNv70ZnIcmykHc2Zw10vE6VW0pmO+ENrBnxusT7sjk7D9ouKl+77vfoo9kVXlo+K&#10;3lYHrW9vpu0TiIhT/IPhUp+rQ86dKn8kG0TPer28Z1TDIkl4w4WYqyXPq9h6SBYg80z+H5H/Ag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O0XqCDgAAAADAEAAA8AAAAAAAAAAAAAAAAA&#10;+gQAAGRycy9kb3ducmV2LnhtbFBLBQYAAAAABAAEAPMAAAAHBgAAAAA=&#10;" filled="f" stroked="f">
              <v:textbox inset="0,0,0,0">
                <w:txbxContent>
                  <w:p w14:paraId="39AE6903" w14:textId="77777777" w:rsidR="009A40B4" w:rsidRPr="008669E5" w:rsidRDefault="00483AAD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67212307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E6901" wp14:editId="39AE6902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79536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9C426E">
      <w:t xml:space="preserve">Uz </w:t>
    </w:r>
    <w:r w:rsidR="009C426E">
      <w:rPr>
        <w:noProof/>
      </w:rPr>
      <w:t>16.08.2018</w:t>
    </w:r>
    <w:r w:rsidR="009C426E">
      <w:t>.</w:t>
    </w:r>
    <w:r w:rsidR="009C426E">
      <w:tab/>
      <w:t xml:space="preserve">Nr. </w:t>
    </w:r>
    <w:r w:rsidR="009C426E">
      <w:rPr>
        <w:noProof/>
      </w:rPr>
      <w:t>12/SAN-875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64"/>
    <w:rsid w:val="00006384"/>
    <w:rsid w:val="00030349"/>
    <w:rsid w:val="00075470"/>
    <w:rsid w:val="000A0B61"/>
    <w:rsid w:val="000F716B"/>
    <w:rsid w:val="00104688"/>
    <w:rsid w:val="00124173"/>
    <w:rsid w:val="001D79E4"/>
    <w:rsid w:val="00242216"/>
    <w:rsid w:val="00265D4A"/>
    <w:rsid w:val="00275B9E"/>
    <w:rsid w:val="00290B9D"/>
    <w:rsid w:val="002B3077"/>
    <w:rsid w:val="002D7FAB"/>
    <w:rsid w:val="002E1474"/>
    <w:rsid w:val="002E75AE"/>
    <w:rsid w:val="00330D43"/>
    <w:rsid w:val="003B48FB"/>
    <w:rsid w:val="00456779"/>
    <w:rsid w:val="00483AAD"/>
    <w:rsid w:val="004B29B1"/>
    <w:rsid w:val="004D5726"/>
    <w:rsid w:val="004F08C0"/>
    <w:rsid w:val="00535564"/>
    <w:rsid w:val="005D2424"/>
    <w:rsid w:val="00663C3A"/>
    <w:rsid w:val="00693999"/>
    <w:rsid w:val="006C1639"/>
    <w:rsid w:val="006C416D"/>
    <w:rsid w:val="0073633D"/>
    <w:rsid w:val="00793396"/>
    <w:rsid w:val="007A2264"/>
    <w:rsid w:val="007B3BA5"/>
    <w:rsid w:val="007B48EC"/>
    <w:rsid w:val="007C0E80"/>
    <w:rsid w:val="007E4D1F"/>
    <w:rsid w:val="00815277"/>
    <w:rsid w:val="008669E5"/>
    <w:rsid w:val="00876C21"/>
    <w:rsid w:val="008C195B"/>
    <w:rsid w:val="008D4AF3"/>
    <w:rsid w:val="00954D5A"/>
    <w:rsid w:val="0099125D"/>
    <w:rsid w:val="009A40B4"/>
    <w:rsid w:val="009C426E"/>
    <w:rsid w:val="009D0F72"/>
    <w:rsid w:val="00A03A13"/>
    <w:rsid w:val="00A30D47"/>
    <w:rsid w:val="00AA712C"/>
    <w:rsid w:val="00AF0E90"/>
    <w:rsid w:val="00BA5E6B"/>
    <w:rsid w:val="00BC5DDB"/>
    <w:rsid w:val="00BD747D"/>
    <w:rsid w:val="00BE56C2"/>
    <w:rsid w:val="00C01481"/>
    <w:rsid w:val="00C47F57"/>
    <w:rsid w:val="00C56EDF"/>
    <w:rsid w:val="00CA407F"/>
    <w:rsid w:val="00CD3E37"/>
    <w:rsid w:val="00D0743C"/>
    <w:rsid w:val="00D21FA6"/>
    <w:rsid w:val="00D55B4B"/>
    <w:rsid w:val="00DD3458"/>
    <w:rsid w:val="00E330D3"/>
    <w:rsid w:val="00E365CE"/>
    <w:rsid w:val="00EA5DAF"/>
    <w:rsid w:val="00EF676E"/>
    <w:rsid w:val="00F25DA3"/>
    <w:rsid w:val="00F34BBD"/>
    <w:rsid w:val="00F60586"/>
    <w:rsid w:val="00F82FDF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8E6"/>
  <w15:docId w15:val="{C51014CB-EE8F-4DE2-A024-BD45DBA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2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Laimdota Adlere</cp:lastModifiedBy>
  <cp:revision>5</cp:revision>
  <cp:lastPrinted>2018-08-23T13:49:00Z</cp:lastPrinted>
  <dcterms:created xsi:type="dcterms:W3CDTF">2018-08-27T07:41:00Z</dcterms:created>
  <dcterms:modified xsi:type="dcterms:W3CDTF">2018-08-28T09:22:00Z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