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2463" w:rsidRPr="008410ED" w:rsidRDefault="001046E8" w:rsidP="00DC2F4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97BA1" w:rsidRPr="008410ED">
            <w:rPr>
              <w:rFonts w:ascii="Times New Roman" w:hAnsi="Times New Roman" w:cs="Times New Roman"/>
              <w:b/>
              <w:bCs/>
              <w:sz w:val="28"/>
              <w:szCs w:val="28"/>
            </w:rPr>
            <w:t xml:space="preserve">Ministru kabineta rīkojuma projekta „Par Eiropas Ekonomikas zonas finanšu instrumenta </w:t>
          </w:r>
          <w:r w:rsidR="003D2463" w:rsidRPr="008410ED">
            <w:rPr>
              <w:rFonts w:ascii="Times New Roman" w:hAnsi="Times New Roman" w:cs="Times New Roman"/>
              <w:b/>
              <w:bCs/>
              <w:sz w:val="28"/>
              <w:szCs w:val="28"/>
            </w:rPr>
            <w:t xml:space="preserve">2014. -2021. gada perioda līdzfinansētās programmas </w:t>
          </w:r>
          <w:r w:rsidR="00397BA1" w:rsidRPr="008410ED">
            <w:rPr>
              <w:rFonts w:ascii="Times New Roman" w:hAnsi="Times New Roman" w:cs="Times New Roman"/>
              <w:b/>
              <w:bCs/>
              <w:sz w:val="28"/>
              <w:szCs w:val="28"/>
            </w:rPr>
            <w:t>„</w:t>
          </w:r>
          <w:r w:rsidR="00397BA1" w:rsidRPr="008410ED">
            <w:rPr>
              <w:rFonts w:ascii="Times New Roman" w:hAnsi="Times New Roman" w:cs="Times New Roman"/>
              <w:b/>
              <w:sz w:val="28"/>
              <w:szCs w:val="28"/>
            </w:rPr>
            <w:t>Starptautiskā policijas sadarbība un noziedzības apkarošana</w:t>
          </w:r>
          <w:r w:rsidR="00397BA1" w:rsidRPr="008410ED">
            <w:rPr>
              <w:rFonts w:ascii="Times New Roman" w:hAnsi="Times New Roman" w:cs="Times New Roman"/>
              <w:b/>
              <w:bCs/>
              <w:sz w:val="28"/>
              <w:szCs w:val="28"/>
            </w:rPr>
            <w:t xml:space="preserve">” </w:t>
          </w:r>
          <w:r w:rsidR="003D2463" w:rsidRPr="008410ED">
            <w:rPr>
              <w:rFonts w:ascii="Times New Roman" w:hAnsi="Times New Roman" w:cs="Times New Roman"/>
              <w:b/>
              <w:bCs/>
              <w:sz w:val="28"/>
              <w:szCs w:val="28"/>
            </w:rPr>
            <w:t xml:space="preserve">  </w:t>
          </w:r>
          <w:r w:rsidR="00397BA1" w:rsidRPr="008410ED">
            <w:rPr>
              <w:rFonts w:ascii="Times New Roman" w:hAnsi="Times New Roman" w:cs="Times New Roman"/>
              <w:b/>
              <w:bCs/>
              <w:sz w:val="28"/>
              <w:szCs w:val="28"/>
            </w:rPr>
            <w:t>koncepcijas projektu”</w:t>
          </w:r>
        </w:sdtContent>
      </w:sdt>
      <w:r w:rsidR="00894C55" w:rsidRPr="008410ED">
        <w:rPr>
          <w:rFonts w:ascii="Times New Roman" w:eastAsia="Times New Roman" w:hAnsi="Times New Roman" w:cs="Times New Roman"/>
          <w:b/>
          <w:bCs/>
          <w:sz w:val="28"/>
          <w:szCs w:val="24"/>
          <w:lang w:eastAsia="lv-LV"/>
        </w:rPr>
        <w:t xml:space="preserve"> </w:t>
      </w:r>
      <w:r w:rsidR="003D2463" w:rsidRPr="008410ED">
        <w:rPr>
          <w:rFonts w:ascii="Times New Roman" w:eastAsia="Times New Roman" w:hAnsi="Times New Roman" w:cs="Times New Roman"/>
          <w:b/>
          <w:bCs/>
          <w:sz w:val="28"/>
          <w:szCs w:val="24"/>
          <w:lang w:eastAsia="lv-LV"/>
        </w:rPr>
        <w:t>p</w:t>
      </w:r>
      <w:r w:rsidR="00894C55" w:rsidRPr="008410ED">
        <w:rPr>
          <w:rFonts w:ascii="Times New Roman" w:eastAsia="Times New Roman" w:hAnsi="Times New Roman" w:cs="Times New Roman"/>
          <w:b/>
          <w:bCs/>
          <w:sz w:val="28"/>
          <w:szCs w:val="24"/>
          <w:lang w:eastAsia="lv-LV"/>
        </w:rPr>
        <w:t>rojekta</w:t>
      </w:r>
      <w:r w:rsidR="003D2463" w:rsidRPr="008410ED">
        <w:rPr>
          <w:rFonts w:ascii="Times New Roman" w:eastAsia="Times New Roman" w:hAnsi="Times New Roman" w:cs="Times New Roman"/>
          <w:b/>
          <w:bCs/>
          <w:sz w:val="28"/>
          <w:szCs w:val="24"/>
          <w:lang w:eastAsia="lv-LV"/>
        </w:rPr>
        <w:t xml:space="preserve"> </w:t>
      </w:r>
      <w:r w:rsidR="00894C55" w:rsidRPr="008410ED">
        <w:rPr>
          <w:rFonts w:ascii="Times New Roman" w:eastAsia="Times New Roman" w:hAnsi="Times New Roman" w:cs="Times New Roman"/>
          <w:b/>
          <w:bCs/>
          <w:sz w:val="28"/>
          <w:szCs w:val="24"/>
          <w:lang w:eastAsia="lv-LV"/>
        </w:rPr>
        <w:t xml:space="preserve">sākotnējās ietekmes novērtējuma ziņojums </w:t>
      </w:r>
    </w:p>
    <w:p w:rsidR="00894C55" w:rsidRPr="008410ED" w:rsidRDefault="00894C55" w:rsidP="00CE66D5">
      <w:pPr>
        <w:shd w:val="clear" w:color="auto" w:fill="FFFFFF"/>
        <w:spacing w:after="0" w:line="240" w:lineRule="auto"/>
        <w:jc w:val="center"/>
        <w:rPr>
          <w:rFonts w:ascii="Times New Roman" w:eastAsia="Times New Roman" w:hAnsi="Times New Roman" w:cs="Times New Roman"/>
          <w:b/>
          <w:bCs/>
          <w:sz w:val="28"/>
          <w:szCs w:val="24"/>
          <w:lang w:eastAsia="lv-LV"/>
        </w:rPr>
      </w:pPr>
      <w:r w:rsidRPr="008410ED">
        <w:rPr>
          <w:rFonts w:ascii="Times New Roman" w:eastAsia="Times New Roman" w:hAnsi="Times New Roman" w:cs="Times New Roman"/>
          <w:b/>
          <w:bCs/>
          <w:sz w:val="28"/>
          <w:szCs w:val="24"/>
          <w:lang w:eastAsia="lv-LV"/>
        </w:rPr>
        <w:t>(anotācija)</w:t>
      </w:r>
    </w:p>
    <w:p w:rsidR="00E5323B" w:rsidRPr="008410ED" w:rsidRDefault="00E5323B" w:rsidP="00CE66D5">
      <w:pPr>
        <w:shd w:val="clear" w:color="auto" w:fill="FFFFFF"/>
        <w:spacing w:after="0" w:line="240" w:lineRule="auto"/>
        <w:jc w:val="both"/>
        <w:rPr>
          <w:rFonts w:ascii="Times New Roman" w:eastAsia="Times New Roman" w:hAnsi="Times New Roman" w:cs="Times New Roman"/>
          <w:b/>
          <w:bCs/>
          <w:sz w:val="20"/>
          <w:szCs w:val="20"/>
          <w:lang w:eastAsia="lv-LV"/>
        </w:rPr>
      </w:pPr>
    </w:p>
    <w:tbl>
      <w:tblP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1"/>
        <w:gridCol w:w="5605"/>
      </w:tblGrid>
      <w:tr w:rsidR="00CE66D5" w:rsidRPr="008410ED" w:rsidTr="00CE66D5">
        <w:trPr>
          <w:trHeight w:val="30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0ED">
              <w:rPr>
                <w:rFonts w:ascii="Times New Roman" w:eastAsia="Times New Roman" w:hAnsi="Times New Roman" w:cs="Times New Roman"/>
                <w:b/>
                <w:bCs/>
                <w:iCs/>
                <w:sz w:val="24"/>
                <w:szCs w:val="24"/>
                <w:lang w:eastAsia="lv-LV"/>
              </w:rPr>
              <w:t>Tiesību akta projekta anotācijas kopsavilkums</w:t>
            </w:r>
          </w:p>
        </w:tc>
      </w:tr>
      <w:tr w:rsidR="00CE66D5" w:rsidRPr="008410ED" w:rsidTr="00CE66D5">
        <w:trPr>
          <w:trHeight w:val="900"/>
          <w:tblCellSpacing w:w="15" w:type="dxa"/>
        </w:trPr>
        <w:tc>
          <w:tcPr>
            <w:tcW w:w="1981"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3D2463" w:rsidRPr="008410ED" w:rsidRDefault="002E2D41" w:rsidP="00965D4E">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Ministru kabineta rīkojuma projekta “Par Eiropas Ekonomikas zonas finanšu instrumenta </w:t>
            </w:r>
            <w:r w:rsidR="003D2463" w:rsidRPr="008410ED">
              <w:rPr>
                <w:rFonts w:ascii="Times New Roman" w:eastAsia="Times New Roman" w:hAnsi="Times New Roman" w:cs="Times New Roman"/>
                <w:iCs/>
                <w:sz w:val="24"/>
                <w:szCs w:val="24"/>
                <w:lang w:eastAsia="lv-LV"/>
              </w:rPr>
              <w:t xml:space="preserve">2014.-2021. gada perioda </w:t>
            </w:r>
            <w:r w:rsidRPr="008410ED">
              <w:rPr>
                <w:rFonts w:ascii="Times New Roman" w:eastAsia="Times New Roman" w:hAnsi="Times New Roman" w:cs="Times New Roman"/>
                <w:iCs/>
                <w:sz w:val="24"/>
                <w:szCs w:val="24"/>
                <w:lang w:eastAsia="lv-LV"/>
              </w:rPr>
              <w:t>līdzfinansētās programmas “Starptautiskā policijas sadarbība un noziedzības apkarošana” koncepcijas projektu” mērķis ir atbalstīt programmas “Starptautiskā policijas sadarbība un noziedzības apkarošana” koncepcijas proj</w:t>
            </w:r>
            <w:r w:rsidR="00E43A92" w:rsidRPr="008410ED">
              <w:rPr>
                <w:rFonts w:ascii="Times New Roman" w:eastAsia="Times New Roman" w:hAnsi="Times New Roman" w:cs="Times New Roman"/>
                <w:iCs/>
                <w:sz w:val="24"/>
                <w:szCs w:val="24"/>
                <w:lang w:eastAsia="lv-LV"/>
              </w:rPr>
              <w:t xml:space="preserve">ektu. </w:t>
            </w:r>
          </w:p>
          <w:p w:rsidR="00E5323B" w:rsidRPr="008410ED" w:rsidRDefault="005A6265" w:rsidP="00965D4E">
            <w:pPr>
              <w:spacing w:after="0" w:line="240" w:lineRule="auto"/>
              <w:jc w:val="both"/>
              <w:rPr>
                <w:rFonts w:ascii="Times New Roman" w:eastAsia="Times New Roman" w:hAnsi="Times New Roman" w:cs="Times New Roman"/>
                <w:iCs/>
                <w:sz w:val="24"/>
                <w:szCs w:val="24"/>
                <w:lang w:eastAsia="lv-LV"/>
              </w:rPr>
            </w:pPr>
            <w:r w:rsidRPr="006F479B">
              <w:rPr>
                <w:rFonts w:ascii="Times New Roman" w:hAnsi="Times New Roman" w:cs="Times New Roman"/>
                <w:sz w:val="24"/>
                <w:szCs w:val="24"/>
              </w:rPr>
              <w:t>Ministru kabineta rīkojuma projekts stājas spēkā tā parakstīšanas brīdī.</w:t>
            </w:r>
          </w:p>
        </w:tc>
      </w:tr>
    </w:tbl>
    <w:p w:rsidR="00E5323B" w:rsidRPr="008410ED" w:rsidRDefault="00E5323B" w:rsidP="00CE66D5">
      <w:pPr>
        <w:spacing w:after="0" w:line="240" w:lineRule="auto"/>
        <w:jc w:val="both"/>
        <w:rPr>
          <w:rFonts w:ascii="Times New Roman" w:eastAsia="Times New Roman" w:hAnsi="Times New Roman" w:cs="Times New Roman"/>
          <w:iCs/>
          <w:sz w:val="10"/>
          <w:szCs w:val="10"/>
          <w:lang w:eastAsia="lv-LV"/>
        </w:rPr>
      </w:pPr>
      <w:r w:rsidRPr="008410ED">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1"/>
        <w:gridCol w:w="1950"/>
        <w:gridCol w:w="6837"/>
      </w:tblGrid>
      <w:tr w:rsidR="00CE66D5" w:rsidRPr="008410ED" w:rsidTr="00644D3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0ED">
              <w:rPr>
                <w:rFonts w:ascii="Times New Roman" w:eastAsia="Times New Roman" w:hAnsi="Times New Roman" w:cs="Times New Roman"/>
                <w:b/>
                <w:bCs/>
                <w:iCs/>
                <w:sz w:val="24"/>
                <w:szCs w:val="24"/>
                <w:lang w:eastAsia="lv-LV"/>
              </w:rPr>
              <w:t>I. Tiesību akta projekta izstrādes nepieciešamība</w:t>
            </w:r>
          </w:p>
        </w:tc>
      </w:tr>
      <w:tr w:rsidR="00CE66D5" w:rsidRPr="008410ED" w:rsidTr="00644D3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w:t>
            </w:r>
          </w:p>
        </w:tc>
        <w:tc>
          <w:tcPr>
            <w:tcW w:w="1034"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Pamatojums</w:t>
            </w:r>
          </w:p>
        </w:tc>
        <w:tc>
          <w:tcPr>
            <w:tcW w:w="3624" w:type="pct"/>
            <w:tcBorders>
              <w:top w:val="outset" w:sz="6" w:space="0" w:color="auto"/>
              <w:left w:val="outset" w:sz="6" w:space="0" w:color="auto"/>
              <w:bottom w:val="outset" w:sz="6" w:space="0" w:color="auto"/>
              <w:right w:val="outset" w:sz="6" w:space="0" w:color="auto"/>
            </w:tcBorders>
            <w:hideMark/>
          </w:tcPr>
          <w:p w:rsidR="00397BA1" w:rsidRPr="008410ED" w:rsidRDefault="00397BA1" w:rsidP="00CE66D5">
            <w:pPr>
              <w:spacing w:after="0" w:line="240" w:lineRule="auto"/>
              <w:ind w:firstLine="851"/>
              <w:jc w:val="both"/>
              <w:rPr>
                <w:rFonts w:ascii="Times New Roman" w:hAnsi="Times New Roman" w:cs="Times New Roman"/>
                <w:sz w:val="24"/>
                <w:szCs w:val="24"/>
              </w:rPr>
            </w:pPr>
            <w:r w:rsidRPr="008410ED">
              <w:rPr>
                <w:rFonts w:ascii="Times New Roman" w:hAnsi="Times New Roman" w:cs="Times New Roman"/>
                <w:sz w:val="24"/>
                <w:szCs w:val="24"/>
              </w:rPr>
              <w:t xml:space="preserve">Saskaņā ar Ministru kabineta 2017. gada 5. decembra sēdē nolemto (prot. 60, </w:t>
            </w:r>
            <w:r w:rsidRPr="008410ED">
              <w:rPr>
                <w:rFonts w:ascii="Times New Roman" w:hAnsi="Times New Roman" w:cs="Times New Roman"/>
                <w:bCs/>
                <w:sz w:val="24"/>
                <w:szCs w:val="24"/>
                <w:shd w:val="clear" w:color="auto" w:fill="FFFFFF"/>
              </w:rPr>
              <w:t>23.§ “</w:t>
            </w:r>
            <w:r w:rsidRPr="008410ED">
              <w:rPr>
                <w:rFonts w:ascii="Times New Roman" w:hAnsi="Times New Roman" w:cs="Times New Roman"/>
                <w:sz w:val="24"/>
                <w:szCs w:val="24"/>
                <w:shd w:val="clear" w:color="auto" w:fill="FFFFFF"/>
              </w:rPr>
              <w:t>Noteikumu projekts “Par Latvijas Republikas un Īslandes, Lihtenšteinas Firstistes un Norvēģijas Karalistes saprašanās memorandu par Eiropas Ekonomikas zonas instrumenta ieviešanu 2014.–2021. gadā”” 4.1. apakšpunktu) Iekšlietu ministrija</w:t>
            </w:r>
            <w:r w:rsidR="00A1009F" w:rsidRPr="008410ED">
              <w:rPr>
                <w:rFonts w:ascii="Times New Roman" w:hAnsi="Times New Roman" w:cs="Times New Roman"/>
                <w:sz w:val="24"/>
                <w:szCs w:val="24"/>
                <w:shd w:val="clear" w:color="auto" w:fill="FFFFFF"/>
              </w:rPr>
              <w:t xml:space="preserve"> (turpmāk - programmas apsaimniekotājs)</w:t>
            </w:r>
            <w:r w:rsidRPr="008410ED">
              <w:rPr>
                <w:rFonts w:ascii="Times New Roman" w:hAnsi="Times New Roman" w:cs="Times New Roman"/>
                <w:sz w:val="24"/>
                <w:szCs w:val="24"/>
              </w:rPr>
              <w:t xml:space="preserve"> </w:t>
            </w:r>
            <w:r w:rsidRPr="008410ED">
              <w:rPr>
                <w:rFonts w:ascii="Times New Roman" w:hAnsi="Times New Roman" w:cs="Times New Roman"/>
                <w:sz w:val="24"/>
                <w:szCs w:val="24"/>
                <w:shd w:val="clear" w:color="auto" w:fill="FFFFFF"/>
              </w:rPr>
              <w:t xml:space="preserve">izstrādā un iesniedz atbalstīšanai Ministru kabinetā </w:t>
            </w:r>
            <w:r w:rsidRPr="008410ED">
              <w:rPr>
                <w:rFonts w:ascii="Times New Roman" w:hAnsi="Times New Roman" w:cs="Times New Roman"/>
                <w:sz w:val="24"/>
                <w:szCs w:val="24"/>
              </w:rPr>
              <w:t>Eiropas Ekonomikas zonas finanšu instrumenta</w:t>
            </w:r>
            <w:r w:rsidR="00024DA1" w:rsidRPr="008410ED">
              <w:rPr>
                <w:rFonts w:ascii="Times New Roman" w:hAnsi="Times New Roman" w:cs="Times New Roman"/>
                <w:sz w:val="24"/>
                <w:szCs w:val="24"/>
              </w:rPr>
              <w:t xml:space="preserve"> </w:t>
            </w:r>
            <w:r w:rsidR="005C6918" w:rsidRPr="008410ED">
              <w:rPr>
                <w:rFonts w:ascii="Times New Roman" w:hAnsi="Times New Roman" w:cs="Times New Roman"/>
                <w:sz w:val="24"/>
                <w:szCs w:val="24"/>
              </w:rPr>
              <w:t xml:space="preserve">2014.-2021. gada perioda </w:t>
            </w:r>
            <w:r w:rsidR="00024DA1" w:rsidRPr="008410ED">
              <w:rPr>
                <w:rFonts w:ascii="Times New Roman" w:hAnsi="Times New Roman" w:cs="Times New Roman"/>
                <w:sz w:val="24"/>
                <w:szCs w:val="24"/>
              </w:rPr>
              <w:t>(turpmāk – EEZ FI)</w:t>
            </w:r>
            <w:r w:rsidRPr="008410ED">
              <w:rPr>
                <w:rFonts w:ascii="Times New Roman" w:hAnsi="Times New Roman" w:cs="Times New Roman"/>
                <w:sz w:val="24"/>
                <w:szCs w:val="24"/>
              </w:rPr>
              <w:t xml:space="preserve"> līdzfinansētās programmas “Starptautiskā policijas sadarbība un noziedzības apkarošana”</w:t>
            </w:r>
            <w:r w:rsidR="00B1554A" w:rsidRPr="008410ED">
              <w:rPr>
                <w:rFonts w:ascii="Times New Roman" w:hAnsi="Times New Roman" w:cs="Times New Roman"/>
                <w:sz w:val="24"/>
                <w:szCs w:val="24"/>
              </w:rPr>
              <w:t xml:space="preserve"> (turpmāk – programma)</w:t>
            </w:r>
            <w:r w:rsidRPr="008410ED">
              <w:rPr>
                <w:rFonts w:ascii="Times New Roman" w:hAnsi="Times New Roman" w:cs="Times New Roman"/>
                <w:sz w:val="24"/>
                <w:szCs w:val="24"/>
              </w:rPr>
              <w:t xml:space="preserve"> koncepcijas projektu</w:t>
            </w:r>
            <w:r w:rsidR="00024DA1" w:rsidRPr="008410ED">
              <w:rPr>
                <w:rFonts w:ascii="Times New Roman" w:hAnsi="Times New Roman" w:cs="Times New Roman"/>
                <w:sz w:val="24"/>
                <w:szCs w:val="24"/>
              </w:rPr>
              <w:t xml:space="preserve">, vienlaikus to iesniedzot Finanšu ministrijā kā EEZ FI vadošajā iestādē. </w:t>
            </w:r>
          </w:p>
          <w:p w:rsidR="00E5323B" w:rsidRPr="008410ED" w:rsidRDefault="00E2405F" w:rsidP="00B7602E">
            <w:pPr>
              <w:spacing w:after="0" w:line="240" w:lineRule="auto"/>
              <w:ind w:firstLine="851"/>
              <w:jc w:val="both"/>
              <w:rPr>
                <w:rFonts w:ascii="Times New Roman" w:hAnsi="Times New Roman" w:cs="Times New Roman"/>
                <w:sz w:val="24"/>
                <w:szCs w:val="24"/>
                <w:shd w:val="clear" w:color="auto" w:fill="FFFFFF"/>
              </w:rPr>
            </w:pPr>
            <w:r w:rsidRPr="008410ED">
              <w:rPr>
                <w:rFonts w:ascii="Times New Roman" w:hAnsi="Times New Roman" w:cs="Times New Roman"/>
                <w:sz w:val="24"/>
                <w:szCs w:val="24"/>
                <w:shd w:val="clear" w:color="auto" w:fill="FFFFFF"/>
              </w:rPr>
              <w:t>Saskaņā ar 2018.</w:t>
            </w:r>
            <w:r w:rsidR="00375F52" w:rsidRPr="008410ED">
              <w:rPr>
                <w:rFonts w:ascii="Times New Roman" w:hAnsi="Times New Roman" w:cs="Times New Roman"/>
                <w:sz w:val="24"/>
                <w:szCs w:val="24"/>
                <w:shd w:val="clear" w:color="auto" w:fill="FFFFFF"/>
              </w:rPr>
              <w:t xml:space="preserve"> </w:t>
            </w:r>
            <w:r w:rsidRPr="008410ED">
              <w:rPr>
                <w:rFonts w:ascii="Times New Roman" w:hAnsi="Times New Roman" w:cs="Times New Roman"/>
                <w:sz w:val="24"/>
                <w:szCs w:val="24"/>
                <w:shd w:val="clear" w:color="auto" w:fill="FFFFFF"/>
              </w:rPr>
              <w:t>gada 15.</w:t>
            </w:r>
            <w:r w:rsidR="00375F52" w:rsidRPr="008410ED">
              <w:rPr>
                <w:rFonts w:ascii="Times New Roman" w:hAnsi="Times New Roman" w:cs="Times New Roman"/>
                <w:sz w:val="24"/>
                <w:szCs w:val="24"/>
                <w:shd w:val="clear" w:color="auto" w:fill="FFFFFF"/>
              </w:rPr>
              <w:t xml:space="preserve"> </w:t>
            </w:r>
            <w:r w:rsidRPr="008410ED">
              <w:rPr>
                <w:rFonts w:ascii="Times New Roman" w:hAnsi="Times New Roman" w:cs="Times New Roman"/>
                <w:sz w:val="24"/>
                <w:szCs w:val="24"/>
                <w:shd w:val="clear" w:color="auto" w:fill="FFFFFF"/>
              </w:rPr>
              <w:t>februāra Finanšu ministrijas elektronisko vēstuli Nr.5.1-21/16/23 “Par Eiropas Ekonomikas zonas un Norvēģijas finanšu instrumentu programmu koncepciju iesniegšanu MK”</w:t>
            </w:r>
            <w:r w:rsidR="00375F52" w:rsidRPr="008410ED">
              <w:rPr>
                <w:rFonts w:ascii="Times New Roman" w:hAnsi="Times New Roman" w:cs="Times New Roman"/>
                <w:sz w:val="24"/>
                <w:szCs w:val="24"/>
                <w:shd w:val="clear" w:color="auto" w:fill="FFFFFF"/>
              </w:rPr>
              <w:t xml:space="preserve"> izstrādāto programmas koncepcijas projektu iesniedz kopā ar Ministru kabineta rīkojuma projektu.</w:t>
            </w:r>
          </w:p>
          <w:p w:rsidR="00024DA1" w:rsidRPr="008410ED" w:rsidRDefault="00024DA1" w:rsidP="004A59A3">
            <w:pPr>
              <w:spacing w:after="0" w:line="240" w:lineRule="auto"/>
              <w:ind w:firstLine="851"/>
              <w:jc w:val="both"/>
              <w:rPr>
                <w:rFonts w:ascii="Times New Roman" w:hAnsi="Times New Roman" w:cs="Times New Roman"/>
                <w:sz w:val="24"/>
                <w:szCs w:val="24"/>
                <w:shd w:val="clear" w:color="auto" w:fill="FFFFFF"/>
              </w:rPr>
            </w:pPr>
            <w:r w:rsidRPr="008410ED">
              <w:rPr>
                <w:rFonts w:ascii="Times New Roman" w:hAnsi="Times New Roman" w:cs="Times New Roman"/>
                <w:sz w:val="24"/>
                <w:szCs w:val="24"/>
                <w:shd w:val="clear" w:color="auto" w:fill="FFFFFF"/>
              </w:rPr>
              <w:t xml:space="preserve">Pēc programmas koncepcijas projekta atbalstīšanas Ministru kabinetā Finanšu ministrija nodrošinās programmas koncepcijas iesniegšanu apstiprināšanai </w:t>
            </w:r>
            <w:r w:rsidR="001B4272" w:rsidRPr="008410ED">
              <w:rPr>
                <w:rFonts w:ascii="Times New Roman" w:hAnsi="Times New Roman" w:cs="Times New Roman"/>
                <w:sz w:val="24"/>
                <w:szCs w:val="24"/>
                <w:shd w:val="clear" w:color="auto" w:fill="FFFFFF"/>
              </w:rPr>
              <w:t>Eiropas Ekonomikas zonas finanšu instrumenta komitejā</w:t>
            </w:r>
            <w:r w:rsidR="00FE0F9F" w:rsidRPr="008410ED">
              <w:rPr>
                <w:rFonts w:ascii="Times New Roman" w:hAnsi="Times New Roman" w:cs="Times New Roman"/>
                <w:sz w:val="24"/>
                <w:szCs w:val="24"/>
                <w:shd w:val="clear" w:color="auto" w:fill="FFFFFF"/>
              </w:rPr>
              <w:t xml:space="preserve"> (turpmāk – EEZ FI komiteja)</w:t>
            </w:r>
            <w:r w:rsidRPr="008410ED">
              <w:rPr>
                <w:rFonts w:ascii="Times New Roman" w:hAnsi="Times New Roman" w:cs="Times New Roman"/>
                <w:sz w:val="24"/>
                <w:szCs w:val="24"/>
                <w:shd w:val="clear" w:color="auto" w:fill="FFFFFF"/>
              </w:rPr>
              <w:t>.</w:t>
            </w:r>
          </w:p>
        </w:tc>
      </w:tr>
      <w:tr w:rsidR="00CE66D5" w:rsidRPr="008410ED" w:rsidTr="00644D3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w:t>
            </w:r>
          </w:p>
        </w:tc>
        <w:tc>
          <w:tcPr>
            <w:tcW w:w="1034"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24" w:type="pct"/>
            <w:tcBorders>
              <w:top w:val="outset" w:sz="6" w:space="0" w:color="auto"/>
              <w:left w:val="outset" w:sz="6" w:space="0" w:color="auto"/>
              <w:bottom w:val="outset" w:sz="6" w:space="0" w:color="auto"/>
              <w:right w:val="outset" w:sz="6" w:space="0" w:color="auto"/>
            </w:tcBorders>
            <w:hideMark/>
          </w:tcPr>
          <w:p w:rsidR="00301870" w:rsidRPr="008410ED" w:rsidRDefault="00301870" w:rsidP="00CE66D5">
            <w:pPr>
              <w:spacing w:after="0" w:line="240" w:lineRule="auto"/>
              <w:ind w:firstLine="819"/>
              <w:jc w:val="both"/>
              <w:rPr>
                <w:rFonts w:ascii="Times New Roman" w:hAnsi="Times New Roman" w:cs="Times New Roman"/>
                <w:sz w:val="24"/>
                <w:szCs w:val="24"/>
              </w:rPr>
            </w:pPr>
            <w:r w:rsidRPr="008410ED">
              <w:rPr>
                <w:rFonts w:ascii="Times New Roman" w:hAnsi="Times New Roman" w:cs="Times New Roman"/>
                <w:sz w:val="24"/>
                <w:szCs w:val="24"/>
              </w:rPr>
              <w:t xml:space="preserve">Izstrādātais </w:t>
            </w:r>
            <w:r w:rsidR="003E4E98" w:rsidRPr="008410ED">
              <w:rPr>
                <w:rFonts w:ascii="Times New Roman" w:hAnsi="Times New Roman" w:cs="Times New Roman"/>
                <w:sz w:val="24"/>
                <w:szCs w:val="24"/>
              </w:rPr>
              <w:t xml:space="preserve">programmas </w:t>
            </w:r>
            <w:r w:rsidRPr="008410ED">
              <w:rPr>
                <w:rFonts w:ascii="Times New Roman" w:hAnsi="Times New Roman" w:cs="Times New Roman"/>
                <w:sz w:val="24"/>
                <w:szCs w:val="24"/>
              </w:rPr>
              <w:t xml:space="preserve">koncepcijas projekts tiks īstenots saskaņā ar 2017. gada 14. decembra Saprašanās memoranda par </w:t>
            </w:r>
            <w:r w:rsidRPr="008410ED">
              <w:rPr>
                <w:rFonts w:ascii="Times New Roman" w:hAnsi="Times New Roman" w:cs="Times New Roman"/>
                <w:bCs/>
                <w:sz w:val="24"/>
                <w:szCs w:val="24"/>
              </w:rPr>
              <w:t>Eiropas Ekonomikas zonas finanšu</w:t>
            </w:r>
            <w:r w:rsidRPr="008410ED">
              <w:rPr>
                <w:rFonts w:ascii="Times New Roman" w:hAnsi="Times New Roman" w:cs="Times New Roman"/>
                <w:sz w:val="24"/>
                <w:szCs w:val="24"/>
              </w:rPr>
              <w:t xml:space="preserve"> instrumenta ieviešanu 2014.–2021. gadā starp Latvijas Republiku un Islandi, Lihtenšteinas Firstisti un Norvēģijas Karalisti 6. panta un B pielikuma C sadaļā noteikto. </w:t>
            </w:r>
          </w:p>
          <w:p w:rsidR="00397BA1" w:rsidRPr="008410ED" w:rsidRDefault="00397BA1" w:rsidP="00CE66D5">
            <w:pPr>
              <w:spacing w:after="0" w:line="240" w:lineRule="auto"/>
              <w:ind w:firstLine="851"/>
              <w:jc w:val="both"/>
              <w:rPr>
                <w:rFonts w:ascii="Times New Roman" w:hAnsi="Times New Roman" w:cs="Times New Roman"/>
                <w:sz w:val="24"/>
                <w:szCs w:val="24"/>
              </w:rPr>
            </w:pPr>
            <w:r w:rsidRPr="008410ED">
              <w:rPr>
                <w:rFonts w:ascii="Times New Roman" w:hAnsi="Times New Roman" w:cs="Times New Roman"/>
                <w:sz w:val="24"/>
                <w:szCs w:val="24"/>
              </w:rPr>
              <w:t xml:space="preserve">Programmas darbības jomas ir Starptautiskā policijas sadarbība un noziedzības apkarošana un vardarbība ģimenē un ar dzimumu saistīta vardarbība. </w:t>
            </w:r>
          </w:p>
          <w:p w:rsidR="00397BA1" w:rsidRPr="008410ED" w:rsidRDefault="00397BA1" w:rsidP="00CE66D5">
            <w:pPr>
              <w:spacing w:after="0" w:line="240" w:lineRule="auto"/>
              <w:ind w:firstLine="851"/>
              <w:jc w:val="both"/>
              <w:rPr>
                <w:rFonts w:ascii="Times New Roman" w:hAnsi="Times New Roman" w:cs="Times New Roman"/>
                <w:sz w:val="24"/>
                <w:szCs w:val="24"/>
              </w:rPr>
            </w:pPr>
            <w:r w:rsidRPr="008410ED">
              <w:rPr>
                <w:rFonts w:ascii="Times New Roman" w:hAnsi="Times New Roman" w:cs="Times New Roman"/>
                <w:sz w:val="24"/>
                <w:szCs w:val="24"/>
              </w:rPr>
              <w:lastRenderedPageBreak/>
              <w:t>Programmas mērķis ir uzlabota noziedzības novēršana un izmeklēšana.</w:t>
            </w:r>
          </w:p>
          <w:p w:rsidR="00397BA1" w:rsidRPr="008410ED" w:rsidRDefault="00397BA1" w:rsidP="00574650">
            <w:pPr>
              <w:spacing w:before="120" w:after="0" w:line="240" w:lineRule="auto"/>
              <w:jc w:val="both"/>
              <w:rPr>
                <w:rFonts w:ascii="Times New Roman" w:hAnsi="Times New Roman" w:cs="Times New Roman"/>
                <w:sz w:val="24"/>
                <w:szCs w:val="24"/>
              </w:rPr>
            </w:pPr>
            <w:r w:rsidRPr="008410ED">
              <w:rPr>
                <w:rFonts w:ascii="Times New Roman" w:hAnsi="Times New Roman" w:cs="Times New Roman"/>
                <w:sz w:val="24"/>
                <w:szCs w:val="24"/>
              </w:rPr>
              <w:t>Lai sasniegtu mērķi tiks īstenoti sekojoši projekti:</w:t>
            </w:r>
          </w:p>
          <w:p w:rsidR="00397BA1" w:rsidRPr="008410ED" w:rsidRDefault="001838AE" w:rsidP="001838AE">
            <w:pPr>
              <w:numPr>
                <w:ilvl w:val="0"/>
                <w:numId w:val="1"/>
              </w:numPr>
              <w:spacing w:after="0" w:line="240" w:lineRule="auto"/>
              <w:jc w:val="both"/>
              <w:rPr>
                <w:rFonts w:ascii="Times New Roman" w:hAnsi="Times New Roman" w:cs="Times New Roman"/>
                <w:sz w:val="24"/>
                <w:szCs w:val="24"/>
              </w:rPr>
            </w:pPr>
            <w:r w:rsidRPr="008410ED">
              <w:rPr>
                <w:rFonts w:ascii="Times New Roman" w:hAnsi="Times New Roman" w:cs="Times New Roman"/>
                <w:sz w:val="24"/>
                <w:szCs w:val="24"/>
              </w:rPr>
              <w:t xml:space="preserve">Tiesībsargājošo iestāžu sadarbības veicināšana ekonomisko noziegumu </w:t>
            </w:r>
            <w:r w:rsidR="00F6049A" w:rsidRPr="008410ED">
              <w:rPr>
                <w:rFonts w:ascii="Times New Roman" w:hAnsi="Times New Roman" w:cs="Times New Roman"/>
                <w:sz w:val="24"/>
                <w:szCs w:val="24"/>
              </w:rPr>
              <w:t xml:space="preserve">novēršanā un </w:t>
            </w:r>
            <w:r w:rsidRPr="008410ED">
              <w:rPr>
                <w:rFonts w:ascii="Times New Roman" w:hAnsi="Times New Roman" w:cs="Times New Roman"/>
                <w:sz w:val="24"/>
                <w:szCs w:val="24"/>
              </w:rPr>
              <w:t>apkarošanā Latvijā</w:t>
            </w:r>
            <w:r w:rsidR="00397BA1" w:rsidRPr="008410ED">
              <w:rPr>
                <w:rFonts w:ascii="Times New Roman" w:hAnsi="Times New Roman" w:cs="Times New Roman"/>
                <w:sz w:val="24"/>
                <w:szCs w:val="24"/>
              </w:rPr>
              <w:t xml:space="preserve"> (Valsts ieņēmumu dienests);</w:t>
            </w:r>
          </w:p>
          <w:p w:rsidR="00397BA1" w:rsidRPr="008410ED" w:rsidRDefault="001838AE" w:rsidP="001838AE">
            <w:pPr>
              <w:numPr>
                <w:ilvl w:val="0"/>
                <w:numId w:val="1"/>
              </w:numPr>
              <w:spacing w:after="0" w:line="240" w:lineRule="auto"/>
              <w:jc w:val="both"/>
              <w:rPr>
                <w:rFonts w:ascii="Times New Roman" w:hAnsi="Times New Roman" w:cs="Times New Roman"/>
                <w:sz w:val="24"/>
                <w:szCs w:val="24"/>
              </w:rPr>
            </w:pPr>
            <w:r w:rsidRPr="008410ED">
              <w:rPr>
                <w:rFonts w:ascii="Times New Roman" w:hAnsi="Times New Roman" w:cs="Times New Roman"/>
                <w:sz w:val="24"/>
                <w:szCs w:val="24"/>
              </w:rPr>
              <w:t xml:space="preserve">Ekonomisko noziegumu </w:t>
            </w:r>
            <w:r w:rsidR="00F6049A" w:rsidRPr="008410ED">
              <w:rPr>
                <w:rFonts w:ascii="Times New Roman" w:hAnsi="Times New Roman" w:cs="Times New Roman"/>
                <w:sz w:val="24"/>
                <w:szCs w:val="24"/>
              </w:rPr>
              <w:t xml:space="preserve">novēršana un </w:t>
            </w:r>
            <w:r w:rsidRPr="008410ED">
              <w:rPr>
                <w:rFonts w:ascii="Times New Roman" w:hAnsi="Times New Roman" w:cs="Times New Roman"/>
                <w:sz w:val="24"/>
                <w:szCs w:val="24"/>
              </w:rPr>
              <w:t xml:space="preserve">apkarošana </w:t>
            </w:r>
            <w:r w:rsidR="001C3CD4" w:rsidRPr="008410ED">
              <w:rPr>
                <w:rFonts w:ascii="Times New Roman" w:hAnsi="Times New Roman" w:cs="Times New Roman"/>
                <w:sz w:val="24"/>
                <w:szCs w:val="24"/>
              </w:rPr>
              <w:t>robež</w:t>
            </w:r>
            <w:r w:rsidR="001C3CD4">
              <w:rPr>
                <w:rFonts w:ascii="Times New Roman" w:hAnsi="Times New Roman" w:cs="Times New Roman"/>
                <w:sz w:val="24"/>
                <w:szCs w:val="24"/>
              </w:rPr>
              <w:t>šķērsošanas</w:t>
            </w:r>
            <w:r w:rsidR="001C3CD4" w:rsidRPr="008410ED">
              <w:rPr>
                <w:rFonts w:ascii="Times New Roman" w:hAnsi="Times New Roman" w:cs="Times New Roman"/>
                <w:sz w:val="24"/>
                <w:szCs w:val="24"/>
              </w:rPr>
              <w:t xml:space="preserve"> </w:t>
            </w:r>
            <w:r w:rsidR="001C3CD4">
              <w:rPr>
                <w:rFonts w:ascii="Times New Roman" w:hAnsi="Times New Roman" w:cs="Times New Roman"/>
                <w:sz w:val="24"/>
                <w:szCs w:val="24"/>
              </w:rPr>
              <w:t>vietā</w:t>
            </w:r>
            <w:r w:rsidR="001C3CD4" w:rsidRPr="008410ED">
              <w:rPr>
                <w:rFonts w:ascii="Times New Roman" w:hAnsi="Times New Roman" w:cs="Times New Roman"/>
                <w:sz w:val="24"/>
                <w:szCs w:val="24"/>
              </w:rPr>
              <w:t xml:space="preserve"> </w:t>
            </w:r>
            <w:r w:rsidRPr="008410ED">
              <w:rPr>
                <w:rFonts w:ascii="Times New Roman" w:hAnsi="Times New Roman" w:cs="Times New Roman"/>
                <w:sz w:val="24"/>
                <w:szCs w:val="24"/>
              </w:rPr>
              <w:t>“Terehova”</w:t>
            </w:r>
            <w:r w:rsidR="00397BA1" w:rsidRPr="008410ED">
              <w:rPr>
                <w:rFonts w:ascii="Times New Roman" w:hAnsi="Times New Roman" w:cs="Times New Roman"/>
                <w:sz w:val="24"/>
                <w:szCs w:val="24"/>
              </w:rPr>
              <w:t xml:space="preserve"> (Valsts ieņēmumu dienests);</w:t>
            </w:r>
          </w:p>
          <w:p w:rsidR="00397BA1" w:rsidRPr="008410ED" w:rsidRDefault="001838AE" w:rsidP="001838AE">
            <w:pPr>
              <w:numPr>
                <w:ilvl w:val="0"/>
                <w:numId w:val="1"/>
              </w:numPr>
              <w:spacing w:after="0" w:line="240" w:lineRule="auto"/>
              <w:jc w:val="both"/>
              <w:rPr>
                <w:rFonts w:ascii="Times New Roman" w:hAnsi="Times New Roman" w:cs="Times New Roman"/>
                <w:sz w:val="24"/>
                <w:szCs w:val="24"/>
              </w:rPr>
            </w:pPr>
            <w:r w:rsidRPr="008410ED">
              <w:rPr>
                <w:rFonts w:ascii="Times New Roman" w:hAnsi="Times New Roman" w:cs="Times New Roman"/>
                <w:sz w:val="24"/>
                <w:szCs w:val="24"/>
              </w:rPr>
              <w:t xml:space="preserve">Atbalsts trauksmes celšanas sistēmas izveidei Latvijā </w:t>
            </w:r>
            <w:r w:rsidR="00397BA1" w:rsidRPr="008410ED">
              <w:rPr>
                <w:rFonts w:ascii="Times New Roman" w:hAnsi="Times New Roman" w:cs="Times New Roman"/>
                <w:sz w:val="24"/>
                <w:szCs w:val="24"/>
              </w:rPr>
              <w:t>(Korupcijas novēršanas un apkarošanas birojs);</w:t>
            </w:r>
          </w:p>
          <w:p w:rsidR="00397BA1" w:rsidRPr="008410ED" w:rsidRDefault="001838AE" w:rsidP="001838AE">
            <w:pPr>
              <w:numPr>
                <w:ilvl w:val="0"/>
                <w:numId w:val="1"/>
              </w:numPr>
              <w:spacing w:after="0" w:line="240" w:lineRule="auto"/>
              <w:jc w:val="both"/>
              <w:rPr>
                <w:rFonts w:ascii="Times New Roman" w:hAnsi="Times New Roman" w:cs="Times New Roman"/>
                <w:sz w:val="24"/>
                <w:szCs w:val="24"/>
              </w:rPr>
            </w:pPr>
            <w:r w:rsidRPr="008410ED">
              <w:rPr>
                <w:rFonts w:ascii="Times New Roman" w:hAnsi="Times New Roman" w:cs="Times New Roman"/>
                <w:sz w:val="24"/>
                <w:szCs w:val="24"/>
              </w:rPr>
              <w:t xml:space="preserve">Atbalsts Valsts policijai ekonomisko noziegumu izmeklēšanas paātrināšanai un kvalitātes uzlabošanai Latvijā </w:t>
            </w:r>
            <w:r w:rsidR="00397BA1" w:rsidRPr="008410ED">
              <w:rPr>
                <w:rFonts w:ascii="Times New Roman" w:hAnsi="Times New Roman" w:cs="Times New Roman"/>
                <w:sz w:val="24"/>
                <w:szCs w:val="24"/>
              </w:rPr>
              <w:t>(Valsts policija);</w:t>
            </w:r>
          </w:p>
          <w:p w:rsidR="00397BA1" w:rsidRPr="001C3CD4" w:rsidRDefault="001838AE" w:rsidP="001838AE">
            <w:pPr>
              <w:numPr>
                <w:ilvl w:val="0"/>
                <w:numId w:val="1"/>
              </w:numPr>
              <w:spacing w:after="0" w:line="240" w:lineRule="auto"/>
              <w:jc w:val="both"/>
              <w:rPr>
                <w:rFonts w:ascii="Times New Roman" w:hAnsi="Times New Roman" w:cs="Times New Roman"/>
                <w:sz w:val="24"/>
                <w:szCs w:val="24"/>
              </w:rPr>
            </w:pPr>
            <w:r w:rsidRPr="008410ED">
              <w:rPr>
                <w:rFonts w:ascii="Times New Roman" w:hAnsi="Times New Roman" w:cs="Times New Roman"/>
                <w:sz w:val="24"/>
                <w:szCs w:val="24"/>
              </w:rPr>
              <w:t>Darbinieku zināšanu pilnveid</w:t>
            </w:r>
            <w:r w:rsidR="006E476C" w:rsidRPr="008410ED">
              <w:rPr>
                <w:rFonts w:ascii="Times New Roman" w:hAnsi="Times New Roman" w:cs="Times New Roman"/>
                <w:sz w:val="24"/>
                <w:szCs w:val="24"/>
              </w:rPr>
              <w:t xml:space="preserve">e </w:t>
            </w:r>
            <w:r w:rsidR="00007DD1">
              <w:rPr>
                <w:rFonts w:ascii="Times New Roman" w:hAnsi="Times New Roman" w:cs="Times New Roman"/>
                <w:sz w:val="24"/>
                <w:szCs w:val="24"/>
              </w:rPr>
              <w:t>noziedzīgi  iegūtu līdzekļu legalizācijas</w:t>
            </w:r>
            <w:r w:rsidR="006E476C" w:rsidRPr="008410ED">
              <w:rPr>
                <w:rFonts w:ascii="Times New Roman" w:hAnsi="Times New Roman" w:cs="Times New Roman"/>
                <w:sz w:val="24"/>
                <w:szCs w:val="24"/>
              </w:rPr>
              <w:t xml:space="preserve"> </w:t>
            </w:r>
            <w:r w:rsidR="006E476C" w:rsidRPr="001C3CD4">
              <w:rPr>
                <w:rFonts w:ascii="Times New Roman" w:hAnsi="Times New Roman" w:cs="Times New Roman"/>
                <w:sz w:val="24"/>
                <w:szCs w:val="24"/>
              </w:rPr>
              <w:t>apkarošan</w:t>
            </w:r>
            <w:r w:rsidR="008F6EE2">
              <w:rPr>
                <w:rFonts w:ascii="Times New Roman" w:hAnsi="Times New Roman" w:cs="Times New Roman"/>
                <w:sz w:val="24"/>
                <w:szCs w:val="24"/>
              </w:rPr>
              <w:t>ā</w:t>
            </w:r>
            <w:r w:rsidRPr="001C3CD4">
              <w:rPr>
                <w:rFonts w:ascii="Times New Roman" w:hAnsi="Times New Roman" w:cs="Times New Roman"/>
                <w:sz w:val="24"/>
                <w:szCs w:val="24"/>
              </w:rPr>
              <w:t xml:space="preserve"> Latvijā </w:t>
            </w:r>
            <w:r w:rsidR="00397BA1" w:rsidRPr="001C3CD4">
              <w:rPr>
                <w:rFonts w:ascii="Times New Roman" w:hAnsi="Times New Roman" w:cs="Times New Roman"/>
                <w:sz w:val="24"/>
                <w:szCs w:val="24"/>
              </w:rPr>
              <w:t>(</w:t>
            </w:r>
            <w:r w:rsidR="005D5FDA" w:rsidRPr="001C3CD4">
              <w:rPr>
                <w:rFonts w:ascii="Times New Roman" w:hAnsi="Times New Roman" w:cs="Times New Roman"/>
                <w:sz w:val="24"/>
                <w:szCs w:val="24"/>
                <w:shd w:val="clear" w:color="auto" w:fill="FFFFFF"/>
              </w:rPr>
              <w:t>Noziedzīgi iegūtu līdzekļu legalizācijas novēršanas dienest</w:t>
            </w:r>
            <w:r w:rsidR="005D5FDA" w:rsidRPr="001C3CD4">
              <w:rPr>
                <w:rFonts w:ascii="Times New Roman" w:hAnsi="Times New Roman" w:cs="Times New Roman"/>
                <w:sz w:val="24"/>
                <w:szCs w:val="24"/>
              </w:rPr>
              <w:t xml:space="preserve">s/ </w:t>
            </w:r>
            <w:r w:rsidR="00397BA1" w:rsidRPr="001C3CD4">
              <w:rPr>
                <w:rFonts w:ascii="Times New Roman" w:hAnsi="Times New Roman" w:cs="Times New Roman"/>
                <w:sz w:val="24"/>
                <w:szCs w:val="24"/>
              </w:rPr>
              <w:t>Finanšu un kapitāla tirgus komisija);</w:t>
            </w:r>
          </w:p>
          <w:p w:rsidR="00397BA1" w:rsidRPr="001C3CD4" w:rsidRDefault="001838AE" w:rsidP="001838AE">
            <w:pPr>
              <w:numPr>
                <w:ilvl w:val="0"/>
                <w:numId w:val="1"/>
              </w:numPr>
              <w:spacing w:after="0" w:line="240" w:lineRule="auto"/>
              <w:jc w:val="both"/>
              <w:rPr>
                <w:rFonts w:ascii="Times New Roman" w:hAnsi="Times New Roman" w:cs="Times New Roman"/>
                <w:sz w:val="24"/>
                <w:szCs w:val="24"/>
              </w:rPr>
            </w:pPr>
            <w:r w:rsidRPr="001C3CD4">
              <w:rPr>
                <w:rFonts w:ascii="Times New Roman" w:hAnsi="Times New Roman" w:cs="Times New Roman"/>
                <w:sz w:val="24"/>
                <w:szCs w:val="24"/>
              </w:rPr>
              <w:t xml:space="preserve">Atbalsts Barnahus ieviešanai Latvijā </w:t>
            </w:r>
            <w:r w:rsidR="00397BA1" w:rsidRPr="001C3CD4">
              <w:rPr>
                <w:rFonts w:ascii="Times New Roman" w:hAnsi="Times New Roman" w:cs="Times New Roman"/>
                <w:sz w:val="24"/>
                <w:szCs w:val="24"/>
              </w:rPr>
              <w:t>(Labklājības ministrija).</w:t>
            </w:r>
          </w:p>
          <w:p w:rsidR="00D95671" w:rsidRPr="008410ED" w:rsidRDefault="00D95671" w:rsidP="00CE66D5">
            <w:pPr>
              <w:spacing w:after="0" w:line="240" w:lineRule="auto"/>
              <w:ind w:firstLine="851"/>
              <w:jc w:val="both"/>
              <w:rPr>
                <w:rFonts w:ascii="Times New Roman" w:hAnsi="Times New Roman" w:cs="Times New Roman"/>
                <w:sz w:val="24"/>
                <w:szCs w:val="24"/>
              </w:rPr>
            </w:pPr>
          </w:p>
          <w:p w:rsidR="00BC61D8" w:rsidRPr="008410ED" w:rsidRDefault="00397BA1" w:rsidP="001633FB">
            <w:pPr>
              <w:spacing w:after="0" w:line="240" w:lineRule="auto"/>
              <w:ind w:firstLine="115"/>
              <w:jc w:val="both"/>
              <w:rPr>
                <w:rFonts w:ascii="Times New Roman" w:hAnsi="Times New Roman" w:cs="Times New Roman"/>
                <w:sz w:val="24"/>
                <w:szCs w:val="24"/>
              </w:rPr>
            </w:pPr>
            <w:r w:rsidRPr="008410ED">
              <w:rPr>
                <w:rFonts w:ascii="Times New Roman" w:hAnsi="Times New Roman" w:cs="Times New Roman"/>
                <w:sz w:val="24"/>
                <w:szCs w:val="24"/>
              </w:rPr>
              <w:t>Kā rezultātā</w:t>
            </w:r>
            <w:r w:rsidR="00BC61D8" w:rsidRPr="008410ED">
              <w:rPr>
                <w:rFonts w:ascii="Times New Roman" w:hAnsi="Times New Roman" w:cs="Times New Roman"/>
                <w:sz w:val="24"/>
                <w:szCs w:val="24"/>
              </w:rPr>
              <w:t xml:space="preserve"> sasniedzamie iznākumi:</w:t>
            </w:r>
          </w:p>
          <w:p w:rsidR="003F637E" w:rsidRPr="008410ED" w:rsidRDefault="003F637E" w:rsidP="00CE66D5">
            <w:pPr>
              <w:spacing w:after="0" w:line="240" w:lineRule="auto"/>
              <w:ind w:firstLine="851"/>
              <w:jc w:val="both"/>
              <w:rPr>
                <w:rFonts w:ascii="Times New Roman" w:hAnsi="Times New Roman" w:cs="Times New Roman"/>
                <w:sz w:val="24"/>
                <w:szCs w:val="24"/>
              </w:rPr>
            </w:pPr>
          </w:p>
          <w:tbl>
            <w:tblPr>
              <w:tblStyle w:val="TableGrid"/>
              <w:tblW w:w="6630" w:type="dxa"/>
              <w:tblLayout w:type="fixed"/>
              <w:tblLook w:val="04A0" w:firstRow="1" w:lastRow="0" w:firstColumn="1" w:lastColumn="0" w:noHBand="0" w:noVBand="1"/>
            </w:tblPr>
            <w:tblGrid>
              <w:gridCol w:w="1894"/>
              <w:gridCol w:w="767"/>
              <w:gridCol w:w="1134"/>
              <w:gridCol w:w="2835"/>
            </w:tblGrid>
            <w:tr w:rsidR="00CE66D5" w:rsidRPr="008410ED" w:rsidTr="005767AF">
              <w:tc>
                <w:tcPr>
                  <w:tcW w:w="1894" w:type="dxa"/>
                </w:tcPr>
                <w:p w:rsidR="00F662E7" w:rsidRPr="008410ED" w:rsidRDefault="00F662E7" w:rsidP="005767AF">
                  <w:pPr>
                    <w:jc w:val="center"/>
                    <w:rPr>
                      <w:rFonts w:ascii="Times New Roman" w:hAnsi="Times New Roman" w:cs="Times New Roman"/>
                    </w:rPr>
                  </w:pPr>
                  <w:r w:rsidRPr="008410ED">
                    <w:rPr>
                      <w:rFonts w:ascii="Times New Roman" w:hAnsi="Times New Roman" w:cs="Times New Roman"/>
                      <w:i/>
                    </w:rPr>
                    <w:t>Rādītāji</w:t>
                  </w:r>
                </w:p>
              </w:tc>
              <w:tc>
                <w:tcPr>
                  <w:tcW w:w="767" w:type="dxa"/>
                </w:tcPr>
                <w:p w:rsidR="00F662E7" w:rsidRPr="008410ED" w:rsidRDefault="00F662E7" w:rsidP="005767AF">
                  <w:pPr>
                    <w:jc w:val="center"/>
                    <w:rPr>
                      <w:rFonts w:ascii="Times New Roman" w:hAnsi="Times New Roman" w:cs="Times New Roman"/>
                    </w:rPr>
                  </w:pPr>
                  <w:r w:rsidRPr="008410ED">
                    <w:rPr>
                      <w:rFonts w:ascii="Times New Roman" w:hAnsi="Times New Roman" w:cs="Times New Roman"/>
                    </w:rPr>
                    <w:t>Bāze</w:t>
                  </w:r>
                  <w:r w:rsidRPr="008410ED">
                    <w:rPr>
                      <w:rFonts w:ascii="Times New Roman" w:hAnsi="Times New Roman" w:cs="Times New Roman"/>
                      <w:i/>
                    </w:rPr>
                    <w:t>s līnija</w:t>
                  </w:r>
                </w:p>
              </w:tc>
              <w:tc>
                <w:tcPr>
                  <w:tcW w:w="1134" w:type="dxa"/>
                </w:tcPr>
                <w:p w:rsidR="00F662E7" w:rsidRPr="008410ED" w:rsidRDefault="00F662E7" w:rsidP="005767AF">
                  <w:pPr>
                    <w:jc w:val="center"/>
                    <w:rPr>
                      <w:rFonts w:ascii="Times New Roman" w:hAnsi="Times New Roman" w:cs="Times New Roman"/>
                    </w:rPr>
                  </w:pPr>
                  <w:r w:rsidRPr="008410ED">
                    <w:rPr>
                      <w:rFonts w:ascii="Times New Roman" w:hAnsi="Times New Roman" w:cs="Times New Roman"/>
                      <w:i/>
                    </w:rPr>
                    <w:t>Uzdevums</w:t>
                  </w:r>
                </w:p>
              </w:tc>
              <w:tc>
                <w:tcPr>
                  <w:tcW w:w="2835" w:type="dxa"/>
                </w:tcPr>
                <w:p w:rsidR="00F662E7" w:rsidRPr="008410ED" w:rsidRDefault="00F662E7" w:rsidP="005767AF">
                  <w:pPr>
                    <w:jc w:val="center"/>
                    <w:rPr>
                      <w:rFonts w:ascii="Times New Roman" w:hAnsi="Times New Roman" w:cs="Times New Roman"/>
                    </w:rPr>
                  </w:pPr>
                  <w:r w:rsidRPr="008410ED">
                    <w:rPr>
                      <w:rFonts w:ascii="Times New Roman" w:hAnsi="Times New Roman" w:cs="Times New Roman"/>
                      <w:i/>
                    </w:rPr>
                    <w:t>Pamatojums</w:t>
                  </w:r>
                </w:p>
              </w:tc>
            </w:tr>
            <w:tr w:rsidR="00CE66D5" w:rsidRPr="008410ED" w:rsidTr="00644D36">
              <w:tc>
                <w:tcPr>
                  <w:tcW w:w="6630" w:type="dxa"/>
                  <w:gridSpan w:val="4"/>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b/>
                    </w:rPr>
                    <w:t>Mērķis Nr. 1</w:t>
                  </w:r>
                  <w:r w:rsidRPr="008410ED">
                    <w:rPr>
                      <w:rFonts w:ascii="Times New Roman" w:hAnsi="Times New Roman" w:cs="Times New Roman"/>
                      <w:b/>
                      <w:i/>
                    </w:rPr>
                    <w:t xml:space="preserve"> “</w:t>
                  </w:r>
                  <w:r w:rsidRPr="008410ED">
                    <w:rPr>
                      <w:rFonts w:ascii="Times New Roman" w:hAnsi="Times New Roman" w:cs="Times New Roman"/>
                      <w:b/>
                    </w:rPr>
                    <w:t>Paaugstināta ekonomisko noziegumu novēršanas un apkarošanas efektivitāte (PA20)</w:t>
                  </w:r>
                  <w:r w:rsidRPr="008410ED">
                    <w:rPr>
                      <w:rFonts w:ascii="Times New Roman" w:hAnsi="Times New Roman" w:cs="Times New Roman"/>
                      <w:b/>
                      <w:i/>
                    </w:rPr>
                    <w:t>”</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Pilnveidoti nacionālie politikas dokumenti un normatīvie akti</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5</w:t>
                  </w:r>
                </w:p>
              </w:tc>
              <w:tc>
                <w:tcPr>
                  <w:tcW w:w="2835" w:type="dxa"/>
                </w:tcPr>
                <w:p w:rsidR="00923295" w:rsidRPr="008410ED" w:rsidRDefault="00257933" w:rsidP="00F41B67">
                  <w:pPr>
                    <w:jc w:val="both"/>
                    <w:rPr>
                      <w:rFonts w:ascii="Times New Roman" w:hAnsi="Times New Roman" w:cs="Times New Roman"/>
                    </w:rPr>
                  </w:pPr>
                  <w:r w:rsidRPr="008410ED">
                    <w:rPr>
                      <w:rFonts w:ascii="Times New Roman" w:hAnsi="Times New Roman" w:cs="Times New Roman"/>
                    </w:rPr>
                    <w:t xml:space="preserve">Plānots, ka sadarbībā ar </w:t>
                  </w:r>
                  <w:r w:rsidR="004A59A3" w:rsidRPr="00964D19">
                    <w:rPr>
                      <w:rFonts w:ascii="Times New Roman" w:hAnsi="Times New Roman" w:cs="Times New Roman"/>
                      <w:iCs/>
                    </w:rPr>
                    <w:t xml:space="preserve">Ekonomiskās sadarbības un attīstības organizāciju (turpmāk- </w:t>
                  </w:r>
                  <w:r w:rsidRPr="004A59A3">
                    <w:rPr>
                      <w:rFonts w:ascii="Times New Roman" w:hAnsi="Times New Roman" w:cs="Times New Roman"/>
                    </w:rPr>
                    <w:t>OECD</w:t>
                  </w:r>
                  <w:r w:rsidR="004A59A3" w:rsidRPr="004A59A3">
                    <w:rPr>
                      <w:rFonts w:ascii="Times New Roman" w:hAnsi="Times New Roman" w:cs="Times New Roman"/>
                    </w:rPr>
                    <w:t>)</w:t>
                  </w:r>
                  <w:r w:rsidRPr="008410ED">
                    <w:rPr>
                      <w:rFonts w:ascii="Times New Roman" w:hAnsi="Times New Roman" w:cs="Times New Roman"/>
                    </w:rPr>
                    <w:t xml:space="preserve"> ekspertiem tiks veikta esošās normatīvās bāzes trūkumu vispārējā analīz</w:t>
                  </w:r>
                  <w:r w:rsidR="004A6B6D" w:rsidRPr="008410ED">
                    <w:rPr>
                      <w:rFonts w:ascii="Times New Roman" w:hAnsi="Times New Roman" w:cs="Times New Roman"/>
                    </w:rPr>
                    <w:t xml:space="preserve">e </w:t>
                  </w:r>
                  <w:r w:rsidRPr="008410ED">
                    <w:rPr>
                      <w:rFonts w:ascii="Times New Roman" w:hAnsi="Times New Roman" w:cs="Times New Roman"/>
                    </w:rPr>
                    <w:t xml:space="preserve"> attiec</w:t>
                  </w:r>
                  <w:r w:rsidR="004A6B6D" w:rsidRPr="008410ED">
                    <w:rPr>
                      <w:rFonts w:ascii="Times New Roman" w:hAnsi="Times New Roman" w:cs="Times New Roman"/>
                    </w:rPr>
                    <w:t>ībā</w:t>
                  </w:r>
                  <w:r w:rsidRPr="008410ED">
                    <w:rPr>
                      <w:rFonts w:ascii="Times New Roman" w:hAnsi="Times New Roman" w:cs="Times New Roman"/>
                    </w:rPr>
                    <w:t xml:space="preserve"> uz ekonomisko noziegumu specifiku</w:t>
                  </w:r>
                  <w:r w:rsidR="004A6B6D" w:rsidRPr="008410ED">
                    <w:rPr>
                      <w:rFonts w:ascii="Times New Roman" w:hAnsi="Times New Roman" w:cs="Times New Roman"/>
                    </w:rPr>
                    <w:t xml:space="preserve">. </w:t>
                  </w:r>
                </w:p>
                <w:p w:rsidR="004A6B6D" w:rsidRPr="008410ED" w:rsidRDefault="004A6B6D" w:rsidP="00F41B67">
                  <w:pPr>
                    <w:jc w:val="both"/>
                    <w:rPr>
                      <w:b/>
                    </w:rPr>
                  </w:pPr>
                  <w:r w:rsidRPr="008410ED">
                    <w:rPr>
                      <w:rFonts w:ascii="Times New Roman" w:hAnsi="Times New Roman" w:cs="Times New Roman"/>
                    </w:rPr>
                    <w:t>Kā arī izvērtēti normatīvie akti un izstrādāti priekšlikumi tiesībsargājošo institūciju informācijas apmaiņai, ieviešot Nacionālo kriminālizlūkošanas modeli.</w:t>
                  </w:r>
                </w:p>
              </w:tc>
            </w:tr>
            <w:tr w:rsidR="00CE66D5" w:rsidRPr="008410ED" w:rsidTr="005767AF">
              <w:tc>
                <w:tcPr>
                  <w:tcW w:w="1894" w:type="dxa"/>
                </w:tcPr>
                <w:p w:rsidR="00F662E7" w:rsidRPr="008410ED" w:rsidRDefault="00894753" w:rsidP="00CE66D5">
                  <w:pPr>
                    <w:jc w:val="both"/>
                    <w:rPr>
                      <w:rFonts w:ascii="Times New Roman" w:hAnsi="Times New Roman" w:cs="Times New Roman"/>
                    </w:rPr>
                  </w:pPr>
                  <w:r w:rsidRPr="008410ED">
                    <w:rPr>
                      <w:rFonts w:ascii="Times New Roman" w:hAnsi="Times New Roman" w:cs="Times New Roman"/>
                    </w:rPr>
                    <w:t>K</w:t>
                  </w:r>
                  <w:r w:rsidR="00F662E7" w:rsidRPr="008410ED">
                    <w:rPr>
                      <w:rFonts w:ascii="Times New Roman" w:hAnsi="Times New Roman" w:cs="Times New Roman"/>
                    </w:rPr>
                    <w:t>riminālvajāšanai nodoto izmeklēto ekonomisko noziegumu krimināllietu skaits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10%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20%</w:t>
                  </w:r>
                </w:p>
              </w:tc>
              <w:tc>
                <w:tcPr>
                  <w:tcW w:w="2835" w:type="dxa"/>
                </w:tcPr>
                <w:p w:rsidR="00BC5DBB" w:rsidRPr="008410ED" w:rsidRDefault="00BC5DBB" w:rsidP="00BC5DBB">
                  <w:pPr>
                    <w:jc w:val="both"/>
                    <w:rPr>
                      <w:rFonts w:ascii="Times New Roman" w:hAnsi="Times New Roman" w:cs="Times New Roman"/>
                    </w:rPr>
                  </w:pPr>
                  <w:r w:rsidRPr="008410ED">
                    <w:rPr>
                      <w:rFonts w:ascii="Times New Roman" w:hAnsi="Times New Roman" w:cs="Times New Roman"/>
                    </w:rPr>
                    <w:t>2017.gadā no visām V</w:t>
                  </w:r>
                  <w:r w:rsidR="004A59A3">
                    <w:rPr>
                      <w:rFonts w:ascii="Times New Roman" w:hAnsi="Times New Roman" w:cs="Times New Roman"/>
                    </w:rPr>
                    <w:t xml:space="preserve">alsts </w:t>
                  </w:r>
                  <w:r w:rsidRPr="008410ED">
                    <w:rPr>
                      <w:rFonts w:ascii="Times New Roman" w:hAnsi="Times New Roman" w:cs="Times New Roman"/>
                    </w:rPr>
                    <w:t>P</w:t>
                  </w:r>
                  <w:r w:rsidR="004A59A3">
                    <w:rPr>
                      <w:rFonts w:ascii="Times New Roman" w:hAnsi="Times New Roman" w:cs="Times New Roman"/>
                    </w:rPr>
                    <w:t>olicijas</w:t>
                  </w:r>
                  <w:r w:rsidRPr="008410ED">
                    <w:rPr>
                      <w:rFonts w:ascii="Times New Roman" w:hAnsi="Times New Roman" w:cs="Times New Roman"/>
                    </w:rPr>
                    <w:t xml:space="preserve"> </w:t>
                  </w:r>
                  <w:r w:rsidR="004A59A3">
                    <w:rPr>
                      <w:rFonts w:ascii="Times New Roman" w:hAnsi="Times New Roman" w:cs="Times New Roman"/>
                    </w:rPr>
                    <w:t xml:space="preserve">Ekonomisko noziegumu apkarošanas pārvaldes (turpmāk – VP </w:t>
                  </w:r>
                  <w:r w:rsidRPr="008410ED">
                    <w:rPr>
                      <w:rFonts w:ascii="Times New Roman" w:hAnsi="Times New Roman" w:cs="Times New Roman"/>
                    </w:rPr>
                    <w:t>ENAP</w:t>
                  </w:r>
                  <w:r w:rsidR="004A59A3">
                    <w:rPr>
                      <w:rFonts w:ascii="Times New Roman" w:hAnsi="Times New Roman" w:cs="Times New Roman"/>
                    </w:rPr>
                    <w:t>)</w:t>
                  </w:r>
                  <w:r w:rsidRPr="008410ED">
                    <w:rPr>
                      <w:rFonts w:ascii="Times New Roman" w:hAnsi="Times New Roman" w:cs="Times New Roman"/>
                    </w:rPr>
                    <w:t xml:space="preserve"> lietvedībā esošajām krimināllietām kriminālvajāšanai nodoti 10% (dati uz 31.12.2017). </w:t>
                  </w:r>
                </w:p>
                <w:p w:rsidR="00F41B67" w:rsidRPr="008410ED" w:rsidRDefault="00BC5DBB" w:rsidP="00F41B67">
                  <w:pPr>
                    <w:jc w:val="both"/>
                    <w:rPr>
                      <w:rFonts w:ascii="Times New Roman" w:hAnsi="Times New Roman" w:cs="Times New Roman"/>
                    </w:rPr>
                  </w:pPr>
                  <w:r w:rsidRPr="008410ED">
                    <w:rPr>
                      <w:rFonts w:ascii="Times New Roman" w:hAnsi="Times New Roman" w:cs="Times New Roman"/>
                    </w:rPr>
                    <w:t xml:space="preserve">Uzlabojot VP ENAP kapacitāti – paplašinot un pielāgojot standartiem </w:t>
                  </w:r>
                  <w:r w:rsidR="00F41B67" w:rsidRPr="008410ED">
                    <w:rPr>
                      <w:rFonts w:ascii="Times New Roman" w:hAnsi="Times New Roman" w:cs="Times New Roman"/>
                    </w:rPr>
                    <w:t xml:space="preserve">atbilstošas </w:t>
                  </w:r>
                  <w:r w:rsidRPr="008410ED">
                    <w:rPr>
                      <w:rFonts w:ascii="Times New Roman" w:hAnsi="Times New Roman" w:cs="Times New Roman"/>
                    </w:rPr>
                    <w:t>VP ENAP telpas</w:t>
                  </w:r>
                  <w:r w:rsidR="00F41B67" w:rsidRPr="008410ED">
                    <w:rPr>
                      <w:rFonts w:ascii="Times New Roman" w:hAnsi="Times New Roman" w:cs="Times New Roman"/>
                    </w:rPr>
                    <w:t>,</w:t>
                  </w:r>
                  <w:r w:rsidRPr="008410ED">
                    <w:rPr>
                      <w:rFonts w:ascii="Times New Roman" w:hAnsi="Times New Roman" w:cs="Times New Roman"/>
                    </w:rPr>
                    <w:t xml:space="preserve"> </w:t>
                  </w:r>
                  <w:r w:rsidR="00F41B67" w:rsidRPr="008410ED">
                    <w:rPr>
                      <w:rFonts w:ascii="Times New Roman" w:hAnsi="Times New Roman" w:cs="Times New Roman"/>
                    </w:rPr>
                    <w:lastRenderedPageBreak/>
                    <w:t>iegādājoties specializētu</w:t>
                  </w:r>
                  <w:r w:rsidRPr="008410ED">
                    <w:rPr>
                      <w:rFonts w:ascii="Times New Roman" w:hAnsi="Times New Roman" w:cs="Times New Roman"/>
                    </w:rPr>
                    <w:t xml:space="preserve"> aprīkojumu, veicot darbinieku apmācības, uzlabojot starpinstitucionālo sadarbību, palielināsies VP ENAP efektivitāte.</w:t>
                  </w:r>
                </w:p>
                <w:p w:rsidR="00F662E7" w:rsidRPr="008410ED" w:rsidRDefault="005C6A6E" w:rsidP="005C6A6E">
                  <w:pPr>
                    <w:jc w:val="both"/>
                    <w:rPr>
                      <w:rFonts w:ascii="Times New Roman" w:hAnsi="Times New Roman" w:cs="Times New Roman"/>
                    </w:rPr>
                  </w:pPr>
                  <w:r w:rsidRPr="008410ED">
                    <w:rPr>
                      <w:rFonts w:ascii="Times New Roman" w:hAnsi="Times New Roman" w:cs="Times New Roman"/>
                    </w:rPr>
                    <w:t>Uzlabojot VP Kriminālistikas pārvaldes kapacitāti,</w:t>
                  </w:r>
                  <w:r w:rsidR="00BC5DBB" w:rsidRPr="008410ED">
                    <w:rPr>
                      <w:rFonts w:ascii="Times New Roman" w:hAnsi="Times New Roman" w:cs="Times New Roman"/>
                    </w:rPr>
                    <w:t xml:space="preserve"> </w:t>
                  </w:r>
                  <w:r w:rsidRPr="008410ED">
                    <w:rPr>
                      <w:rFonts w:ascii="Times New Roman" w:hAnsi="Times New Roman" w:cs="Times New Roman"/>
                    </w:rPr>
                    <w:t xml:space="preserve">samazināsies rindas </w:t>
                  </w:r>
                  <w:r w:rsidR="00BC5DBB" w:rsidRPr="008410ED">
                    <w:rPr>
                      <w:rFonts w:ascii="Times New Roman" w:hAnsi="Times New Roman" w:cs="Times New Roman"/>
                    </w:rPr>
                    <w:t>uz kriminālistikas ekspertīzēm, samazināsies krimināllietas izskatīšanas ilgums, līdz ar to palielināsies kriminālvajāšanai nodoto ekonomisko noziegumu krimināllietu skaits vismaz dubultā (100%).</w:t>
                  </w:r>
                </w:p>
              </w:tc>
            </w:tr>
            <w:tr w:rsidR="00CE66D5" w:rsidRPr="008410ED" w:rsidTr="005767AF">
              <w:tc>
                <w:tcPr>
                  <w:tcW w:w="1894" w:type="dxa"/>
                </w:tcPr>
                <w:p w:rsidR="00F662E7" w:rsidRPr="008410ED" w:rsidRDefault="00894753" w:rsidP="00CE66D5">
                  <w:pPr>
                    <w:jc w:val="both"/>
                    <w:rPr>
                      <w:rFonts w:ascii="Times New Roman" w:hAnsi="Times New Roman" w:cs="Times New Roman"/>
                    </w:rPr>
                  </w:pPr>
                  <w:r w:rsidRPr="008410ED">
                    <w:rPr>
                      <w:rFonts w:ascii="Times New Roman" w:eastAsiaTheme="minorEastAsia" w:hAnsi="Times New Roman" w:cs="Times New Roman"/>
                      <w:bCs/>
                    </w:rPr>
                    <w:lastRenderedPageBreak/>
                    <w:t>K</w:t>
                  </w:r>
                  <w:r w:rsidR="00F662E7" w:rsidRPr="008410ED">
                    <w:rPr>
                      <w:rFonts w:ascii="Times New Roman" w:eastAsiaTheme="minorEastAsia" w:hAnsi="Times New Roman" w:cs="Times New Roman"/>
                      <w:bCs/>
                    </w:rPr>
                    <w:t xml:space="preserve">riminālistikas ekspertīzes, kas ilgst vairāk nekā 30 dienas (%)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71%</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60%</w:t>
                  </w:r>
                </w:p>
              </w:tc>
              <w:tc>
                <w:tcPr>
                  <w:tcW w:w="2835" w:type="dxa"/>
                </w:tcPr>
                <w:p w:rsidR="00F662E7" w:rsidRPr="008410ED" w:rsidRDefault="00BC5DBB" w:rsidP="005C6A6E">
                  <w:pPr>
                    <w:jc w:val="both"/>
                    <w:rPr>
                      <w:rFonts w:ascii="Times New Roman" w:hAnsi="Times New Roman" w:cs="Times New Roman"/>
                    </w:rPr>
                  </w:pPr>
                  <w:r w:rsidRPr="008410ED">
                    <w:rPr>
                      <w:rFonts w:ascii="Times New Roman" w:hAnsi="Times New Roman" w:cs="Times New Roman"/>
                    </w:rPr>
                    <w:t>Uzlabojot VP Kriminālistikas pārvaldes kapacitāti – paplašinot un pielāgojot standartiem</w:t>
                  </w:r>
                  <w:r w:rsidR="005C6A6E" w:rsidRPr="008410ED">
                    <w:rPr>
                      <w:rFonts w:ascii="Times New Roman" w:hAnsi="Times New Roman" w:cs="Times New Roman"/>
                    </w:rPr>
                    <w:t xml:space="preserve"> atbilstošas</w:t>
                  </w:r>
                  <w:r w:rsidRPr="008410ED">
                    <w:rPr>
                      <w:rFonts w:ascii="Times New Roman" w:hAnsi="Times New Roman" w:cs="Times New Roman"/>
                    </w:rPr>
                    <w:t xml:space="preserve"> VP Kriminālistikas pārvaldes telpas, tai skaitā laboratorijas, pierādījumu glabāšanas telpas; ieviešot jaunas ekspertīžu metodes un uzlabojot esoš</w:t>
                  </w:r>
                  <w:r w:rsidR="005D4E99" w:rsidRPr="008410ED">
                    <w:rPr>
                      <w:rFonts w:ascii="Times New Roman" w:hAnsi="Times New Roman" w:cs="Times New Roman"/>
                    </w:rPr>
                    <w:t>ā</w:t>
                  </w:r>
                  <w:r w:rsidRPr="008410ED">
                    <w:rPr>
                      <w:rFonts w:ascii="Times New Roman" w:hAnsi="Times New Roman" w:cs="Times New Roman"/>
                    </w:rPr>
                    <w:t>s; veicot personāla apmācības un uzlabojot nodarbināto apmierinātību ar darba vidi, plānots samazināt ekspertīžu skaitu, kas i</w:t>
                  </w:r>
                  <w:r w:rsidR="00DB4246" w:rsidRPr="008410ED">
                    <w:rPr>
                      <w:rFonts w:ascii="Times New Roman" w:hAnsi="Times New Roman" w:cs="Times New Roman"/>
                    </w:rPr>
                    <w:t>lgst vairāk nekā 30 dienas uz 60</w:t>
                  </w:r>
                  <w:r w:rsidRPr="008410ED">
                    <w:rPr>
                      <w:rFonts w:ascii="Times New Roman" w:hAnsi="Times New Roman" w:cs="Times New Roman"/>
                    </w:rPr>
                    <w:t>%.</w:t>
                  </w:r>
                </w:p>
              </w:tc>
            </w:tr>
            <w:tr w:rsidR="00CE66D5" w:rsidRPr="008410ED" w:rsidTr="005767AF">
              <w:tc>
                <w:tcPr>
                  <w:tcW w:w="1894" w:type="dxa"/>
                </w:tcPr>
                <w:p w:rsidR="00F662E7" w:rsidRPr="008410ED" w:rsidRDefault="00894753" w:rsidP="00CE66D5">
                  <w:pPr>
                    <w:jc w:val="both"/>
                    <w:rPr>
                      <w:rFonts w:ascii="Times New Roman" w:hAnsi="Times New Roman" w:cs="Times New Roman"/>
                    </w:rPr>
                  </w:pPr>
                  <w:r w:rsidRPr="008410ED">
                    <w:rPr>
                      <w:rFonts w:ascii="Times New Roman" w:eastAsiaTheme="minorEastAsia" w:hAnsi="Times New Roman" w:cs="Times New Roman"/>
                      <w:bCs/>
                    </w:rPr>
                    <w:t>I</w:t>
                  </w:r>
                  <w:r w:rsidR="00F662E7" w:rsidRPr="008410ED">
                    <w:rPr>
                      <w:rFonts w:ascii="Times New Roman" w:eastAsiaTheme="minorEastAsia" w:hAnsi="Times New Roman" w:cs="Times New Roman"/>
                      <w:bCs/>
                    </w:rPr>
                    <w:t xml:space="preserve">kgadējais skaidras naudas konfiskācijas gadījumu skaits uz robežām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 xml:space="preserve">28 </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31</w:t>
                  </w:r>
                </w:p>
              </w:tc>
              <w:tc>
                <w:tcPr>
                  <w:tcW w:w="2835" w:type="dxa"/>
                </w:tcPr>
                <w:p w:rsidR="00F662E7" w:rsidRPr="008410ED" w:rsidRDefault="005D4E99" w:rsidP="005D4E99">
                  <w:pPr>
                    <w:jc w:val="both"/>
                    <w:rPr>
                      <w:rFonts w:ascii="Times New Roman" w:hAnsi="Times New Roman" w:cs="Times New Roman"/>
                    </w:rPr>
                  </w:pPr>
                  <w:r w:rsidRPr="008410ED">
                    <w:rPr>
                      <w:rFonts w:ascii="Times New Roman" w:hAnsi="Times New Roman" w:cs="Times New Roman"/>
                    </w:rPr>
                    <w:t xml:space="preserve">Tiek plānots, ka ikgadējais skaidras naudas konfiskācijas gadījumu skaits palielināsies par 10%, paaugstinot </w:t>
                  </w:r>
                  <w:r w:rsidR="00CE66D5" w:rsidRPr="008410ED">
                    <w:rPr>
                      <w:rFonts w:ascii="Times New Roman" w:hAnsi="Times New Roman" w:cs="Times New Roman"/>
                    </w:rPr>
                    <w:t>kinologu un muitas suņu kvalifikāciju un nodrošinot to dalību pieredzes apmaiņas pasākumos, kā arī uzlabojot mācību infrastruktūru</w:t>
                  </w:r>
                  <w:r w:rsidR="005C6A6E" w:rsidRPr="008410ED">
                    <w:rPr>
                      <w:rFonts w:ascii="Times New Roman" w:hAnsi="Times New Roman" w:cs="Times New Roman"/>
                    </w:rPr>
                    <w:t>.</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ENAP</w:t>
                  </w:r>
                  <w:r w:rsidRPr="008410ED">
                    <w:rPr>
                      <w:rFonts w:ascii="Times New Roman" w:eastAsiaTheme="minorEastAsia" w:hAnsi="Times New Roman" w:cs="Times New Roman"/>
                      <w:bCs/>
                    </w:rPr>
                    <w:t xml:space="preserve"> izmeklējamo krimināllietu skaits uz vienu izmeklētāju</w:t>
                  </w:r>
                  <w:r w:rsidRPr="008410ED">
                    <w:rPr>
                      <w:rStyle w:val="FootnoteReference"/>
                      <w:rFonts w:ascii="Times New Roman" w:eastAsiaTheme="minorEastAsia" w:hAnsi="Times New Roman" w:cs="Times New Roman"/>
                      <w:bCs/>
                    </w:rPr>
                    <w:footnoteReference w:id="1"/>
                  </w:r>
                  <w:r w:rsidRPr="008410ED">
                    <w:rPr>
                      <w:rFonts w:ascii="Times New Roman" w:eastAsiaTheme="minorEastAsia" w:hAnsi="Times New Roman" w:cs="Times New Roman"/>
                      <w:bCs/>
                    </w:rPr>
                    <w:t xml:space="preserve">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22</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15</w:t>
                  </w:r>
                </w:p>
              </w:tc>
              <w:tc>
                <w:tcPr>
                  <w:tcW w:w="2835" w:type="dxa"/>
                </w:tcPr>
                <w:p w:rsidR="00BC5DBB" w:rsidRPr="008410ED" w:rsidRDefault="00BC5DBB" w:rsidP="00BC5DBB">
                  <w:pPr>
                    <w:jc w:val="both"/>
                    <w:rPr>
                      <w:rFonts w:ascii="Times New Roman" w:hAnsi="Times New Roman" w:cs="Times New Roman"/>
                    </w:rPr>
                  </w:pPr>
                  <w:r w:rsidRPr="008410ED">
                    <w:rPr>
                      <w:rFonts w:ascii="Times New Roman" w:hAnsi="Times New Roman" w:cs="Times New Roman"/>
                    </w:rPr>
                    <w:t>Krimināllietu skaits uz vienu izmeklētāju ENAP ir ievērojams – vidēji 22 lietas</w:t>
                  </w:r>
                  <w:r w:rsidR="005C6A6E" w:rsidRPr="008410ED">
                    <w:rPr>
                      <w:rFonts w:ascii="Times New Roman" w:hAnsi="Times New Roman" w:cs="Times New Roman"/>
                    </w:rPr>
                    <w:t>.</w:t>
                  </w:r>
                  <w:r w:rsidRPr="008410ED">
                    <w:rPr>
                      <w:rFonts w:ascii="Times New Roman" w:hAnsi="Times New Roman" w:cs="Times New Roman"/>
                    </w:rPr>
                    <w:t xml:space="preserve"> (dati uz 31.03.2018). Izmeklētāju pārslodze negatīvi ietekm</w:t>
                  </w:r>
                  <w:r w:rsidR="005C6A6E" w:rsidRPr="008410ED">
                    <w:rPr>
                      <w:rFonts w:ascii="Times New Roman" w:hAnsi="Times New Roman" w:cs="Times New Roman"/>
                    </w:rPr>
                    <w:t>ē</w:t>
                  </w:r>
                  <w:r w:rsidRPr="008410ED">
                    <w:rPr>
                      <w:rFonts w:ascii="Times New Roman" w:hAnsi="Times New Roman" w:cs="Times New Roman"/>
                    </w:rPr>
                    <w:t xml:space="preserve"> gan kriminālprocesa izmeklēšanas ātrumu, gan arī kvalitāti.</w:t>
                  </w:r>
                </w:p>
                <w:p w:rsidR="00BC5DBB" w:rsidRPr="008410ED" w:rsidRDefault="00BC5DBB" w:rsidP="00BC5DBB">
                  <w:pPr>
                    <w:jc w:val="both"/>
                    <w:rPr>
                      <w:rFonts w:ascii="Times New Roman" w:hAnsi="Times New Roman" w:cs="Times New Roman"/>
                    </w:rPr>
                  </w:pPr>
                  <w:r w:rsidRPr="008410ED">
                    <w:rPr>
                      <w:rFonts w:ascii="Times New Roman" w:hAnsi="Times New Roman" w:cs="Times New Roman"/>
                    </w:rPr>
                    <w:lastRenderedPageBreak/>
                    <w:t>Uzlabojot VP ENAP</w:t>
                  </w:r>
                  <w:r w:rsidR="005C6A6E" w:rsidRPr="008410ED">
                    <w:rPr>
                      <w:rFonts w:ascii="Times New Roman" w:hAnsi="Times New Roman" w:cs="Times New Roman"/>
                    </w:rPr>
                    <w:t xml:space="preserve"> un Kriminālistikas pārvaldes</w:t>
                  </w:r>
                  <w:r w:rsidRPr="008410ED">
                    <w:rPr>
                      <w:rFonts w:ascii="Times New Roman" w:hAnsi="Times New Roman" w:cs="Times New Roman"/>
                    </w:rPr>
                    <w:t xml:space="preserve"> kapacitāti palielināsies VP ENAP </w:t>
                  </w:r>
                  <w:r w:rsidR="00733F5D" w:rsidRPr="008410ED">
                    <w:rPr>
                      <w:rFonts w:ascii="Times New Roman" w:hAnsi="Times New Roman" w:cs="Times New Roman"/>
                    </w:rPr>
                    <w:t xml:space="preserve">izmeklētāju </w:t>
                  </w:r>
                  <w:r w:rsidRPr="008410ED">
                    <w:rPr>
                      <w:rFonts w:ascii="Times New Roman" w:hAnsi="Times New Roman" w:cs="Times New Roman"/>
                    </w:rPr>
                    <w:t>produktivitāte un efektivitāte</w:t>
                  </w:r>
                  <w:r w:rsidR="00733F5D" w:rsidRPr="008410ED">
                    <w:rPr>
                      <w:rFonts w:ascii="Times New Roman" w:hAnsi="Times New Roman" w:cs="Times New Roman"/>
                    </w:rPr>
                    <w:t>,</w:t>
                  </w:r>
                  <w:r w:rsidRPr="008410ED">
                    <w:rPr>
                      <w:rFonts w:ascii="Times New Roman" w:hAnsi="Times New Roman" w:cs="Times New Roman"/>
                    </w:rPr>
                    <w:t xml:space="preserve"> samazin</w:t>
                  </w:r>
                  <w:r w:rsidR="00733F5D" w:rsidRPr="008410ED">
                    <w:rPr>
                      <w:rFonts w:ascii="Times New Roman" w:hAnsi="Times New Roman" w:cs="Times New Roman"/>
                    </w:rPr>
                    <w:t>āsies</w:t>
                  </w:r>
                  <w:r w:rsidRPr="008410ED">
                    <w:rPr>
                      <w:rFonts w:ascii="Times New Roman" w:hAnsi="Times New Roman" w:cs="Times New Roman"/>
                    </w:rPr>
                    <w:t xml:space="preserve"> </w:t>
                  </w:r>
                  <w:r w:rsidR="00733F5D" w:rsidRPr="008410ED">
                    <w:rPr>
                      <w:rFonts w:ascii="Times New Roman" w:hAnsi="Times New Roman" w:cs="Times New Roman"/>
                    </w:rPr>
                    <w:t xml:space="preserve">rindas </w:t>
                  </w:r>
                  <w:r w:rsidRPr="008410ED">
                    <w:rPr>
                      <w:rFonts w:ascii="Times New Roman" w:hAnsi="Times New Roman" w:cs="Times New Roman"/>
                    </w:rPr>
                    <w:t>uz kriminālistikas ekspertīzēm,</w:t>
                  </w:r>
                  <w:r w:rsidR="00733F5D" w:rsidRPr="008410ED">
                    <w:rPr>
                      <w:rFonts w:ascii="Times New Roman" w:hAnsi="Times New Roman" w:cs="Times New Roman"/>
                    </w:rPr>
                    <w:t xml:space="preserve"> kā rezultātā</w:t>
                  </w:r>
                  <w:r w:rsidRPr="008410ED">
                    <w:rPr>
                      <w:rFonts w:ascii="Times New Roman" w:hAnsi="Times New Roman" w:cs="Times New Roman"/>
                    </w:rPr>
                    <w:t xml:space="preserve"> samazināsies krimināllietas izskatīšanas kopējais ilgums, kas ļaus</w:t>
                  </w:r>
                  <w:r w:rsidR="00733F5D" w:rsidRPr="008410ED">
                    <w:rPr>
                      <w:rFonts w:ascii="Times New Roman" w:hAnsi="Times New Roman" w:cs="Times New Roman"/>
                    </w:rPr>
                    <w:t xml:space="preserve"> ātrāk</w:t>
                  </w:r>
                  <w:r w:rsidRPr="008410ED">
                    <w:rPr>
                      <w:rFonts w:ascii="Times New Roman" w:hAnsi="Times New Roman" w:cs="Times New Roman"/>
                    </w:rPr>
                    <w:t xml:space="preserve"> nodot krimināllietu kriminālvajāšanai. Paplašinot VP ENAP telpas, tiks radīta iespēja pieņemt papildus nodarbinātos, ja </w:t>
                  </w:r>
                  <w:r w:rsidR="00733F5D" w:rsidRPr="008410ED">
                    <w:rPr>
                      <w:rFonts w:ascii="Times New Roman" w:hAnsi="Times New Roman" w:cs="Times New Roman"/>
                    </w:rPr>
                    <w:t xml:space="preserve">tiks </w:t>
                  </w:r>
                  <w:r w:rsidRPr="008410ED">
                    <w:rPr>
                      <w:rFonts w:ascii="Times New Roman" w:hAnsi="Times New Roman" w:cs="Times New Roman"/>
                    </w:rPr>
                    <w:t xml:space="preserve">konstatēta šāda nepieciešamība – esošos apstākļos šādas iespējas nav. </w:t>
                  </w:r>
                </w:p>
                <w:p w:rsidR="00F662E7" w:rsidRPr="008410ED" w:rsidRDefault="00BC5DBB" w:rsidP="00CE66D5">
                  <w:pPr>
                    <w:jc w:val="both"/>
                    <w:rPr>
                      <w:rFonts w:ascii="Times New Roman" w:hAnsi="Times New Roman" w:cs="Times New Roman"/>
                    </w:rPr>
                  </w:pPr>
                  <w:r w:rsidRPr="008410ED">
                    <w:rPr>
                      <w:rFonts w:ascii="Times New Roman" w:hAnsi="Times New Roman" w:cs="Times New Roman"/>
                    </w:rPr>
                    <w:t xml:space="preserve">Rezultātā plānots, ka </w:t>
                  </w:r>
                  <w:r w:rsidR="004A59A3">
                    <w:rPr>
                      <w:rFonts w:ascii="Times New Roman" w:hAnsi="Times New Roman" w:cs="Times New Roman"/>
                    </w:rPr>
                    <w:t xml:space="preserve">VP </w:t>
                  </w:r>
                  <w:r w:rsidRPr="008410ED">
                    <w:rPr>
                      <w:rFonts w:ascii="Times New Roman" w:hAnsi="Times New Roman" w:cs="Times New Roman"/>
                    </w:rPr>
                    <w:t>ENAP izmeklējamo krimināllietu skaits vidēji uz vienu izmeklētāju samazināsies uz 30% pēc projekta noslēgšanas.</w:t>
                  </w:r>
                </w:p>
              </w:tc>
            </w:tr>
            <w:tr w:rsidR="00CE66D5" w:rsidRPr="008410ED" w:rsidTr="00644D36">
              <w:tc>
                <w:tcPr>
                  <w:tcW w:w="6630" w:type="dxa"/>
                  <w:gridSpan w:val="4"/>
                </w:tcPr>
                <w:p w:rsidR="00B54131" w:rsidRPr="008410ED" w:rsidRDefault="00E939F9" w:rsidP="00EB374C">
                  <w:pPr>
                    <w:jc w:val="both"/>
                    <w:rPr>
                      <w:rFonts w:ascii="Times New Roman" w:hAnsi="Times New Roman" w:cs="Times New Roman"/>
                    </w:rPr>
                  </w:pPr>
                  <w:r w:rsidRPr="008410ED">
                    <w:rPr>
                      <w:rFonts w:ascii="Times New Roman" w:hAnsi="Times New Roman" w:cs="Times New Roman"/>
                    </w:rPr>
                    <w:lastRenderedPageBreak/>
                    <w:t>1.1.</w:t>
                  </w:r>
                  <w:r w:rsidR="00B54131" w:rsidRPr="008410ED">
                    <w:rPr>
                      <w:rFonts w:ascii="Times New Roman" w:hAnsi="Times New Roman" w:cs="Times New Roman"/>
                    </w:rPr>
                    <w:t xml:space="preserve">iznākums </w:t>
                  </w:r>
                  <w:r w:rsidR="00B54131" w:rsidRPr="008410ED">
                    <w:rPr>
                      <w:rFonts w:ascii="Times New Roman" w:hAnsi="Times New Roman" w:cs="Times New Roman"/>
                      <w:i/>
                    </w:rPr>
                    <w:t>“</w:t>
                  </w:r>
                  <w:r w:rsidR="00B54131" w:rsidRPr="008410ED">
                    <w:rPr>
                      <w:rFonts w:ascii="Times New Roman" w:hAnsi="Times New Roman" w:cs="Times New Roman"/>
                    </w:rPr>
                    <w:t xml:space="preserve">Uzlabota </w:t>
                  </w:r>
                  <w:r w:rsidR="00EB374C" w:rsidRPr="008410ED">
                    <w:rPr>
                      <w:rFonts w:ascii="Times New Roman" w:hAnsi="Times New Roman" w:cs="Times New Roman"/>
                    </w:rPr>
                    <w:t>starpinstitucionālā</w:t>
                  </w:r>
                  <w:r w:rsidR="00B54131" w:rsidRPr="008410ED">
                    <w:rPr>
                      <w:rFonts w:ascii="Times New Roman" w:hAnsi="Times New Roman" w:cs="Times New Roman"/>
                    </w:rPr>
                    <w:t xml:space="preserve"> sadarbība ekonomisko noziegumu apkarošanā</w:t>
                  </w:r>
                  <w:r w:rsidR="00B54131" w:rsidRPr="008410ED">
                    <w:rPr>
                      <w:rFonts w:ascii="Times New Roman" w:hAnsi="Times New Roman" w:cs="Times New Roman"/>
                      <w:i/>
                    </w:rPr>
                    <w:t>”</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Izveidota vienota IT sistēma ekonomisko noziegumu apkarošanai</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Nē</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Jā</w:t>
                  </w:r>
                </w:p>
              </w:tc>
              <w:tc>
                <w:tcPr>
                  <w:tcW w:w="2835" w:type="dxa"/>
                </w:tcPr>
                <w:p w:rsidR="00F662E7" w:rsidRPr="008410ED" w:rsidRDefault="00007DD1" w:rsidP="00007DD1">
                  <w:pPr>
                    <w:jc w:val="both"/>
                    <w:rPr>
                      <w:rFonts w:ascii="Times New Roman" w:hAnsi="Times New Roman" w:cs="Times New Roman"/>
                    </w:rPr>
                  </w:pPr>
                  <w:r w:rsidRPr="008410ED">
                    <w:rPr>
                      <w:rFonts w:ascii="Times New Roman" w:hAnsi="Times New Roman" w:cs="Times New Roman"/>
                    </w:rPr>
                    <w:t>V</w:t>
                  </w:r>
                  <w:r>
                    <w:rPr>
                      <w:rFonts w:ascii="Times New Roman" w:hAnsi="Times New Roman" w:cs="Times New Roman"/>
                    </w:rPr>
                    <w:t>alsts ieņēmumu dienests (turpmāk – VID)</w:t>
                  </w:r>
                  <w:r w:rsidRPr="008410ED">
                    <w:rPr>
                      <w:rFonts w:ascii="Times New Roman" w:hAnsi="Times New Roman" w:cs="Times New Roman"/>
                    </w:rPr>
                    <w:t xml:space="preserve"> </w:t>
                  </w:r>
                  <w:r w:rsidR="00733F5D" w:rsidRPr="008410ED">
                    <w:rPr>
                      <w:rFonts w:ascii="Times New Roman" w:hAnsi="Times New Roman" w:cs="Times New Roman"/>
                    </w:rPr>
                    <w:t>izstrādās programmatūru informācijas apmaiņai ar VP.</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Apmācīti darbinieki (sadalījumā pa dzimumiem)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50</w:t>
                  </w:r>
                </w:p>
              </w:tc>
              <w:tc>
                <w:tcPr>
                  <w:tcW w:w="2835" w:type="dxa"/>
                </w:tcPr>
                <w:p w:rsidR="001C3CD4" w:rsidRDefault="001B4272" w:rsidP="001C3CD4">
                  <w:pPr>
                    <w:jc w:val="both"/>
                  </w:pPr>
                  <w:r w:rsidRPr="008410ED">
                    <w:rPr>
                      <w:rFonts w:ascii="Times New Roman" w:hAnsi="Times New Roman" w:cs="Times New Roman"/>
                    </w:rPr>
                    <w:t>VID Nodokļu un muitas policijas pārvalde plāno apmācīt</w:t>
                  </w:r>
                  <w:r w:rsidR="001C3CD4">
                    <w:rPr>
                      <w:rFonts w:ascii="Times New Roman" w:hAnsi="Times New Roman" w:cs="Times New Roman"/>
                    </w:rPr>
                    <w:t xml:space="preserve"> gan</w:t>
                  </w:r>
                  <w:r w:rsidRPr="008410ED">
                    <w:rPr>
                      <w:rFonts w:ascii="Times New Roman" w:hAnsi="Times New Roman" w:cs="Times New Roman"/>
                    </w:rPr>
                    <w:t xml:space="preserve"> 30 Izlūkošanas analītiskās daļas darbiniekus darbam ar jauno analītisko sistēmu un 5 Specializēto uzdevumu daļas darbiniekus speciālo </w:t>
                  </w:r>
                  <w:r w:rsidRPr="001C3CD4">
                    <w:rPr>
                      <w:rFonts w:ascii="Times New Roman" w:hAnsi="Times New Roman" w:cs="Times New Roman"/>
                    </w:rPr>
                    <w:t>uzdevumu izpildei</w:t>
                  </w:r>
                  <w:r w:rsidR="001C3CD4" w:rsidRPr="001C3CD4">
                    <w:rPr>
                      <w:rFonts w:ascii="Times New Roman" w:hAnsi="Times New Roman" w:cs="Times New Roman"/>
                    </w:rPr>
                    <w:t xml:space="preserve">, gan vismaz 15 citu tiesībsargājošo iestāžu darbiniekus </w:t>
                  </w:r>
                  <w:r w:rsidR="001C3CD4" w:rsidRPr="001C3CD4">
                    <w:rPr>
                      <w:rFonts w:ascii="Times New Roman" w:hAnsi="Times New Roman" w:cs="Times New Roman"/>
                      <w:szCs w:val="24"/>
                      <w:lang w:eastAsia="lv-LV"/>
                    </w:rPr>
                    <w:t>sadarbībai ar informācijas apmaiņu</w:t>
                  </w:r>
                  <w:r w:rsidR="001C3CD4" w:rsidRPr="001C3CD4">
                    <w:rPr>
                      <w:rFonts w:ascii="Times New Roman" w:hAnsi="Times New Roman" w:cs="Times New Roman"/>
                    </w:rPr>
                    <w:t xml:space="preserve"> speciālo uzdevumu izpildē</w:t>
                  </w:r>
                  <w:r w:rsidR="001C3CD4" w:rsidRPr="001C3CD4">
                    <w:rPr>
                      <w:rFonts w:ascii="Times New Roman" w:hAnsi="Times New Roman" w:cs="Times New Roman"/>
                      <w:szCs w:val="24"/>
                      <w:lang w:eastAsia="lv-LV"/>
                    </w:rPr>
                    <w:t>.</w:t>
                  </w:r>
                </w:p>
                <w:p w:rsidR="00F662E7" w:rsidRPr="008410ED" w:rsidRDefault="00F662E7" w:rsidP="00CE66D5">
                  <w:pPr>
                    <w:jc w:val="both"/>
                    <w:rPr>
                      <w:rFonts w:ascii="Times New Roman" w:hAnsi="Times New Roman" w:cs="Times New Roman"/>
                    </w:rPr>
                  </w:pPr>
                </w:p>
              </w:tc>
            </w:tr>
            <w:tr w:rsidR="00CE66D5" w:rsidRPr="008410ED" w:rsidTr="00644D36">
              <w:tc>
                <w:tcPr>
                  <w:tcW w:w="6630" w:type="dxa"/>
                  <w:gridSpan w:val="4"/>
                </w:tcPr>
                <w:p w:rsidR="00B54131" w:rsidRPr="008410ED" w:rsidRDefault="00E939F9" w:rsidP="00CE66D5">
                  <w:pPr>
                    <w:jc w:val="both"/>
                    <w:rPr>
                      <w:rFonts w:ascii="Times New Roman" w:hAnsi="Times New Roman" w:cs="Times New Roman"/>
                    </w:rPr>
                  </w:pPr>
                  <w:r w:rsidRPr="008410ED">
                    <w:rPr>
                      <w:rFonts w:ascii="Times New Roman" w:eastAsiaTheme="minorEastAsia" w:hAnsi="Times New Roman" w:cs="Times New Roman"/>
                    </w:rPr>
                    <w:t>1.2.</w:t>
                  </w:r>
                  <w:r w:rsidR="00B54131" w:rsidRPr="008410ED">
                    <w:rPr>
                      <w:rFonts w:ascii="Times New Roman" w:eastAsiaTheme="minorEastAsia" w:hAnsi="Times New Roman" w:cs="Times New Roman"/>
                    </w:rPr>
                    <w:t>iznākums</w:t>
                  </w:r>
                  <w:r w:rsidR="00B54131" w:rsidRPr="008410ED">
                    <w:rPr>
                      <w:rFonts w:ascii="Times New Roman" w:hAnsi="Times New Roman" w:cs="Times New Roman"/>
                    </w:rPr>
                    <w:t xml:space="preserve"> “</w:t>
                  </w:r>
                  <w:r w:rsidR="00B54131" w:rsidRPr="008410ED">
                    <w:rPr>
                      <w:rFonts w:ascii="Times New Roman" w:eastAsiaTheme="minorEastAsia" w:hAnsi="Times New Roman" w:cs="Times New Roman"/>
                      <w:bCs/>
                    </w:rPr>
                    <w:t>Uzlaboti pretkorupcijas mehānismi”</w:t>
                  </w:r>
                </w:p>
              </w:tc>
            </w:tr>
            <w:tr w:rsidR="00CE66D5" w:rsidRPr="008410ED" w:rsidTr="005767AF">
              <w:tc>
                <w:tcPr>
                  <w:tcW w:w="1894" w:type="dxa"/>
                </w:tcPr>
                <w:p w:rsidR="00F662E7" w:rsidRPr="008410ED" w:rsidRDefault="00F662E7" w:rsidP="00894753">
                  <w:pPr>
                    <w:jc w:val="both"/>
                    <w:rPr>
                      <w:rFonts w:ascii="Times New Roman" w:hAnsi="Times New Roman" w:cs="Times New Roman"/>
                    </w:rPr>
                  </w:pPr>
                  <w:r w:rsidRPr="008410ED">
                    <w:rPr>
                      <w:rFonts w:ascii="Times New Roman" w:hAnsi="Times New Roman" w:cs="Times New Roman"/>
                    </w:rPr>
                    <w:t xml:space="preserve">Izveidota </w:t>
                  </w:r>
                  <w:r w:rsidR="00894753" w:rsidRPr="008410ED">
                    <w:rPr>
                      <w:rFonts w:ascii="Times New Roman" w:hAnsi="Times New Roman" w:cs="Times New Roman"/>
                    </w:rPr>
                    <w:t>tiešsaistes ziņošanas sūdzību platforma</w:t>
                  </w:r>
                  <w:r w:rsidRPr="008410ED">
                    <w:rPr>
                      <w:rFonts w:ascii="Times New Roman" w:hAnsi="Times New Roman" w:cs="Times New Roman"/>
                    </w:rPr>
                    <w:t xml:space="preserve">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Nē</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Jā</w:t>
                  </w:r>
                </w:p>
              </w:tc>
              <w:tc>
                <w:tcPr>
                  <w:tcW w:w="2835" w:type="dxa"/>
                </w:tcPr>
                <w:p w:rsidR="00F662E7" w:rsidRPr="008410ED" w:rsidRDefault="00007DD1" w:rsidP="00007DD1">
                  <w:pPr>
                    <w:jc w:val="both"/>
                    <w:rPr>
                      <w:rFonts w:ascii="Times New Roman" w:hAnsi="Times New Roman" w:cs="Times New Roman"/>
                    </w:rPr>
                  </w:pPr>
                  <w:r w:rsidRPr="00964D19">
                    <w:rPr>
                      <w:rFonts w:ascii="Times New Roman" w:hAnsi="Times New Roman" w:cs="Times New Roman"/>
                    </w:rPr>
                    <w:t xml:space="preserve">Korupcijas novēršanas un apkarošanas birojs (turpmāk - </w:t>
                  </w:r>
                  <w:r w:rsidRPr="00007DD1">
                    <w:rPr>
                      <w:rFonts w:ascii="Times New Roman" w:hAnsi="Times New Roman" w:cs="Times New Roman"/>
                    </w:rPr>
                    <w:t xml:space="preserve"> </w:t>
                  </w:r>
                  <w:r w:rsidR="00733F5D" w:rsidRPr="00007DD1">
                    <w:rPr>
                      <w:rFonts w:ascii="Times New Roman" w:hAnsi="Times New Roman" w:cs="Times New Roman"/>
                    </w:rPr>
                    <w:t>KNAB</w:t>
                  </w:r>
                  <w:r w:rsidRPr="00007DD1">
                    <w:rPr>
                      <w:rFonts w:ascii="Times New Roman" w:hAnsi="Times New Roman" w:cs="Times New Roman"/>
                    </w:rPr>
                    <w:t>)</w:t>
                  </w:r>
                  <w:r w:rsidR="00733F5D" w:rsidRPr="008410ED">
                    <w:rPr>
                      <w:rFonts w:ascii="Times New Roman" w:hAnsi="Times New Roman" w:cs="Times New Roman"/>
                    </w:rPr>
                    <w:t xml:space="preserve"> izstrādās un ieviesīs virtuālu trauksmes celšanas sistēmu.</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Veiktas sabiedrības izpratni veicinošas kampaņas</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2</w:t>
                  </w:r>
                </w:p>
              </w:tc>
              <w:tc>
                <w:tcPr>
                  <w:tcW w:w="2835" w:type="dxa"/>
                </w:tcPr>
                <w:p w:rsidR="00733F5D" w:rsidRPr="008410ED" w:rsidRDefault="00733F5D" w:rsidP="00CE66D5">
                  <w:pPr>
                    <w:jc w:val="both"/>
                    <w:rPr>
                      <w:rFonts w:ascii="Times New Roman" w:hAnsi="Times New Roman" w:cs="Times New Roman"/>
                    </w:rPr>
                  </w:pPr>
                  <w:r w:rsidRPr="008410ED">
                    <w:rPr>
                      <w:rFonts w:ascii="Times New Roman" w:hAnsi="Times New Roman" w:cs="Times New Roman"/>
                    </w:rPr>
                    <w:t xml:space="preserve">Tiek plānots īstenot 2 sabiedrības izpratni veicinošas kampaņas, izglītojot sabiedrību par </w:t>
                  </w:r>
                  <w:r w:rsidRPr="008410ED">
                    <w:rPr>
                      <w:rFonts w:ascii="Times New Roman" w:hAnsi="Times New Roman" w:cs="Times New Roman"/>
                    </w:rPr>
                    <w:lastRenderedPageBreak/>
                    <w:t>virtuālās trauksmes celšanas sistēmas izveidošanu un trauksmes cēlēju aizsardzību.</w:t>
                  </w:r>
                </w:p>
              </w:tc>
            </w:tr>
            <w:tr w:rsidR="004A4454" w:rsidRPr="008410ED" w:rsidTr="005767AF">
              <w:tc>
                <w:tcPr>
                  <w:tcW w:w="1894" w:type="dxa"/>
                </w:tcPr>
                <w:p w:rsidR="004A4454" w:rsidRPr="004A4454" w:rsidRDefault="004A4454" w:rsidP="00CE66D5">
                  <w:pPr>
                    <w:jc w:val="both"/>
                    <w:rPr>
                      <w:rFonts w:ascii="Times New Roman" w:hAnsi="Times New Roman" w:cs="Times New Roman"/>
                    </w:rPr>
                  </w:pPr>
                  <w:r w:rsidRPr="004A4454">
                    <w:rPr>
                      <w:rFonts w:ascii="Times New Roman" w:hAnsi="Times New Roman" w:cs="Times New Roman"/>
                    </w:rPr>
                    <w:lastRenderedPageBreak/>
                    <w:t>Apmācīti darbinieki, kuri pilda amata pienākumus korupcijas novēršanā un apkarošanā (sadalījumā pa dzimumiem)</w:t>
                  </w:r>
                </w:p>
              </w:tc>
              <w:tc>
                <w:tcPr>
                  <w:tcW w:w="767" w:type="dxa"/>
                </w:tcPr>
                <w:p w:rsidR="004A4454" w:rsidRPr="008410ED" w:rsidRDefault="004A4454" w:rsidP="00CE66D5">
                  <w:pPr>
                    <w:jc w:val="both"/>
                    <w:rPr>
                      <w:rFonts w:ascii="Times New Roman" w:hAnsi="Times New Roman" w:cs="Times New Roman"/>
                    </w:rPr>
                  </w:pPr>
                  <w:r>
                    <w:rPr>
                      <w:rFonts w:ascii="Times New Roman" w:hAnsi="Times New Roman" w:cs="Times New Roman"/>
                    </w:rPr>
                    <w:t>0</w:t>
                  </w:r>
                </w:p>
              </w:tc>
              <w:tc>
                <w:tcPr>
                  <w:tcW w:w="1134" w:type="dxa"/>
                </w:tcPr>
                <w:p w:rsidR="004A4454" w:rsidRPr="008410ED" w:rsidRDefault="004A4454" w:rsidP="00CE66D5">
                  <w:pPr>
                    <w:jc w:val="both"/>
                    <w:rPr>
                      <w:rFonts w:ascii="Times New Roman" w:hAnsi="Times New Roman" w:cs="Times New Roman"/>
                    </w:rPr>
                  </w:pPr>
                  <w:r>
                    <w:rPr>
                      <w:rFonts w:ascii="Times New Roman" w:hAnsi="Times New Roman" w:cs="Times New Roman"/>
                    </w:rPr>
                    <w:t>30</w:t>
                  </w:r>
                </w:p>
              </w:tc>
              <w:tc>
                <w:tcPr>
                  <w:tcW w:w="2835" w:type="dxa"/>
                </w:tcPr>
                <w:p w:rsidR="004A4454" w:rsidRPr="008410ED" w:rsidRDefault="004A4454" w:rsidP="00CE66D5">
                  <w:pPr>
                    <w:jc w:val="both"/>
                    <w:rPr>
                      <w:rFonts w:ascii="Times New Roman" w:hAnsi="Times New Roman" w:cs="Times New Roman"/>
                    </w:rPr>
                  </w:pPr>
                  <w:r>
                    <w:rPr>
                      <w:rFonts w:ascii="Times New Roman" w:hAnsi="Times New Roman" w:cs="Times New Roman"/>
                    </w:rPr>
                    <w:t>Tiek plānots apmācīt vismaz 30 darbiniekus korupcijas novēršanā un apkarošanā.</w:t>
                  </w:r>
                </w:p>
              </w:tc>
            </w:tr>
            <w:tr w:rsidR="00CE66D5" w:rsidRPr="008410ED" w:rsidTr="00644D36">
              <w:tc>
                <w:tcPr>
                  <w:tcW w:w="6630" w:type="dxa"/>
                  <w:gridSpan w:val="4"/>
                </w:tcPr>
                <w:p w:rsidR="00E939F9" w:rsidRPr="008410ED" w:rsidRDefault="00E939F9" w:rsidP="00CE66D5">
                  <w:pPr>
                    <w:jc w:val="both"/>
                    <w:rPr>
                      <w:rFonts w:ascii="Times New Roman" w:hAnsi="Times New Roman" w:cs="Times New Roman"/>
                    </w:rPr>
                  </w:pPr>
                  <w:r w:rsidRPr="008410ED">
                    <w:rPr>
                      <w:rFonts w:ascii="Times New Roman" w:hAnsi="Times New Roman" w:cs="Times New Roman"/>
                    </w:rPr>
                    <w:t>1.3.iznākums “Uzlabota ekonomisko noziegumu izmeklēšana”</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 xml:space="preserve">Uzlabota kriminālistikas laboratoriju infrastruktūra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Nē</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Jā</w:t>
                  </w:r>
                </w:p>
              </w:tc>
              <w:tc>
                <w:tcPr>
                  <w:tcW w:w="2835" w:type="dxa"/>
                </w:tcPr>
                <w:p w:rsidR="00BC5DBB" w:rsidRPr="008410ED" w:rsidRDefault="00BC5DBB" w:rsidP="00BC5DBB">
                  <w:pPr>
                    <w:jc w:val="both"/>
                    <w:rPr>
                      <w:rFonts w:ascii="Times New Roman" w:hAnsi="Times New Roman" w:cs="Times New Roman"/>
                    </w:rPr>
                  </w:pPr>
                  <w:r w:rsidRPr="008410ED">
                    <w:rPr>
                      <w:rFonts w:ascii="Times New Roman" w:hAnsi="Times New Roman" w:cs="Times New Roman"/>
                    </w:rPr>
                    <w:t xml:space="preserve">VP Kriminālistikas pārvaldes telpu uzlabošana nepieciešama, lai nodrošinātu atbilstību saistošiem nacionāliem standartiem, gan arī ļautu sertificēt </w:t>
                  </w:r>
                  <w:r w:rsidR="00007DD1" w:rsidRPr="008410ED">
                    <w:rPr>
                      <w:rFonts w:ascii="Times New Roman" w:hAnsi="Times New Roman" w:cs="Times New Roman"/>
                    </w:rPr>
                    <w:t>VP Kriminālistikas pārvaldes</w:t>
                  </w:r>
                  <w:r w:rsidRPr="008410ED">
                    <w:rPr>
                      <w:rFonts w:ascii="Times New Roman" w:hAnsi="Times New Roman" w:cs="Times New Roman"/>
                    </w:rPr>
                    <w:t xml:space="preserve"> laboratorijas atbilstoši ISO standartam, kas nodrošinātu lielāku </w:t>
                  </w:r>
                  <w:r w:rsidR="00007DD1" w:rsidRPr="008410ED">
                    <w:rPr>
                      <w:rFonts w:ascii="Times New Roman" w:hAnsi="Times New Roman" w:cs="Times New Roman"/>
                    </w:rPr>
                    <w:t>VP Kriminālistikas pārvaldes</w:t>
                  </w:r>
                  <w:r w:rsidRPr="008410ED">
                    <w:rPr>
                      <w:rFonts w:ascii="Times New Roman" w:hAnsi="Times New Roman" w:cs="Times New Roman"/>
                    </w:rPr>
                    <w:t xml:space="preserve"> ekspertīžu kvalitāti, ticamību un ekspertīžu veikšanas ātrumu. </w:t>
                  </w:r>
                </w:p>
                <w:p w:rsidR="00F662E7" w:rsidRPr="008410ED" w:rsidRDefault="000E4AE5" w:rsidP="00CE66D5">
                  <w:pPr>
                    <w:jc w:val="both"/>
                    <w:rPr>
                      <w:rFonts w:ascii="Times New Roman" w:hAnsi="Times New Roman" w:cs="Times New Roman"/>
                    </w:rPr>
                  </w:pPr>
                  <w:r w:rsidRPr="008410ED">
                    <w:rPr>
                      <w:rFonts w:ascii="Times New Roman" w:hAnsi="Times New Roman" w:cs="Times New Roman"/>
                    </w:rPr>
                    <w:t>Plānots veikt VP Kriminālistikas pārvaldes laboratorijas telpu remontu un paplašināšanu, ēkas elektroinstalācijas nomaiņu, izveidot drošas lietišķo pierādījumu glabāšanas telpas un veikt citus pasākumus Kriminālistikas laboratoriju infrastruktūras uzlabošanai.</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 xml:space="preserve">Ieviesta jauna kriminālistikas ekspertīzes metode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Nē</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Jā</w:t>
                  </w:r>
                </w:p>
              </w:tc>
              <w:tc>
                <w:tcPr>
                  <w:tcW w:w="2835" w:type="dxa"/>
                </w:tcPr>
                <w:p w:rsidR="00F662E7" w:rsidRPr="008410ED" w:rsidRDefault="00BC5DBB" w:rsidP="00CE66D5">
                  <w:pPr>
                    <w:jc w:val="both"/>
                    <w:rPr>
                      <w:rFonts w:ascii="Times New Roman" w:hAnsi="Times New Roman" w:cs="Times New Roman"/>
                    </w:rPr>
                  </w:pPr>
                  <w:r w:rsidRPr="008410ED">
                    <w:rPr>
                      <w:rFonts w:ascii="Times New Roman" w:hAnsi="Times New Roman" w:cs="Times New Roman"/>
                    </w:rPr>
                    <w:t>VP Kriminālistikas pārvalde plāno ieviest vismaz vienu jaunu kriminālistikas ekspertīzes metodi, kas ļautu padarīt ekonomisko noziegumu izmeklēšanas procesu efektīvāku.</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Apmācīti darbinieki (sadalījumā pa dzimumiem)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 xml:space="preserve">50 </w:t>
                  </w:r>
                </w:p>
              </w:tc>
              <w:tc>
                <w:tcPr>
                  <w:tcW w:w="2835" w:type="dxa"/>
                </w:tcPr>
                <w:p w:rsidR="00F662E7" w:rsidRPr="008410ED" w:rsidRDefault="00BC5DBB" w:rsidP="00CE66D5">
                  <w:pPr>
                    <w:jc w:val="both"/>
                    <w:rPr>
                      <w:rFonts w:ascii="Times New Roman" w:hAnsi="Times New Roman" w:cs="Times New Roman"/>
                    </w:rPr>
                  </w:pPr>
                  <w:r w:rsidRPr="008410ED">
                    <w:rPr>
                      <w:rFonts w:ascii="Times New Roman" w:hAnsi="Times New Roman" w:cs="Times New Roman"/>
                    </w:rPr>
                    <w:t xml:space="preserve">Plānots apmācīt 50 VP Kriminālistikas pārvaldes ekspertus par aktualitātēm ekspertīžu jomā, uzlabojot zināšanas par darbu notikuma vietā, lietišķo pierādījumu iegūšanā ar specifiku ekonomisko noziegumu jomā.  </w:t>
                  </w:r>
                </w:p>
              </w:tc>
            </w:tr>
            <w:tr w:rsidR="00CE66D5" w:rsidRPr="008410ED" w:rsidTr="00644D36">
              <w:tc>
                <w:tcPr>
                  <w:tcW w:w="6630" w:type="dxa"/>
                  <w:gridSpan w:val="4"/>
                </w:tcPr>
                <w:p w:rsidR="00E939F9" w:rsidRPr="008410ED" w:rsidRDefault="00E939F9" w:rsidP="00CE66D5">
                  <w:pPr>
                    <w:jc w:val="both"/>
                    <w:rPr>
                      <w:rFonts w:ascii="Times New Roman" w:hAnsi="Times New Roman" w:cs="Times New Roman"/>
                    </w:rPr>
                  </w:pPr>
                  <w:r w:rsidRPr="008410ED">
                    <w:rPr>
                      <w:rFonts w:ascii="Times New Roman" w:eastAsiaTheme="minorEastAsia" w:hAnsi="Times New Roman" w:cs="Times New Roman"/>
                    </w:rPr>
                    <w:t xml:space="preserve">1.4.iznākums </w:t>
                  </w:r>
                  <w:r w:rsidRPr="008410ED">
                    <w:rPr>
                      <w:rFonts w:ascii="Times New Roman" w:hAnsi="Times New Roman" w:cs="Times New Roman"/>
                      <w:i/>
                    </w:rPr>
                    <w:t>“</w:t>
                  </w:r>
                  <w:r w:rsidRPr="008410ED">
                    <w:rPr>
                      <w:rFonts w:ascii="Times New Roman" w:hAnsi="Times New Roman" w:cs="Times New Roman"/>
                    </w:rPr>
                    <w:t>Stiprināta to iestāžu kapacitāte, kas atbildīgas par ekonomisko noziegumu novēršanu un apkarošanu</w:t>
                  </w:r>
                  <w:r w:rsidRPr="008410ED">
                    <w:rPr>
                      <w:rFonts w:ascii="Times New Roman" w:hAnsi="Times New Roman" w:cs="Times New Roman"/>
                      <w:i/>
                    </w:rPr>
                    <w:t>”</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lastRenderedPageBreak/>
                    <w:t>Apmācīti darbinieki cīņai ar ekonomiskajiem noziegumiem un korupciju (sadalījumā pa dzimumiem)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75</w:t>
                  </w:r>
                </w:p>
              </w:tc>
              <w:tc>
                <w:tcPr>
                  <w:tcW w:w="2835" w:type="dxa"/>
                </w:tcPr>
                <w:p w:rsidR="000E4AE5" w:rsidRPr="008410ED" w:rsidRDefault="00BC5DBB" w:rsidP="000E4AE5">
                  <w:pPr>
                    <w:jc w:val="both"/>
                    <w:rPr>
                      <w:rFonts w:ascii="Times New Roman" w:hAnsi="Times New Roman" w:cs="Times New Roman"/>
                    </w:rPr>
                  </w:pPr>
                  <w:r w:rsidRPr="008410ED">
                    <w:rPr>
                      <w:rFonts w:ascii="Times New Roman" w:hAnsi="Times New Roman" w:cs="Times New Roman"/>
                    </w:rPr>
                    <w:t>Plānots apmācīt 50 VP ENAP amatpersonas par aktualitāt</w:t>
                  </w:r>
                  <w:r w:rsidR="000E4AE5" w:rsidRPr="008410ED">
                    <w:rPr>
                      <w:rFonts w:ascii="Times New Roman" w:hAnsi="Times New Roman" w:cs="Times New Roman"/>
                    </w:rPr>
                    <w:t>ēm</w:t>
                  </w:r>
                  <w:r w:rsidRPr="008410ED">
                    <w:rPr>
                      <w:rFonts w:ascii="Times New Roman" w:hAnsi="Times New Roman" w:cs="Times New Roman"/>
                    </w:rPr>
                    <w:t xml:space="preserve"> kibernoziedzībā, </w:t>
                  </w:r>
                  <w:r w:rsidR="00377652" w:rsidRPr="008410ED">
                    <w:rPr>
                      <w:rFonts w:ascii="Times New Roman" w:hAnsi="Times New Roman" w:cs="Times New Roman"/>
                    </w:rPr>
                    <w:t xml:space="preserve">efektīvākā </w:t>
                  </w:r>
                  <w:r w:rsidRPr="008410ED">
                    <w:rPr>
                      <w:rFonts w:ascii="Times New Roman" w:hAnsi="Times New Roman" w:cs="Times New Roman"/>
                    </w:rPr>
                    <w:t xml:space="preserve">ekonomisko noziegumu </w:t>
                  </w:r>
                  <w:r w:rsidR="00CC4470" w:rsidRPr="008410ED">
                    <w:rPr>
                      <w:rFonts w:ascii="Times New Roman" w:hAnsi="Times New Roman" w:cs="Times New Roman"/>
                    </w:rPr>
                    <w:t>novēršanā,</w:t>
                  </w:r>
                  <w:r w:rsidRPr="008410ED">
                    <w:rPr>
                      <w:rFonts w:ascii="Times New Roman" w:hAnsi="Times New Roman" w:cs="Times New Roman"/>
                    </w:rPr>
                    <w:t xml:space="preserve">  </w:t>
                  </w:r>
                  <w:r w:rsidR="000E4AE5" w:rsidRPr="008410ED">
                    <w:rPr>
                      <w:rFonts w:ascii="Times New Roman" w:hAnsi="Times New Roman" w:cs="Times New Roman"/>
                    </w:rPr>
                    <w:t xml:space="preserve">jaunākajām </w:t>
                  </w:r>
                  <w:r w:rsidRPr="008410ED">
                    <w:rPr>
                      <w:rFonts w:ascii="Times New Roman" w:hAnsi="Times New Roman" w:cs="Times New Roman"/>
                    </w:rPr>
                    <w:t xml:space="preserve">izmeklēšanas </w:t>
                  </w:r>
                  <w:r w:rsidR="000E4AE5" w:rsidRPr="008410ED">
                    <w:rPr>
                      <w:rFonts w:ascii="Times New Roman" w:hAnsi="Times New Roman" w:cs="Times New Roman"/>
                    </w:rPr>
                    <w:t>metodēm</w:t>
                  </w:r>
                  <w:r w:rsidRPr="008410ED">
                    <w:rPr>
                      <w:rFonts w:ascii="Times New Roman" w:hAnsi="Times New Roman" w:cs="Times New Roman"/>
                    </w:rPr>
                    <w:t>/tehnik</w:t>
                  </w:r>
                  <w:r w:rsidR="000E4AE5" w:rsidRPr="008410ED">
                    <w:rPr>
                      <w:rFonts w:ascii="Times New Roman" w:hAnsi="Times New Roman" w:cs="Times New Roman"/>
                    </w:rPr>
                    <w:t>ām</w:t>
                  </w:r>
                  <w:r w:rsidRPr="008410ED">
                    <w:rPr>
                      <w:rFonts w:ascii="Times New Roman" w:hAnsi="Times New Roman" w:cs="Times New Roman"/>
                    </w:rPr>
                    <w:t>/rīki</w:t>
                  </w:r>
                  <w:r w:rsidR="000E4AE5" w:rsidRPr="008410ED">
                    <w:rPr>
                      <w:rFonts w:ascii="Times New Roman" w:hAnsi="Times New Roman" w:cs="Times New Roman"/>
                    </w:rPr>
                    <w:t>em.</w:t>
                  </w:r>
                  <w:r w:rsidRPr="008410ED">
                    <w:rPr>
                      <w:rFonts w:ascii="Times New Roman" w:hAnsi="Times New Roman" w:cs="Times New Roman"/>
                    </w:rPr>
                    <w:t xml:space="preserve"> </w:t>
                  </w:r>
                </w:p>
                <w:p w:rsidR="000E4AE5" w:rsidRPr="008410ED" w:rsidRDefault="000E4AE5" w:rsidP="000E4AE5">
                  <w:pPr>
                    <w:jc w:val="both"/>
                    <w:rPr>
                      <w:rFonts w:ascii="Times New Roman" w:hAnsi="Times New Roman" w:cs="Times New Roman"/>
                    </w:rPr>
                  </w:pPr>
                  <w:r w:rsidRPr="008410ED">
                    <w:rPr>
                      <w:rFonts w:ascii="Times New Roman" w:hAnsi="Times New Roman" w:cs="Times New Roman"/>
                    </w:rPr>
                    <w:t xml:space="preserve">Plānots apmācīt vismaz 25 KNAB amatpersonas korupcijas novēršanā un izmeklēšanā, t.sk. trauksmes celšanā. </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Uzstādīts IT rīks ENAP vajadzībām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Nē</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Jā</w:t>
                  </w:r>
                </w:p>
              </w:tc>
              <w:tc>
                <w:tcPr>
                  <w:tcW w:w="2835" w:type="dxa"/>
                </w:tcPr>
                <w:p w:rsidR="00F662E7" w:rsidRPr="008410ED" w:rsidRDefault="00BC5DBB" w:rsidP="00CE66D5">
                  <w:pPr>
                    <w:jc w:val="both"/>
                    <w:rPr>
                      <w:rFonts w:ascii="Times New Roman" w:hAnsi="Times New Roman" w:cs="Times New Roman"/>
                    </w:rPr>
                  </w:pPr>
                  <w:r w:rsidRPr="008410ED">
                    <w:rPr>
                      <w:rFonts w:ascii="Times New Roman" w:hAnsi="Times New Roman" w:cs="Times New Roman"/>
                    </w:rPr>
                    <w:t>Plānots uzstādīt analītisko rīku/ programmatūru, kas ir vērsta uz analītiska darba uzlabošanu VP ENAP un būtiski celtu VP ENAP izmeklēšanas kapacitāti.</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 xml:space="preserve">Paplašināta un uzlabota ENAP infrastruktūra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Nē</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Jā</w:t>
                  </w:r>
                </w:p>
              </w:tc>
              <w:tc>
                <w:tcPr>
                  <w:tcW w:w="2835" w:type="dxa"/>
                </w:tcPr>
                <w:p w:rsidR="00F662E7" w:rsidRPr="008410ED" w:rsidRDefault="00BC5DBB" w:rsidP="00CE66D5">
                  <w:pPr>
                    <w:jc w:val="both"/>
                    <w:rPr>
                      <w:rFonts w:ascii="Times New Roman" w:hAnsi="Times New Roman" w:cs="Times New Roman"/>
                    </w:rPr>
                  </w:pPr>
                  <w:r w:rsidRPr="008410ED">
                    <w:rPr>
                      <w:rFonts w:ascii="Times New Roman" w:hAnsi="Times New Roman" w:cs="Times New Roman"/>
                    </w:rPr>
                    <w:t>Plānots uzlabot VP ENAP kapacitāti, paplašinot un pielāgojot standartiem</w:t>
                  </w:r>
                  <w:r w:rsidR="00377652" w:rsidRPr="008410ED">
                    <w:rPr>
                      <w:rFonts w:ascii="Times New Roman" w:hAnsi="Times New Roman" w:cs="Times New Roman"/>
                    </w:rPr>
                    <w:t xml:space="preserve"> atbilstošas</w:t>
                  </w:r>
                  <w:r w:rsidRPr="008410ED">
                    <w:rPr>
                      <w:rFonts w:ascii="Times New Roman" w:hAnsi="Times New Roman" w:cs="Times New Roman"/>
                    </w:rPr>
                    <w:t xml:space="preserve"> VP ENAP telpas, veidojot atsevišķas nopratināšanas telpas, nodrošinot telpas drošai un strukturētai lietišķo pierādījumu glabāšanai, uzlabojot elektrotīklu un vājstrāvas tīklu</w:t>
                  </w:r>
                  <w:r w:rsidR="00377652" w:rsidRPr="008410ED">
                    <w:rPr>
                      <w:rFonts w:ascii="Times New Roman" w:hAnsi="Times New Roman" w:cs="Times New Roman"/>
                    </w:rPr>
                    <w:t xml:space="preserve"> infrastruktūru</w:t>
                  </w:r>
                  <w:r w:rsidRPr="008410ED">
                    <w:rPr>
                      <w:rFonts w:ascii="Times New Roman" w:hAnsi="Times New Roman" w:cs="Times New Roman"/>
                    </w:rPr>
                    <w:t>, tiks radīti priekšnoteikumi VP ENAP izmeklēšanas kapacitātes celšanai.</w:t>
                  </w:r>
                </w:p>
              </w:tc>
            </w:tr>
            <w:tr w:rsidR="00CE66D5" w:rsidRPr="008410ED" w:rsidTr="00644D36">
              <w:tc>
                <w:tcPr>
                  <w:tcW w:w="6630" w:type="dxa"/>
                  <w:gridSpan w:val="4"/>
                </w:tcPr>
                <w:p w:rsidR="00E939F9" w:rsidRPr="008410ED" w:rsidRDefault="00E939F9" w:rsidP="008F6EE2">
                  <w:pPr>
                    <w:jc w:val="both"/>
                    <w:rPr>
                      <w:rFonts w:ascii="Times New Roman" w:hAnsi="Times New Roman" w:cs="Times New Roman"/>
                    </w:rPr>
                  </w:pPr>
                  <w:r w:rsidRPr="008410ED">
                    <w:rPr>
                      <w:rFonts w:ascii="Times New Roman" w:eastAsiaTheme="minorEastAsia" w:hAnsi="Times New Roman" w:cs="Times New Roman"/>
                      <w:b/>
                    </w:rPr>
                    <w:t xml:space="preserve"> </w:t>
                  </w:r>
                  <w:r w:rsidRPr="008410ED">
                    <w:rPr>
                      <w:rFonts w:ascii="Times New Roman" w:hAnsi="Times New Roman" w:cs="Times New Roman"/>
                    </w:rPr>
                    <w:t xml:space="preserve">1.5.iznākums </w:t>
                  </w:r>
                  <w:r w:rsidRPr="00964D19">
                    <w:rPr>
                      <w:rFonts w:ascii="Times New Roman" w:hAnsi="Times New Roman" w:cs="Times New Roman"/>
                    </w:rPr>
                    <w:t>“</w:t>
                  </w:r>
                  <w:r w:rsidRPr="008410ED">
                    <w:rPr>
                      <w:rFonts w:ascii="Times New Roman" w:hAnsi="Times New Roman" w:cs="Times New Roman"/>
                    </w:rPr>
                    <w:t xml:space="preserve">Stiprināta to iestāžu kapacitāte, kas atbildīgas par </w:t>
                  </w:r>
                  <w:r w:rsidR="008F6EE2">
                    <w:rPr>
                      <w:rFonts w:ascii="Times New Roman" w:hAnsi="Times New Roman" w:cs="Times New Roman"/>
                    </w:rPr>
                    <w:t>noziedzīgi iegūtu līdzekļu legalizācijas</w:t>
                  </w:r>
                  <w:r w:rsidRPr="008410ED">
                    <w:rPr>
                      <w:rFonts w:ascii="Times New Roman" w:hAnsi="Times New Roman" w:cs="Times New Roman"/>
                    </w:rPr>
                    <w:t xml:space="preserve"> ierobežošanu</w:t>
                  </w:r>
                  <w:r w:rsidRPr="00964D19">
                    <w:rPr>
                      <w:rFonts w:ascii="Times New Roman" w:hAnsi="Times New Roman" w:cs="Times New Roman"/>
                    </w:rPr>
                    <w:t>”</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Apmācīti darbinieki (sadalījumā pa dzimumiem)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20</w:t>
                  </w:r>
                </w:p>
              </w:tc>
              <w:tc>
                <w:tcPr>
                  <w:tcW w:w="2835" w:type="dxa"/>
                </w:tcPr>
                <w:p w:rsidR="00F662E7" w:rsidRPr="008410ED" w:rsidRDefault="00377652" w:rsidP="008F6EE2">
                  <w:pPr>
                    <w:jc w:val="both"/>
                    <w:rPr>
                      <w:rFonts w:ascii="Times New Roman" w:hAnsi="Times New Roman" w:cs="Times New Roman"/>
                    </w:rPr>
                  </w:pPr>
                  <w:r w:rsidRPr="008410ED">
                    <w:rPr>
                      <w:rFonts w:ascii="Times New Roman" w:hAnsi="Times New Roman" w:cs="Times New Roman"/>
                    </w:rPr>
                    <w:t xml:space="preserve">Tiek plānots apmācīt vismaz 20 </w:t>
                  </w:r>
                  <w:r w:rsidR="008F2BC1" w:rsidRPr="008410ED">
                    <w:rPr>
                      <w:rFonts w:ascii="Times New Roman" w:hAnsi="Times New Roman" w:cs="Times New Roman"/>
                    </w:rPr>
                    <w:t xml:space="preserve">darbiniekus no </w:t>
                  </w:r>
                  <w:r w:rsidRPr="008410ED">
                    <w:rPr>
                      <w:rFonts w:ascii="Times New Roman" w:hAnsi="Times New Roman" w:cs="Times New Roman"/>
                      <w:shd w:val="clear" w:color="auto" w:fill="FFFFFF"/>
                    </w:rPr>
                    <w:t>Noziedzīgi iegūtu līdzekļu legalizācijas novēršanas dienest</w:t>
                  </w:r>
                  <w:r w:rsidRPr="008410ED">
                    <w:rPr>
                      <w:rFonts w:ascii="Times New Roman" w:hAnsi="Times New Roman" w:cs="Times New Roman"/>
                    </w:rPr>
                    <w:t>a, Finanšu un kapitāla tirgus komisijas</w:t>
                  </w:r>
                  <w:r w:rsidR="00007DD1">
                    <w:rPr>
                      <w:rFonts w:ascii="Times New Roman" w:hAnsi="Times New Roman" w:cs="Times New Roman"/>
                    </w:rPr>
                    <w:t xml:space="preserve"> (turpmāk – FKTK)</w:t>
                  </w:r>
                  <w:r w:rsidR="008F2BC1" w:rsidRPr="008410ED">
                    <w:rPr>
                      <w:rFonts w:ascii="Times New Roman" w:hAnsi="Times New Roman" w:cs="Times New Roman"/>
                    </w:rPr>
                    <w:t xml:space="preserve"> un komercbankām par efektīvām metodēm cīņā ar </w:t>
                  </w:r>
                  <w:r w:rsidR="008F6EE2">
                    <w:rPr>
                      <w:rFonts w:ascii="Times New Roman" w:hAnsi="Times New Roman" w:cs="Times New Roman"/>
                    </w:rPr>
                    <w:t>noziedzīgi iegūtu līdzekļu legalizāciju</w:t>
                  </w:r>
                  <w:r w:rsidR="008F2BC1" w:rsidRPr="008410ED">
                    <w:rPr>
                      <w:rFonts w:ascii="Times New Roman" w:hAnsi="Times New Roman" w:cs="Times New Roman"/>
                    </w:rPr>
                    <w:t>, terorisma finansēšanu u.c. nelikumīgām darbībām.</w:t>
                  </w:r>
                </w:p>
              </w:tc>
            </w:tr>
            <w:tr w:rsidR="00CE66D5" w:rsidRPr="008410ED" w:rsidTr="00644D36">
              <w:tc>
                <w:tcPr>
                  <w:tcW w:w="6630" w:type="dxa"/>
                  <w:gridSpan w:val="4"/>
                </w:tcPr>
                <w:p w:rsidR="00E939F9" w:rsidRPr="008410ED" w:rsidRDefault="00E939F9" w:rsidP="00CE66D5">
                  <w:pPr>
                    <w:jc w:val="both"/>
                    <w:rPr>
                      <w:rFonts w:ascii="Times New Roman" w:hAnsi="Times New Roman" w:cs="Times New Roman"/>
                    </w:rPr>
                  </w:pPr>
                  <w:r w:rsidRPr="008410ED">
                    <w:rPr>
                      <w:rFonts w:ascii="Times New Roman" w:hAnsi="Times New Roman" w:cs="Times New Roman"/>
                    </w:rPr>
                    <w:t>1.6.iznākums</w:t>
                  </w:r>
                  <w:r w:rsidRPr="008410ED">
                    <w:rPr>
                      <w:rFonts w:ascii="Times New Roman" w:hAnsi="Times New Roman" w:cs="Times New Roman"/>
                      <w:i/>
                    </w:rPr>
                    <w:t xml:space="preserve"> </w:t>
                  </w:r>
                  <w:r w:rsidRPr="00964D19">
                    <w:rPr>
                      <w:rFonts w:ascii="Times New Roman" w:hAnsi="Times New Roman" w:cs="Times New Roman"/>
                    </w:rPr>
                    <w:t>“</w:t>
                  </w:r>
                  <w:r w:rsidRPr="008410ED">
                    <w:rPr>
                      <w:rFonts w:ascii="Times New Roman" w:eastAsiaTheme="minorEastAsia" w:hAnsi="Times New Roman" w:cs="Times New Roman"/>
                      <w:bCs/>
                    </w:rPr>
                    <w:t>Stiprināta to iestāžu kapacitāte, kas atbildīgas par pārrobežu ekonomisko noziegumu apkarošanu</w:t>
                  </w:r>
                  <w:r w:rsidRPr="00964D19">
                    <w:rPr>
                      <w:rFonts w:ascii="Times New Roman" w:eastAsiaTheme="minorEastAsia" w:hAnsi="Times New Roman" w:cs="Times New Roman"/>
                      <w:bCs/>
                    </w:rPr>
                    <w:t>”</w:t>
                  </w:r>
                </w:p>
              </w:tc>
            </w:tr>
            <w:tr w:rsidR="00CE66D5" w:rsidRPr="008410ED" w:rsidTr="005767AF">
              <w:tc>
                <w:tcPr>
                  <w:tcW w:w="1894" w:type="dxa"/>
                </w:tcPr>
                <w:p w:rsidR="00F662E7" w:rsidRPr="008410ED" w:rsidRDefault="00F662E7" w:rsidP="008F6EE2">
                  <w:pPr>
                    <w:jc w:val="both"/>
                    <w:rPr>
                      <w:rFonts w:ascii="Times New Roman" w:eastAsiaTheme="minorEastAsia" w:hAnsi="Times New Roman" w:cs="Times New Roman"/>
                      <w:i/>
                    </w:rPr>
                  </w:pPr>
                  <w:r w:rsidRPr="008410ED">
                    <w:rPr>
                      <w:rFonts w:ascii="Times New Roman" w:eastAsiaTheme="minorEastAsia" w:hAnsi="Times New Roman" w:cs="Times New Roman"/>
                    </w:rPr>
                    <w:t xml:space="preserve">Uzlabota </w:t>
                  </w:r>
                  <w:r w:rsidR="008F6EE2">
                    <w:rPr>
                      <w:rFonts w:ascii="Times New Roman" w:eastAsiaTheme="minorEastAsia" w:hAnsi="Times New Roman" w:cs="Times New Roman"/>
                    </w:rPr>
                    <w:t xml:space="preserve"> RŠV</w:t>
                  </w:r>
                  <w:r w:rsidRPr="008410ED">
                    <w:rPr>
                      <w:rFonts w:ascii="Times New Roman" w:eastAsiaTheme="minorEastAsia" w:hAnsi="Times New Roman" w:cs="Times New Roman"/>
                    </w:rPr>
                    <w:t xml:space="preserve"> Terehova infrastruktūra</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Nē</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Jā</w:t>
                  </w:r>
                </w:p>
              </w:tc>
              <w:tc>
                <w:tcPr>
                  <w:tcW w:w="2835" w:type="dxa"/>
                </w:tcPr>
                <w:p w:rsidR="00F662E7" w:rsidRPr="008410ED" w:rsidRDefault="008F2BC1" w:rsidP="008F6EE2">
                  <w:pPr>
                    <w:jc w:val="both"/>
                    <w:rPr>
                      <w:rFonts w:ascii="Times New Roman" w:hAnsi="Times New Roman" w:cs="Times New Roman"/>
                    </w:rPr>
                  </w:pPr>
                  <w:r w:rsidRPr="008410ED">
                    <w:rPr>
                      <w:rFonts w:ascii="Times New Roman" w:hAnsi="Times New Roman" w:cs="Times New Roman"/>
                    </w:rPr>
                    <w:t xml:space="preserve">Plānots uzlabot </w:t>
                  </w:r>
                  <w:r w:rsidR="008F6EE2">
                    <w:rPr>
                      <w:rFonts w:ascii="Times New Roman" w:hAnsi="Times New Roman" w:cs="Times New Roman"/>
                    </w:rPr>
                    <w:t xml:space="preserve">robežšķērsošanas (turpmāk –RŠV) </w:t>
                  </w:r>
                  <w:r w:rsidRPr="008410ED">
                    <w:rPr>
                      <w:rFonts w:ascii="Times New Roman" w:hAnsi="Times New Roman" w:cs="Times New Roman"/>
                    </w:rPr>
                    <w:t xml:space="preserve">Terehova infrastruktūru, izbūvējot jaunas iekšējās inženierkomunikācijas galvenajā muitas kontroles </w:t>
                  </w:r>
                  <w:r w:rsidRPr="008410ED">
                    <w:rPr>
                      <w:rFonts w:ascii="Times New Roman" w:hAnsi="Times New Roman" w:cs="Times New Roman"/>
                    </w:rPr>
                    <w:lastRenderedPageBreak/>
                    <w:t>ēkā, kā arī, uzbūvējot jaunu paviljonu rokas bagāžas kontrolei.</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lastRenderedPageBreak/>
                    <w:t>Apmācīti darbinieki (sadalījumā pa dzimumiem)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50</w:t>
                  </w:r>
                </w:p>
              </w:tc>
              <w:tc>
                <w:tcPr>
                  <w:tcW w:w="2835" w:type="dxa"/>
                </w:tcPr>
                <w:p w:rsidR="00F662E7" w:rsidRPr="008410ED" w:rsidRDefault="002107AD" w:rsidP="008F6EE2">
                  <w:pPr>
                    <w:jc w:val="both"/>
                    <w:rPr>
                      <w:rFonts w:ascii="Times New Roman" w:eastAsia="Times New Roman" w:hAnsi="Times New Roman" w:cs="Times New Roman"/>
                      <w:lang w:eastAsia="lv-LV"/>
                    </w:rPr>
                  </w:pPr>
                  <w:r w:rsidRPr="008410ED">
                    <w:rPr>
                      <w:rFonts w:ascii="Times New Roman" w:eastAsia="Times New Roman" w:hAnsi="Times New Roman" w:cs="Times New Roman"/>
                      <w:bCs/>
                      <w:lang w:eastAsia="lv-LV"/>
                    </w:rPr>
                    <w:t>Plāno apmācīt</w:t>
                  </w:r>
                  <w:r w:rsidRPr="008410ED">
                    <w:rPr>
                      <w:rFonts w:ascii="Times New Roman" w:eastAsia="Times New Roman" w:hAnsi="Times New Roman" w:cs="Times New Roman"/>
                      <w:b/>
                      <w:bCs/>
                      <w:lang w:eastAsia="lv-LV"/>
                    </w:rPr>
                    <w:t xml:space="preserve"> </w:t>
                  </w:r>
                  <w:r w:rsidRPr="008410ED">
                    <w:rPr>
                      <w:rFonts w:ascii="Times New Roman" w:eastAsia="Times New Roman" w:hAnsi="Times New Roman" w:cs="Times New Roman"/>
                      <w:lang w:eastAsia="lv-LV"/>
                    </w:rPr>
                    <w:t> </w:t>
                  </w:r>
                  <w:r w:rsidR="005767AF" w:rsidRPr="008410ED">
                    <w:rPr>
                      <w:rFonts w:ascii="Times New Roman" w:eastAsia="Times New Roman" w:hAnsi="Times New Roman" w:cs="Times New Roman"/>
                      <w:lang w:eastAsia="lv-LV"/>
                    </w:rPr>
                    <w:t>VID Muitas pārvaldes,  Valsts robežsardzes</w:t>
                  </w:r>
                  <w:r w:rsidR="008F6EE2">
                    <w:rPr>
                      <w:rFonts w:ascii="Times New Roman" w:eastAsia="Times New Roman" w:hAnsi="Times New Roman" w:cs="Times New Roman"/>
                      <w:lang w:eastAsia="lv-LV"/>
                    </w:rPr>
                    <w:t xml:space="preserve"> (turpmāk – VRS)</w:t>
                  </w:r>
                  <w:r w:rsidR="005767AF" w:rsidRPr="008410ED">
                    <w:rPr>
                      <w:rFonts w:ascii="Times New Roman" w:eastAsia="Times New Roman" w:hAnsi="Times New Roman" w:cs="Times New Roman"/>
                      <w:lang w:eastAsia="lv-LV"/>
                    </w:rPr>
                    <w:t>,  Pārtikas un veterinārā dienesta</w:t>
                  </w:r>
                  <w:r w:rsidR="008F6EE2">
                    <w:rPr>
                      <w:rFonts w:ascii="Times New Roman" w:eastAsia="Times New Roman" w:hAnsi="Times New Roman" w:cs="Times New Roman"/>
                      <w:lang w:eastAsia="lv-LV"/>
                    </w:rPr>
                    <w:t xml:space="preserve"> (turpmāk – PVD)</w:t>
                  </w:r>
                  <w:r w:rsidR="005767AF" w:rsidRPr="008410ED">
                    <w:rPr>
                      <w:rFonts w:ascii="Times New Roman" w:eastAsia="Times New Roman" w:hAnsi="Times New Roman" w:cs="Times New Roman"/>
                      <w:lang w:eastAsia="lv-LV"/>
                    </w:rPr>
                    <w:t xml:space="preserve"> amatpersonas, no kurām 30</w:t>
                  </w:r>
                  <w:r w:rsidR="008F6EE2">
                    <w:rPr>
                      <w:rFonts w:ascii="Times New Roman" w:eastAsia="Times New Roman" w:hAnsi="Times New Roman" w:cs="Times New Roman"/>
                      <w:lang w:eastAsia="lv-LV"/>
                    </w:rPr>
                    <w:t xml:space="preserve"> </w:t>
                  </w:r>
                  <w:r w:rsidR="005767AF" w:rsidRPr="008410ED">
                    <w:rPr>
                      <w:rFonts w:ascii="Times New Roman" w:eastAsia="Times New Roman" w:hAnsi="Times New Roman" w:cs="Times New Roman"/>
                      <w:lang w:eastAsia="lv-LV"/>
                    </w:rPr>
                    <w:t>-35 pārstāvji būs darbinieki no RŠV “Terehova”, bet pārējie pārstāvji – no VID Muitas pārvaldes,  VRS un PVD centrālā aparāta, kā arī vadības pārstāvji.</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Uzlabota VID kinoloģijas dienesta infrastruktūra</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2</w:t>
                  </w:r>
                </w:p>
              </w:tc>
              <w:tc>
                <w:tcPr>
                  <w:tcW w:w="2835" w:type="dxa"/>
                </w:tcPr>
                <w:p w:rsidR="00F662E7" w:rsidRPr="008410ED" w:rsidRDefault="005767AF" w:rsidP="00CE66D5">
                  <w:pPr>
                    <w:jc w:val="both"/>
                    <w:rPr>
                      <w:rFonts w:ascii="Times New Roman" w:hAnsi="Times New Roman" w:cs="Times New Roman"/>
                    </w:rPr>
                  </w:pPr>
                  <w:r w:rsidRPr="008410ED">
                    <w:rPr>
                      <w:rFonts w:ascii="Times New Roman" w:hAnsi="Times New Roman" w:cs="Times New Roman"/>
                    </w:rPr>
                    <w:t>Izveidota kinoloģijas laboratorija muitas suņu apmācībai (230,8 m</w:t>
                  </w:r>
                  <w:r w:rsidRPr="008410ED">
                    <w:rPr>
                      <w:rFonts w:ascii="Times New Roman" w:hAnsi="Times New Roman" w:cs="Times New Roman"/>
                      <w:vertAlign w:val="superscript"/>
                    </w:rPr>
                    <w:t>2</w:t>
                  </w:r>
                  <w:r w:rsidRPr="008410ED">
                    <w:rPr>
                      <w:rFonts w:ascii="Times New Roman" w:hAnsi="Times New Roman" w:cs="Times New Roman"/>
                    </w:rPr>
                    <w:t>) un izveidots muitas dienesta suņu pastaigu laukums (~25 m</w:t>
                  </w:r>
                  <w:r w:rsidRPr="008410ED">
                    <w:rPr>
                      <w:rFonts w:ascii="Times New Roman" w:hAnsi="Times New Roman" w:cs="Times New Roman"/>
                      <w:vertAlign w:val="superscript"/>
                    </w:rPr>
                    <w:t>2</w:t>
                  </w:r>
                  <w:r w:rsidRPr="008410ED">
                    <w:rPr>
                      <w:rFonts w:ascii="Times New Roman" w:hAnsi="Times New Roman" w:cs="Times New Roman"/>
                    </w:rPr>
                    <w:t>).</w:t>
                  </w:r>
                </w:p>
              </w:tc>
            </w:tr>
            <w:tr w:rsidR="00CE66D5" w:rsidRPr="008410ED" w:rsidTr="00644D36">
              <w:tc>
                <w:tcPr>
                  <w:tcW w:w="6630" w:type="dxa"/>
                  <w:gridSpan w:val="4"/>
                </w:tcPr>
                <w:p w:rsidR="00E939F9" w:rsidRPr="008410ED" w:rsidRDefault="00E939F9" w:rsidP="00CE66D5">
                  <w:pPr>
                    <w:jc w:val="both"/>
                    <w:rPr>
                      <w:rFonts w:ascii="Times New Roman" w:hAnsi="Times New Roman" w:cs="Times New Roman"/>
                    </w:rPr>
                  </w:pPr>
                  <w:r w:rsidRPr="008410ED">
                    <w:rPr>
                      <w:rFonts w:ascii="Times New Roman" w:hAnsi="Times New Roman" w:cs="Times New Roman"/>
                    </w:rPr>
                    <w:t xml:space="preserve">Mērķis Nr. </w:t>
                  </w:r>
                  <w:r w:rsidRPr="008410ED">
                    <w:rPr>
                      <w:rFonts w:ascii="Times New Roman" w:hAnsi="Times New Roman" w:cs="Times New Roman"/>
                      <w:i/>
                    </w:rPr>
                    <w:t xml:space="preserve">2 “ </w:t>
                  </w:r>
                  <w:r w:rsidRPr="008410ED">
                    <w:rPr>
                      <w:rFonts w:ascii="Times New Roman" w:hAnsi="Times New Roman" w:cs="Times New Roman"/>
                    </w:rPr>
                    <w:t>Uzlabota bērnu aizsardzības sistēma (PA22)</w:t>
                  </w:r>
                  <w:r w:rsidRPr="008410ED">
                    <w:rPr>
                      <w:rFonts w:ascii="Times New Roman" w:hAnsi="Times New Roman" w:cs="Times New Roman"/>
                      <w:i/>
                    </w:rPr>
                    <w:t>”</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Pilnveidoti nacionālās politikas dokumenti un normatīvie akti</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 xml:space="preserve"> 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 xml:space="preserve"> 5</w:t>
                  </w:r>
                </w:p>
              </w:tc>
              <w:tc>
                <w:tcPr>
                  <w:tcW w:w="2835" w:type="dxa"/>
                </w:tcPr>
                <w:p w:rsidR="00956BE8" w:rsidRPr="008410ED" w:rsidRDefault="00DB4246" w:rsidP="005944BA">
                  <w:pPr>
                    <w:jc w:val="both"/>
                    <w:rPr>
                      <w:rFonts w:ascii="Times New Roman" w:hAnsi="Times New Roman" w:cs="Times New Roman"/>
                    </w:rPr>
                  </w:pPr>
                  <w:r w:rsidRPr="008410ED">
                    <w:rPr>
                      <w:rFonts w:ascii="Times New Roman" w:hAnsi="Times New Roman" w:cs="Times New Roman"/>
                    </w:rPr>
                    <w:t xml:space="preserve">1. </w:t>
                  </w:r>
                  <w:r w:rsidR="00956BE8" w:rsidRPr="008410ED">
                    <w:rPr>
                      <w:rFonts w:ascii="Times New Roman" w:hAnsi="Times New Roman" w:cs="Times New Roman"/>
                    </w:rPr>
                    <w:t>Sagatavoti priekšlikumi par</w:t>
                  </w:r>
                  <w:r w:rsidR="00873784" w:rsidRPr="008410ED">
                    <w:rPr>
                      <w:rFonts w:ascii="Times New Roman" w:hAnsi="Times New Roman" w:cs="Times New Roman"/>
                    </w:rPr>
                    <w:t xml:space="preserve"> grozījumiem </w:t>
                  </w:r>
                  <w:r w:rsidR="00956BE8" w:rsidRPr="008410ED">
                    <w:rPr>
                      <w:rFonts w:ascii="Times New Roman" w:hAnsi="Times New Roman" w:cs="Times New Roman"/>
                    </w:rPr>
                    <w:t>Kriminālprocesa likumā;</w:t>
                  </w:r>
                </w:p>
                <w:p w:rsidR="00956BE8" w:rsidRPr="008410ED" w:rsidRDefault="00DB4246" w:rsidP="00873784">
                  <w:pPr>
                    <w:pStyle w:val="ListParagraph"/>
                    <w:ind w:left="34"/>
                    <w:jc w:val="both"/>
                    <w:rPr>
                      <w:sz w:val="22"/>
                      <w:szCs w:val="22"/>
                    </w:rPr>
                  </w:pPr>
                  <w:r w:rsidRPr="008410ED">
                    <w:rPr>
                      <w:sz w:val="22"/>
                      <w:szCs w:val="22"/>
                    </w:rPr>
                    <w:t>2.</w:t>
                  </w:r>
                  <w:r w:rsidR="00956BE8" w:rsidRPr="008410ED">
                    <w:rPr>
                      <w:sz w:val="22"/>
                      <w:szCs w:val="22"/>
                    </w:rPr>
                    <w:t xml:space="preserve">Izvērtēti </w:t>
                  </w:r>
                  <w:hyperlink r:id="rId8" w:history="1">
                    <w:r w:rsidR="00956BE8" w:rsidRPr="008410ED">
                      <w:rPr>
                        <w:rStyle w:val="Hyperlink"/>
                        <w:color w:val="auto"/>
                        <w:sz w:val="22"/>
                        <w:szCs w:val="22"/>
                        <w:u w:val="none"/>
                      </w:rPr>
                      <w:t>Sociālo pakalpojumu un sociālās palīdzības likums</w:t>
                    </w:r>
                  </w:hyperlink>
                  <w:r w:rsidR="00956BE8" w:rsidRPr="008410ED">
                    <w:rPr>
                      <w:sz w:val="22"/>
                      <w:szCs w:val="22"/>
                    </w:rPr>
                    <w:t xml:space="preserve"> un </w:t>
                  </w:r>
                  <w:r w:rsidR="00956BE8" w:rsidRPr="008410ED">
                    <w:rPr>
                      <w:sz w:val="22"/>
                      <w:szCs w:val="22"/>
                      <w:shd w:val="clear" w:color="auto" w:fill="FFFFFF"/>
                    </w:rPr>
                    <w:t>Bērnu tiesību aizsardzības likums un sagatavoti priekšlikumi par iespējamiem grozījumiem;</w:t>
                  </w:r>
                </w:p>
                <w:p w:rsidR="00956BE8" w:rsidRPr="008410ED" w:rsidRDefault="00DB4246" w:rsidP="00873784">
                  <w:pPr>
                    <w:pStyle w:val="ListParagraph"/>
                    <w:ind w:left="34"/>
                    <w:jc w:val="both"/>
                    <w:rPr>
                      <w:sz w:val="22"/>
                      <w:szCs w:val="22"/>
                    </w:rPr>
                  </w:pPr>
                  <w:r w:rsidRPr="008410ED">
                    <w:rPr>
                      <w:sz w:val="22"/>
                      <w:szCs w:val="22"/>
                    </w:rPr>
                    <w:t xml:space="preserve">3. </w:t>
                  </w:r>
                  <w:r w:rsidR="00956BE8" w:rsidRPr="008410ED">
                    <w:rPr>
                      <w:sz w:val="22"/>
                      <w:szCs w:val="22"/>
                    </w:rPr>
                    <w:t>Sagatavoti priekšlikumi MK noteikumu izstrādei par kārtību kādā darbojas bērnu māja;</w:t>
                  </w:r>
                </w:p>
                <w:p w:rsidR="00956BE8" w:rsidRPr="008410ED" w:rsidRDefault="00DB4246" w:rsidP="00873784">
                  <w:pPr>
                    <w:pStyle w:val="ListParagraph"/>
                    <w:ind w:left="34"/>
                    <w:jc w:val="both"/>
                    <w:rPr>
                      <w:sz w:val="22"/>
                      <w:szCs w:val="22"/>
                    </w:rPr>
                  </w:pPr>
                  <w:r w:rsidRPr="008410ED">
                    <w:rPr>
                      <w:sz w:val="22"/>
                      <w:szCs w:val="22"/>
                    </w:rPr>
                    <w:t>4.</w:t>
                  </w:r>
                  <w:r w:rsidR="00956BE8" w:rsidRPr="008410ED">
                    <w:rPr>
                      <w:sz w:val="22"/>
                      <w:szCs w:val="22"/>
                    </w:rPr>
                    <w:t>Izvērtēti 2017.gada 13.jūnija MK noteikumi Nr.338 “</w:t>
                  </w:r>
                  <w:r w:rsidR="00956BE8" w:rsidRPr="008410ED">
                    <w:rPr>
                      <w:bCs/>
                      <w:sz w:val="22"/>
                      <w:szCs w:val="22"/>
                      <w:shd w:val="clear" w:color="auto" w:fill="FFFFFF"/>
                    </w:rPr>
                    <w:t>Prasības sociālo pakalpojumu sniedzējiem” un 2009.gada 22.decembra MK noteikumi Nr.1613 “Kārtība, kādā nepieciešamo palīdzību sniedz bērnam, kurš cietis no prettiesiskām darbībām” un sagatavoti priekšlikumi grozījumiem;</w:t>
                  </w:r>
                </w:p>
                <w:p w:rsidR="00F662E7" w:rsidRPr="008410ED" w:rsidRDefault="00DB4246" w:rsidP="00956BE8">
                  <w:pPr>
                    <w:jc w:val="both"/>
                    <w:rPr>
                      <w:rFonts w:ascii="Times New Roman" w:hAnsi="Times New Roman" w:cs="Times New Roman"/>
                    </w:rPr>
                  </w:pPr>
                  <w:r w:rsidRPr="008410ED">
                    <w:rPr>
                      <w:rFonts w:ascii="Times New Roman" w:hAnsi="Times New Roman" w:cs="Times New Roman"/>
                      <w:shd w:val="clear" w:color="auto" w:fill="FFFFFF"/>
                    </w:rPr>
                    <w:t>5.</w:t>
                  </w:r>
                  <w:r w:rsidR="00956BE8" w:rsidRPr="008410ED">
                    <w:rPr>
                      <w:rFonts w:ascii="Times New Roman" w:hAnsi="Times New Roman" w:cs="Times New Roman"/>
                      <w:shd w:val="clear" w:color="auto" w:fill="FFFFFF"/>
                    </w:rPr>
                    <w:t>Izvērtēts un papildināts ar veicamajiem uzdevumiem 2009.gada 25.augusta MK rīkojums Nr. 581 “</w:t>
                  </w:r>
                  <w:r w:rsidR="00956BE8" w:rsidRPr="008410ED">
                    <w:rPr>
                      <w:rStyle w:val="Strong"/>
                      <w:rFonts w:ascii="Times New Roman" w:hAnsi="Times New Roman" w:cs="Times New Roman"/>
                      <w:b w:val="0"/>
                    </w:rPr>
                    <w:t xml:space="preserve">Par Rīcības plānu nepilngadīgo aizsardzībai no noziedzīgiem nodarījumiem pret tikumību </w:t>
                  </w:r>
                  <w:r w:rsidR="00956BE8" w:rsidRPr="008410ED">
                    <w:rPr>
                      <w:rStyle w:val="Strong"/>
                      <w:rFonts w:ascii="Times New Roman" w:hAnsi="Times New Roman" w:cs="Times New Roman"/>
                      <w:b w:val="0"/>
                    </w:rPr>
                    <w:lastRenderedPageBreak/>
                    <w:t>un dzimumneaizskaramību 2010.-2013.gadam”.</w:t>
                  </w:r>
                </w:p>
              </w:tc>
            </w:tr>
            <w:tr w:rsidR="00CE66D5" w:rsidRPr="008410ED" w:rsidTr="00644D36">
              <w:tc>
                <w:tcPr>
                  <w:tcW w:w="6630" w:type="dxa"/>
                  <w:gridSpan w:val="4"/>
                </w:tcPr>
                <w:p w:rsidR="00E939F9" w:rsidRPr="008410ED" w:rsidRDefault="00E939F9" w:rsidP="00CE66D5">
                  <w:pPr>
                    <w:jc w:val="both"/>
                    <w:rPr>
                      <w:rFonts w:ascii="Times New Roman" w:hAnsi="Times New Roman" w:cs="Times New Roman"/>
                    </w:rPr>
                  </w:pPr>
                  <w:r w:rsidRPr="008410ED">
                    <w:rPr>
                      <w:rFonts w:ascii="Times New Roman" w:eastAsiaTheme="minorEastAsia" w:hAnsi="Times New Roman" w:cs="Times New Roman"/>
                    </w:rPr>
                    <w:lastRenderedPageBreak/>
                    <w:t>2.</w:t>
                  </w:r>
                  <w:r w:rsidR="00644D36" w:rsidRPr="008410ED">
                    <w:rPr>
                      <w:rFonts w:ascii="Times New Roman" w:eastAsiaTheme="minorEastAsia" w:hAnsi="Times New Roman" w:cs="Times New Roman"/>
                    </w:rPr>
                    <w:t>1. iznākums “</w:t>
                  </w:r>
                  <w:r w:rsidRPr="008410ED">
                    <w:rPr>
                      <w:rFonts w:ascii="Times New Roman" w:eastAsiaTheme="minorEastAsia" w:hAnsi="Times New Roman" w:cs="Times New Roman"/>
                      <w:bCs/>
                    </w:rPr>
                    <w:t>Ieviests Barnahus”</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Apmācīti darbinieki (sadalījumā pa dzimumiem)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200</w:t>
                  </w:r>
                </w:p>
              </w:tc>
              <w:tc>
                <w:tcPr>
                  <w:tcW w:w="2835" w:type="dxa"/>
                </w:tcPr>
                <w:p w:rsidR="00F662E7" w:rsidRPr="008410ED" w:rsidRDefault="00956BE8" w:rsidP="008F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lv-LV"/>
                    </w:rPr>
                  </w:pPr>
                  <w:r w:rsidRPr="008410ED">
                    <w:rPr>
                      <w:rFonts w:ascii="Times New Roman" w:eastAsia="Times New Roman" w:hAnsi="Times New Roman" w:cs="Times New Roman"/>
                      <w:lang w:eastAsia="lv-LV"/>
                    </w:rPr>
                    <w:t xml:space="preserve">Tiks apmācīti </w:t>
                  </w:r>
                  <w:r w:rsidR="008F6EE2">
                    <w:rPr>
                      <w:rFonts w:ascii="Times New Roman" w:eastAsia="Times New Roman" w:hAnsi="Times New Roman" w:cs="Times New Roman"/>
                      <w:lang w:eastAsia="lv-LV"/>
                    </w:rPr>
                    <w:t>VP</w:t>
                  </w:r>
                  <w:r w:rsidRPr="008410ED">
                    <w:rPr>
                      <w:rFonts w:ascii="Times New Roman" w:eastAsia="Times New Roman" w:hAnsi="Times New Roman" w:cs="Times New Roman"/>
                      <w:lang w:eastAsia="lv-LV"/>
                    </w:rPr>
                    <w:t xml:space="preserve">, Latvijas Republikas Prokuratūras, Valsts tiesu medicīnas ekspertīzes centra, Valsts bērnu tiesību aizsardzības inspekcijas, VSIA “Bērnu klīniskā universitātes slimnīca”, VSIA „Rīgas psihiatrijas un narkoloģijas centrs” sociālā dienesta, bāriņtiesas darbinieki, kā arī psihologi, ārstniecības jomas speciālisti, zvērināti advokāti, sociālo pakalpojumu sniedzēji. </w:t>
                  </w:r>
                </w:p>
              </w:tc>
            </w:tr>
            <w:tr w:rsidR="00CE66D5" w:rsidRPr="008410ED" w:rsidTr="005767AF">
              <w:tc>
                <w:tcPr>
                  <w:tcW w:w="1894" w:type="dxa"/>
                </w:tcPr>
                <w:p w:rsidR="00F662E7" w:rsidRPr="008410ED" w:rsidRDefault="00894753" w:rsidP="00894753">
                  <w:pPr>
                    <w:jc w:val="both"/>
                    <w:rPr>
                      <w:rFonts w:ascii="Times New Roman" w:hAnsi="Times New Roman" w:cs="Times New Roman"/>
                    </w:rPr>
                  </w:pPr>
                  <w:r w:rsidRPr="008410ED">
                    <w:rPr>
                      <w:rFonts w:ascii="Times New Roman" w:hAnsi="Times New Roman" w:cs="Times New Roman"/>
                    </w:rPr>
                    <w:t>Īstenotas informētības veicināšanas kampaņas</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2</w:t>
                  </w:r>
                </w:p>
              </w:tc>
              <w:tc>
                <w:tcPr>
                  <w:tcW w:w="2835" w:type="dxa"/>
                </w:tcPr>
                <w:p w:rsidR="001633FB" w:rsidRPr="008410ED" w:rsidRDefault="00873784" w:rsidP="001633FB">
                  <w:pPr>
                    <w:pStyle w:val="HTMLPreformatted"/>
                    <w:tabs>
                      <w:tab w:val="clear" w:pos="916"/>
                      <w:tab w:val="left" w:pos="317"/>
                    </w:tabs>
                    <w:jc w:val="both"/>
                    <w:rPr>
                      <w:rFonts w:ascii="Times New Roman" w:hAnsi="Times New Roman" w:cs="Times New Roman"/>
                      <w:sz w:val="22"/>
                      <w:szCs w:val="22"/>
                    </w:rPr>
                  </w:pPr>
                  <w:r w:rsidRPr="008410ED">
                    <w:rPr>
                      <w:rFonts w:ascii="Times New Roman" w:hAnsi="Times New Roman" w:cs="Times New Roman"/>
                      <w:sz w:val="22"/>
                      <w:szCs w:val="22"/>
                    </w:rPr>
                    <w:t xml:space="preserve">Tiek plānotas 2 </w:t>
                  </w:r>
                  <w:r w:rsidR="00894753" w:rsidRPr="008410ED">
                    <w:rPr>
                      <w:rFonts w:ascii="Times New Roman" w:hAnsi="Times New Roman" w:cs="Times New Roman"/>
                      <w:sz w:val="22"/>
                      <w:szCs w:val="22"/>
                    </w:rPr>
                    <w:t>informētības veicināšanas kampaņas</w:t>
                  </w:r>
                  <w:r w:rsidRPr="008410ED">
                    <w:rPr>
                      <w:rFonts w:ascii="Times New Roman" w:hAnsi="Times New Roman" w:cs="Times New Roman"/>
                      <w:sz w:val="22"/>
                      <w:szCs w:val="22"/>
                    </w:rPr>
                    <w:t>. Pirmā</w:t>
                  </w:r>
                  <w:r w:rsidR="001633FB" w:rsidRPr="008410ED">
                    <w:rPr>
                      <w:rFonts w:ascii="Times New Roman" w:hAnsi="Times New Roman" w:cs="Times New Roman"/>
                      <w:sz w:val="22"/>
                      <w:szCs w:val="22"/>
                    </w:rPr>
                    <w:t xml:space="preserve"> mērķēta sabiedrībai kopumā, ieskaitot bērnus</w:t>
                  </w:r>
                  <w:r w:rsidRPr="008410ED">
                    <w:rPr>
                      <w:rFonts w:ascii="Times New Roman" w:hAnsi="Times New Roman" w:cs="Times New Roman"/>
                      <w:sz w:val="22"/>
                      <w:szCs w:val="22"/>
                    </w:rPr>
                    <w:t xml:space="preserve"> un ģimenes, bet otrā -</w:t>
                  </w:r>
                </w:p>
                <w:p w:rsidR="00F662E7" w:rsidRPr="008410ED" w:rsidRDefault="001633FB" w:rsidP="00873784">
                  <w:pPr>
                    <w:pStyle w:val="HTMLPreformatted"/>
                    <w:tabs>
                      <w:tab w:val="clear" w:pos="916"/>
                      <w:tab w:val="left" w:pos="317"/>
                      <w:tab w:val="left" w:pos="553"/>
                    </w:tabs>
                    <w:jc w:val="both"/>
                    <w:rPr>
                      <w:rFonts w:ascii="Times New Roman" w:hAnsi="Times New Roman" w:cs="Times New Roman"/>
                      <w:sz w:val="22"/>
                      <w:szCs w:val="22"/>
                    </w:rPr>
                  </w:pPr>
                  <w:r w:rsidRPr="008410ED">
                    <w:rPr>
                      <w:rFonts w:ascii="Times New Roman" w:hAnsi="Times New Roman" w:cs="Times New Roman"/>
                      <w:sz w:val="22"/>
                      <w:szCs w:val="22"/>
                    </w:rPr>
                    <w:t xml:space="preserve">ekspertiem un jomas speciālistiem.   </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Uzlabotas telpas (saskaņā ar t.s. Eiropas Barnahus kvalitātes standartiem)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4</w:t>
                  </w:r>
                </w:p>
              </w:tc>
              <w:tc>
                <w:tcPr>
                  <w:tcW w:w="2835" w:type="dxa"/>
                </w:tcPr>
                <w:p w:rsidR="00F662E7" w:rsidRPr="008410ED" w:rsidRDefault="001633FB" w:rsidP="00894753">
                  <w:pPr>
                    <w:pStyle w:val="HTMLPreformatted"/>
                    <w:jc w:val="both"/>
                    <w:rPr>
                      <w:rFonts w:ascii="Times New Roman" w:hAnsi="Times New Roman" w:cs="Times New Roman"/>
                    </w:rPr>
                  </w:pPr>
                  <w:r w:rsidRPr="008410ED">
                    <w:rPr>
                      <w:rFonts w:ascii="Times New Roman" w:hAnsi="Times New Roman" w:cs="Times New Roman"/>
                      <w:sz w:val="22"/>
                      <w:szCs w:val="22"/>
                    </w:rPr>
                    <w:t xml:space="preserve">Pielāgotas </w:t>
                  </w:r>
                  <w:r w:rsidR="00894753" w:rsidRPr="008410ED">
                    <w:rPr>
                      <w:rFonts w:ascii="Times New Roman" w:hAnsi="Times New Roman" w:cs="Times New Roman"/>
                      <w:sz w:val="22"/>
                      <w:szCs w:val="22"/>
                    </w:rPr>
                    <w:t xml:space="preserve">4 </w:t>
                  </w:r>
                  <w:r w:rsidRPr="008410ED">
                    <w:rPr>
                      <w:rFonts w:ascii="Times New Roman" w:hAnsi="Times New Roman" w:cs="Times New Roman"/>
                      <w:sz w:val="22"/>
                      <w:szCs w:val="22"/>
                    </w:rPr>
                    <w:t xml:space="preserve">telpas Barnahus modeļa ieviešanas vietās. </w:t>
                  </w:r>
                </w:p>
              </w:tc>
            </w:tr>
            <w:tr w:rsidR="00CE66D5" w:rsidRPr="008410ED" w:rsidTr="005767AF">
              <w:tc>
                <w:tcPr>
                  <w:tcW w:w="1894" w:type="dxa"/>
                </w:tcPr>
                <w:p w:rsidR="00F662E7" w:rsidRPr="008410ED" w:rsidRDefault="00FC2268" w:rsidP="00CE66D5">
                  <w:pPr>
                    <w:jc w:val="both"/>
                    <w:rPr>
                      <w:rFonts w:ascii="Times New Roman" w:hAnsi="Times New Roman" w:cs="Times New Roman"/>
                    </w:rPr>
                  </w:pPr>
                  <w:r w:rsidRPr="008410ED">
                    <w:rPr>
                      <w:rFonts w:ascii="Times New Roman" w:eastAsiaTheme="minorEastAsia" w:hAnsi="Times New Roman" w:cs="Times New Roman"/>
                      <w:bCs/>
                    </w:rPr>
                    <w:t xml:space="preserve">Attīstīts multidisciplinārais </w:t>
                  </w:r>
                  <w:r w:rsidRPr="008410ED">
                    <w:rPr>
                      <w:rFonts w:ascii="Times New Roman" w:eastAsiaTheme="minorEastAsia" w:hAnsi="Times New Roman" w:cs="Times New Roman"/>
                      <w:bCs/>
                      <w:sz w:val="20"/>
                      <w:szCs w:val="20"/>
                    </w:rPr>
                    <w:t>starpinstitucionālais</w:t>
                  </w:r>
                  <w:r w:rsidRPr="008410ED">
                    <w:rPr>
                      <w:rFonts w:ascii="Times New Roman" w:eastAsiaTheme="minorEastAsia" w:hAnsi="Times New Roman" w:cs="Times New Roman"/>
                      <w:bCs/>
                    </w:rPr>
                    <w:t xml:space="preserve"> pakalpojumu modelis bērniem, kas cietuši no vardarbības</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Nē</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Jā</w:t>
                  </w:r>
                </w:p>
              </w:tc>
              <w:tc>
                <w:tcPr>
                  <w:tcW w:w="2835" w:type="dxa"/>
                </w:tcPr>
                <w:p w:rsidR="00F662E7" w:rsidRPr="008410ED" w:rsidRDefault="00873784" w:rsidP="00CE66D5">
                  <w:pPr>
                    <w:jc w:val="both"/>
                    <w:rPr>
                      <w:rFonts w:ascii="Times New Roman" w:hAnsi="Times New Roman" w:cs="Times New Roman"/>
                    </w:rPr>
                  </w:pPr>
                  <w:r w:rsidRPr="008410ED">
                    <w:rPr>
                      <w:rFonts w:ascii="Times New Roman" w:hAnsi="Times New Roman" w:cs="Times New Roman"/>
                    </w:rPr>
                    <w:t>Tiek plānots ieviest Barnahus modeli Latvijā.</w:t>
                  </w:r>
                </w:p>
              </w:tc>
            </w:tr>
            <w:tr w:rsidR="00CE66D5" w:rsidRPr="008410ED" w:rsidTr="00644D36">
              <w:tc>
                <w:tcPr>
                  <w:tcW w:w="6630" w:type="dxa"/>
                  <w:gridSpan w:val="4"/>
                </w:tcPr>
                <w:p w:rsidR="00E939F9" w:rsidRPr="008410ED" w:rsidRDefault="00E939F9" w:rsidP="00CE66D5">
                  <w:pPr>
                    <w:jc w:val="both"/>
                    <w:rPr>
                      <w:rFonts w:ascii="Times New Roman" w:hAnsi="Times New Roman" w:cs="Times New Roman"/>
                    </w:rPr>
                  </w:pPr>
                  <w:r w:rsidRPr="008410ED">
                    <w:rPr>
                      <w:rFonts w:ascii="Times New Roman" w:eastAsiaTheme="minorEastAsia" w:hAnsi="Times New Roman" w:cs="Times New Roman"/>
                    </w:rPr>
                    <w:t>Divpusējais mērķis “</w:t>
                  </w:r>
                  <w:r w:rsidRPr="008410ED">
                    <w:rPr>
                      <w:rFonts w:ascii="Times New Roman" w:eastAsiaTheme="minorEastAsia" w:hAnsi="Times New Roman" w:cs="Times New Roman"/>
                      <w:bCs/>
                    </w:rPr>
                    <w:t xml:space="preserve"> Uzlabota policijas, starptautisko organizāciju un pašvaldību sadarbība”</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Uzticības līmenis starp Saņēmējvalsts un Donorvalstu iestādēm (skalā 1-7)</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Tiks noteikts</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w:t>
                  </w:r>
                  <w:r w:rsidRPr="008410ED">
                    <w:rPr>
                      <w:rFonts w:ascii="Times New Roman" w:hAnsi="Times New Roman" w:cs="Times New Roman"/>
                    </w:rPr>
                    <w:t>4.5</w:t>
                  </w:r>
                </w:p>
              </w:tc>
              <w:tc>
                <w:tcPr>
                  <w:tcW w:w="2835" w:type="dxa"/>
                </w:tcPr>
                <w:p w:rsidR="00F662E7" w:rsidRPr="008410ED" w:rsidRDefault="00344F1D" w:rsidP="00CE66D5">
                  <w:pPr>
                    <w:jc w:val="both"/>
                    <w:rPr>
                      <w:rFonts w:ascii="Times New Roman" w:hAnsi="Times New Roman" w:cs="Times New Roman"/>
                    </w:rPr>
                  </w:pPr>
                  <w:r w:rsidRPr="008410ED">
                    <w:rPr>
                      <w:rFonts w:ascii="Times New Roman" w:hAnsi="Times New Roman" w:cs="Times New Roman"/>
                    </w:rPr>
                    <w:t>Tiek plānots veikt programmas izvērtējumu.</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 xml:space="preserve">Apmierinātība ar partnerību (skalā </w:t>
                  </w:r>
                  <w:r w:rsidRPr="008410ED">
                    <w:rPr>
                      <w:rFonts w:ascii="Times New Roman" w:eastAsiaTheme="minorEastAsia" w:hAnsi="Times New Roman" w:cs="Times New Roman"/>
                      <w:bCs/>
                    </w:rPr>
                    <w:t>1-7)</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Tiks noteikts</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w:t>
                  </w:r>
                  <w:r w:rsidRPr="008410ED">
                    <w:rPr>
                      <w:rFonts w:ascii="Times New Roman" w:hAnsi="Times New Roman" w:cs="Times New Roman"/>
                    </w:rPr>
                    <w:t>4.5</w:t>
                  </w:r>
                </w:p>
              </w:tc>
              <w:tc>
                <w:tcPr>
                  <w:tcW w:w="2835" w:type="dxa"/>
                </w:tcPr>
                <w:p w:rsidR="00F662E7" w:rsidRPr="008410ED" w:rsidRDefault="00344F1D" w:rsidP="00CE66D5">
                  <w:pPr>
                    <w:jc w:val="both"/>
                    <w:rPr>
                      <w:rFonts w:ascii="Times New Roman" w:hAnsi="Times New Roman" w:cs="Times New Roman"/>
                    </w:rPr>
                  </w:pPr>
                  <w:r w:rsidRPr="008410ED">
                    <w:rPr>
                      <w:rFonts w:ascii="Times New Roman" w:hAnsi="Times New Roman" w:cs="Times New Roman"/>
                    </w:rPr>
                    <w:t>Tiek plānots veikt programmas izvērtējumu.</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 xml:space="preserve">Iestādes, kas izmanto divpusējā sadarbībā iegūtās zināšanas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N/A</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≥50%</w:t>
                  </w:r>
                </w:p>
              </w:tc>
              <w:tc>
                <w:tcPr>
                  <w:tcW w:w="2835" w:type="dxa"/>
                </w:tcPr>
                <w:p w:rsidR="00F662E7" w:rsidRPr="008410ED" w:rsidRDefault="00344F1D" w:rsidP="00CE66D5">
                  <w:pPr>
                    <w:jc w:val="both"/>
                    <w:rPr>
                      <w:rFonts w:ascii="Times New Roman" w:hAnsi="Times New Roman" w:cs="Times New Roman"/>
                    </w:rPr>
                  </w:pPr>
                  <w:r w:rsidRPr="008410ED">
                    <w:rPr>
                      <w:rFonts w:ascii="Times New Roman" w:hAnsi="Times New Roman" w:cs="Times New Roman"/>
                    </w:rPr>
                    <w:t>Tiek plānots veikt programmas izvērtējumu.</w:t>
                  </w:r>
                </w:p>
              </w:tc>
            </w:tr>
            <w:tr w:rsidR="00CE66D5" w:rsidRPr="008410ED" w:rsidTr="00644D36">
              <w:tc>
                <w:tcPr>
                  <w:tcW w:w="6630" w:type="dxa"/>
                  <w:gridSpan w:val="4"/>
                </w:tcPr>
                <w:p w:rsidR="00E939F9" w:rsidRPr="008410ED" w:rsidRDefault="00B7602E" w:rsidP="00CE66D5">
                  <w:pPr>
                    <w:jc w:val="both"/>
                    <w:rPr>
                      <w:rFonts w:ascii="Times New Roman" w:hAnsi="Times New Roman" w:cs="Times New Roman"/>
                    </w:rPr>
                  </w:pPr>
                  <w:r w:rsidRPr="008410ED">
                    <w:rPr>
                      <w:rFonts w:ascii="Times New Roman" w:eastAsiaTheme="minorEastAsia" w:hAnsi="Times New Roman" w:cs="Times New Roman"/>
                    </w:rPr>
                    <w:t>D</w:t>
                  </w:r>
                  <w:r w:rsidR="00E939F9" w:rsidRPr="008410ED">
                    <w:rPr>
                      <w:rFonts w:ascii="Times New Roman" w:eastAsiaTheme="minorEastAsia" w:hAnsi="Times New Roman" w:cs="Times New Roman"/>
                    </w:rPr>
                    <w:t>ivpusējais iznākums</w:t>
                  </w:r>
                  <w:r w:rsidR="00E939F9" w:rsidRPr="008410ED">
                    <w:rPr>
                      <w:rFonts w:ascii="Times New Roman" w:eastAsiaTheme="minorEastAsia" w:hAnsi="Times New Roman" w:cs="Times New Roman"/>
                      <w:b/>
                    </w:rPr>
                    <w:t xml:space="preserve"> </w:t>
                  </w:r>
                  <w:r w:rsidR="00E939F9" w:rsidRPr="008410ED">
                    <w:rPr>
                      <w:rFonts w:ascii="Times New Roman" w:eastAsiaTheme="minorEastAsia" w:hAnsi="Times New Roman" w:cs="Times New Roman"/>
                      <w:bCs/>
                    </w:rPr>
                    <w:t xml:space="preserve"> “Atbalstīti divpusējie sadarbības tīkli”</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 xml:space="preserve">Organizēti kopīgi Saņēmējvalsts un </w:t>
                  </w:r>
                  <w:r w:rsidRPr="008410ED">
                    <w:rPr>
                      <w:rFonts w:ascii="Times New Roman" w:eastAsiaTheme="minorEastAsia" w:hAnsi="Times New Roman" w:cs="Times New Roman"/>
                    </w:rPr>
                    <w:lastRenderedPageBreak/>
                    <w:t xml:space="preserve">Donorvalstu iestāžu mācību kursi </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lastRenderedPageBreak/>
                    <w:t xml:space="preserve"> 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3</w:t>
                  </w:r>
                </w:p>
              </w:tc>
              <w:tc>
                <w:tcPr>
                  <w:tcW w:w="2835" w:type="dxa"/>
                </w:tcPr>
                <w:p w:rsidR="00F662E7" w:rsidRPr="008410ED" w:rsidRDefault="005767AF" w:rsidP="00B7602E">
                  <w:pPr>
                    <w:ind w:left="-108"/>
                    <w:jc w:val="both"/>
                    <w:rPr>
                      <w:rFonts w:ascii="Times New Roman" w:hAnsi="Times New Roman" w:cs="Times New Roman"/>
                    </w:rPr>
                  </w:pPr>
                  <w:r w:rsidRPr="008410ED">
                    <w:rPr>
                      <w:rFonts w:ascii="Times New Roman" w:hAnsi="Times New Roman" w:cs="Times New Roman"/>
                      <w:u w:val="single"/>
                    </w:rPr>
                    <w:t>Seminārs</w:t>
                  </w:r>
                  <w:r w:rsidRPr="008410ED">
                    <w:rPr>
                      <w:rFonts w:ascii="Times New Roman" w:hAnsi="Times New Roman" w:cs="Times New Roman"/>
                    </w:rPr>
                    <w:t xml:space="preserve"> “Nelabvēlīgas darba vides ietekme, ieskaitot stresu, </w:t>
                  </w:r>
                  <w:r w:rsidRPr="008410ED">
                    <w:rPr>
                      <w:rFonts w:ascii="Times New Roman" w:hAnsi="Times New Roman" w:cs="Times New Roman"/>
                    </w:rPr>
                    <w:lastRenderedPageBreak/>
                    <w:t>uz muitas darba suņu darba ražīgumu” (20</w:t>
                  </w:r>
                  <w:r w:rsidR="001D257A">
                    <w:rPr>
                      <w:rFonts w:ascii="Times New Roman" w:hAnsi="Times New Roman" w:cs="Times New Roman"/>
                    </w:rPr>
                    <w:t xml:space="preserve"> </w:t>
                  </w:r>
                  <w:r w:rsidRPr="008410ED">
                    <w:rPr>
                      <w:rFonts w:ascii="Times New Roman" w:hAnsi="Times New Roman" w:cs="Times New Roman"/>
                    </w:rPr>
                    <w:t>-</w:t>
                  </w:r>
                  <w:r w:rsidR="001D257A">
                    <w:rPr>
                      <w:rFonts w:ascii="Times New Roman" w:hAnsi="Times New Roman" w:cs="Times New Roman"/>
                    </w:rPr>
                    <w:t xml:space="preserve"> </w:t>
                  </w:r>
                  <w:r w:rsidRPr="008410ED">
                    <w:rPr>
                      <w:rFonts w:ascii="Times New Roman" w:hAnsi="Times New Roman" w:cs="Times New Roman"/>
                    </w:rPr>
                    <w:t>30 kinologi no LV, NOR, EE, LT, FI, SWE un EEZ valstu muitas dienestiem);</w:t>
                  </w:r>
                </w:p>
                <w:p w:rsidR="005767AF" w:rsidRPr="008410ED" w:rsidRDefault="005767AF" w:rsidP="00B7602E">
                  <w:pPr>
                    <w:ind w:left="-108"/>
                    <w:jc w:val="both"/>
                    <w:rPr>
                      <w:rFonts w:ascii="Times New Roman" w:hAnsi="Times New Roman" w:cs="Times New Roman"/>
                    </w:rPr>
                  </w:pPr>
                  <w:r w:rsidRPr="008410ED">
                    <w:rPr>
                      <w:rFonts w:ascii="Times New Roman" w:hAnsi="Times New Roman" w:cs="Times New Roman"/>
                      <w:u w:val="single"/>
                    </w:rPr>
                    <w:t>Pētījums</w:t>
                  </w:r>
                  <w:r w:rsidR="00B7602E" w:rsidRPr="008410ED">
                    <w:rPr>
                      <w:rFonts w:ascii="Times New Roman" w:hAnsi="Times New Roman" w:cs="Times New Roman"/>
                    </w:rPr>
                    <w:t xml:space="preserve"> </w:t>
                  </w:r>
                  <w:r w:rsidRPr="008410ED">
                    <w:rPr>
                      <w:rFonts w:ascii="Times New Roman" w:hAnsi="Times New Roman" w:cs="Times New Roman"/>
                    </w:rPr>
                    <w:t>par narkotiku smaržu imitatoru izmantošanas efektivitāti muitas darba suņu apmācībā;</w:t>
                  </w:r>
                </w:p>
                <w:p w:rsidR="00D54927" w:rsidRPr="008410ED" w:rsidRDefault="00D54927" w:rsidP="00103160">
                  <w:pPr>
                    <w:ind w:left="-108"/>
                    <w:jc w:val="both"/>
                    <w:rPr>
                      <w:rFonts w:ascii="Times New Roman" w:hAnsi="Times New Roman" w:cs="Times New Roman"/>
                    </w:rPr>
                  </w:pPr>
                  <w:r w:rsidRPr="008410ED">
                    <w:rPr>
                      <w:rFonts w:ascii="Times New Roman" w:hAnsi="Times New Roman" w:cs="Times New Roman"/>
                      <w:u w:val="single"/>
                    </w:rPr>
                    <w:t>Pieredzes apmaiņas vizītes</w:t>
                  </w:r>
                  <w:r w:rsidRPr="008410ED">
                    <w:rPr>
                      <w:rFonts w:ascii="Times New Roman" w:hAnsi="Times New Roman" w:cs="Times New Roman"/>
                    </w:rPr>
                    <w:t xml:space="preserve"> Latvijas un Norvēģijas muitas kinologiem.</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lastRenderedPageBreak/>
                    <w:t>Īstenoti projekti, kas ietver sadarbību ar donora projekta partneri</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2</w:t>
                  </w:r>
                </w:p>
              </w:tc>
              <w:tc>
                <w:tcPr>
                  <w:tcW w:w="2835" w:type="dxa"/>
                </w:tcPr>
                <w:p w:rsidR="00F662E7" w:rsidRPr="008410ED" w:rsidRDefault="00344F1D" w:rsidP="00344F1D">
                  <w:pPr>
                    <w:jc w:val="both"/>
                    <w:rPr>
                      <w:rFonts w:ascii="Times New Roman" w:hAnsi="Times New Roman" w:cs="Times New Roman"/>
                    </w:rPr>
                  </w:pPr>
                  <w:r w:rsidRPr="008410ED">
                    <w:rPr>
                      <w:rFonts w:ascii="Times New Roman" w:hAnsi="Times New Roman" w:cs="Times New Roman"/>
                    </w:rPr>
                    <w:t>Projektā “Barnahus (Bērnu māja) koncepcijas popularizēšana Latvijā” sadarbības partneris būs Islandes valdības Bērnu aizsardzības aģentūra.</w:t>
                  </w:r>
                </w:p>
                <w:p w:rsidR="00344F1D" w:rsidRPr="008410ED" w:rsidRDefault="00344F1D" w:rsidP="00344F1D">
                  <w:pPr>
                    <w:jc w:val="both"/>
                    <w:rPr>
                      <w:rFonts w:ascii="Times New Roman" w:hAnsi="Times New Roman" w:cs="Times New Roman"/>
                    </w:rPr>
                  </w:pPr>
                  <w:r w:rsidRPr="008410ED">
                    <w:rPr>
                      <w:rFonts w:ascii="Times New Roman" w:hAnsi="Times New Roman" w:cs="Times New Roman"/>
                    </w:rPr>
                    <w:t>Projektā “</w:t>
                  </w:r>
                  <w:r w:rsidR="001D257A" w:rsidRPr="008410ED">
                    <w:rPr>
                      <w:rFonts w:ascii="Times New Roman" w:hAnsi="Times New Roman" w:cs="Times New Roman"/>
                      <w:sz w:val="24"/>
                      <w:szCs w:val="24"/>
                    </w:rPr>
                    <w:t>Ekonomisko noziegumu novēršana un apkarošana robež</w:t>
                  </w:r>
                  <w:r w:rsidR="001D257A">
                    <w:rPr>
                      <w:rFonts w:ascii="Times New Roman" w:hAnsi="Times New Roman" w:cs="Times New Roman"/>
                      <w:sz w:val="24"/>
                      <w:szCs w:val="24"/>
                    </w:rPr>
                    <w:t>šķērsošanas</w:t>
                  </w:r>
                  <w:r w:rsidR="001D257A" w:rsidRPr="008410ED">
                    <w:rPr>
                      <w:rFonts w:ascii="Times New Roman" w:hAnsi="Times New Roman" w:cs="Times New Roman"/>
                      <w:sz w:val="24"/>
                      <w:szCs w:val="24"/>
                    </w:rPr>
                    <w:t xml:space="preserve"> </w:t>
                  </w:r>
                  <w:r w:rsidR="001D257A">
                    <w:rPr>
                      <w:rFonts w:ascii="Times New Roman" w:hAnsi="Times New Roman" w:cs="Times New Roman"/>
                      <w:sz w:val="24"/>
                      <w:szCs w:val="24"/>
                    </w:rPr>
                    <w:t>vietā</w:t>
                  </w:r>
                  <w:r w:rsidR="001D257A" w:rsidRPr="008410ED">
                    <w:rPr>
                      <w:rFonts w:ascii="Times New Roman" w:hAnsi="Times New Roman" w:cs="Times New Roman"/>
                      <w:sz w:val="24"/>
                      <w:szCs w:val="24"/>
                    </w:rPr>
                    <w:t xml:space="preserve"> “Terehova”</w:t>
                  </w:r>
                  <w:r w:rsidRPr="008410ED">
                    <w:rPr>
                      <w:rFonts w:ascii="Times New Roman" w:hAnsi="Times New Roman" w:cs="Times New Roman"/>
                    </w:rPr>
                    <w:t xml:space="preserve">” </w:t>
                  </w:r>
                  <w:r w:rsidR="00CD4383" w:rsidRPr="008410ED">
                    <w:rPr>
                      <w:rFonts w:ascii="Times New Roman" w:hAnsi="Times New Roman" w:cs="Times New Roman"/>
                    </w:rPr>
                    <w:t>tiek plānots uzaicināt donorvalsts pārstāvjus vadīt apmācības Kinoloģijas dienestam.</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Dalībnieku skaits no Saņēmējvalsts, kas iesaistījušies pieredzes apmaiņā (sadalījumā pa dzimumiem)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20</w:t>
                  </w:r>
                </w:p>
              </w:tc>
              <w:tc>
                <w:tcPr>
                  <w:tcW w:w="2835" w:type="dxa"/>
                </w:tcPr>
                <w:p w:rsidR="00F662E7" w:rsidRPr="008410ED" w:rsidRDefault="00CD4383" w:rsidP="00CD4383">
                  <w:pPr>
                    <w:jc w:val="both"/>
                    <w:rPr>
                      <w:rFonts w:ascii="Times New Roman" w:hAnsi="Times New Roman" w:cs="Times New Roman"/>
                    </w:rPr>
                  </w:pPr>
                  <w:r w:rsidRPr="008410ED">
                    <w:rPr>
                      <w:rFonts w:ascii="Times New Roman" w:hAnsi="Times New Roman" w:cs="Times New Roman"/>
                    </w:rPr>
                    <w:t xml:space="preserve">Tiek plānota pieredzes apmaiņa izmeklētājiem ekonomisko noziegumu apkarošanā un prevencijā, </w:t>
                  </w:r>
                  <w:r w:rsidRPr="008410ED">
                    <w:rPr>
                      <w:rFonts w:ascii="Times New Roman" w:hAnsi="Times New Roman" w:cs="Times New Roman"/>
                      <w:shd w:val="clear" w:color="auto" w:fill="FFFFFF"/>
                    </w:rPr>
                    <w:t>Noziedzīgi iegūtu līdzekļu legalizācijas novēršanas dienest</w:t>
                  </w:r>
                  <w:r w:rsidRPr="008410ED">
                    <w:rPr>
                      <w:rFonts w:ascii="Times New Roman" w:hAnsi="Times New Roman" w:cs="Times New Roman"/>
                    </w:rPr>
                    <w:t xml:space="preserve">a darbiniekiem, Kinoloģijas dienesta darbiniekiem, kā arī Barnahus modeļa ieviesējiem. </w:t>
                  </w:r>
                </w:p>
              </w:tc>
            </w:tr>
            <w:tr w:rsidR="00CE66D5" w:rsidRPr="008410ED" w:rsidTr="005767AF">
              <w:tc>
                <w:tcPr>
                  <w:tcW w:w="1894" w:type="dxa"/>
                </w:tcPr>
                <w:p w:rsidR="00F662E7" w:rsidRPr="008410ED" w:rsidRDefault="00F662E7" w:rsidP="00CE66D5">
                  <w:pPr>
                    <w:jc w:val="both"/>
                    <w:rPr>
                      <w:rFonts w:ascii="Times New Roman" w:hAnsi="Times New Roman" w:cs="Times New Roman"/>
                    </w:rPr>
                  </w:pPr>
                  <w:r w:rsidRPr="008410ED">
                    <w:rPr>
                      <w:rFonts w:ascii="Times New Roman" w:eastAsiaTheme="minorEastAsia" w:hAnsi="Times New Roman" w:cs="Times New Roman"/>
                    </w:rPr>
                    <w:t>Dalībnieku skaits no Donorvalstīm, kas iesaistījušies pieredzes apmaiņā (sadalījumā pa dzimumiem)</w:t>
                  </w:r>
                </w:p>
              </w:tc>
              <w:tc>
                <w:tcPr>
                  <w:tcW w:w="767"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0</w:t>
                  </w:r>
                </w:p>
              </w:tc>
              <w:tc>
                <w:tcPr>
                  <w:tcW w:w="1134" w:type="dxa"/>
                </w:tcPr>
                <w:p w:rsidR="00F662E7" w:rsidRPr="008410ED" w:rsidRDefault="00F662E7" w:rsidP="00CE66D5">
                  <w:pPr>
                    <w:jc w:val="both"/>
                    <w:rPr>
                      <w:rFonts w:ascii="Times New Roman" w:hAnsi="Times New Roman" w:cs="Times New Roman"/>
                    </w:rPr>
                  </w:pPr>
                  <w:r w:rsidRPr="008410ED">
                    <w:rPr>
                      <w:rFonts w:ascii="Times New Roman" w:hAnsi="Times New Roman" w:cs="Times New Roman"/>
                    </w:rPr>
                    <w:t>10</w:t>
                  </w:r>
                </w:p>
              </w:tc>
              <w:tc>
                <w:tcPr>
                  <w:tcW w:w="2835" w:type="dxa"/>
                </w:tcPr>
                <w:p w:rsidR="00F662E7" w:rsidRPr="008410ED" w:rsidRDefault="00A17959" w:rsidP="00A17959">
                  <w:pPr>
                    <w:jc w:val="both"/>
                    <w:rPr>
                      <w:rFonts w:ascii="Times New Roman" w:hAnsi="Times New Roman" w:cs="Times New Roman"/>
                    </w:rPr>
                  </w:pPr>
                  <w:r w:rsidRPr="008410ED">
                    <w:rPr>
                      <w:rFonts w:ascii="Times New Roman" w:hAnsi="Times New Roman" w:cs="Times New Roman"/>
                    </w:rPr>
                    <w:t>Tiek plānots uzaicināt don</w:t>
                  </w:r>
                  <w:r w:rsidR="00BF53CD" w:rsidRPr="008410ED">
                    <w:rPr>
                      <w:rFonts w:ascii="Times New Roman" w:hAnsi="Times New Roman" w:cs="Times New Roman"/>
                    </w:rPr>
                    <w:t xml:space="preserve">orvalstu ekspertus piedalīties </w:t>
                  </w:r>
                  <w:r w:rsidRPr="008410ED">
                    <w:rPr>
                      <w:rFonts w:ascii="Times New Roman" w:hAnsi="Times New Roman" w:cs="Times New Roman"/>
                    </w:rPr>
                    <w:t>normatīvo dokumentu izvērtēšanas darba grupās, rīkotajās apmācībās, kas skar jautājumus par ekonomisko noziegumu apkarošanu un prevenciju, noziedzīgi iegūtu līdzekļu legalizāciju</w:t>
                  </w:r>
                  <w:r w:rsidR="008542C3" w:rsidRPr="008410ED">
                    <w:rPr>
                      <w:rFonts w:ascii="Times New Roman" w:hAnsi="Times New Roman" w:cs="Times New Roman"/>
                    </w:rPr>
                    <w:t>, Kinoloģijas dienesta suņu apmācības un Barnahus modeļa ieviešanu Latvijā.</w:t>
                  </w:r>
                </w:p>
              </w:tc>
            </w:tr>
          </w:tbl>
          <w:p w:rsidR="00301870" w:rsidRPr="00964D19" w:rsidRDefault="00F41B67" w:rsidP="00CE66D5">
            <w:pPr>
              <w:ind w:firstLine="270"/>
              <w:jc w:val="both"/>
              <w:rPr>
                <w:rFonts w:ascii="Times New Roman" w:hAnsi="Times New Roman" w:cs="Times New Roman"/>
                <w:sz w:val="24"/>
                <w:szCs w:val="24"/>
              </w:rPr>
            </w:pPr>
            <w:r w:rsidRPr="00964D19">
              <w:rPr>
                <w:rFonts w:ascii="Times New Roman" w:hAnsi="Times New Roman"/>
                <w:sz w:val="24"/>
                <w:szCs w:val="24"/>
              </w:rPr>
              <w:t xml:space="preserve">Saskaņā ar Eiropas Ekonomikas zonas finanšu instrumenta 2014. – 2021. gada perioda noteikumu 6.2. panta 2.daļu programmas apsaimniekotājam ar vadošās iestādes starpniecību 6 mēnešu laikā no Sadarbības memoranda parakstīšanas dienas jāiesniedz </w:t>
            </w:r>
            <w:r w:rsidRPr="00964D19">
              <w:rPr>
                <w:rFonts w:ascii="Times New Roman" w:hAnsi="Times New Roman"/>
                <w:iCs/>
                <w:sz w:val="24"/>
                <w:szCs w:val="24"/>
                <w:shd w:val="clear" w:color="auto" w:fill="FFFFFF"/>
              </w:rPr>
              <w:t>EEZ FI komitejā</w:t>
            </w:r>
            <w:r w:rsidRPr="00964D19">
              <w:rPr>
                <w:rFonts w:ascii="Times New Roman" w:hAnsi="Times New Roman"/>
                <w:sz w:val="24"/>
                <w:szCs w:val="24"/>
              </w:rPr>
              <w:t xml:space="preserve"> programmas koncepcijas projekts, tas ir līdz 2018. gada 14. jūnijam. </w:t>
            </w:r>
            <w:r w:rsidR="001B4272" w:rsidRPr="00964D19">
              <w:rPr>
                <w:rFonts w:ascii="Times New Roman" w:hAnsi="Times New Roman"/>
                <w:sz w:val="24"/>
                <w:szCs w:val="24"/>
              </w:rPr>
              <w:t xml:space="preserve">Vienlaikus </w:t>
            </w:r>
            <w:r w:rsidR="00167856" w:rsidRPr="00964D19">
              <w:rPr>
                <w:rFonts w:ascii="Times New Roman" w:hAnsi="Times New Roman"/>
                <w:sz w:val="24"/>
                <w:szCs w:val="24"/>
              </w:rPr>
              <w:t>Finanšu instrumenta</w:t>
            </w:r>
            <w:r w:rsidR="001B4272" w:rsidRPr="00964D19">
              <w:rPr>
                <w:rFonts w:ascii="Times New Roman" w:hAnsi="Times New Roman"/>
                <w:sz w:val="24"/>
                <w:szCs w:val="24"/>
              </w:rPr>
              <w:t xml:space="preserve"> birojs 2018. gada 18. </w:t>
            </w:r>
            <w:r w:rsidR="001B4272" w:rsidRPr="00964D19">
              <w:rPr>
                <w:rFonts w:ascii="Times New Roman" w:hAnsi="Times New Roman"/>
                <w:sz w:val="24"/>
                <w:szCs w:val="24"/>
              </w:rPr>
              <w:lastRenderedPageBreak/>
              <w:t xml:space="preserve">jūnija vēstulē Finanšu ministrijai uzsver nepieciešamību iesaistītajām pusēm vienoties par visiem ar programmas koncepcijas projektu saturu saistītajiem jautājumiem pirms programmas koncepcijas iesniegšanas </w:t>
            </w:r>
            <w:r w:rsidR="00FE0F9F" w:rsidRPr="00964D19">
              <w:rPr>
                <w:rFonts w:ascii="Times New Roman" w:hAnsi="Times New Roman"/>
                <w:sz w:val="24"/>
                <w:szCs w:val="24"/>
              </w:rPr>
              <w:t>EEZ FI komitejā</w:t>
            </w:r>
            <w:r w:rsidR="001B4272" w:rsidRPr="00964D19">
              <w:rPr>
                <w:rFonts w:ascii="Times New Roman" w:hAnsi="Times New Roman"/>
                <w:sz w:val="24"/>
                <w:szCs w:val="24"/>
              </w:rPr>
              <w:t xml:space="preserve"> un aicina turpināt sadarbību pie programmu koncepciju sagatavošanas. </w:t>
            </w:r>
            <w:r w:rsidR="00301870" w:rsidRPr="00964D19">
              <w:rPr>
                <w:rFonts w:ascii="Times New Roman" w:hAnsi="Times New Roman" w:cs="Times New Roman"/>
                <w:sz w:val="24"/>
                <w:szCs w:val="24"/>
              </w:rPr>
              <w:t xml:space="preserve">Lēmumu par </w:t>
            </w:r>
            <w:r w:rsidR="00F662E7" w:rsidRPr="00964D19">
              <w:rPr>
                <w:rFonts w:ascii="Times New Roman" w:hAnsi="Times New Roman" w:cs="Times New Roman"/>
                <w:sz w:val="24"/>
                <w:szCs w:val="24"/>
              </w:rPr>
              <w:t xml:space="preserve">programmas </w:t>
            </w:r>
            <w:r w:rsidR="00301870" w:rsidRPr="00964D19">
              <w:rPr>
                <w:rFonts w:ascii="Times New Roman" w:hAnsi="Times New Roman" w:cs="Times New Roman"/>
                <w:sz w:val="24"/>
                <w:szCs w:val="24"/>
              </w:rPr>
              <w:t xml:space="preserve">koncepcijas apstiprināšanu pieņems </w:t>
            </w:r>
            <w:r w:rsidR="00024DA1" w:rsidRPr="00964D19">
              <w:rPr>
                <w:rFonts w:ascii="Times New Roman" w:hAnsi="Times New Roman" w:cs="Times New Roman"/>
                <w:sz w:val="24"/>
                <w:szCs w:val="24"/>
              </w:rPr>
              <w:t>EEZ FI</w:t>
            </w:r>
            <w:r w:rsidR="00301870" w:rsidRPr="00964D19">
              <w:rPr>
                <w:rFonts w:ascii="Times New Roman" w:hAnsi="Times New Roman" w:cs="Times New Roman"/>
                <w:sz w:val="24"/>
                <w:szCs w:val="24"/>
              </w:rPr>
              <w:t xml:space="preserve"> </w:t>
            </w:r>
            <w:r w:rsidRPr="00964D19">
              <w:rPr>
                <w:rFonts w:ascii="Times New Roman" w:hAnsi="Times New Roman" w:cs="Times New Roman"/>
                <w:sz w:val="24"/>
                <w:szCs w:val="24"/>
              </w:rPr>
              <w:t>komiteja</w:t>
            </w:r>
            <w:r w:rsidR="00301870" w:rsidRPr="00964D19">
              <w:rPr>
                <w:rFonts w:ascii="Times New Roman" w:hAnsi="Times New Roman" w:cs="Times New Roman"/>
                <w:sz w:val="24"/>
                <w:szCs w:val="24"/>
              </w:rPr>
              <w:t>.</w:t>
            </w:r>
          </w:p>
          <w:p w:rsidR="00E5323B" w:rsidRPr="008410ED" w:rsidRDefault="00294E35" w:rsidP="009D2B10">
            <w:pPr>
              <w:jc w:val="both"/>
              <w:rPr>
                <w:rFonts w:ascii="Times New Roman" w:hAnsi="Times New Roman" w:cs="Times New Roman"/>
                <w:sz w:val="24"/>
                <w:szCs w:val="24"/>
              </w:rPr>
            </w:pPr>
            <w:r w:rsidRPr="00964D19">
              <w:rPr>
                <w:rFonts w:ascii="Times New Roman" w:hAnsi="Times New Roman" w:cs="Times New Roman"/>
                <w:sz w:val="24"/>
                <w:szCs w:val="24"/>
              </w:rPr>
              <w:t>Vienlaikus informējam, ka programmas koncepcijas projekts ir</w:t>
            </w:r>
            <w:r w:rsidR="00F41B67" w:rsidRPr="00964D19">
              <w:rPr>
                <w:rFonts w:ascii="Times New Roman" w:hAnsi="Times New Roman" w:cs="Times New Roman"/>
                <w:sz w:val="24"/>
                <w:szCs w:val="24"/>
              </w:rPr>
              <w:t xml:space="preserve"> konceptuāli</w:t>
            </w:r>
            <w:r w:rsidRPr="00964D19">
              <w:rPr>
                <w:rFonts w:ascii="Times New Roman" w:hAnsi="Times New Roman" w:cs="Times New Roman"/>
                <w:sz w:val="24"/>
                <w:szCs w:val="24"/>
              </w:rPr>
              <w:t xml:space="preserve"> saskaņots ar </w:t>
            </w:r>
            <w:r w:rsidR="00167856" w:rsidRPr="00964D19">
              <w:rPr>
                <w:rFonts w:ascii="Times New Roman" w:hAnsi="Times New Roman" w:cs="Times New Roman"/>
                <w:sz w:val="24"/>
                <w:szCs w:val="24"/>
              </w:rPr>
              <w:t>Finanšu instrumenta biroja programmas</w:t>
            </w:r>
            <w:r w:rsidR="00FE0F9F" w:rsidRPr="00964D19">
              <w:rPr>
                <w:rFonts w:ascii="Times New Roman" w:hAnsi="Times New Roman" w:cs="Times New Roman"/>
                <w:sz w:val="24"/>
                <w:szCs w:val="24"/>
              </w:rPr>
              <w:t xml:space="preserve"> komiteju</w:t>
            </w:r>
            <w:r w:rsidRPr="00964D19">
              <w:rPr>
                <w:rFonts w:ascii="Times New Roman" w:hAnsi="Times New Roman" w:cs="Times New Roman"/>
                <w:sz w:val="24"/>
                <w:szCs w:val="24"/>
              </w:rPr>
              <w:t>.</w:t>
            </w:r>
          </w:p>
        </w:tc>
      </w:tr>
      <w:tr w:rsidR="00CE66D5" w:rsidRPr="008410ED" w:rsidTr="00644D3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3.</w:t>
            </w:r>
          </w:p>
        </w:tc>
        <w:tc>
          <w:tcPr>
            <w:tcW w:w="1034"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24" w:type="pct"/>
            <w:tcBorders>
              <w:top w:val="outset" w:sz="6" w:space="0" w:color="auto"/>
              <w:left w:val="outset" w:sz="6" w:space="0" w:color="auto"/>
              <w:bottom w:val="outset" w:sz="6" w:space="0" w:color="auto"/>
              <w:right w:val="outset" w:sz="6" w:space="0" w:color="auto"/>
            </w:tcBorders>
            <w:hideMark/>
          </w:tcPr>
          <w:p w:rsidR="00E5323B" w:rsidRPr="008410ED" w:rsidRDefault="00397BA1" w:rsidP="001D257A">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iCs/>
                <w:sz w:val="24"/>
                <w:szCs w:val="24"/>
              </w:rPr>
              <w:t xml:space="preserve">Iekšlietu ministrija, </w:t>
            </w:r>
            <w:r w:rsidR="001D257A">
              <w:rPr>
                <w:rFonts w:ascii="Times New Roman" w:hAnsi="Times New Roman" w:cs="Times New Roman"/>
                <w:iCs/>
                <w:sz w:val="24"/>
                <w:szCs w:val="24"/>
              </w:rPr>
              <w:t>VP</w:t>
            </w:r>
            <w:r w:rsidRPr="008410ED">
              <w:rPr>
                <w:rFonts w:ascii="Times New Roman" w:hAnsi="Times New Roman" w:cs="Times New Roman"/>
                <w:iCs/>
                <w:sz w:val="24"/>
                <w:szCs w:val="24"/>
              </w:rPr>
              <w:t xml:space="preserve">, </w:t>
            </w:r>
            <w:r w:rsidR="001D257A">
              <w:rPr>
                <w:rFonts w:ascii="Times New Roman" w:hAnsi="Times New Roman" w:cs="Times New Roman"/>
                <w:iCs/>
                <w:sz w:val="24"/>
                <w:szCs w:val="24"/>
              </w:rPr>
              <w:t>VID</w:t>
            </w:r>
            <w:r w:rsidRPr="008410ED">
              <w:rPr>
                <w:rFonts w:ascii="Times New Roman" w:hAnsi="Times New Roman" w:cs="Times New Roman"/>
                <w:iCs/>
                <w:sz w:val="24"/>
                <w:szCs w:val="24"/>
              </w:rPr>
              <w:t xml:space="preserve">, </w:t>
            </w:r>
            <w:r w:rsidR="001D257A">
              <w:rPr>
                <w:rFonts w:ascii="Times New Roman" w:hAnsi="Times New Roman" w:cs="Times New Roman"/>
                <w:sz w:val="24"/>
                <w:szCs w:val="24"/>
              </w:rPr>
              <w:t>KNAB</w:t>
            </w:r>
            <w:r w:rsidRPr="008410ED">
              <w:rPr>
                <w:rFonts w:ascii="Times New Roman" w:hAnsi="Times New Roman" w:cs="Times New Roman"/>
                <w:sz w:val="24"/>
                <w:szCs w:val="24"/>
              </w:rPr>
              <w:t xml:space="preserve">, </w:t>
            </w:r>
            <w:r w:rsidR="001D257A">
              <w:rPr>
                <w:rFonts w:ascii="Times New Roman" w:hAnsi="Times New Roman" w:cs="Times New Roman"/>
                <w:sz w:val="24"/>
                <w:szCs w:val="24"/>
              </w:rPr>
              <w:t>FKTK</w:t>
            </w:r>
            <w:r w:rsidR="00024DA1" w:rsidRPr="008410ED">
              <w:rPr>
                <w:rFonts w:ascii="Times New Roman" w:hAnsi="Times New Roman" w:cs="Times New Roman"/>
                <w:sz w:val="24"/>
                <w:szCs w:val="24"/>
              </w:rPr>
              <w:t>,</w:t>
            </w:r>
            <w:r w:rsidR="00024DA1" w:rsidRPr="008410ED">
              <w:rPr>
                <w:sz w:val="24"/>
                <w:szCs w:val="24"/>
                <w:shd w:val="clear" w:color="auto" w:fill="FFFFFF"/>
              </w:rPr>
              <w:t xml:space="preserve"> </w:t>
            </w:r>
            <w:r w:rsidR="00024DA1" w:rsidRPr="008410ED">
              <w:rPr>
                <w:rFonts w:ascii="Times New Roman" w:hAnsi="Times New Roman" w:cs="Times New Roman"/>
                <w:sz w:val="24"/>
                <w:szCs w:val="24"/>
                <w:shd w:val="clear" w:color="auto" w:fill="FFFFFF"/>
              </w:rPr>
              <w:t>Noziedzīgi iegūtu līdzekļu legalizācijas novēršanas dienest</w:t>
            </w:r>
            <w:r w:rsidR="00024DA1" w:rsidRPr="008410ED">
              <w:rPr>
                <w:rFonts w:ascii="Times New Roman" w:hAnsi="Times New Roman" w:cs="Times New Roman"/>
                <w:sz w:val="24"/>
                <w:szCs w:val="24"/>
              </w:rPr>
              <w:t>s,</w:t>
            </w:r>
            <w:r w:rsidR="006D34F7" w:rsidRPr="008410ED">
              <w:rPr>
                <w:rFonts w:ascii="Times New Roman" w:hAnsi="Times New Roman" w:cs="Times New Roman"/>
                <w:sz w:val="24"/>
                <w:szCs w:val="24"/>
              </w:rPr>
              <w:t xml:space="preserve"> </w:t>
            </w:r>
            <w:r w:rsidRPr="008410ED">
              <w:rPr>
                <w:rFonts w:ascii="Times New Roman" w:hAnsi="Times New Roman" w:cs="Times New Roman"/>
                <w:sz w:val="24"/>
                <w:szCs w:val="24"/>
              </w:rPr>
              <w:t>Labklājības ministrija</w:t>
            </w:r>
            <w:r w:rsidR="00024DA1" w:rsidRPr="008410ED">
              <w:rPr>
                <w:rFonts w:ascii="Times New Roman" w:hAnsi="Times New Roman" w:cs="Times New Roman"/>
                <w:iCs/>
                <w:sz w:val="24"/>
                <w:szCs w:val="24"/>
              </w:rPr>
              <w:t xml:space="preserve"> un</w:t>
            </w:r>
            <w:r w:rsidRPr="008410ED">
              <w:rPr>
                <w:rFonts w:ascii="Times New Roman" w:hAnsi="Times New Roman" w:cs="Times New Roman"/>
                <w:iCs/>
                <w:sz w:val="24"/>
                <w:szCs w:val="24"/>
              </w:rPr>
              <w:t xml:space="preserve"> Eiropas Padome.</w:t>
            </w:r>
          </w:p>
        </w:tc>
      </w:tr>
      <w:tr w:rsidR="00CE66D5" w:rsidRPr="008410ED" w:rsidTr="00644D3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4.</w:t>
            </w:r>
          </w:p>
        </w:tc>
        <w:tc>
          <w:tcPr>
            <w:tcW w:w="1034"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Cita informācija</w:t>
            </w:r>
          </w:p>
        </w:tc>
        <w:tc>
          <w:tcPr>
            <w:tcW w:w="3624" w:type="pct"/>
            <w:tcBorders>
              <w:top w:val="outset" w:sz="6" w:space="0" w:color="auto"/>
              <w:left w:val="outset" w:sz="6" w:space="0" w:color="auto"/>
              <w:bottom w:val="outset" w:sz="6" w:space="0" w:color="auto"/>
              <w:right w:val="outset" w:sz="6" w:space="0" w:color="auto"/>
            </w:tcBorders>
            <w:hideMark/>
          </w:tcPr>
          <w:p w:rsidR="00E5323B" w:rsidRPr="008410ED" w:rsidRDefault="00D7754D"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 xml:space="preserve">Saskaņā ar Ministru kabineta 2018. gada 13. marta sēdē nolemto (prot. 15, </w:t>
            </w:r>
            <w:r w:rsidRPr="008410ED">
              <w:rPr>
                <w:rFonts w:ascii="Times New Roman" w:hAnsi="Times New Roman" w:cs="Times New Roman"/>
                <w:bCs/>
                <w:sz w:val="24"/>
                <w:szCs w:val="24"/>
                <w:shd w:val="clear" w:color="auto" w:fill="FFFFFF"/>
              </w:rPr>
              <w:t xml:space="preserve">30.§ </w:t>
            </w:r>
            <w:r w:rsidRPr="008410ED">
              <w:rPr>
                <w:rFonts w:ascii="Times New Roman" w:hAnsi="Times New Roman" w:cs="Times New Roman"/>
                <w:sz w:val="24"/>
                <w:szCs w:val="24"/>
                <w:shd w:val="clear" w:color="auto" w:fill="FFFFFF"/>
              </w:rPr>
              <w:t xml:space="preserve">7.1. apakšpunktu) programmas apsaimniekotājs, </w:t>
            </w:r>
            <w:r w:rsidRPr="008410ED">
              <w:rPr>
                <w:rFonts w:ascii="Times New Roman" w:hAnsi="Times New Roman" w:cs="Times New Roman"/>
                <w:sz w:val="19"/>
                <w:szCs w:val="19"/>
                <w:shd w:val="clear" w:color="auto" w:fill="FFFFFF"/>
              </w:rPr>
              <w:t> </w:t>
            </w:r>
            <w:r w:rsidRPr="008410ED">
              <w:rPr>
                <w:rFonts w:ascii="Times New Roman" w:hAnsi="Times New Roman" w:cs="Times New Roman"/>
                <w:sz w:val="24"/>
                <w:szCs w:val="24"/>
                <w:shd w:val="clear" w:color="auto" w:fill="FFFFFF"/>
              </w:rPr>
              <w:t>izstrādājot Eiropas Ekonomikas zonas finanšu instrumenta un Norvē</w:t>
            </w:r>
            <w:r w:rsidR="003D2463" w:rsidRPr="008410ED">
              <w:rPr>
                <w:rFonts w:ascii="Times New Roman" w:hAnsi="Times New Roman" w:cs="Times New Roman"/>
                <w:sz w:val="24"/>
                <w:szCs w:val="24"/>
                <w:shd w:val="clear" w:color="auto" w:fill="FFFFFF"/>
              </w:rPr>
              <w:t>ģijas finanšu instrumenta 2014.–2021. gada</w:t>
            </w:r>
            <w:r w:rsidRPr="008410ED">
              <w:rPr>
                <w:rFonts w:ascii="Times New Roman" w:hAnsi="Times New Roman" w:cs="Times New Roman"/>
                <w:sz w:val="24"/>
                <w:szCs w:val="24"/>
                <w:shd w:val="clear" w:color="auto" w:fill="FFFFFF"/>
              </w:rPr>
              <w:t xml:space="preserve"> perioda programmu koncepciju projektu, iekļauj analīzi un priekšlikumus nevalstisko organizāciju iespējām iesaistīties un finansējuma pieejamībai programm</w:t>
            </w:r>
            <w:r w:rsidR="00D95671" w:rsidRPr="008410ED">
              <w:rPr>
                <w:rFonts w:ascii="Times New Roman" w:hAnsi="Times New Roman" w:cs="Times New Roman"/>
                <w:sz w:val="24"/>
                <w:szCs w:val="24"/>
                <w:shd w:val="clear" w:color="auto" w:fill="FFFFFF"/>
              </w:rPr>
              <w:t xml:space="preserve">as </w:t>
            </w:r>
            <w:r w:rsidRPr="008410ED">
              <w:rPr>
                <w:rFonts w:ascii="Times New Roman" w:hAnsi="Times New Roman" w:cs="Times New Roman"/>
                <w:sz w:val="24"/>
                <w:szCs w:val="24"/>
                <w:shd w:val="clear" w:color="auto" w:fill="FFFFFF"/>
              </w:rPr>
              <w:t>īstenošanas posmā, kā arī par programm</w:t>
            </w:r>
            <w:r w:rsidR="00D95671" w:rsidRPr="008410ED">
              <w:rPr>
                <w:rFonts w:ascii="Times New Roman" w:hAnsi="Times New Roman" w:cs="Times New Roman"/>
                <w:sz w:val="24"/>
                <w:szCs w:val="24"/>
                <w:shd w:val="clear" w:color="auto" w:fill="FFFFFF"/>
              </w:rPr>
              <w:t>as</w:t>
            </w:r>
            <w:r w:rsidRPr="008410ED">
              <w:rPr>
                <w:rFonts w:ascii="Times New Roman" w:hAnsi="Times New Roman" w:cs="Times New Roman"/>
                <w:sz w:val="24"/>
                <w:szCs w:val="24"/>
                <w:shd w:val="clear" w:color="auto" w:fill="FFFFFF"/>
              </w:rPr>
              <w:t xml:space="preserve"> reģionālo tvērumu</w:t>
            </w:r>
            <w:r w:rsidR="00D95671" w:rsidRPr="008410ED">
              <w:rPr>
                <w:rFonts w:ascii="Times New Roman" w:hAnsi="Times New Roman" w:cs="Times New Roman"/>
                <w:sz w:val="24"/>
                <w:szCs w:val="24"/>
                <w:shd w:val="clear" w:color="auto" w:fill="FFFFFF"/>
              </w:rPr>
              <w:t>.</w:t>
            </w:r>
          </w:p>
        </w:tc>
      </w:tr>
    </w:tbl>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410E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0E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01870" w:rsidRPr="008410ED" w:rsidRDefault="00301870" w:rsidP="00CE66D5">
            <w:pPr>
              <w:pStyle w:val="ListParagraph"/>
              <w:numPr>
                <w:ilvl w:val="0"/>
                <w:numId w:val="2"/>
              </w:numPr>
              <w:tabs>
                <w:tab w:val="left" w:pos="883"/>
              </w:tabs>
              <w:spacing w:after="120"/>
              <w:ind w:left="391" w:hanging="391"/>
              <w:contextualSpacing w:val="0"/>
              <w:jc w:val="both"/>
            </w:pPr>
            <w:r w:rsidRPr="008410ED">
              <w:t>Iekšlietu ministrija kā programmas apsaimniekotājs.</w:t>
            </w:r>
          </w:p>
          <w:p w:rsidR="00301870" w:rsidRPr="008410ED" w:rsidRDefault="001D257A" w:rsidP="00CE66D5">
            <w:pPr>
              <w:pStyle w:val="ListParagraph"/>
              <w:numPr>
                <w:ilvl w:val="0"/>
                <w:numId w:val="2"/>
              </w:numPr>
              <w:tabs>
                <w:tab w:val="left" w:pos="883"/>
              </w:tabs>
              <w:spacing w:after="120"/>
              <w:ind w:left="391" w:hanging="391"/>
              <w:contextualSpacing w:val="0"/>
              <w:jc w:val="both"/>
            </w:pPr>
            <w:r>
              <w:t>VP</w:t>
            </w:r>
            <w:r w:rsidR="00301870" w:rsidRPr="008410ED">
              <w:t xml:space="preserve">, </w:t>
            </w:r>
            <w:r>
              <w:t>VID</w:t>
            </w:r>
            <w:r w:rsidR="00301870" w:rsidRPr="008410ED">
              <w:t xml:space="preserve">, Labklājības ministrija, </w:t>
            </w:r>
            <w:r>
              <w:t>KNAB</w:t>
            </w:r>
            <w:r w:rsidR="00301870" w:rsidRPr="008410ED">
              <w:t>,</w:t>
            </w:r>
            <w:r w:rsidR="00F1458B" w:rsidRPr="008410ED">
              <w:t xml:space="preserve"> </w:t>
            </w:r>
            <w:r w:rsidR="00F1458B" w:rsidRPr="008410ED">
              <w:rPr>
                <w:shd w:val="clear" w:color="auto" w:fill="FFFFFF"/>
              </w:rPr>
              <w:t>Noziedzīgi iegūtu līdzekļu legalizācijas novēršanas dienest</w:t>
            </w:r>
            <w:r w:rsidR="00F1458B" w:rsidRPr="008410ED">
              <w:t>s un</w:t>
            </w:r>
            <w:r w:rsidR="00301870" w:rsidRPr="008410ED">
              <w:t xml:space="preserve"> </w:t>
            </w:r>
            <w:r>
              <w:t>FKTK</w:t>
            </w:r>
            <w:r w:rsidR="00301870" w:rsidRPr="008410ED">
              <w:t xml:space="preserve"> kā finansējuma saņēmēji jeb projektu īstenotāji.</w:t>
            </w:r>
          </w:p>
          <w:p w:rsidR="00301870" w:rsidRPr="008410ED" w:rsidRDefault="00301870" w:rsidP="00CE66D5">
            <w:pPr>
              <w:pStyle w:val="ListParagraph"/>
              <w:numPr>
                <w:ilvl w:val="0"/>
                <w:numId w:val="2"/>
              </w:numPr>
              <w:tabs>
                <w:tab w:val="left" w:pos="883"/>
              </w:tabs>
              <w:spacing w:after="120"/>
              <w:ind w:left="391" w:hanging="391"/>
              <w:contextualSpacing w:val="0"/>
              <w:jc w:val="both"/>
            </w:pPr>
            <w:r w:rsidRPr="008410ED">
              <w:t>Tiesībsargājošās institūcijas, kas sadarbojas ekonomisko noziegumu apkarošanā (Ģenerālprokuratūra).</w:t>
            </w:r>
          </w:p>
          <w:p w:rsidR="00301870" w:rsidRPr="008410ED" w:rsidRDefault="00301870" w:rsidP="00CE66D5">
            <w:pPr>
              <w:pStyle w:val="ListParagraph"/>
              <w:numPr>
                <w:ilvl w:val="0"/>
                <w:numId w:val="2"/>
              </w:numPr>
              <w:tabs>
                <w:tab w:val="left" w:pos="883"/>
              </w:tabs>
              <w:spacing w:after="120"/>
              <w:ind w:left="391" w:hanging="391"/>
              <w:contextualSpacing w:val="0"/>
              <w:jc w:val="both"/>
            </w:pPr>
            <w:r w:rsidRPr="008410ED">
              <w:t>Tiesībsargājošās institūcijas, kas apkaro ekonomiskos noziegumus uz robežām (</w:t>
            </w:r>
            <w:r w:rsidR="001D257A">
              <w:t>VRS</w:t>
            </w:r>
            <w:r w:rsidRPr="008410ED">
              <w:t xml:space="preserve">, </w:t>
            </w:r>
            <w:r w:rsidR="001D257A">
              <w:t>PVD</w:t>
            </w:r>
            <w:r w:rsidRPr="008410ED">
              <w:t>).</w:t>
            </w:r>
          </w:p>
          <w:p w:rsidR="00301870" w:rsidRPr="008410ED" w:rsidRDefault="00301870" w:rsidP="00CE66D5">
            <w:pPr>
              <w:pStyle w:val="ListParagraph"/>
              <w:numPr>
                <w:ilvl w:val="0"/>
                <w:numId w:val="2"/>
              </w:numPr>
              <w:tabs>
                <w:tab w:val="left" w:pos="883"/>
              </w:tabs>
              <w:spacing w:after="120"/>
              <w:ind w:left="391" w:hanging="391"/>
              <w:contextualSpacing w:val="0"/>
              <w:jc w:val="both"/>
            </w:pPr>
            <w:r w:rsidRPr="008410ED">
              <w:t>Institūcijas, kas sadarbojas, lai attīstītu vardarbībā cietušiem bērniem draudzīgu tiesisko vidi Latvijā (Latvijas Bērnu fonds, Bērnu klīniskā universitātes slimnīca, organizācija “Centrs Dardedze”).</w:t>
            </w:r>
          </w:p>
          <w:p w:rsidR="00E5323B" w:rsidRPr="008410ED" w:rsidRDefault="00301870" w:rsidP="00CE66D5">
            <w:pPr>
              <w:pStyle w:val="ListParagraph"/>
              <w:numPr>
                <w:ilvl w:val="0"/>
                <w:numId w:val="2"/>
              </w:numPr>
              <w:tabs>
                <w:tab w:val="left" w:pos="883"/>
              </w:tabs>
              <w:spacing w:after="120"/>
              <w:ind w:left="391" w:hanging="391"/>
              <w:contextualSpacing w:val="0"/>
              <w:jc w:val="both"/>
            </w:pPr>
            <w:r w:rsidRPr="008410ED">
              <w:t>Latvijas Banka, komercbanka</w:t>
            </w:r>
            <w:r w:rsidR="006D34F7" w:rsidRPr="008410ED">
              <w:t>s</w:t>
            </w:r>
            <w:r w:rsidRPr="008410ED">
              <w:t>, starptautiskas organizācijas kā gala labuma guvēji.</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7113AA" w:rsidP="007113AA">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Sabiedrības grupām un institūcijām projekta tiesiskais regulējums nemaina tiesības un pienākumus, kā arī veicamās darbības.</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72176C"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heme="minorEastAsia" w:hAnsi="Times New Roman" w:cs="Times New Roman"/>
                <w:sz w:val="24"/>
                <w:szCs w:val="24"/>
              </w:rPr>
              <w:t>Nav</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7D5E7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Nav</w:t>
            </w:r>
          </w:p>
        </w:tc>
      </w:tr>
      <w:tr w:rsidR="00E5323B"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301870"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Nav</w:t>
            </w:r>
          </w:p>
        </w:tc>
      </w:tr>
    </w:tbl>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3"/>
        <w:gridCol w:w="964"/>
        <w:gridCol w:w="1053"/>
        <w:gridCol w:w="866"/>
        <w:gridCol w:w="1053"/>
        <w:gridCol w:w="866"/>
        <w:gridCol w:w="1053"/>
        <w:gridCol w:w="1577"/>
      </w:tblGrid>
      <w:tr w:rsidR="00E5323B" w:rsidRPr="008410ED"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0ED">
              <w:rPr>
                <w:rFonts w:ascii="Times New Roman" w:eastAsia="Times New Roman" w:hAnsi="Times New Roman" w:cs="Times New Roman"/>
                <w:b/>
                <w:bCs/>
                <w:iCs/>
                <w:sz w:val="24"/>
                <w:szCs w:val="24"/>
                <w:lang w:eastAsia="lv-LV"/>
              </w:rPr>
              <w:t>III. Tiesību akta projekta ietekme uz valsts budžetu un pašvaldību budžetiem</w:t>
            </w:r>
          </w:p>
        </w:tc>
      </w:tr>
      <w:tr w:rsidR="00E5323B" w:rsidRPr="008410ED" w:rsidTr="002F20B0">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Rādītāji</w:t>
            </w:r>
          </w:p>
        </w:tc>
        <w:tc>
          <w:tcPr>
            <w:tcW w:w="109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410ED" w:rsidRDefault="001633E3"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2018.</w:t>
            </w:r>
            <w:r w:rsidR="00E5323B" w:rsidRPr="008410ED">
              <w:rPr>
                <w:rFonts w:ascii="Times New Roman" w:eastAsia="Times New Roman" w:hAnsi="Times New Roman" w:cs="Times New Roman"/>
                <w:iCs/>
                <w:sz w:val="24"/>
                <w:szCs w:val="24"/>
                <w:lang w:eastAsia="lv-LV"/>
              </w:rPr>
              <w:t>gads</w:t>
            </w:r>
          </w:p>
        </w:tc>
        <w:tc>
          <w:tcPr>
            <w:tcW w:w="2963" w:type="pct"/>
            <w:gridSpan w:val="5"/>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Turpmākie trīs gadi (</w:t>
            </w:r>
            <w:r w:rsidRPr="008410ED">
              <w:rPr>
                <w:rFonts w:ascii="Times New Roman" w:eastAsia="Times New Roman" w:hAnsi="Times New Roman" w:cs="Times New Roman"/>
                <w:i/>
                <w:iCs/>
                <w:sz w:val="24"/>
                <w:szCs w:val="24"/>
                <w:lang w:eastAsia="lv-LV"/>
              </w:rPr>
              <w:t>euro</w:t>
            </w:r>
            <w:r w:rsidRPr="008410ED">
              <w:rPr>
                <w:rFonts w:ascii="Times New Roman" w:eastAsia="Times New Roman" w:hAnsi="Times New Roman" w:cs="Times New Roman"/>
                <w:iCs/>
                <w:sz w:val="24"/>
                <w:szCs w:val="24"/>
                <w:lang w:eastAsia="lv-LV"/>
              </w:rPr>
              <w:t>)</w:t>
            </w:r>
          </w:p>
        </w:tc>
      </w:tr>
      <w:tr w:rsidR="00E5323B" w:rsidRPr="008410ED" w:rsidTr="002F20B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8410ED" w:rsidRDefault="001633E3"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2019.</w:t>
            </w:r>
          </w:p>
        </w:tc>
        <w:tc>
          <w:tcPr>
            <w:tcW w:w="1046" w:type="pct"/>
            <w:gridSpan w:val="2"/>
            <w:tcBorders>
              <w:top w:val="outset" w:sz="6" w:space="0" w:color="auto"/>
              <w:left w:val="outset" w:sz="6" w:space="0" w:color="auto"/>
              <w:bottom w:val="outset" w:sz="6" w:space="0" w:color="auto"/>
              <w:right w:val="outset" w:sz="6" w:space="0" w:color="auto"/>
            </w:tcBorders>
            <w:vAlign w:val="center"/>
            <w:hideMark/>
          </w:tcPr>
          <w:p w:rsidR="00655F2C" w:rsidRPr="008410ED" w:rsidRDefault="001633E3"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2020.</w:t>
            </w:r>
          </w:p>
        </w:tc>
        <w:tc>
          <w:tcPr>
            <w:tcW w:w="839"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1633E3"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2021.</w:t>
            </w:r>
          </w:p>
        </w:tc>
      </w:tr>
      <w:tr w:rsidR="004E6D16" w:rsidRPr="008410ED" w:rsidTr="002F20B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saskaņā ar valsts budžetu kārtējam gadam</w:t>
            </w: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izmaiņas kārtējā gadā, salīdzinot ar valsts budžetu kārtējam gadam</w:t>
            </w:r>
          </w:p>
        </w:tc>
        <w:tc>
          <w:tcPr>
            <w:tcW w:w="463"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saskaņā ar vidēja termiņa budžeta ietvaru</w:t>
            </w: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izmaiņas, salīdzinot ar vidēja termiņa budžeta ietvaru </w:t>
            </w:r>
            <w:r w:rsidR="008F1F1E" w:rsidRPr="008410ED">
              <w:rPr>
                <w:rFonts w:ascii="Times New Roman" w:eastAsia="Times New Roman" w:hAnsi="Times New Roman" w:cs="Times New Roman"/>
                <w:iCs/>
                <w:sz w:val="24"/>
                <w:szCs w:val="24"/>
                <w:lang w:eastAsia="lv-LV"/>
              </w:rPr>
              <w:t>2019.</w:t>
            </w:r>
            <w:r w:rsidRPr="008410ED">
              <w:rPr>
                <w:rFonts w:ascii="Times New Roman" w:eastAsia="Times New Roman" w:hAnsi="Times New Roman" w:cs="Times New Roman"/>
                <w:iCs/>
                <w:sz w:val="24"/>
                <w:szCs w:val="24"/>
                <w:lang w:eastAsia="lv-LV"/>
              </w:rPr>
              <w:t xml:space="preserve"> gadam</w:t>
            </w:r>
          </w:p>
        </w:tc>
        <w:tc>
          <w:tcPr>
            <w:tcW w:w="463"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izmaiņas, salīdzinot ar vidēja termiņa budžeta ietvaru </w:t>
            </w:r>
            <w:r w:rsidR="008F1F1E" w:rsidRPr="008410ED">
              <w:rPr>
                <w:rFonts w:ascii="Times New Roman" w:eastAsia="Times New Roman" w:hAnsi="Times New Roman" w:cs="Times New Roman"/>
                <w:iCs/>
                <w:sz w:val="24"/>
                <w:szCs w:val="24"/>
                <w:lang w:eastAsia="lv-LV"/>
              </w:rPr>
              <w:t>2020.</w:t>
            </w:r>
            <w:r w:rsidRPr="008410ED">
              <w:rPr>
                <w:rFonts w:ascii="Times New Roman" w:eastAsia="Times New Roman" w:hAnsi="Times New Roman" w:cs="Times New Roman"/>
                <w:iCs/>
                <w:sz w:val="24"/>
                <w:szCs w:val="24"/>
                <w:lang w:eastAsia="lv-LV"/>
              </w:rPr>
              <w:t xml:space="preserve"> gadam</w:t>
            </w:r>
          </w:p>
        </w:tc>
        <w:tc>
          <w:tcPr>
            <w:tcW w:w="839"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287A74">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izmaiņas, salīdzinot ar vidēja termiņa budžeta ietvaru </w:t>
            </w:r>
            <w:r w:rsidR="008F1F1E" w:rsidRPr="008410ED">
              <w:rPr>
                <w:rFonts w:ascii="Times New Roman" w:eastAsia="Times New Roman" w:hAnsi="Times New Roman" w:cs="Times New Roman"/>
                <w:iCs/>
                <w:sz w:val="24"/>
                <w:szCs w:val="24"/>
                <w:lang w:eastAsia="lv-LV"/>
              </w:rPr>
              <w:t>202</w:t>
            </w:r>
            <w:r w:rsidR="00287A74">
              <w:rPr>
                <w:rFonts w:ascii="Times New Roman" w:eastAsia="Times New Roman" w:hAnsi="Times New Roman" w:cs="Times New Roman"/>
                <w:iCs/>
                <w:sz w:val="24"/>
                <w:szCs w:val="24"/>
                <w:lang w:eastAsia="lv-LV"/>
              </w:rPr>
              <w:t>0</w:t>
            </w:r>
            <w:r w:rsidR="008F1F1E" w:rsidRPr="008410ED">
              <w:rPr>
                <w:rFonts w:ascii="Times New Roman" w:eastAsia="Times New Roman" w:hAnsi="Times New Roman" w:cs="Times New Roman"/>
                <w:iCs/>
                <w:sz w:val="24"/>
                <w:szCs w:val="24"/>
                <w:lang w:eastAsia="lv-LV"/>
              </w:rPr>
              <w:t>.</w:t>
            </w:r>
            <w:r w:rsidRPr="008410ED">
              <w:rPr>
                <w:rFonts w:ascii="Times New Roman" w:eastAsia="Times New Roman" w:hAnsi="Times New Roman" w:cs="Times New Roman"/>
                <w:iCs/>
                <w:sz w:val="24"/>
                <w:szCs w:val="24"/>
                <w:lang w:eastAsia="lv-LV"/>
              </w:rPr>
              <w:t xml:space="preserve"> gadam</w:t>
            </w:r>
          </w:p>
        </w:tc>
      </w:tr>
      <w:tr w:rsidR="004E6D16"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w:t>
            </w: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3</w:t>
            </w:r>
          </w:p>
        </w:tc>
        <w:tc>
          <w:tcPr>
            <w:tcW w:w="463"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4</w:t>
            </w: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5</w:t>
            </w:r>
          </w:p>
        </w:tc>
        <w:tc>
          <w:tcPr>
            <w:tcW w:w="463"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7</w:t>
            </w:r>
          </w:p>
        </w:tc>
        <w:tc>
          <w:tcPr>
            <w:tcW w:w="839"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8</w:t>
            </w:r>
          </w:p>
        </w:tc>
      </w:tr>
      <w:tr w:rsidR="004E6D16"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w:t>
            </w:r>
            <w:r w:rsidR="008D00C3" w:rsidRPr="008410ED">
              <w:rPr>
                <w:rFonts w:ascii="Times New Roman" w:eastAsia="Times New Roman" w:hAnsi="Times New Roman" w:cs="Times New Roman"/>
                <w:iCs/>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E5323B" w:rsidRPr="002F20B0" w:rsidRDefault="00E5323B" w:rsidP="00CE66D5">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00F91B54" w:rsidRPr="002F20B0">
              <w:rPr>
                <w:rFonts w:ascii="Times New Roman" w:hAnsi="Times New Roman" w:cs="Times New Roman"/>
                <w:sz w:val="24"/>
                <w:szCs w:val="24"/>
              </w:rPr>
              <w:t>70 693</w:t>
            </w:r>
          </w:p>
        </w:tc>
        <w:tc>
          <w:tcPr>
            <w:tcW w:w="463" w:type="pct"/>
            <w:tcBorders>
              <w:top w:val="outset" w:sz="6" w:space="0" w:color="auto"/>
              <w:left w:val="outset" w:sz="6" w:space="0" w:color="auto"/>
              <w:bottom w:val="outset" w:sz="6" w:space="0" w:color="auto"/>
              <w:right w:val="outset" w:sz="6" w:space="0" w:color="auto"/>
            </w:tcBorders>
            <w:vAlign w:val="center"/>
            <w:hideMark/>
          </w:tcPr>
          <w:p w:rsidR="00E5323B" w:rsidRPr="002F20B0" w:rsidRDefault="00E5323B" w:rsidP="00CE66D5">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008D00C3" w:rsidRPr="002F20B0">
              <w:rPr>
                <w:rFonts w:ascii="Times New Roman" w:eastAsia="Times New Roman" w:hAnsi="Times New Roman" w:cs="Times New Roman"/>
                <w:iCs/>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tcPr>
          <w:p w:rsidR="00E5323B" w:rsidRPr="002F20B0" w:rsidRDefault="00790A64" w:rsidP="00F91B54">
            <w:pPr>
              <w:spacing w:after="0" w:line="240" w:lineRule="auto"/>
              <w:jc w:val="both"/>
              <w:rPr>
                <w:rFonts w:ascii="Times New Roman" w:eastAsia="Times New Roman" w:hAnsi="Times New Roman" w:cs="Times New Roman"/>
                <w:b/>
                <w:iCs/>
                <w:sz w:val="24"/>
                <w:szCs w:val="24"/>
                <w:lang w:eastAsia="lv-LV"/>
              </w:rPr>
            </w:pPr>
            <w:r w:rsidRPr="002F20B0">
              <w:rPr>
                <w:rFonts w:ascii="Times New Roman" w:eastAsia="Times New Roman" w:hAnsi="Times New Roman" w:cs="Times New Roman"/>
                <w:iCs/>
                <w:sz w:val="24"/>
                <w:szCs w:val="24"/>
                <w:lang w:eastAsia="lv-LV"/>
              </w:rPr>
              <w:t>636 345</w:t>
            </w:r>
          </w:p>
        </w:tc>
        <w:tc>
          <w:tcPr>
            <w:tcW w:w="463" w:type="pct"/>
            <w:tcBorders>
              <w:top w:val="outset" w:sz="6" w:space="0" w:color="auto"/>
              <w:left w:val="outset" w:sz="6" w:space="0" w:color="auto"/>
              <w:bottom w:val="outset" w:sz="6" w:space="0" w:color="auto"/>
              <w:right w:val="outset" w:sz="6" w:space="0" w:color="auto"/>
            </w:tcBorders>
            <w:vAlign w:val="center"/>
          </w:tcPr>
          <w:p w:rsidR="00E5323B" w:rsidRPr="002F20B0" w:rsidRDefault="006B56DA" w:rsidP="00CE66D5">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rsidR="00E5323B" w:rsidRPr="002F20B0" w:rsidRDefault="00790A64" w:rsidP="00CE66D5">
            <w:pPr>
              <w:spacing w:after="0" w:line="240" w:lineRule="auto"/>
              <w:jc w:val="both"/>
              <w:rPr>
                <w:rFonts w:ascii="Times New Roman" w:eastAsia="Times New Roman" w:hAnsi="Times New Roman" w:cs="Times New Roman"/>
                <w:iCs/>
                <w:sz w:val="24"/>
                <w:szCs w:val="24"/>
                <w:lang w:eastAsia="lv-LV"/>
              </w:rPr>
            </w:pPr>
            <w:r w:rsidRPr="002F20B0">
              <w:rPr>
                <w:rFonts w:ascii="Times New Roman" w:hAnsi="Times New Roman" w:cs="Times New Roman"/>
                <w:sz w:val="24"/>
                <w:szCs w:val="24"/>
              </w:rPr>
              <w:t>2 769 749</w:t>
            </w:r>
          </w:p>
        </w:tc>
        <w:tc>
          <w:tcPr>
            <w:tcW w:w="839" w:type="pct"/>
            <w:tcBorders>
              <w:top w:val="outset" w:sz="6" w:space="0" w:color="auto"/>
              <w:left w:val="outset" w:sz="6" w:space="0" w:color="auto"/>
              <w:bottom w:val="outset" w:sz="6" w:space="0" w:color="auto"/>
              <w:right w:val="outset" w:sz="6" w:space="0" w:color="auto"/>
            </w:tcBorders>
            <w:vAlign w:val="center"/>
          </w:tcPr>
          <w:p w:rsidR="00E5323B" w:rsidRPr="002F20B0" w:rsidRDefault="00790A64" w:rsidP="00CE66D5">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4 468 304</w:t>
            </w:r>
          </w:p>
        </w:tc>
      </w:tr>
      <w:tr w:rsidR="006B56DA"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hAnsi="Times New Roman" w:cs="Times New Roman"/>
                <w:sz w:val="24"/>
                <w:szCs w:val="24"/>
              </w:rPr>
              <w:t>70 693</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tcPr>
          <w:p w:rsidR="006B56DA" w:rsidRPr="002F20B0" w:rsidRDefault="00790A64"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636 345</w:t>
            </w:r>
          </w:p>
        </w:tc>
        <w:tc>
          <w:tcPr>
            <w:tcW w:w="463" w:type="pct"/>
            <w:tcBorders>
              <w:top w:val="outset" w:sz="6" w:space="0" w:color="auto"/>
              <w:left w:val="outset" w:sz="6" w:space="0" w:color="auto"/>
              <w:bottom w:val="outset" w:sz="6" w:space="0" w:color="auto"/>
              <w:right w:val="outset" w:sz="6" w:space="0" w:color="auto"/>
            </w:tcBorders>
            <w:vAlign w:val="center"/>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rsidR="006B56DA" w:rsidRPr="002F20B0" w:rsidRDefault="00790A64"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hAnsi="Times New Roman" w:cs="Times New Roman"/>
                <w:sz w:val="24"/>
                <w:szCs w:val="24"/>
              </w:rPr>
              <w:t>2 769 749</w:t>
            </w:r>
          </w:p>
        </w:tc>
        <w:tc>
          <w:tcPr>
            <w:tcW w:w="839"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790A64"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4 468 304</w:t>
            </w:r>
          </w:p>
        </w:tc>
      </w:tr>
      <w:tr w:rsidR="006B56DA"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839"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r>
      <w:tr w:rsidR="006B56DA"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839"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r>
      <w:tr w:rsidR="006B56DA"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70 693</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745 994</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790A64">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3 255 88</w:t>
            </w:r>
            <w:r w:rsidR="00790A64" w:rsidRPr="002F20B0">
              <w:rPr>
                <w:rFonts w:ascii="Times New Roman" w:hAnsi="Times New Roman" w:cs="Times New Roman"/>
                <w:sz w:val="24"/>
                <w:szCs w:val="24"/>
              </w:rPr>
              <w:t>2</w:t>
            </w:r>
          </w:p>
        </w:tc>
        <w:tc>
          <w:tcPr>
            <w:tcW w:w="839"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5 254 181</w:t>
            </w:r>
          </w:p>
        </w:tc>
      </w:tr>
      <w:tr w:rsidR="006B56DA"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70 693</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745 994</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790A64">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3 255 88</w:t>
            </w:r>
            <w:r w:rsidR="00790A64" w:rsidRPr="002F20B0">
              <w:rPr>
                <w:rFonts w:ascii="Times New Roman" w:hAnsi="Times New Roman" w:cs="Times New Roman"/>
                <w:sz w:val="24"/>
                <w:szCs w:val="24"/>
              </w:rPr>
              <w:t>2</w:t>
            </w:r>
          </w:p>
        </w:tc>
        <w:tc>
          <w:tcPr>
            <w:tcW w:w="839"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5 254 181</w:t>
            </w:r>
          </w:p>
        </w:tc>
      </w:tr>
      <w:tr w:rsidR="006B56DA"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839"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r>
      <w:tr w:rsidR="006B56DA"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839"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r>
      <w:tr w:rsidR="006B56DA"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6B56DA" w:rsidRPr="008410ED" w:rsidRDefault="006B56DA" w:rsidP="006B56D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jc w:val="both"/>
              <w:rPr>
                <w:rFonts w:ascii="Times New Roman" w:eastAsia="Times New Roman" w:hAnsi="Times New Roman" w:cs="Times New Roman"/>
                <w:iCs/>
                <w:sz w:val="24"/>
                <w:szCs w:val="24"/>
                <w:lang w:eastAsia="lv-LV"/>
              </w:rPr>
            </w:pPr>
            <w:r w:rsidRPr="002F20B0">
              <w:rPr>
                <w:rFonts w:ascii="Times New Roman" w:hAnsi="Times New Roman" w:cs="Times New Roman"/>
                <w:sz w:val="24"/>
                <w:szCs w:val="24"/>
              </w:rPr>
              <w:t>0</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002F20B0" w:rsidRPr="002F20B0">
              <w:rPr>
                <w:rFonts w:ascii="Times New Roman" w:hAnsi="Times New Roman" w:cs="Times New Roman"/>
                <w:sz w:val="24"/>
                <w:szCs w:val="24"/>
              </w:rPr>
              <w:t>109 649</w:t>
            </w:r>
          </w:p>
        </w:tc>
        <w:tc>
          <w:tcPr>
            <w:tcW w:w="463"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002F20B0" w:rsidRPr="002F20B0">
              <w:rPr>
                <w:rFonts w:ascii="Times New Roman" w:hAnsi="Times New Roman" w:cs="Times New Roman"/>
                <w:sz w:val="24"/>
                <w:szCs w:val="24"/>
              </w:rPr>
              <w:t>486 133</w:t>
            </w:r>
          </w:p>
        </w:tc>
        <w:tc>
          <w:tcPr>
            <w:tcW w:w="839" w:type="pct"/>
            <w:tcBorders>
              <w:top w:val="outset" w:sz="6" w:space="0" w:color="auto"/>
              <w:left w:val="outset" w:sz="6" w:space="0" w:color="auto"/>
              <w:bottom w:val="outset" w:sz="6" w:space="0" w:color="auto"/>
              <w:right w:val="outset" w:sz="6" w:space="0" w:color="auto"/>
            </w:tcBorders>
            <w:vAlign w:val="center"/>
            <w:hideMark/>
          </w:tcPr>
          <w:p w:rsidR="006B56DA" w:rsidRPr="002F20B0" w:rsidRDefault="006B56DA" w:rsidP="006B56DA">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w:t>
            </w:r>
            <w:r w:rsidR="002F20B0" w:rsidRPr="002F20B0">
              <w:rPr>
                <w:rFonts w:ascii="Times New Roman" w:hAnsi="Times New Roman" w:cs="Times New Roman"/>
                <w:sz w:val="24"/>
                <w:szCs w:val="24"/>
              </w:rPr>
              <w:t>785 877</w:t>
            </w:r>
          </w:p>
        </w:tc>
      </w:tr>
      <w:tr w:rsidR="002F20B0"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2F20B0" w:rsidRDefault="002F20B0" w:rsidP="002F20B0">
            <w:pPr>
              <w:jc w:val="both"/>
              <w:rPr>
                <w:rFonts w:ascii="Times New Roman" w:eastAsia="Times New Roman" w:hAnsi="Times New Roman" w:cs="Times New Roman"/>
                <w:iCs/>
                <w:sz w:val="24"/>
                <w:szCs w:val="24"/>
                <w:lang w:eastAsia="lv-LV"/>
              </w:rPr>
            </w:pPr>
            <w:r w:rsidRPr="002F20B0">
              <w:rPr>
                <w:rFonts w:ascii="Times New Roman" w:hAnsi="Times New Roman" w:cs="Times New Roman"/>
                <w:sz w:val="24"/>
                <w:szCs w:val="24"/>
              </w:rPr>
              <w:t>0</w:t>
            </w:r>
          </w:p>
        </w:tc>
        <w:tc>
          <w:tcPr>
            <w:tcW w:w="463" w:type="pct"/>
            <w:tcBorders>
              <w:top w:val="outset" w:sz="6" w:space="0" w:color="auto"/>
              <w:left w:val="outset" w:sz="6" w:space="0" w:color="auto"/>
              <w:bottom w:val="outset" w:sz="6" w:space="0" w:color="auto"/>
              <w:right w:val="outset" w:sz="6" w:space="0" w:color="auto"/>
            </w:tcBorders>
            <w:vAlign w:val="center"/>
            <w:hideMark/>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109 649</w:t>
            </w:r>
          </w:p>
        </w:tc>
        <w:tc>
          <w:tcPr>
            <w:tcW w:w="463" w:type="pct"/>
            <w:tcBorders>
              <w:top w:val="outset" w:sz="6" w:space="0" w:color="auto"/>
              <w:left w:val="outset" w:sz="6" w:space="0" w:color="auto"/>
              <w:bottom w:val="outset" w:sz="6" w:space="0" w:color="auto"/>
              <w:right w:val="outset" w:sz="6" w:space="0" w:color="auto"/>
            </w:tcBorders>
            <w:vAlign w:val="center"/>
            <w:hideMark/>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486 133</w:t>
            </w:r>
          </w:p>
        </w:tc>
        <w:tc>
          <w:tcPr>
            <w:tcW w:w="839" w:type="pct"/>
            <w:tcBorders>
              <w:top w:val="outset" w:sz="6" w:space="0" w:color="auto"/>
              <w:left w:val="outset" w:sz="6" w:space="0" w:color="auto"/>
              <w:bottom w:val="outset" w:sz="6" w:space="0" w:color="auto"/>
              <w:right w:val="outset" w:sz="6" w:space="0" w:color="auto"/>
            </w:tcBorders>
            <w:vAlign w:val="center"/>
            <w:hideMark/>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w:t>
            </w:r>
            <w:r w:rsidRPr="002F20B0">
              <w:rPr>
                <w:rFonts w:ascii="Times New Roman" w:hAnsi="Times New Roman" w:cs="Times New Roman"/>
                <w:sz w:val="24"/>
                <w:szCs w:val="24"/>
              </w:rPr>
              <w:t>785 877</w:t>
            </w:r>
          </w:p>
        </w:tc>
      </w:tr>
      <w:tr w:rsidR="002F20B0"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839"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r>
      <w:tr w:rsidR="002F20B0"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463"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839"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r>
      <w:tr w:rsidR="002F20B0"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839"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r>
      <w:tr w:rsidR="002F20B0"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0</w:t>
            </w:r>
          </w:p>
        </w:tc>
        <w:tc>
          <w:tcPr>
            <w:tcW w:w="463" w:type="pct"/>
            <w:vMerge w:val="restar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109 649</w:t>
            </w:r>
          </w:p>
        </w:tc>
        <w:tc>
          <w:tcPr>
            <w:tcW w:w="463" w:type="pct"/>
            <w:vMerge w:val="restar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486 133</w:t>
            </w:r>
          </w:p>
        </w:tc>
        <w:tc>
          <w:tcPr>
            <w:tcW w:w="839" w:type="pct"/>
            <w:tcBorders>
              <w:top w:val="outset" w:sz="6" w:space="0" w:color="auto"/>
              <w:left w:val="outset" w:sz="6" w:space="0" w:color="auto"/>
              <w:bottom w:val="outset" w:sz="6" w:space="0" w:color="auto"/>
              <w:right w:val="outset" w:sz="6" w:space="0" w:color="auto"/>
            </w:tcBorders>
            <w:vAlign w:val="center"/>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w:t>
            </w:r>
            <w:r w:rsidRPr="002F20B0">
              <w:rPr>
                <w:rFonts w:ascii="Times New Roman" w:hAnsi="Times New Roman" w:cs="Times New Roman"/>
                <w:sz w:val="24"/>
                <w:szCs w:val="24"/>
              </w:rPr>
              <w:t>785 877</w:t>
            </w:r>
          </w:p>
        </w:tc>
      </w:tr>
      <w:tr w:rsidR="002F20B0"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w:t>
            </w:r>
            <w:r w:rsidRPr="008410E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109 649</w:t>
            </w:r>
          </w:p>
        </w:tc>
        <w:tc>
          <w:tcPr>
            <w:tcW w:w="463" w:type="pct"/>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 -</w:t>
            </w:r>
            <w:r w:rsidRPr="002F20B0">
              <w:rPr>
                <w:rFonts w:ascii="Times New Roman" w:hAnsi="Times New Roman" w:cs="Times New Roman"/>
                <w:sz w:val="24"/>
                <w:szCs w:val="24"/>
              </w:rPr>
              <w:t>486 133</w:t>
            </w:r>
          </w:p>
        </w:tc>
        <w:tc>
          <w:tcPr>
            <w:tcW w:w="839" w:type="pct"/>
            <w:tcBorders>
              <w:top w:val="outset" w:sz="6" w:space="0" w:color="auto"/>
              <w:left w:val="outset" w:sz="6" w:space="0" w:color="auto"/>
              <w:bottom w:val="outset" w:sz="6" w:space="0" w:color="auto"/>
              <w:right w:val="outset" w:sz="6" w:space="0" w:color="auto"/>
            </w:tcBorders>
            <w:vAlign w:val="center"/>
          </w:tcPr>
          <w:p w:rsidR="002F20B0" w:rsidRPr="002F20B0" w:rsidRDefault="002F20B0" w:rsidP="002F20B0">
            <w:pPr>
              <w:spacing w:after="0" w:line="240" w:lineRule="auto"/>
              <w:jc w:val="both"/>
              <w:rPr>
                <w:rFonts w:ascii="Times New Roman" w:eastAsia="Times New Roman" w:hAnsi="Times New Roman" w:cs="Times New Roman"/>
                <w:iCs/>
                <w:sz w:val="24"/>
                <w:szCs w:val="24"/>
                <w:lang w:eastAsia="lv-LV"/>
              </w:rPr>
            </w:pPr>
            <w:r w:rsidRPr="002F20B0">
              <w:rPr>
                <w:rFonts w:ascii="Times New Roman" w:eastAsia="Times New Roman" w:hAnsi="Times New Roman" w:cs="Times New Roman"/>
                <w:iCs/>
                <w:sz w:val="24"/>
                <w:szCs w:val="24"/>
                <w:lang w:eastAsia="lv-LV"/>
              </w:rPr>
              <w:t>-</w:t>
            </w:r>
            <w:r w:rsidRPr="002F20B0">
              <w:rPr>
                <w:rFonts w:ascii="Times New Roman" w:hAnsi="Times New Roman" w:cs="Times New Roman"/>
                <w:sz w:val="24"/>
                <w:szCs w:val="24"/>
              </w:rPr>
              <w:t>785 877</w:t>
            </w:r>
          </w:p>
        </w:tc>
      </w:tr>
      <w:tr w:rsidR="002F20B0"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463" w:type="pct"/>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0 </w:t>
            </w:r>
          </w:p>
        </w:tc>
        <w:tc>
          <w:tcPr>
            <w:tcW w:w="839"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r>
      <w:tr w:rsidR="002F20B0" w:rsidRPr="008410ED" w:rsidTr="002F20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463" w:type="pct"/>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c>
          <w:tcPr>
            <w:tcW w:w="839" w:type="pct"/>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0</w:t>
            </w:r>
          </w:p>
        </w:tc>
      </w:tr>
      <w:tr w:rsidR="002F20B0" w:rsidRPr="008410ED" w:rsidTr="00287A74">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270D76" w:rsidRDefault="00270D76" w:rsidP="002F20B0">
            <w:pPr>
              <w:pStyle w:val="NormalWeb"/>
              <w:spacing w:before="0" w:beforeAutospacing="0" w:after="0"/>
              <w:ind w:firstLine="851"/>
              <w:jc w:val="both"/>
            </w:pPr>
          </w:p>
          <w:p w:rsidR="00270D76" w:rsidRDefault="00270D76" w:rsidP="002F20B0">
            <w:pPr>
              <w:pStyle w:val="NormalWeb"/>
              <w:spacing w:before="0" w:beforeAutospacing="0" w:after="0"/>
              <w:ind w:firstLine="851"/>
              <w:jc w:val="both"/>
            </w:pPr>
          </w:p>
          <w:p w:rsidR="002F20B0" w:rsidRPr="008410ED" w:rsidRDefault="002F20B0" w:rsidP="002F20B0">
            <w:pPr>
              <w:pStyle w:val="NormalWeb"/>
              <w:spacing w:before="0" w:beforeAutospacing="0" w:after="0"/>
              <w:ind w:firstLine="851"/>
              <w:jc w:val="both"/>
            </w:pPr>
            <w:r w:rsidRPr="008410ED">
              <w:t xml:space="preserve">Programmas kopējais finansējums ir 17 647 059 </w:t>
            </w:r>
            <w:r w:rsidRPr="008410ED">
              <w:rPr>
                <w:i/>
              </w:rPr>
              <w:t>euro</w:t>
            </w:r>
            <w:r w:rsidRPr="008410ED">
              <w:t xml:space="preserve">. </w:t>
            </w:r>
            <w:r w:rsidRPr="008410ED">
              <w:rPr>
                <w:bCs/>
              </w:rPr>
              <w:t>EEZ FI</w:t>
            </w:r>
            <w:r w:rsidRPr="008410ED">
              <w:t xml:space="preserve"> piešķīrums ir 85% jeb 15 000 000 </w:t>
            </w:r>
            <w:r w:rsidRPr="008410ED">
              <w:rPr>
                <w:i/>
              </w:rPr>
              <w:t>euro</w:t>
            </w:r>
            <w:r w:rsidRPr="008410ED">
              <w:t xml:space="preserve"> un nacionālais piešķīrums ir 15% jeb 2 647 059 </w:t>
            </w:r>
            <w:r w:rsidRPr="008410ED">
              <w:rPr>
                <w:i/>
              </w:rPr>
              <w:t>euro</w:t>
            </w:r>
            <w:r w:rsidRPr="008410ED">
              <w:t xml:space="preserve">. Papildus Divpusējās sadarbības fonda piešķīrums 100 000 </w:t>
            </w:r>
            <w:r w:rsidRPr="008410ED">
              <w:rPr>
                <w:i/>
              </w:rPr>
              <w:t>euro</w:t>
            </w:r>
            <w:r w:rsidRPr="008410ED">
              <w:t xml:space="preserve"> divpusējo aktivitāšu īstenošanai.</w:t>
            </w:r>
          </w:p>
          <w:p w:rsidR="002F20B0" w:rsidRPr="008410ED" w:rsidRDefault="002F20B0" w:rsidP="002F20B0">
            <w:pPr>
              <w:pStyle w:val="NormalWeb"/>
              <w:spacing w:before="0" w:beforeAutospacing="0" w:after="0"/>
              <w:ind w:firstLine="851"/>
              <w:jc w:val="both"/>
            </w:pPr>
            <w:r w:rsidRPr="008410ED">
              <w:t>Programmas īstenošanas laiks ir līdz 2024.gada 31.decembrim.</w:t>
            </w:r>
          </w:p>
          <w:p w:rsidR="002F20B0" w:rsidRDefault="002F20B0" w:rsidP="002F20B0">
            <w:pPr>
              <w:pStyle w:val="NormalWeb"/>
              <w:spacing w:before="0" w:beforeAutospacing="0" w:after="0"/>
              <w:ind w:firstLine="851"/>
              <w:jc w:val="both"/>
            </w:pPr>
          </w:p>
          <w:p w:rsidR="00270D76" w:rsidRDefault="00270D76" w:rsidP="002F20B0">
            <w:pPr>
              <w:pStyle w:val="NormalWeb"/>
              <w:spacing w:before="0" w:beforeAutospacing="0" w:after="0"/>
              <w:ind w:firstLine="851"/>
              <w:jc w:val="both"/>
            </w:pPr>
          </w:p>
          <w:p w:rsidR="00270D76" w:rsidRDefault="00270D76" w:rsidP="002F20B0">
            <w:pPr>
              <w:pStyle w:val="NormalWeb"/>
              <w:spacing w:before="0" w:beforeAutospacing="0" w:after="0"/>
              <w:ind w:firstLine="851"/>
              <w:jc w:val="both"/>
            </w:pPr>
          </w:p>
          <w:p w:rsidR="00270D76" w:rsidRDefault="00270D76" w:rsidP="002F20B0">
            <w:pPr>
              <w:pStyle w:val="NormalWeb"/>
              <w:spacing w:before="0" w:beforeAutospacing="0" w:after="0"/>
              <w:ind w:firstLine="851"/>
              <w:jc w:val="both"/>
            </w:pPr>
          </w:p>
          <w:p w:rsidR="00270D76" w:rsidRDefault="00270D76" w:rsidP="002F20B0">
            <w:pPr>
              <w:pStyle w:val="NormalWeb"/>
              <w:spacing w:before="0" w:beforeAutospacing="0" w:after="0"/>
              <w:ind w:firstLine="851"/>
              <w:jc w:val="both"/>
            </w:pPr>
          </w:p>
          <w:p w:rsidR="00270D76" w:rsidRDefault="00270D76" w:rsidP="002F20B0">
            <w:pPr>
              <w:pStyle w:val="NormalWeb"/>
              <w:spacing w:before="0" w:beforeAutospacing="0" w:after="0"/>
              <w:ind w:firstLine="851"/>
              <w:jc w:val="both"/>
            </w:pPr>
          </w:p>
          <w:p w:rsidR="00270D76" w:rsidRPr="008410ED" w:rsidRDefault="00270D76" w:rsidP="002F20B0">
            <w:pPr>
              <w:pStyle w:val="NormalWeb"/>
              <w:spacing w:before="0" w:beforeAutospacing="0"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2"/>
              <w:gridCol w:w="1445"/>
              <w:gridCol w:w="1736"/>
              <w:gridCol w:w="1471"/>
            </w:tblGrid>
            <w:tr w:rsidR="002F20B0" w:rsidRPr="008410ED" w:rsidTr="00480A7D">
              <w:tc>
                <w:tcPr>
                  <w:tcW w:w="948" w:type="dxa"/>
                  <w:vMerge w:val="restart"/>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lastRenderedPageBreak/>
                    <w:t>Gads</w:t>
                  </w:r>
                </w:p>
              </w:tc>
              <w:tc>
                <w:tcPr>
                  <w:tcW w:w="5954" w:type="dxa"/>
                  <w:gridSpan w:val="4"/>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Plānotais finansējums (</w:t>
                  </w:r>
                  <w:r w:rsidRPr="008410ED">
                    <w:rPr>
                      <w:rFonts w:ascii="Times New Roman" w:hAnsi="Times New Roman" w:cs="Times New Roman"/>
                      <w:i/>
                    </w:rPr>
                    <w:t>euro</w:t>
                  </w:r>
                  <w:r w:rsidRPr="008410ED">
                    <w:rPr>
                      <w:rFonts w:ascii="Times New Roman" w:hAnsi="Times New Roman" w:cs="Times New Roman"/>
                    </w:rPr>
                    <w:t>)</w:t>
                  </w:r>
                </w:p>
              </w:tc>
            </w:tr>
            <w:tr w:rsidR="002F20B0" w:rsidRPr="008410ED" w:rsidTr="00270D76">
              <w:trPr>
                <w:trHeight w:val="1405"/>
              </w:trPr>
              <w:tc>
                <w:tcPr>
                  <w:tcW w:w="948" w:type="dxa"/>
                  <w:vMerge/>
                  <w:shd w:val="clear" w:color="auto" w:fill="auto"/>
                </w:tcPr>
                <w:p w:rsidR="002F20B0" w:rsidRPr="008410ED" w:rsidRDefault="002F20B0" w:rsidP="002F20B0">
                  <w:pPr>
                    <w:jc w:val="both"/>
                    <w:rPr>
                      <w:rFonts w:ascii="Times New Roman" w:hAnsi="Times New Roman" w:cs="Times New Roman"/>
                    </w:rPr>
                  </w:pPr>
                </w:p>
              </w:tc>
              <w:tc>
                <w:tcPr>
                  <w:tcW w:w="1302"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 xml:space="preserve">Kopā </w:t>
                  </w:r>
                </w:p>
              </w:tc>
              <w:tc>
                <w:tcPr>
                  <w:tcW w:w="1445"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Donorvalsts finansējums</w:t>
                  </w:r>
                </w:p>
              </w:tc>
              <w:tc>
                <w:tcPr>
                  <w:tcW w:w="1736"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Valsts budžeta līdzfinansējums</w:t>
                  </w:r>
                </w:p>
              </w:tc>
              <w:tc>
                <w:tcPr>
                  <w:tcW w:w="1471" w:type="dxa"/>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Divpusējās sadarbības fonds (apstiprināts MoU)*</w:t>
                  </w:r>
                </w:p>
              </w:tc>
            </w:tr>
            <w:tr w:rsidR="002F20B0" w:rsidRPr="008410ED" w:rsidTr="001633E3">
              <w:tc>
                <w:tcPr>
                  <w:tcW w:w="948"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2018</w:t>
                  </w:r>
                </w:p>
              </w:tc>
              <w:tc>
                <w:tcPr>
                  <w:tcW w:w="1302"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70 693</w:t>
                  </w:r>
                </w:p>
              </w:tc>
              <w:tc>
                <w:tcPr>
                  <w:tcW w:w="1445"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55 839</w:t>
                  </w:r>
                </w:p>
              </w:tc>
              <w:tc>
                <w:tcPr>
                  <w:tcW w:w="1736"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9 854</w:t>
                  </w:r>
                </w:p>
              </w:tc>
              <w:tc>
                <w:tcPr>
                  <w:tcW w:w="1471" w:type="dxa"/>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5 000</w:t>
                  </w:r>
                </w:p>
              </w:tc>
            </w:tr>
            <w:tr w:rsidR="002F20B0" w:rsidRPr="008410ED" w:rsidTr="001633E3">
              <w:tc>
                <w:tcPr>
                  <w:tcW w:w="948"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2019</w:t>
                  </w:r>
                </w:p>
              </w:tc>
              <w:tc>
                <w:tcPr>
                  <w:tcW w:w="1302"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745 994</w:t>
                  </w:r>
                </w:p>
              </w:tc>
              <w:tc>
                <w:tcPr>
                  <w:tcW w:w="1445"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621 345</w:t>
                  </w:r>
                </w:p>
              </w:tc>
              <w:tc>
                <w:tcPr>
                  <w:tcW w:w="1736"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109 649</w:t>
                  </w:r>
                </w:p>
              </w:tc>
              <w:tc>
                <w:tcPr>
                  <w:tcW w:w="1471" w:type="dxa"/>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15 000</w:t>
                  </w:r>
                </w:p>
              </w:tc>
            </w:tr>
            <w:tr w:rsidR="002F20B0" w:rsidRPr="008410ED" w:rsidTr="001633E3">
              <w:tc>
                <w:tcPr>
                  <w:tcW w:w="948"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2020</w:t>
                  </w:r>
                </w:p>
              </w:tc>
              <w:tc>
                <w:tcPr>
                  <w:tcW w:w="1302" w:type="dxa"/>
                  <w:shd w:val="clear" w:color="auto" w:fill="auto"/>
                </w:tcPr>
                <w:p w:rsidR="002F20B0" w:rsidRPr="008410ED" w:rsidRDefault="002F20B0" w:rsidP="002F20B0">
                  <w:pPr>
                    <w:jc w:val="both"/>
                    <w:rPr>
                      <w:rFonts w:ascii="Times New Roman" w:hAnsi="Times New Roman" w:cs="Times New Roman"/>
                    </w:rPr>
                  </w:pPr>
                  <w:r w:rsidRPr="002F20B0">
                    <w:rPr>
                      <w:rFonts w:ascii="Times New Roman" w:hAnsi="Times New Roman" w:cs="Times New Roman"/>
                    </w:rPr>
                    <w:t>3 255 882</w:t>
                  </w:r>
                </w:p>
              </w:tc>
              <w:tc>
                <w:tcPr>
                  <w:tcW w:w="1445"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2 754 749</w:t>
                  </w:r>
                </w:p>
              </w:tc>
              <w:tc>
                <w:tcPr>
                  <w:tcW w:w="1736"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486 133</w:t>
                  </w:r>
                </w:p>
              </w:tc>
              <w:tc>
                <w:tcPr>
                  <w:tcW w:w="1471" w:type="dxa"/>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15 000</w:t>
                  </w:r>
                </w:p>
              </w:tc>
            </w:tr>
            <w:tr w:rsidR="002F20B0" w:rsidRPr="008410ED" w:rsidTr="001633E3">
              <w:tc>
                <w:tcPr>
                  <w:tcW w:w="948"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2021</w:t>
                  </w:r>
                </w:p>
              </w:tc>
              <w:tc>
                <w:tcPr>
                  <w:tcW w:w="1302"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5 254 181</w:t>
                  </w:r>
                </w:p>
              </w:tc>
              <w:tc>
                <w:tcPr>
                  <w:tcW w:w="1445"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4 453 304</w:t>
                  </w:r>
                </w:p>
              </w:tc>
              <w:tc>
                <w:tcPr>
                  <w:tcW w:w="1736"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785 877</w:t>
                  </w:r>
                </w:p>
              </w:tc>
              <w:tc>
                <w:tcPr>
                  <w:tcW w:w="1471" w:type="dxa"/>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15 000</w:t>
                  </w:r>
                </w:p>
              </w:tc>
            </w:tr>
            <w:tr w:rsidR="002F20B0" w:rsidRPr="008410ED" w:rsidTr="001633E3">
              <w:tc>
                <w:tcPr>
                  <w:tcW w:w="948"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2022</w:t>
                  </w:r>
                </w:p>
              </w:tc>
              <w:tc>
                <w:tcPr>
                  <w:tcW w:w="1302"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6 259 181</w:t>
                  </w:r>
                </w:p>
              </w:tc>
              <w:tc>
                <w:tcPr>
                  <w:tcW w:w="1445"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5 303 304</w:t>
                  </w:r>
                </w:p>
              </w:tc>
              <w:tc>
                <w:tcPr>
                  <w:tcW w:w="1736"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935 877</w:t>
                  </w:r>
                </w:p>
              </w:tc>
              <w:tc>
                <w:tcPr>
                  <w:tcW w:w="1471" w:type="dxa"/>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20 000</w:t>
                  </w:r>
                </w:p>
              </w:tc>
            </w:tr>
            <w:tr w:rsidR="002F20B0" w:rsidRPr="008410ED" w:rsidTr="001633E3">
              <w:tc>
                <w:tcPr>
                  <w:tcW w:w="948"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2023</w:t>
                  </w:r>
                </w:p>
              </w:tc>
              <w:tc>
                <w:tcPr>
                  <w:tcW w:w="1302"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1 862 446</w:t>
                  </w:r>
                </w:p>
              </w:tc>
              <w:tc>
                <w:tcPr>
                  <w:tcW w:w="1445"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1 570 329</w:t>
                  </w:r>
                </w:p>
              </w:tc>
              <w:tc>
                <w:tcPr>
                  <w:tcW w:w="1736"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277 117</w:t>
                  </w:r>
                </w:p>
              </w:tc>
              <w:tc>
                <w:tcPr>
                  <w:tcW w:w="1471" w:type="dxa"/>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15 000</w:t>
                  </w:r>
                </w:p>
              </w:tc>
            </w:tr>
            <w:tr w:rsidR="002F20B0" w:rsidRPr="008410ED" w:rsidTr="001633E3">
              <w:tc>
                <w:tcPr>
                  <w:tcW w:w="948"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2024</w:t>
                  </w:r>
                </w:p>
              </w:tc>
              <w:tc>
                <w:tcPr>
                  <w:tcW w:w="1302"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298 682</w:t>
                  </w:r>
                </w:p>
              </w:tc>
              <w:tc>
                <w:tcPr>
                  <w:tcW w:w="1445"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241 130</w:t>
                  </w:r>
                </w:p>
              </w:tc>
              <w:tc>
                <w:tcPr>
                  <w:tcW w:w="1736" w:type="dxa"/>
                  <w:shd w:val="clear" w:color="auto" w:fill="auto"/>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42 552</w:t>
                  </w:r>
                </w:p>
              </w:tc>
              <w:tc>
                <w:tcPr>
                  <w:tcW w:w="1471" w:type="dxa"/>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15 000</w:t>
                  </w:r>
                </w:p>
              </w:tc>
            </w:tr>
            <w:tr w:rsidR="002F20B0" w:rsidRPr="008410ED" w:rsidTr="001633E3">
              <w:tc>
                <w:tcPr>
                  <w:tcW w:w="948" w:type="dxa"/>
                  <w:shd w:val="clear" w:color="auto" w:fill="auto"/>
                </w:tcPr>
                <w:p w:rsidR="002F20B0" w:rsidRPr="008410ED" w:rsidRDefault="002F20B0" w:rsidP="002F20B0">
                  <w:pPr>
                    <w:jc w:val="both"/>
                    <w:rPr>
                      <w:rFonts w:ascii="Times New Roman" w:hAnsi="Times New Roman" w:cs="Times New Roman"/>
                    </w:rPr>
                  </w:pPr>
                </w:p>
              </w:tc>
              <w:tc>
                <w:tcPr>
                  <w:tcW w:w="1302" w:type="dxa"/>
                  <w:shd w:val="clear" w:color="auto" w:fill="auto"/>
                </w:tcPr>
                <w:p w:rsidR="002F20B0" w:rsidRPr="008410ED" w:rsidRDefault="002F20B0" w:rsidP="002F20B0">
                  <w:pPr>
                    <w:jc w:val="both"/>
                    <w:rPr>
                      <w:rFonts w:ascii="Times New Roman" w:hAnsi="Times New Roman" w:cs="Times New Roman"/>
                      <w:b/>
                    </w:rPr>
                  </w:pPr>
                  <w:r w:rsidRPr="008410ED">
                    <w:rPr>
                      <w:rFonts w:ascii="Times New Roman" w:hAnsi="Times New Roman" w:cs="Times New Roman"/>
                      <w:b/>
                    </w:rPr>
                    <w:t>17 747 059</w:t>
                  </w:r>
                </w:p>
              </w:tc>
              <w:tc>
                <w:tcPr>
                  <w:tcW w:w="1445" w:type="dxa"/>
                  <w:shd w:val="clear" w:color="auto" w:fill="auto"/>
                </w:tcPr>
                <w:p w:rsidR="002F20B0" w:rsidRPr="008410ED" w:rsidRDefault="002F20B0" w:rsidP="002F20B0">
                  <w:pPr>
                    <w:jc w:val="both"/>
                    <w:rPr>
                      <w:rFonts w:ascii="Times New Roman" w:hAnsi="Times New Roman" w:cs="Times New Roman"/>
                      <w:b/>
                    </w:rPr>
                  </w:pPr>
                  <w:r w:rsidRPr="008410ED">
                    <w:rPr>
                      <w:rFonts w:ascii="Times New Roman" w:hAnsi="Times New Roman" w:cs="Times New Roman"/>
                      <w:b/>
                    </w:rPr>
                    <w:t>15 000 000</w:t>
                  </w:r>
                </w:p>
              </w:tc>
              <w:tc>
                <w:tcPr>
                  <w:tcW w:w="1736" w:type="dxa"/>
                  <w:shd w:val="clear" w:color="auto" w:fill="auto"/>
                </w:tcPr>
                <w:p w:rsidR="002F20B0" w:rsidRPr="008410ED" w:rsidRDefault="002F20B0" w:rsidP="002F20B0">
                  <w:pPr>
                    <w:jc w:val="both"/>
                    <w:rPr>
                      <w:rFonts w:ascii="Times New Roman" w:hAnsi="Times New Roman" w:cs="Times New Roman"/>
                      <w:b/>
                    </w:rPr>
                  </w:pPr>
                  <w:r w:rsidRPr="008410ED">
                    <w:rPr>
                      <w:rFonts w:ascii="Times New Roman" w:hAnsi="Times New Roman" w:cs="Times New Roman"/>
                      <w:b/>
                    </w:rPr>
                    <w:t>2 647 059</w:t>
                  </w:r>
                </w:p>
              </w:tc>
              <w:tc>
                <w:tcPr>
                  <w:tcW w:w="1471" w:type="dxa"/>
                </w:tcPr>
                <w:p w:rsidR="002F20B0" w:rsidRPr="008410ED" w:rsidRDefault="002F20B0" w:rsidP="002F20B0">
                  <w:pPr>
                    <w:jc w:val="both"/>
                    <w:rPr>
                      <w:rFonts w:ascii="Times New Roman" w:hAnsi="Times New Roman" w:cs="Times New Roman"/>
                      <w:b/>
                    </w:rPr>
                  </w:pPr>
                  <w:r w:rsidRPr="008410ED">
                    <w:rPr>
                      <w:rFonts w:ascii="Times New Roman" w:hAnsi="Times New Roman" w:cs="Times New Roman"/>
                      <w:b/>
                    </w:rPr>
                    <w:t>100 000</w:t>
                  </w:r>
                </w:p>
              </w:tc>
            </w:tr>
          </w:tbl>
          <w:p w:rsidR="002F20B0" w:rsidRPr="008410ED" w:rsidRDefault="002F20B0" w:rsidP="002F20B0">
            <w:pPr>
              <w:spacing w:after="0" w:line="240" w:lineRule="auto"/>
              <w:jc w:val="both"/>
              <w:rPr>
                <w:rFonts w:ascii="Times New Roman" w:eastAsia="Times New Roman" w:hAnsi="Times New Roman" w:cs="Times New Roman"/>
                <w:iCs/>
                <w:sz w:val="20"/>
                <w:szCs w:val="20"/>
                <w:lang w:eastAsia="lv-LV"/>
              </w:rPr>
            </w:pPr>
            <w:r w:rsidRPr="008410ED">
              <w:rPr>
                <w:rFonts w:ascii="Times New Roman" w:eastAsia="Times New Roman" w:hAnsi="Times New Roman" w:cs="Times New Roman"/>
                <w:iCs/>
                <w:sz w:val="20"/>
                <w:szCs w:val="20"/>
                <w:lang w:eastAsia="lv-LV"/>
              </w:rPr>
              <w:t>*100% Donorvalsts finansējums</w:t>
            </w:r>
          </w:p>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p w:rsidR="002F20B0" w:rsidRPr="008410ED" w:rsidRDefault="002F20B0" w:rsidP="002F20B0">
            <w:pPr>
              <w:jc w:val="both"/>
              <w:rPr>
                <w:rFonts w:ascii="Times New Roman" w:hAnsi="Times New Roman" w:cs="Times New Roman"/>
                <w:sz w:val="24"/>
                <w:szCs w:val="24"/>
              </w:rPr>
            </w:pPr>
            <w:r w:rsidRPr="008410ED">
              <w:rPr>
                <w:rFonts w:ascii="Times New Roman" w:hAnsi="Times New Roman" w:cs="Times New Roman"/>
                <w:b/>
                <w:sz w:val="24"/>
                <w:szCs w:val="24"/>
              </w:rPr>
              <w:t>Programmas administrēšanai</w:t>
            </w:r>
            <w:r w:rsidRPr="008410ED">
              <w:rPr>
                <w:rFonts w:ascii="Times New Roman" w:hAnsi="Times New Roman" w:cs="Times New Roman"/>
                <w:sz w:val="24"/>
                <w:szCs w:val="24"/>
              </w:rPr>
              <w:t xml:space="preserve"> no 2018. gada līdz 2024.gada 31.decembrim ir paredzēti tehniskās palīdzības finanšu līdzekļi – 1 635 294 </w:t>
            </w:r>
            <w:r w:rsidRPr="008410ED">
              <w:rPr>
                <w:rFonts w:ascii="Times New Roman" w:hAnsi="Times New Roman" w:cs="Times New Roman"/>
                <w:i/>
                <w:sz w:val="24"/>
                <w:szCs w:val="24"/>
              </w:rPr>
              <w:t>euro</w:t>
            </w:r>
            <w:r w:rsidRPr="008410ED">
              <w:rPr>
                <w:rFonts w:ascii="Times New Roman" w:hAnsi="Times New Roman" w:cs="Times New Roman"/>
                <w:sz w:val="24"/>
                <w:szCs w:val="24"/>
              </w:rPr>
              <w:t xml:space="preserve"> apmērā, tai skaitā Sadarbības memorandā noteikts divpusējās sadarbības fonda finansējums programmai 100 000 </w:t>
            </w:r>
            <w:r w:rsidRPr="008410ED">
              <w:rPr>
                <w:rFonts w:ascii="Times New Roman" w:hAnsi="Times New Roman" w:cs="Times New Roman"/>
                <w:i/>
                <w:sz w:val="24"/>
                <w:szCs w:val="24"/>
              </w:rPr>
              <w:t>euro:</w:t>
            </w:r>
          </w:p>
          <w:p w:rsidR="002F20B0" w:rsidRPr="008410ED" w:rsidRDefault="002F20B0" w:rsidP="002F20B0">
            <w:pPr>
              <w:pStyle w:val="CommentText"/>
              <w:jc w:val="both"/>
              <w:rPr>
                <w:sz w:val="24"/>
                <w:szCs w:val="24"/>
              </w:rPr>
            </w:pPr>
            <w:r w:rsidRPr="008410ED">
              <w:rPr>
                <w:b/>
                <w:sz w:val="24"/>
                <w:szCs w:val="24"/>
              </w:rPr>
              <w:t>2018.gadā</w:t>
            </w:r>
            <w:r w:rsidRPr="008410ED">
              <w:rPr>
                <w:sz w:val="24"/>
                <w:szCs w:val="24"/>
              </w:rPr>
              <w:t xml:space="preserve"> Iekšlietu ministrijai budžeta apakšprogrammai </w:t>
            </w:r>
            <w:r w:rsidRPr="008410ED">
              <w:rPr>
                <w:b/>
                <w:sz w:val="24"/>
                <w:szCs w:val="24"/>
              </w:rPr>
              <w:t>71.06.00 “Eiropas Ekonomikas zonas un Norvēģijas finanšu instrumentu finansētie projekti</w:t>
            </w:r>
            <w:r w:rsidRPr="008410ED">
              <w:rPr>
                <w:sz w:val="24"/>
                <w:szCs w:val="24"/>
              </w:rPr>
              <w:t xml:space="preserve">” piešķirts finansējums 70 693 </w:t>
            </w:r>
            <w:r w:rsidRPr="008410ED">
              <w:rPr>
                <w:i/>
                <w:sz w:val="24"/>
                <w:szCs w:val="24"/>
              </w:rPr>
              <w:t>euro</w:t>
            </w:r>
            <w:r w:rsidRPr="008410ED">
              <w:rPr>
                <w:sz w:val="24"/>
                <w:szCs w:val="24"/>
              </w:rPr>
              <w:t xml:space="preserve"> apmērā saskaņā ar:</w:t>
            </w:r>
          </w:p>
          <w:p w:rsidR="002F20B0" w:rsidRPr="008410ED" w:rsidRDefault="002F20B0" w:rsidP="002F20B0">
            <w:pPr>
              <w:jc w:val="both"/>
              <w:rPr>
                <w:rFonts w:ascii="Times New Roman" w:hAnsi="Times New Roman" w:cs="Times New Roman"/>
                <w:sz w:val="24"/>
                <w:szCs w:val="24"/>
              </w:rPr>
            </w:pPr>
            <w:r w:rsidRPr="008410ED">
              <w:rPr>
                <w:rFonts w:ascii="Times New Roman" w:hAnsi="Times New Roman" w:cs="Times New Roman"/>
                <w:sz w:val="24"/>
                <w:szCs w:val="24"/>
              </w:rPr>
              <w:t>√ Finanšu ministrijas 2018. gada 22.februāra rīkojuma Nr.71  “</w:t>
            </w:r>
            <w:r w:rsidRPr="008410ED">
              <w:rPr>
                <w:rFonts w:ascii="Times New Roman" w:hAnsi="Times New Roman" w:cs="Times New Roman"/>
                <w:iCs/>
                <w:sz w:val="24"/>
                <w:szCs w:val="24"/>
                <w:lang w:eastAsia="lv-LV"/>
              </w:rPr>
              <w:t xml:space="preserve">Par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līdzekļu pārdali 2018.gadā” 1.4.3. apakšpunktu </w:t>
            </w:r>
            <w:r w:rsidRPr="008410ED">
              <w:rPr>
                <w:rFonts w:ascii="Times New Roman" w:hAnsi="Times New Roman" w:cs="Times New Roman"/>
                <w:sz w:val="24"/>
                <w:szCs w:val="24"/>
              </w:rPr>
              <w:t xml:space="preserve"> – 40 342 </w:t>
            </w:r>
            <w:r w:rsidRPr="008410ED">
              <w:rPr>
                <w:rFonts w:ascii="Times New Roman" w:hAnsi="Times New Roman" w:cs="Times New Roman"/>
                <w:i/>
                <w:sz w:val="24"/>
                <w:szCs w:val="24"/>
              </w:rPr>
              <w:t>euro</w:t>
            </w:r>
            <w:r w:rsidRPr="008410ED">
              <w:rPr>
                <w:rFonts w:ascii="Times New Roman" w:hAnsi="Times New Roman" w:cs="Times New Roman"/>
                <w:sz w:val="24"/>
                <w:szCs w:val="24"/>
              </w:rPr>
              <w:t>;</w:t>
            </w:r>
          </w:p>
          <w:p w:rsidR="002F20B0" w:rsidRPr="008410ED" w:rsidRDefault="002F20B0" w:rsidP="002F20B0">
            <w:pPr>
              <w:jc w:val="both"/>
              <w:rPr>
                <w:rFonts w:ascii="Times New Roman" w:hAnsi="Times New Roman" w:cs="Times New Roman"/>
                <w:sz w:val="24"/>
                <w:szCs w:val="24"/>
              </w:rPr>
            </w:pPr>
            <w:r w:rsidRPr="008410ED">
              <w:rPr>
                <w:rFonts w:ascii="Times New Roman" w:hAnsi="Times New Roman" w:cs="Times New Roman"/>
                <w:sz w:val="24"/>
                <w:szCs w:val="24"/>
              </w:rPr>
              <w:t>√ Finanšu ministrijas 2018.gada 5.jūlija rīkojuma Nr.242  “</w:t>
            </w:r>
            <w:r w:rsidRPr="008410ED">
              <w:rPr>
                <w:rFonts w:ascii="Times New Roman" w:hAnsi="Times New Roman" w:cs="Times New Roman"/>
                <w:iCs/>
                <w:sz w:val="24"/>
                <w:szCs w:val="24"/>
                <w:lang w:eastAsia="lv-LV"/>
              </w:rPr>
              <w:t xml:space="preserve">Par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līdzekļu pārdali 2018.gadā” 1.2.2.apakšpunktu </w:t>
            </w:r>
            <w:r w:rsidRPr="008410ED">
              <w:rPr>
                <w:rFonts w:ascii="Times New Roman" w:hAnsi="Times New Roman" w:cs="Times New Roman"/>
                <w:sz w:val="24"/>
                <w:szCs w:val="24"/>
              </w:rPr>
              <w:t xml:space="preserve"> – 30 351 </w:t>
            </w:r>
            <w:r w:rsidR="009D2B10">
              <w:rPr>
                <w:rFonts w:ascii="Times New Roman" w:hAnsi="Times New Roman" w:cs="Times New Roman"/>
                <w:i/>
                <w:sz w:val="24"/>
                <w:szCs w:val="24"/>
              </w:rPr>
              <w:t>euro</w:t>
            </w:r>
            <w:r w:rsidRPr="008410ED">
              <w:rPr>
                <w:rFonts w:ascii="Times New Roman" w:hAnsi="Times New Roman" w:cs="Times New Roman"/>
                <w:sz w:val="24"/>
                <w:szCs w:val="24"/>
              </w:rPr>
              <w:t xml:space="preserve">. </w:t>
            </w:r>
          </w:p>
          <w:p w:rsidR="002F20B0" w:rsidRPr="008410ED" w:rsidRDefault="002F20B0" w:rsidP="002F20B0">
            <w:pPr>
              <w:jc w:val="both"/>
              <w:rPr>
                <w:rFonts w:ascii="Times New Roman" w:hAnsi="Times New Roman" w:cs="Times New Roman"/>
                <w:spacing w:val="4"/>
                <w:sz w:val="24"/>
                <w:szCs w:val="24"/>
              </w:rPr>
            </w:pPr>
            <w:r w:rsidRPr="008410ED">
              <w:rPr>
                <w:rFonts w:ascii="Times New Roman" w:hAnsi="Times New Roman" w:cs="Times New Roman"/>
                <w:sz w:val="24"/>
                <w:szCs w:val="24"/>
              </w:rPr>
              <w:t>P</w:t>
            </w:r>
            <w:r w:rsidRPr="008410ED">
              <w:rPr>
                <w:rFonts w:ascii="Times New Roman" w:eastAsia="Times New Roman" w:hAnsi="Times New Roman" w:cs="Times New Roman"/>
                <w:sz w:val="24"/>
                <w:szCs w:val="24"/>
              </w:rPr>
              <w:t>amatbudžeta bāzes izdevumu palielināšanai budžeta apakšprogrammā 71.06.00 "Eiropas Ekonomikas zonas un Norvēģijas finanšu instrumentu finansētie projekti"’2019. -2021. gadam Finanšu ministrijā ar Iekšlietu ministrijas 2018.gada 26.jūnija vēstuli Nr.1-40/1506 iesniegts  pieprasījums:</w:t>
            </w:r>
          </w:p>
          <w:p w:rsidR="002F20B0" w:rsidRPr="008410ED" w:rsidRDefault="002F20B0" w:rsidP="002F20B0">
            <w:pPr>
              <w:pStyle w:val="ListParagraph"/>
              <w:numPr>
                <w:ilvl w:val="0"/>
                <w:numId w:val="4"/>
              </w:numPr>
              <w:jc w:val="both"/>
              <w:rPr>
                <w:iCs/>
              </w:rPr>
            </w:pPr>
            <w:r w:rsidRPr="008410ED">
              <w:rPr>
                <w:b/>
              </w:rPr>
              <w:t>2019. gadā</w:t>
            </w:r>
            <w:r w:rsidRPr="008410ED">
              <w:t xml:space="preserve"> 245 994 </w:t>
            </w:r>
            <w:r w:rsidRPr="008410ED">
              <w:rPr>
                <w:i/>
              </w:rPr>
              <w:t>euro</w:t>
            </w:r>
            <w:r w:rsidRPr="008410ED">
              <w:t xml:space="preserve"> apmērā;</w:t>
            </w:r>
          </w:p>
          <w:p w:rsidR="002F20B0" w:rsidRPr="008410ED" w:rsidRDefault="002F20B0" w:rsidP="002F20B0">
            <w:pPr>
              <w:pStyle w:val="ListParagraph"/>
              <w:numPr>
                <w:ilvl w:val="0"/>
                <w:numId w:val="4"/>
              </w:numPr>
              <w:jc w:val="both"/>
              <w:rPr>
                <w:iCs/>
              </w:rPr>
            </w:pPr>
            <w:r w:rsidRPr="008410ED">
              <w:rPr>
                <w:b/>
              </w:rPr>
              <w:t>2020. gadā</w:t>
            </w:r>
            <w:r w:rsidR="005F7912">
              <w:t xml:space="preserve"> 255 88</w:t>
            </w:r>
            <w:r w:rsidR="005E738C">
              <w:t>1</w:t>
            </w:r>
            <w:r w:rsidRPr="008410ED">
              <w:t xml:space="preserve"> </w:t>
            </w:r>
            <w:r w:rsidRPr="008410ED">
              <w:rPr>
                <w:i/>
              </w:rPr>
              <w:t>euro</w:t>
            </w:r>
            <w:r w:rsidRPr="008410ED">
              <w:t xml:space="preserve"> apmērā;</w:t>
            </w:r>
          </w:p>
          <w:p w:rsidR="002F20B0" w:rsidRPr="008410ED" w:rsidRDefault="002F20B0" w:rsidP="002F20B0">
            <w:pPr>
              <w:pStyle w:val="ListParagraph"/>
              <w:numPr>
                <w:ilvl w:val="0"/>
                <w:numId w:val="4"/>
              </w:numPr>
              <w:jc w:val="both"/>
              <w:rPr>
                <w:iCs/>
              </w:rPr>
            </w:pPr>
            <w:r w:rsidRPr="008410ED">
              <w:rPr>
                <w:b/>
              </w:rPr>
              <w:lastRenderedPageBreak/>
              <w:t>2021.gadā</w:t>
            </w:r>
            <w:r w:rsidRPr="008410ED">
              <w:t xml:space="preserve"> 254 181 </w:t>
            </w:r>
            <w:r w:rsidRPr="008410ED">
              <w:rPr>
                <w:i/>
              </w:rPr>
              <w:t>euro</w:t>
            </w:r>
            <w:r w:rsidRPr="008410ED">
              <w:t xml:space="preserve"> apmērā.</w:t>
            </w:r>
          </w:p>
          <w:p w:rsidR="002F20B0" w:rsidRPr="008410ED" w:rsidRDefault="002F20B0" w:rsidP="002F20B0">
            <w:pPr>
              <w:pStyle w:val="ListParagraph"/>
              <w:ind w:left="0"/>
              <w:jc w:val="both"/>
              <w:rPr>
                <w:iCs/>
              </w:rPr>
            </w:pPr>
            <w:r w:rsidRPr="008410ED">
              <w:rPr>
                <w:iCs/>
              </w:rPr>
              <w:t xml:space="preserve">       </w:t>
            </w:r>
            <w:r w:rsidRPr="008410ED">
              <w:rPr>
                <w:b/>
                <w:iCs/>
              </w:rPr>
              <w:t>Tālākā laika posmā</w:t>
            </w:r>
            <w:r w:rsidRPr="008410ED">
              <w:rPr>
                <w:iCs/>
              </w:rPr>
              <w:t xml:space="preserve"> līdz projekta pabeigšanai nepieciešami kopsummā 808 545 </w:t>
            </w:r>
            <w:r w:rsidRPr="008410ED">
              <w:rPr>
                <w:i/>
                <w:iCs/>
              </w:rPr>
              <w:t>euro</w:t>
            </w:r>
            <w:r w:rsidRPr="008410ED">
              <w:rPr>
                <w:iCs/>
              </w:rPr>
              <w:t xml:space="preserve">. </w:t>
            </w:r>
          </w:p>
          <w:p w:rsidR="002F20B0" w:rsidRPr="008410ED" w:rsidRDefault="002F20B0" w:rsidP="002F20B0">
            <w:pPr>
              <w:pStyle w:val="ListParagraph"/>
              <w:ind w:left="0"/>
              <w:jc w:val="both"/>
              <w:rPr>
                <w:iCs/>
              </w:rPr>
            </w:pPr>
            <w:r w:rsidRPr="008410ED">
              <w:rPr>
                <w:iCs/>
              </w:rPr>
              <w:t xml:space="preserve">    Lai nodrošinātu nepārtrauktu programmas īstenošanu līdz finansējuma saņemšanai no donoriem, kā </w:t>
            </w:r>
            <w:r w:rsidRPr="008410ED">
              <w:rPr>
                <w:b/>
                <w:iCs/>
              </w:rPr>
              <w:t>finansējuma avots tiek izmantota dotācija no vispārējiem ieņēmumiem</w:t>
            </w:r>
            <w:r w:rsidRPr="008410ED">
              <w:rPr>
                <w:iCs/>
              </w:rPr>
              <w:t>.</w:t>
            </w:r>
          </w:p>
          <w:p w:rsidR="002F20B0" w:rsidRPr="008410ED" w:rsidRDefault="002F20B0" w:rsidP="002F20B0">
            <w:pPr>
              <w:pStyle w:val="ListParagraph"/>
              <w:ind w:left="0"/>
              <w:jc w:val="both"/>
              <w:rPr>
                <w:iCs/>
              </w:rPr>
            </w:pPr>
            <w:r w:rsidRPr="008410ED">
              <w:rPr>
                <w:iCs/>
              </w:rPr>
              <w:t xml:space="preserve">   </w:t>
            </w:r>
            <w:r w:rsidRPr="008410ED">
              <w:t xml:space="preserve">Savukārt pēc finansējuma saņemšanas no donoriem finanšu līdzekļi 15 100 000 </w:t>
            </w:r>
            <w:r w:rsidRPr="008410ED">
              <w:rPr>
                <w:i/>
              </w:rPr>
              <w:t>euro</w:t>
            </w:r>
            <w:r w:rsidRPr="008410ED">
              <w:t xml:space="preserve"> apmērā tiks </w:t>
            </w:r>
            <w:r w:rsidRPr="008410ED">
              <w:rPr>
                <w:b/>
              </w:rPr>
              <w:t>atmaksāti valsts pamatbudžetā</w:t>
            </w:r>
            <w:r w:rsidRPr="008410ED">
              <w:t xml:space="preserve">: 2019.gadā – 379 011 </w:t>
            </w:r>
            <w:r w:rsidRPr="008410ED">
              <w:rPr>
                <w:i/>
              </w:rPr>
              <w:t>euro</w:t>
            </w:r>
            <w:r w:rsidRPr="008410ED">
              <w:t xml:space="preserve">, 2020.gadā – 1 703 047 </w:t>
            </w:r>
            <w:r w:rsidRPr="008410ED">
              <w:rPr>
                <w:i/>
              </w:rPr>
              <w:t>euro</w:t>
            </w:r>
            <w:r w:rsidRPr="008410ED">
              <w:t xml:space="preserve">, 2021.gadā – 3 619 027 </w:t>
            </w:r>
            <w:r w:rsidRPr="008410ED">
              <w:rPr>
                <w:i/>
              </w:rPr>
              <w:t>euro</w:t>
            </w:r>
            <w:r w:rsidRPr="008410ED">
              <w:t xml:space="preserve">, 2022.gadā – 4 895 804 </w:t>
            </w:r>
            <w:r w:rsidRPr="008410ED">
              <w:rPr>
                <w:i/>
              </w:rPr>
              <w:t>euro</w:t>
            </w:r>
            <w:r w:rsidRPr="008410ED">
              <w:t xml:space="preserve">, 2023.gadā – 3 454 316 </w:t>
            </w:r>
            <w:r w:rsidRPr="008410ED">
              <w:rPr>
                <w:i/>
              </w:rPr>
              <w:t>euro</w:t>
            </w:r>
            <w:r w:rsidRPr="008410ED">
              <w:t xml:space="preserve">, 2024.gadā – 920 730 </w:t>
            </w:r>
            <w:r w:rsidRPr="008410ED">
              <w:rPr>
                <w:i/>
              </w:rPr>
              <w:t>euro</w:t>
            </w:r>
            <w:r w:rsidRPr="008410ED">
              <w:t xml:space="preserve"> un 2025.gadā – 128 065 </w:t>
            </w:r>
            <w:r w:rsidRPr="008410ED">
              <w:rPr>
                <w:i/>
              </w:rPr>
              <w:t>euro</w:t>
            </w:r>
            <w:r w:rsidRPr="008410ED">
              <w:t>.</w:t>
            </w:r>
          </w:p>
          <w:tbl>
            <w:tblPr>
              <w:tblStyle w:val="TableGrid"/>
              <w:tblW w:w="0" w:type="auto"/>
              <w:tblLook w:val="04A0" w:firstRow="1" w:lastRow="0" w:firstColumn="1" w:lastColumn="0" w:noHBand="0" w:noVBand="1"/>
            </w:tblPr>
            <w:tblGrid>
              <w:gridCol w:w="1438"/>
              <w:gridCol w:w="680"/>
              <w:gridCol w:w="656"/>
              <w:gridCol w:w="711"/>
              <w:gridCol w:w="711"/>
              <w:gridCol w:w="931"/>
              <w:gridCol w:w="711"/>
              <w:gridCol w:w="711"/>
              <w:gridCol w:w="656"/>
            </w:tblGrid>
            <w:tr w:rsidR="002F20B0" w:rsidRPr="008410ED" w:rsidTr="00801F9F">
              <w:tc>
                <w:tcPr>
                  <w:tcW w:w="1121" w:type="dxa"/>
                </w:tcPr>
                <w:p w:rsidR="002F20B0" w:rsidRPr="008410ED" w:rsidRDefault="002F20B0" w:rsidP="002F20B0">
                  <w:pPr>
                    <w:pStyle w:val="ListParagraph"/>
                    <w:ind w:left="0"/>
                    <w:jc w:val="both"/>
                    <w:rPr>
                      <w:b/>
                      <w:sz w:val="22"/>
                      <w:szCs w:val="22"/>
                    </w:rPr>
                  </w:pPr>
                  <w:r w:rsidRPr="008410ED">
                    <w:rPr>
                      <w:b/>
                      <w:sz w:val="22"/>
                      <w:szCs w:val="22"/>
                    </w:rPr>
                    <w:t>Rādītāji</w:t>
                  </w:r>
                </w:p>
              </w:tc>
              <w:tc>
                <w:tcPr>
                  <w:tcW w:w="680" w:type="dxa"/>
                </w:tcPr>
                <w:p w:rsidR="002F20B0" w:rsidRPr="008410ED" w:rsidRDefault="002F20B0" w:rsidP="002F20B0">
                  <w:pPr>
                    <w:pStyle w:val="ListParagraph"/>
                    <w:ind w:left="0"/>
                    <w:jc w:val="both"/>
                    <w:rPr>
                      <w:b/>
                      <w:sz w:val="22"/>
                      <w:szCs w:val="22"/>
                    </w:rPr>
                  </w:pPr>
                  <w:r w:rsidRPr="008410ED">
                    <w:rPr>
                      <w:b/>
                      <w:sz w:val="22"/>
                      <w:szCs w:val="22"/>
                    </w:rPr>
                    <w:t>2018</w:t>
                  </w:r>
                </w:p>
              </w:tc>
              <w:tc>
                <w:tcPr>
                  <w:tcW w:w="656" w:type="dxa"/>
                </w:tcPr>
                <w:p w:rsidR="002F20B0" w:rsidRPr="008410ED" w:rsidRDefault="002F20B0" w:rsidP="002F20B0">
                  <w:pPr>
                    <w:pStyle w:val="ListParagraph"/>
                    <w:ind w:left="0"/>
                    <w:jc w:val="both"/>
                    <w:rPr>
                      <w:b/>
                      <w:sz w:val="22"/>
                      <w:szCs w:val="22"/>
                    </w:rPr>
                  </w:pPr>
                  <w:r w:rsidRPr="008410ED">
                    <w:rPr>
                      <w:b/>
                      <w:sz w:val="22"/>
                      <w:szCs w:val="22"/>
                    </w:rPr>
                    <w:t>2019</w:t>
                  </w:r>
                </w:p>
              </w:tc>
              <w:tc>
                <w:tcPr>
                  <w:tcW w:w="711" w:type="dxa"/>
                </w:tcPr>
                <w:p w:rsidR="002F20B0" w:rsidRPr="008410ED" w:rsidRDefault="002F20B0" w:rsidP="002F20B0">
                  <w:pPr>
                    <w:pStyle w:val="ListParagraph"/>
                    <w:ind w:left="0"/>
                    <w:jc w:val="both"/>
                    <w:rPr>
                      <w:b/>
                      <w:sz w:val="22"/>
                      <w:szCs w:val="22"/>
                    </w:rPr>
                  </w:pPr>
                  <w:r w:rsidRPr="008410ED">
                    <w:rPr>
                      <w:b/>
                      <w:sz w:val="22"/>
                      <w:szCs w:val="22"/>
                    </w:rPr>
                    <w:t>2020</w:t>
                  </w:r>
                </w:p>
              </w:tc>
              <w:tc>
                <w:tcPr>
                  <w:tcW w:w="711" w:type="dxa"/>
                </w:tcPr>
                <w:p w:rsidR="002F20B0" w:rsidRPr="008410ED" w:rsidRDefault="002F20B0" w:rsidP="002F20B0">
                  <w:pPr>
                    <w:pStyle w:val="ListParagraph"/>
                    <w:ind w:left="0"/>
                    <w:jc w:val="both"/>
                    <w:rPr>
                      <w:b/>
                      <w:sz w:val="22"/>
                      <w:szCs w:val="22"/>
                    </w:rPr>
                  </w:pPr>
                  <w:r w:rsidRPr="008410ED">
                    <w:rPr>
                      <w:b/>
                      <w:sz w:val="22"/>
                      <w:szCs w:val="22"/>
                    </w:rPr>
                    <w:t>2021</w:t>
                  </w:r>
                </w:p>
              </w:tc>
              <w:tc>
                <w:tcPr>
                  <w:tcW w:w="711" w:type="dxa"/>
                </w:tcPr>
                <w:p w:rsidR="002F20B0" w:rsidRPr="008410ED" w:rsidRDefault="002F20B0" w:rsidP="002F20B0">
                  <w:pPr>
                    <w:pStyle w:val="ListParagraph"/>
                    <w:ind w:left="0"/>
                    <w:jc w:val="both"/>
                    <w:rPr>
                      <w:b/>
                      <w:sz w:val="22"/>
                      <w:szCs w:val="22"/>
                    </w:rPr>
                  </w:pPr>
                  <w:r w:rsidRPr="008410ED">
                    <w:rPr>
                      <w:b/>
                      <w:sz w:val="22"/>
                      <w:szCs w:val="22"/>
                    </w:rPr>
                    <w:t>2022</w:t>
                  </w:r>
                </w:p>
              </w:tc>
              <w:tc>
                <w:tcPr>
                  <w:tcW w:w="711" w:type="dxa"/>
                </w:tcPr>
                <w:p w:rsidR="002F20B0" w:rsidRPr="008410ED" w:rsidRDefault="002F20B0" w:rsidP="002F20B0">
                  <w:pPr>
                    <w:pStyle w:val="ListParagraph"/>
                    <w:ind w:left="0"/>
                    <w:jc w:val="both"/>
                    <w:rPr>
                      <w:b/>
                      <w:sz w:val="22"/>
                      <w:szCs w:val="22"/>
                    </w:rPr>
                  </w:pPr>
                  <w:r w:rsidRPr="008410ED">
                    <w:rPr>
                      <w:b/>
                      <w:sz w:val="22"/>
                      <w:szCs w:val="22"/>
                    </w:rPr>
                    <w:t>2023</w:t>
                  </w:r>
                </w:p>
              </w:tc>
              <w:tc>
                <w:tcPr>
                  <w:tcW w:w="711" w:type="dxa"/>
                </w:tcPr>
                <w:p w:rsidR="002F20B0" w:rsidRPr="008410ED" w:rsidRDefault="002F20B0" w:rsidP="002F20B0">
                  <w:pPr>
                    <w:pStyle w:val="ListParagraph"/>
                    <w:ind w:left="0"/>
                    <w:jc w:val="both"/>
                    <w:rPr>
                      <w:b/>
                      <w:sz w:val="22"/>
                      <w:szCs w:val="22"/>
                    </w:rPr>
                  </w:pPr>
                  <w:r w:rsidRPr="008410ED">
                    <w:rPr>
                      <w:b/>
                      <w:sz w:val="22"/>
                      <w:szCs w:val="22"/>
                    </w:rPr>
                    <w:t>2024</w:t>
                  </w:r>
                </w:p>
              </w:tc>
              <w:tc>
                <w:tcPr>
                  <w:tcW w:w="656" w:type="dxa"/>
                </w:tcPr>
                <w:p w:rsidR="002F20B0" w:rsidRPr="008410ED" w:rsidRDefault="002F20B0" w:rsidP="002F20B0">
                  <w:pPr>
                    <w:pStyle w:val="ListParagraph"/>
                    <w:ind w:left="0"/>
                    <w:jc w:val="both"/>
                    <w:rPr>
                      <w:b/>
                      <w:sz w:val="22"/>
                      <w:szCs w:val="22"/>
                    </w:rPr>
                  </w:pPr>
                  <w:r w:rsidRPr="008410ED">
                    <w:rPr>
                      <w:b/>
                      <w:sz w:val="22"/>
                      <w:szCs w:val="22"/>
                    </w:rPr>
                    <w:t>2025</w:t>
                  </w:r>
                </w:p>
              </w:tc>
            </w:tr>
            <w:tr w:rsidR="002F20B0" w:rsidRPr="008410ED" w:rsidTr="00801F9F">
              <w:tc>
                <w:tcPr>
                  <w:tcW w:w="1121" w:type="dxa"/>
                </w:tcPr>
                <w:p w:rsidR="002F20B0" w:rsidRPr="008410ED" w:rsidRDefault="002F20B0" w:rsidP="002F20B0">
                  <w:pPr>
                    <w:pStyle w:val="ListParagraph"/>
                    <w:ind w:left="0"/>
                    <w:jc w:val="both"/>
                    <w:rPr>
                      <w:sz w:val="22"/>
                      <w:szCs w:val="22"/>
                    </w:rPr>
                  </w:pPr>
                  <w:r w:rsidRPr="008410ED">
                    <w:rPr>
                      <w:sz w:val="22"/>
                      <w:szCs w:val="22"/>
                    </w:rPr>
                    <w:t>Vispārējā kārtībā sadalāmā dotācija no vispārējiem ieņēmumiem</w:t>
                  </w:r>
                </w:p>
              </w:tc>
              <w:tc>
                <w:tcPr>
                  <w:tcW w:w="680" w:type="dxa"/>
                </w:tcPr>
                <w:p w:rsidR="002F20B0" w:rsidRPr="008410ED" w:rsidRDefault="002F20B0" w:rsidP="002F20B0">
                  <w:pPr>
                    <w:pStyle w:val="ListParagraph"/>
                    <w:ind w:left="0"/>
                    <w:jc w:val="both"/>
                    <w:rPr>
                      <w:sz w:val="22"/>
                      <w:szCs w:val="22"/>
                    </w:rPr>
                  </w:pPr>
                  <w:r w:rsidRPr="008410ED">
                    <w:rPr>
                      <w:sz w:val="22"/>
                      <w:szCs w:val="22"/>
                    </w:rPr>
                    <w:t>70 693</w:t>
                  </w:r>
                </w:p>
              </w:tc>
              <w:tc>
                <w:tcPr>
                  <w:tcW w:w="656" w:type="dxa"/>
                </w:tcPr>
                <w:p w:rsidR="002F20B0" w:rsidRPr="008410ED" w:rsidRDefault="002F20B0" w:rsidP="002F20B0">
                  <w:pPr>
                    <w:pStyle w:val="ListParagraph"/>
                    <w:ind w:left="0"/>
                    <w:jc w:val="both"/>
                    <w:rPr>
                      <w:sz w:val="22"/>
                      <w:szCs w:val="22"/>
                    </w:rPr>
                  </w:pPr>
                  <w:r w:rsidRPr="008410ED">
                    <w:rPr>
                      <w:sz w:val="22"/>
                      <w:szCs w:val="22"/>
                    </w:rPr>
                    <w:t>745 994</w:t>
                  </w:r>
                </w:p>
              </w:tc>
              <w:tc>
                <w:tcPr>
                  <w:tcW w:w="711" w:type="dxa"/>
                </w:tcPr>
                <w:p w:rsidR="002F20B0" w:rsidRPr="008410ED" w:rsidRDefault="002F20B0" w:rsidP="002F20B0">
                  <w:pPr>
                    <w:pStyle w:val="ListParagraph"/>
                    <w:ind w:left="0"/>
                    <w:jc w:val="both"/>
                    <w:rPr>
                      <w:sz w:val="22"/>
                      <w:szCs w:val="22"/>
                    </w:rPr>
                  </w:pPr>
                  <w:r w:rsidRPr="008410ED">
                    <w:rPr>
                      <w:sz w:val="22"/>
                      <w:szCs w:val="22"/>
                    </w:rPr>
                    <w:t>3 255 882</w:t>
                  </w:r>
                </w:p>
              </w:tc>
              <w:tc>
                <w:tcPr>
                  <w:tcW w:w="711" w:type="dxa"/>
                </w:tcPr>
                <w:p w:rsidR="002F20B0" w:rsidRPr="008410ED" w:rsidRDefault="002F20B0" w:rsidP="002F20B0">
                  <w:pPr>
                    <w:pStyle w:val="ListParagraph"/>
                    <w:ind w:left="0"/>
                    <w:jc w:val="both"/>
                    <w:rPr>
                      <w:sz w:val="22"/>
                      <w:szCs w:val="22"/>
                    </w:rPr>
                  </w:pPr>
                  <w:r w:rsidRPr="008410ED">
                    <w:rPr>
                      <w:sz w:val="22"/>
                      <w:szCs w:val="22"/>
                    </w:rPr>
                    <w:t>5 254 181</w:t>
                  </w:r>
                </w:p>
              </w:tc>
              <w:tc>
                <w:tcPr>
                  <w:tcW w:w="711" w:type="dxa"/>
                </w:tcPr>
                <w:p w:rsidR="002F20B0" w:rsidRPr="008410ED" w:rsidRDefault="002F20B0" w:rsidP="002F20B0">
                  <w:pPr>
                    <w:pStyle w:val="ListParagraph"/>
                    <w:ind w:left="0"/>
                    <w:jc w:val="both"/>
                    <w:rPr>
                      <w:sz w:val="22"/>
                      <w:szCs w:val="22"/>
                    </w:rPr>
                  </w:pPr>
                  <w:r w:rsidRPr="008410ED">
                    <w:rPr>
                      <w:sz w:val="22"/>
                      <w:szCs w:val="22"/>
                    </w:rPr>
                    <w:t>6 259 181</w:t>
                  </w:r>
                </w:p>
              </w:tc>
              <w:tc>
                <w:tcPr>
                  <w:tcW w:w="711" w:type="dxa"/>
                </w:tcPr>
                <w:p w:rsidR="002F20B0" w:rsidRPr="008410ED" w:rsidRDefault="002F20B0" w:rsidP="002F20B0">
                  <w:pPr>
                    <w:pStyle w:val="ListParagraph"/>
                    <w:ind w:left="0"/>
                    <w:jc w:val="both"/>
                    <w:rPr>
                      <w:sz w:val="22"/>
                      <w:szCs w:val="22"/>
                    </w:rPr>
                  </w:pPr>
                  <w:r w:rsidRPr="008410ED">
                    <w:rPr>
                      <w:sz w:val="22"/>
                      <w:szCs w:val="22"/>
                    </w:rPr>
                    <w:t>1 862 446</w:t>
                  </w:r>
                </w:p>
              </w:tc>
              <w:tc>
                <w:tcPr>
                  <w:tcW w:w="711" w:type="dxa"/>
                </w:tcPr>
                <w:p w:rsidR="002F20B0" w:rsidRPr="008410ED" w:rsidRDefault="002F20B0" w:rsidP="002F20B0">
                  <w:pPr>
                    <w:pStyle w:val="ListParagraph"/>
                    <w:ind w:left="0"/>
                    <w:jc w:val="both"/>
                    <w:rPr>
                      <w:sz w:val="22"/>
                      <w:szCs w:val="22"/>
                    </w:rPr>
                  </w:pPr>
                  <w:r w:rsidRPr="008410ED">
                    <w:rPr>
                      <w:sz w:val="22"/>
                      <w:szCs w:val="22"/>
                    </w:rPr>
                    <w:t>298 682</w:t>
                  </w:r>
                </w:p>
              </w:tc>
              <w:tc>
                <w:tcPr>
                  <w:tcW w:w="656" w:type="dxa"/>
                </w:tcPr>
                <w:p w:rsidR="002F20B0" w:rsidRPr="008410ED" w:rsidRDefault="002F20B0" w:rsidP="002F20B0">
                  <w:pPr>
                    <w:pStyle w:val="ListParagraph"/>
                    <w:ind w:left="0"/>
                    <w:jc w:val="both"/>
                    <w:rPr>
                      <w:sz w:val="22"/>
                      <w:szCs w:val="22"/>
                    </w:rPr>
                  </w:pPr>
                  <w:r w:rsidRPr="008410ED">
                    <w:rPr>
                      <w:sz w:val="22"/>
                      <w:szCs w:val="22"/>
                    </w:rPr>
                    <w:t>0</w:t>
                  </w:r>
                </w:p>
              </w:tc>
            </w:tr>
            <w:tr w:rsidR="002F20B0" w:rsidRPr="008410ED" w:rsidTr="00801F9F">
              <w:tc>
                <w:tcPr>
                  <w:tcW w:w="1121" w:type="dxa"/>
                </w:tcPr>
                <w:p w:rsidR="002F20B0" w:rsidRPr="008410ED" w:rsidRDefault="002F20B0" w:rsidP="002F20B0">
                  <w:pPr>
                    <w:pStyle w:val="ListParagraph"/>
                    <w:ind w:left="0"/>
                    <w:jc w:val="both"/>
                    <w:rPr>
                      <w:sz w:val="22"/>
                      <w:szCs w:val="22"/>
                    </w:rPr>
                  </w:pPr>
                  <w:r w:rsidRPr="008410ED">
                    <w:rPr>
                      <w:sz w:val="22"/>
                      <w:szCs w:val="22"/>
                    </w:rPr>
                    <w:t>Atmaksa valsts pamatbudžetā no ārvalstu finanšu palīdzības</w:t>
                  </w:r>
                </w:p>
              </w:tc>
              <w:tc>
                <w:tcPr>
                  <w:tcW w:w="680" w:type="dxa"/>
                </w:tcPr>
                <w:p w:rsidR="002F20B0" w:rsidRPr="008410ED" w:rsidRDefault="002F20B0" w:rsidP="002F20B0">
                  <w:pPr>
                    <w:pStyle w:val="ListParagraph"/>
                    <w:ind w:left="0"/>
                    <w:jc w:val="both"/>
                    <w:rPr>
                      <w:sz w:val="22"/>
                      <w:szCs w:val="22"/>
                    </w:rPr>
                  </w:pPr>
                  <w:r w:rsidRPr="008410ED">
                    <w:rPr>
                      <w:sz w:val="22"/>
                      <w:szCs w:val="22"/>
                    </w:rPr>
                    <w:t>0</w:t>
                  </w:r>
                </w:p>
              </w:tc>
              <w:tc>
                <w:tcPr>
                  <w:tcW w:w="656" w:type="dxa"/>
                </w:tcPr>
                <w:p w:rsidR="002F20B0" w:rsidRPr="008410ED" w:rsidRDefault="002F20B0" w:rsidP="002F20B0">
                  <w:pPr>
                    <w:pStyle w:val="ListParagraph"/>
                    <w:ind w:left="0"/>
                    <w:jc w:val="both"/>
                    <w:rPr>
                      <w:sz w:val="22"/>
                      <w:szCs w:val="22"/>
                    </w:rPr>
                  </w:pPr>
                  <w:r w:rsidRPr="008410ED">
                    <w:rPr>
                      <w:sz w:val="22"/>
                      <w:szCs w:val="22"/>
                    </w:rPr>
                    <w:t>379 011</w:t>
                  </w:r>
                </w:p>
              </w:tc>
              <w:tc>
                <w:tcPr>
                  <w:tcW w:w="711" w:type="dxa"/>
                </w:tcPr>
                <w:p w:rsidR="002F20B0" w:rsidRPr="008410ED" w:rsidRDefault="002F20B0" w:rsidP="002F20B0">
                  <w:pPr>
                    <w:pStyle w:val="ListParagraph"/>
                    <w:ind w:left="0"/>
                    <w:jc w:val="both"/>
                    <w:rPr>
                      <w:sz w:val="22"/>
                      <w:szCs w:val="22"/>
                    </w:rPr>
                  </w:pPr>
                  <w:r w:rsidRPr="008410ED">
                    <w:rPr>
                      <w:sz w:val="22"/>
                      <w:szCs w:val="22"/>
                    </w:rPr>
                    <w:t>1 703 047</w:t>
                  </w:r>
                </w:p>
              </w:tc>
              <w:tc>
                <w:tcPr>
                  <w:tcW w:w="711" w:type="dxa"/>
                </w:tcPr>
                <w:p w:rsidR="002F20B0" w:rsidRPr="008410ED" w:rsidRDefault="002F20B0" w:rsidP="002F20B0">
                  <w:pPr>
                    <w:pStyle w:val="ListParagraph"/>
                    <w:ind w:left="0"/>
                    <w:jc w:val="both"/>
                    <w:rPr>
                      <w:sz w:val="22"/>
                      <w:szCs w:val="22"/>
                    </w:rPr>
                  </w:pPr>
                  <w:r w:rsidRPr="008410ED">
                    <w:rPr>
                      <w:sz w:val="22"/>
                      <w:szCs w:val="22"/>
                    </w:rPr>
                    <w:t>3 619 027</w:t>
                  </w:r>
                </w:p>
              </w:tc>
              <w:tc>
                <w:tcPr>
                  <w:tcW w:w="711" w:type="dxa"/>
                </w:tcPr>
                <w:p w:rsidR="002F20B0" w:rsidRPr="008410ED" w:rsidRDefault="002F20B0" w:rsidP="002F20B0">
                  <w:pPr>
                    <w:pStyle w:val="ListParagraph"/>
                    <w:ind w:left="0"/>
                    <w:jc w:val="both"/>
                    <w:rPr>
                      <w:sz w:val="22"/>
                      <w:szCs w:val="22"/>
                    </w:rPr>
                  </w:pPr>
                  <w:r w:rsidRPr="008410ED">
                    <w:rPr>
                      <w:sz w:val="22"/>
                      <w:szCs w:val="22"/>
                    </w:rPr>
                    <w:t xml:space="preserve">4 895 804 </w:t>
                  </w:r>
                </w:p>
              </w:tc>
              <w:tc>
                <w:tcPr>
                  <w:tcW w:w="711" w:type="dxa"/>
                </w:tcPr>
                <w:p w:rsidR="002F20B0" w:rsidRPr="008410ED" w:rsidRDefault="002F20B0" w:rsidP="002F20B0">
                  <w:pPr>
                    <w:pStyle w:val="ListParagraph"/>
                    <w:ind w:left="0"/>
                    <w:jc w:val="both"/>
                    <w:rPr>
                      <w:sz w:val="22"/>
                      <w:szCs w:val="22"/>
                    </w:rPr>
                  </w:pPr>
                  <w:r w:rsidRPr="008410ED">
                    <w:rPr>
                      <w:sz w:val="22"/>
                      <w:szCs w:val="22"/>
                    </w:rPr>
                    <w:t>3 454 316</w:t>
                  </w:r>
                </w:p>
              </w:tc>
              <w:tc>
                <w:tcPr>
                  <w:tcW w:w="711" w:type="dxa"/>
                </w:tcPr>
                <w:p w:rsidR="002F20B0" w:rsidRPr="008410ED" w:rsidRDefault="002F20B0" w:rsidP="002F20B0">
                  <w:pPr>
                    <w:pStyle w:val="ListParagraph"/>
                    <w:ind w:left="0"/>
                    <w:jc w:val="both"/>
                    <w:rPr>
                      <w:sz w:val="22"/>
                      <w:szCs w:val="22"/>
                    </w:rPr>
                  </w:pPr>
                  <w:r w:rsidRPr="008410ED">
                    <w:rPr>
                      <w:sz w:val="22"/>
                      <w:szCs w:val="22"/>
                    </w:rPr>
                    <w:t>920 730</w:t>
                  </w:r>
                </w:p>
              </w:tc>
              <w:tc>
                <w:tcPr>
                  <w:tcW w:w="656" w:type="dxa"/>
                </w:tcPr>
                <w:p w:rsidR="002F20B0" w:rsidRPr="008410ED" w:rsidRDefault="002F20B0" w:rsidP="002F20B0">
                  <w:pPr>
                    <w:pStyle w:val="ListParagraph"/>
                    <w:ind w:left="0"/>
                    <w:jc w:val="both"/>
                    <w:rPr>
                      <w:sz w:val="22"/>
                      <w:szCs w:val="22"/>
                    </w:rPr>
                  </w:pPr>
                  <w:r w:rsidRPr="008410ED">
                    <w:rPr>
                      <w:sz w:val="22"/>
                      <w:szCs w:val="22"/>
                    </w:rPr>
                    <w:t>128 065</w:t>
                  </w:r>
                </w:p>
              </w:tc>
            </w:tr>
            <w:tr w:rsidR="002F20B0" w:rsidRPr="008410ED" w:rsidTr="00801F9F">
              <w:tc>
                <w:tcPr>
                  <w:tcW w:w="1121" w:type="dxa"/>
                </w:tcPr>
                <w:p w:rsidR="002F20B0" w:rsidRPr="008410ED" w:rsidRDefault="002F20B0" w:rsidP="002F20B0">
                  <w:pPr>
                    <w:pStyle w:val="ListParagraph"/>
                    <w:ind w:left="0"/>
                    <w:jc w:val="both"/>
                    <w:rPr>
                      <w:sz w:val="22"/>
                      <w:szCs w:val="22"/>
                    </w:rPr>
                  </w:pPr>
                  <w:r w:rsidRPr="008410ED">
                    <w:rPr>
                      <w:sz w:val="22"/>
                      <w:szCs w:val="22"/>
                    </w:rPr>
                    <w:t>Starpība</w:t>
                  </w:r>
                </w:p>
              </w:tc>
              <w:tc>
                <w:tcPr>
                  <w:tcW w:w="680" w:type="dxa"/>
                </w:tcPr>
                <w:p w:rsidR="002F20B0" w:rsidRPr="008410ED" w:rsidRDefault="002F20B0" w:rsidP="002F20B0">
                  <w:pPr>
                    <w:jc w:val="both"/>
                    <w:rPr>
                      <w:rFonts w:ascii="Times New Roman" w:hAnsi="Times New Roman" w:cs="Times New Roman"/>
                    </w:rPr>
                  </w:pPr>
                  <w:r w:rsidRPr="008410ED">
                    <w:rPr>
                      <w:rFonts w:ascii="Times New Roman" w:hAnsi="Times New Roman" w:cs="Times New Roman"/>
                    </w:rPr>
                    <w:t>-70 693</w:t>
                  </w:r>
                </w:p>
              </w:tc>
              <w:tc>
                <w:tcPr>
                  <w:tcW w:w="656" w:type="dxa"/>
                </w:tcPr>
                <w:p w:rsidR="002F20B0" w:rsidRPr="008410ED" w:rsidRDefault="002F20B0" w:rsidP="002F20B0">
                  <w:pPr>
                    <w:pStyle w:val="ListParagraph"/>
                    <w:ind w:left="0"/>
                    <w:jc w:val="both"/>
                    <w:rPr>
                      <w:sz w:val="22"/>
                      <w:szCs w:val="22"/>
                    </w:rPr>
                  </w:pPr>
                  <w:r w:rsidRPr="008410ED">
                    <w:rPr>
                      <w:sz w:val="22"/>
                      <w:szCs w:val="22"/>
                    </w:rPr>
                    <w:t>-366 983</w:t>
                  </w:r>
                </w:p>
              </w:tc>
              <w:tc>
                <w:tcPr>
                  <w:tcW w:w="711" w:type="dxa"/>
                </w:tcPr>
                <w:p w:rsidR="002F20B0" w:rsidRPr="008410ED" w:rsidRDefault="002F20B0" w:rsidP="002F20B0">
                  <w:pPr>
                    <w:pStyle w:val="ListParagraph"/>
                    <w:ind w:left="0"/>
                    <w:jc w:val="both"/>
                    <w:rPr>
                      <w:sz w:val="22"/>
                      <w:szCs w:val="22"/>
                    </w:rPr>
                  </w:pPr>
                  <w:r w:rsidRPr="008410ED">
                    <w:rPr>
                      <w:sz w:val="22"/>
                      <w:szCs w:val="22"/>
                    </w:rPr>
                    <w:t>-1 552 835</w:t>
                  </w:r>
                </w:p>
              </w:tc>
              <w:tc>
                <w:tcPr>
                  <w:tcW w:w="711" w:type="dxa"/>
                </w:tcPr>
                <w:p w:rsidR="002F20B0" w:rsidRPr="008410ED" w:rsidRDefault="002F20B0" w:rsidP="002F20B0">
                  <w:pPr>
                    <w:pStyle w:val="ListParagraph"/>
                    <w:ind w:left="0"/>
                    <w:jc w:val="both"/>
                    <w:rPr>
                      <w:sz w:val="22"/>
                      <w:szCs w:val="22"/>
                    </w:rPr>
                  </w:pPr>
                  <w:r w:rsidRPr="008410ED">
                    <w:rPr>
                      <w:sz w:val="22"/>
                      <w:szCs w:val="22"/>
                    </w:rPr>
                    <w:t>-1 635 154</w:t>
                  </w:r>
                </w:p>
              </w:tc>
              <w:tc>
                <w:tcPr>
                  <w:tcW w:w="711" w:type="dxa"/>
                </w:tcPr>
                <w:p w:rsidR="002F20B0" w:rsidRPr="008410ED" w:rsidRDefault="002F20B0" w:rsidP="002F20B0">
                  <w:pPr>
                    <w:pStyle w:val="ListParagraph"/>
                    <w:ind w:left="0"/>
                    <w:jc w:val="both"/>
                    <w:rPr>
                      <w:sz w:val="22"/>
                      <w:szCs w:val="22"/>
                    </w:rPr>
                  </w:pPr>
                  <w:r w:rsidRPr="008410ED">
                    <w:rPr>
                      <w:sz w:val="22"/>
                      <w:szCs w:val="22"/>
                    </w:rPr>
                    <w:t>-1 363 377</w:t>
                  </w:r>
                </w:p>
              </w:tc>
              <w:tc>
                <w:tcPr>
                  <w:tcW w:w="711" w:type="dxa"/>
                </w:tcPr>
                <w:p w:rsidR="002F20B0" w:rsidRPr="008410ED" w:rsidRDefault="002F20B0" w:rsidP="002F20B0">
                  <w:pPr>
                    <w:pStyle w:val="ListParagraph"/>
                    <w:ind w:left="0"/>
                    <w:jc w:val="both"/>
                    <w:rPr>
                      <w:sz w:val="22"/>
                      <w:szCs w:val="22"/>
                    </w:rPr>
                  </w:pPr>
                  <w:r w:rsidRPr="008410ED">
                    <w:rPr>
                      <w:sz w:val="22"/>
                      <w:szCs w:val="22"/>
                    </w:rPr>
                    <w:t>1 591 870</w:t>
                  </w:r>
                </w:p>
              </w:tc>
              <w:tc>
                <w:tcPr>
                  <w:tcW w:w="711" w:type="dxa"/>
                </w:tcPr>
                <w:p w:rsidR="002F20B0" w:rsidRPr="008410ED" w:rsidRDefault="002F20B0" w:rsidP="002F20B0">
                  <w:pPr>
                    <w:pStyle w:val="ListParagraph"/>
                    <w:ind w:left="0"/>
                    <w:jc w:val="both"/>
                    <w:rPr>
                      <w:sz w:val="22"/>
                      <w:szCs w:val="22"/>
                    </w:rPr>
                  </w:pPr>
                  <w:r w:rsidRPr="008410ED">
                    <w:rPr>
                      <w:sz w:val="22"/>
                      <w:szCs w:val="22"/>
                    </w:rPr>
                    <w:t>622 048</w:t>
                  </w:r>
                </w:p>
              </w:tc>
              <w:tc>
                <w:tcPr>
                  <w:tcW w:w="656" w:type="dxa"/>
                </w:tcPr>
                <w:p w:rsidR="002F20B0" w:rsidRPr="008410ED" w:rsidRDefault="002F20B0" w:rsidP="002F20B0">
                  <w:pPr>
                    <w:pStyle w:val="ListParagraph"/>
                    <w:ind w:left="0"/>
                    <w:jc w:val="both"/>
                    <w:rPr>
                      <w:sz w:val="22"/>
                      <w:szCs w:val="22"/>
                    </w:rPr>
                  </w:pPr>
                  <w:r w:rsidRPr="008410ED">
                    <w:rPr>
                      <w:sz w:val="22"/>
                      <w:szCs w:val="22"/>
                    </w:rPr>
                    <w:t>128 065</w:t>
                  </w:r>
                </w:p>
              </w:tc>
            </w:tr>
          </w:tbl>
          <w:p w:rsidR="002F20B0" w:rsidRPr="008410ED" w:rsidRDefault="002F20B0" w:rsidP="002F20B0">
            <w:pPr>
              <w:jc w:val="both"/>
              <w:rPr>
                <w:iCs/>
              </w:rPr>
            </w:pPr>
          </w:p>
        </w:tc>
      </w:tr>
      <w:tr w:rsidR="002F20B0" w:rsidRPr="008410ED" w:rsidTr="00287A74">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r>
      <w:tr w:rsidR="002F20B0" w:rsidRPr="008410ED" w:rsidTr="00287A74">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p>
        </w:tc>
      </w:tr>
      <w:tr w:rsidR="002F20B0" w:rsidRPr="008410ED" w:rsidTr="00287A74">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Nav</w:t>
            </w:r>
          </w:p>
        </w:tc>
      </w:tr>
      <w:tr w:rsidR="002F20B0" w:rsidRPr="008410ED" w:rsidTr="00287A74">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rsidR="002F20B0" w:rsidRPr="008410ED" w:rsidRDefault="002F20B0" w:rsidP="002F20B0">
            <w:pPr>
              <w:jc w:val="both"/>
              <w:rPr>
                <w:rFonts w:ascii="Times New Roman" w:hAnsi="Times New Roman" w:cs="Times New Roman"/>
                <w:sz w:val="24"/>
                <w:szCs w:val="24"/>
              </w:rPr>
            </w:pPr>
            <w:r w:rsidRPr="008410ED">
              <w:rPr>
                <w:rFonts w:ascii="Times New Roman" w:hAnsi="Times New Roman" w:cs="Times New Roman"/>
                <w:sz w:val="24"/>
                <w:szCs w:val="24"/>
              </w:rPr>
              <w:t xml:space="preserve">Izdevumu aprēķins ir indikatīvs un balstās uz pieņēmumu par līdzīgu izdevumu naudas plūsmas sadalījumu pa gadiem kā finanšu instrumentu 2009. – 2014. gada periodā. Attiecīgi ieņēmumu aprēķins veikts saskaņā ar EEZ FI noteikumos atrunāto maksājumu plūsmu. </w:t>
            </w:r>
          </w:p>
          <w:p w:rsidR="002F20B0" w:rsidRPr="008410ED" w:rsidRDefault="002F20B0" w:rsidP="002F20B0">
            <w:pPr>
              <w:jc w:val="both"/>
              <w:rPr>
                <w:rFonts w:ascii="Times New Roman" w:hAnsi="Times New Roman" w:cs="Times New Roman"/>
                <w:sz w:val="24"/>
                <w:szCs w:val="24"/>
              </w:rPr>
            </w:pPr>
            <w:r w:rsidRPr="008410ED">
              <w:rPr>
                <w:rFonts w:ascii="Times New Roman" w:hAnsi="Times New Roman" w:cs="Times New Roman"/>
                <w:sz w:val="24"/>
                <w:szCs w:val="24"/>
              </w:rPr>
              <w:t xml:space="preserve">Programmas īstenošanai nepieciešamais valsts budžeta finansējums normatīvajos aktos noteiktajā kārtībā tiks pieprasīts no 74. resora “Gadskārtējā valsts budžeta izpildes procesā pārdalāmais finansējums” 80.00.00 programmas “Nesadalītais finansējums Eiropas Savienības politiku instrumentu un pārējās ārvalstu finanšu palīdzības līdzfinansēto projektu un pasākumu īstenošanai”. </w:t>
            </w:r>
          </w:p>
          <w:p w:rsidR="002F20B0" w:rsidRPr="008410ED" w:rsidRDefault="002F20B0" w:rsidP="002F20B0">
            <w:pPr>
              <w:jc w:val="both"/>
              <w:rPr>
                <w:rFonts w:ascii="Times New Roman" w:hAnsi="Times New Roman" w:cs="Times New Roman"/>
                <w:sz w:val="24"/>
                <w:szCs w:val="24"/>
              </w:rPr>
            </w:pPr>
            <w:r w:rsidRPr="008410ED">
              <w:rPr>
                <w:rFonts w:ascii="Times New Roman" w:hAnsi="Times New Roman" w:cs="Times New Roman"/>
                <w:sz w:val="24"/>
                <w:szCs w:val="24"/>
              </w:rPr>
              <w:t xml:space="preserve">Lai nodrošinātu Programmas ietvaros sasniegto rezultātu ilgtspēju 5 gadus pēc programmas iepriekš noteikto projektu noslēgumu pārskatu apstiprināšanas, būs nepieciešams no valsts budžeta finansējums 2 % no programmas kopējā finansējuma jeb 352 941 </w:t>
            </w:r>
            <w:r w:rsidRPr="008410ED">
              <w:rPr>
                <w:rFonts w:ascii="Times New Roman" w:hAnsi="Times New Roman" w:cs="Times New Roman"/>
                <w:i/>
                <w:sz w:val="24"/>
                <w:szCs w:val="24"/>
              </w:rPr>
              <w:t>euro</w:t>
            </w:r>
            <w:r w:rsidRPr="008410ED">
              <w:rPr>
                <w:rFonts w:ascii="Times New Roman" w:hAnsi="Times New Roman" w:cs="Times New Roman"/>
                <w:sz w:val="24"/>
                <w:szCs w:val="24"/>
              </w:rPr>
              <w:t xml:space="preserve"> 5 gadu periodā, sākot no 2024.gada. Attiecīgi izbūvētās/ renovētās infrastruktūras (paviljons rokas bagāžas kontrolei, infrastruktūra dienesta suņu apmācībām, </w:t>
            </w:r>
            <w:r w:rsidR="001D257A">
              <w:rPr>
                <w:rFonts w:ascii="Times New Roman" w:hAnsi="Times New Roman" w:cs="Times New Roman"/>
                <w:sz w:val="24"/>
                <w:szCs w:val="24"/>
              </w:rPr>
              <w:t xml:space="preserve">VP </w:t>
            </w:r>
            <w:r w:rsidRPr="008410ED">
              <w:rPr>
                <w:rFonts w:ascii="Times New Roman" w:hAnsi="Times New Roman" w:cs="Times New Roman"/>
                <w:sz w:val="24"/>
                <w:szCs w:val="24"/>
              </w:rPr>
              <w:t xml:space="preserve">ENAP un Kriminālistikas pārvaldes infrastruktūra), izstrādātās programmatūras un iegādātā aprīkojuma uzturēšanai – 70 588 </w:t>
            </w:r>
            <w:r w:rsidRPr="008410ED">
              <w:rPr>
                <w:rFonts w:ascii="Times New Roman" w:hAnsi="Times New Roman" w:cs="Times New Roman"/>
                <w:i/>
                <w:sz w:val="24"/>
                <w:szCs w:val="24"/>
              </w:rPr>
              <w:t xml:space="preserve">euro </w:t>
            </w:r>
            <w:r w:rsidRPr="008410ED">
              <w:rPr>
                <w:rFonts w:ascii="Times New Roman" w:hAnsi="Times New Roman" w:cs="Times New Roman"/>
                <w:sz w:val="24"/>
                <w:szCs w:val="24"/>
              </w:rPr>
              <w:t xml:space="preserve">gadā. </w:t>
            </w:r>
          </w:p>
          <w:p w:rsidR="002F20B0" w:rsidRPr="008410ED" w:rsidRDefault="002F20B0" w:rsidP="002F20B0">
            <w:pPr>
              <w:jc w:val="both"/>
            </w:pPr>
            <w:r w:rsidRPr="008410ED">
              <w:rPr>
                <w:rFonts w:ascii="Times New Roman" w:hAnsi="Times New Roman" w:cs="Times New Roman"/>
                <w:sz w:val="24"/>
                <w:szCs w:val="24"/>
              </w:rPr>
              <w:lastRenderedPageBreak/>
              <w:t>Uzturēšanai nepieciešamais finansējums tiks pieprasīts normatīvajos aktos noteiktā kartībā (atbilstoši M</w:t>
            </w:r>
            <w:r>
              <w:rPr>
                <w:rFonts w:ascii="Times New Roman" w:hAnsi="Times New Roman" w:cs="Times New Roman"/>
                <w:sz w:val="24"/>
                <w:szCs w:val="24"/>
              </w:rPr>
              <w:t>inistru kabineta</w:t>
            </w:r>
            <w:r w:rsidRPr="008410ED">
              <w:rPr>
                <w:rFonts w:ascii="Times New Roman" w:hAnsi="Times New Roman" w:cs="Times New Roman"/>
                <w:sz w:val="24"/>
                <w:szCs w:val="24"/>
              </w:rPr>
              <w:t xml:space="preserve"> 2012. gada 11. decembra noteikumu Nr. 867 “Kārtība, kādā nosakāms maksimāli pieļaujamais valsts budžeta izdevumu kopapjoms un maksimāli pieļaujamais valsts budžeta izdevumu kopējais apjoms katrai ministrijai un citām centrālajām valsts iestādēm vidējam termiņam” 10.4. p</w:t>
            </w:r>
            <w:r>
              <w:rPr>
                <w:rFonts w:ascii="Times New Roman" w:hAnsi="Times New Roman" w:cs="Times New Roman"/>
                <w:sz w:val="24"/>
                <w:szCs w:val="24"/>
              </w:rPr>
              <w:t>unktam</w:t>
            </w:r>
            <w:r w:rsidRPr="008410ED">
              <w:rPr>
                <w:rFonts w:ascii="Times New Roman" w:hAnsi="Times New Roman" w:cs="Times New Roman"/>
                <w:sz w:val="24"/>
                <w:szCs w:val="24"/>
              </w:rPr>
              <w:t>).</w:t>
            </w:r>
          </w:p>
        </w:tc>
      </w:tr>
    </w:tbl>
    <w:p w:rsidR="00E5323B" w:rsidRPr="008410ED" w:rsidRDefault="00E5323B" w:rsidP="00CE66D5">
      <w:pPr>
        <w:spacing w:after="0" w:line="240" w:lineRule="auto"/>
        <w:jc w:val="both"/>
        <w:rPr>
          <w:rFonts w:ascii="Times New Roman" w:eastAsia="Times New Roman" w:hAnsi="Times New Roman" w:cs="Times New Roman"/>
          <w:iCs/>
          <w:sz w:val="10"/>
          <w:szCs w:val="10"/>
          <w:lang w:eastAsia="lv-LV"/>
        </w:rPr>
      </w:pPr>
      <w:r w:rsidRPr="008410ED">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410E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0ED">
              <w:rPr>
                <w:rFonts w:ascii="Times New Roman" w:eastAsia="Times New Roman" w:hAnsi="Times New Roman" w:cs="Times New Roman"/>
                <w:b/>
                <w:bCs/>
                <w:iCs/>
                <w:sz w:val="24"/>
                <w:szCs w:val="24"/>
                <w:lang w:eastAsia="lv-LV"/>
              </w:rPr>
              <w:t>IV. Tiesību akta projekta ietekme uz spēkā esošo tiesību normu sistēmu</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A616FE" w:rsidP="001D257A">
            <w:pPr>
              <w:jc w:val="both"/>
              <w:rPr>
                <w:rFonts w:ascii="Times New Roman" w:hAnsi="Times New Roman" w:cs="Times New Roman"/>
                <w:sz w:val="24"/>
                <w:szCs w:val="24"/>
              </w:rPr>
            </w:pPr>
            <w:r w:rsidRPr="008410ED">
              <w:rPr>
                <w:rFonts w:ascii="Times New Roman" w:hAnsi="Times New Roman" w:cs="Times New Roman"/>
                <w:sz w:val="24"/>
                <w:szCs w:val="24"/>
              </w:rPr>
              <w:t xml:space="preserve">Lai nodrošinātu programmas īstenošanu, pēc programmas koncepcijas projekta apstiprināšanas </w:t>
            </w:r>
            <w:r w:rsidR="00BC68AB" w:rsidRPr="008410ED">
              <w:rPr>
                <w:rFonts w:ascii="Times New Roman" w:hAnsi="Times New Roman" w:cs="Times New Roman"/>
                <w:sz w:val="24"/>
                <w:szCs w:val="24"/>
              </w:rPr>
              <w:t>EEZ FI</w:t>
            </w:r>
            <w:r w:rsidRPr="008410ED">
              <w:rPr>
                <w:rFonts w:ascii="Times New Roman" w:hAnsi="Times New Roman" w:cs="Times New Roman"/>
                <w:sz w:val="24"/>
                <w:szCs w:val="24"/>
              </w:rPr>
              <w:t xml:space="preserve"> </w:t>
            </w:r>
            <w:r w:rsidR="00FE0F9F" w:rsidRPr="008410ED">
              <w:rPr>
                <w:rFonts w:ascii="Times New Roman" w:hAnsi="Times New Roman" w:cs="Times New Roman"/>
                <w:sz w:val="24"/>
                <w:szCs w:val="24"/>
              </w:rPr>
              <w:t xml:space="preserve">komitejā </w:t>
            </w:r>
            <w:r w:rsidRPr="008410ED">
              <w:rPr>
                <w:rFonts w:ascii="Times New Roman" w:hAnsi="Times New Roman" w:cs="Times New Roman"/>
                <w:sz w:val="24"/>
                <w:szCs w:val="24"/>
              </w:rPr>
              <w:t xml:space="preserve">saskaņā ar </w:t>
            </w:r>
            <w:r w:rsidRPr="00964D19">
              <w:rPr>
                <w:rStyle w:val="Emphasis"/>
                <w:rFonts w:ascii="Times New Roman" w:hAnsi="Times New Roman"/>
                <w:b w:val="0"/>
                <w:sz w:val="24"/>
                <w:szCs w:val="24"/>
              </w:rPr>
              <w:t>Eiropas Ekonomikas zonas</w:t>
            </w:r>
            <w:r w:rsidRPr="00964D19">
              <w:rPr>
                <w:rStyle w:val="st"/>
                <w:rFonts w:ascii="Times New Roman" w:hAnsi="Times New Roman"/>
                <w:sz w:val="24"/>
                <w:szCs w:val="24"/>
              </w:rPr>
              <w:t xml:space="preserve"> finanšu instrumenta un </w:t>
            </w:r>
            <w:r w:rsidRPr="00964D19">
              <w:rPr>
                <w:rStyle w:val="Emphasis"/>
                <w:rFonts w:ascii="Times New Roman" w:hAnsi="Times New Roman"/>
                <w:b w:val="0"/>
                <w:sz w:val="24"/>
                <w:szCs w:val="24"/>
              </w:rPr>
              <w:t>Norvēģija</w:t>
            </w:r>
            <w:r w:rsidRPr="00964D19">
              <w:rPr>
                <w:rStyle w:val="Emphasis"/>
                <w:rFonts w:ascii="Times New Roman" w:hAnsi="Times New Roman"/>
                <w:sz w:val="24"/>
                <w:szCs w:val="24"/>
              </w:rPr>
              <w:t>s</w:t>
            </w:r>
            <w:r w:rsidRPr="00964D19">
              <w:rPr>
                <w:rStyle w:val="st"/>
                <w:rFonts w:ascii="Times New Roman" w:hAnsi="Times New Roman"/>
                <w:sz w:val="24"/>
                <w:szCs w:val="24"/>
              </w:rPr>
              <w:t xml:space="preserve"> finanšu instrumenta 2014. – 2021. gada perioda vadības </w:t>
            </w:r>
            <w:r w:rsidRPr="00964D19">
              <w:rPr>
                <w:rStyle w:val="Emphasis"/>
                <w:rFonts w:ascii="Times New Roman" w:hAnsi="Times New Roman"/>
                <w:b w:val="0"/>
                <w:sz w:val="24"/>
                <w:szCs w:val="24"/>
              </w:rPr>
              <w:t>likum</w:t>
            </w:r>
            <w:r w:rsidR="00F4751F" w:rsidRPr="00964D19">
              <w:rPr>
                <w:rStyle w:val="Emphasis"/>
                <w:rFonts w:ascii="Times New Roman" w:hAnsi="Times New Roman"/>
                <w:b w:val="0"/>
                <w:sz w:val="24"/>
                <w:szCs w:val="24"/>
              </w:rPr>
              <w:t>a</w:t>
            </w:r>
            <w:r w:rsidR="001D257A" w:rsidRPr="00964D19">
              <w:rPr>
                <w:rStyle w:val="Emphasis"/>
                <w:rFonts w:ascii="Times New Roman" w:hAnsi="Times New Roman"/>
                <w:b w:val="0"/>
                <w:sz w:val="24"/>
                <w:szCs w:val="24"/>
              </w:rPr>
              <w:t xml:space="preserve"> Pārejas noteikumu 2.punktā</w:t>
            </w:r>
            <w:r w:rsidR="00F4751F" w:rsidRPr="00964D19">
              <w:rPr>
                <w:rStyle w:val="Emphasis"/>
                <w:rFonts w:ascii="Times New Roman" w:hAnsi="Times New Roman"/>
                <w:b w:val="0"/>
                <w:sz w:val="24"/>
                <w:szCs w:val="24"/>
              </w:rPr>
              <w:t xml:space="preserve"> noteikto</w:t>
            </w:r>
            <w:r w:rsidRPr="00964D19">
              <w:rPr>
                <w:rStyle w:val="Emphasis"/>
                <w:rFonts w:ascii="Times New Roman" w:hAnsi="Times New Roman"/>
                <w:b w:val="0"/>
                <w:sz w:val="24"/>
                <w:szCs w:val="24"/>
              </w:rPr>
              <w:t xml:space="preserve"> </w:t>
            </w:r>
            <w:r w:rsidR="00BC68AB" w:rsidRPr="00964D19">
              <w:rPr>
                <w:rFonts w:ascii="Times New Roman" w:hAnsi="Times New Roman" w:cs="Times New Roman"/>
                <w:sz w:val="24"/>
                <w:szCs w:val="24"/>
              </w:rPr>
              <w:t xml:space="preserve">viena gada laikā </w:t>
            </w:r>
            <w:r w:rsidRPr="00964D19">
              <w:rPr>
                <w:rStyle w:val="Emphasis"/>
                <w:rFonts w:ascii="Times New Roman" w:hAnsi="Times New Roman"/>
                <w:b w:val="0"/>
                <w:sz w:val="24"/>
                <w:szCs w:val="24"/>
              </w:rPr>
              <w:t>tiks</w:t>
            </w:r>
            <w:r w:rsidRPr="008410ED">
              <w:rPr>
                <w:rStyle w:val="Emphasis"/>
                <w:rFonts w:ascii="Times New Roman" w:hAnsi="Times New Roman"/>
                <w:b w:val="0"/>
                <w:sz w:val="24"/>
                <w:szCs w:val="24"/>
              </w:rPr>
              <w:t xml:space="preserve"> izdoti Ministru kabineta noteikumi par </w:t>
            </w:r>
            <w:r w:rsidRPr="008410ED">
              <w:rPr>
                <w:rFonts w:ascii="Times New Roman" w:hAnsi="Times New Roman" w:cs="Times New Roman"/>
                <w:sz w:val="24"/>
                <w:szCs w:val="24"/>
              </w:rPr>
              <w:t>kārtību, kādā īsteno programmu.</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A616F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Iekšlietu ministrija</w:t>
            </w:r>
          </w:p>
        </w:tc>
      </w:tr>
      <w:tr w:rsidR="00E5323B"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A616F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Nav</w:t>
            </w:r>
          </w:p>
        </w:tc>
      </w:tr>
    </w:tbl>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410E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0E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8D00C3"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Projekts šo jomu neskar.</w:t>
            </w:r>
          </w:p>
        </w:tc>
      </w:tr>
      <w:tr w:rsidR="00E5323B"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8D00C3" w:rsidP="00D03B60">
            <w:pPr>
              <w:jc w:val="both"/>
              <w:rPr>
                <w:rFonts w:ascii="Times New Roman" w:hAnsi="Times New Roman" w:cs="Times New Roman"/>
                <w:iCs/>
                <w:sz w:val="24"/>
                <w:szCs w:val="24"/>
              </w:rPr>
            </w:pPr>
            <w:r w:rsidRPr="008410ED">
              <w:rPr>
                <w:rFonts w:ascii="Times New Roman" w:hAnsi="Times New Roman" w:cs="Times New Roman"/>
                <w:iCs/>
                <w:sz w:val="24"/>
                <w:szCs w:val="24"/>
              </w:rPr>
              <w:t>Programmas koncepcijas projekts izstrādāts, lai nodrošinātu Latvijas Republikas un Īslandes, Lihtenšteinas Firstistes, Norvēģijas Karalistes saprašanās memoranda par Eiropas Ekonomikas zonas finanšu instrumenta ieviešanu 2014.-2021. gadā (apstiprināts ar Ministru kabineta 2017. gada 5. decembra noteikumiem</w:t>
            </w:r>
            <w:r w:rsidR="00D03B60" w:rsidRPr="008410ED">
              <w:rPr>
                <w:rFonts w:ascii="Times New Roman" w:hAnsi="Times New Roman" w:cs="Times New Roman"/>
                <w:iCs/>
                <w:sz w:val="24"/>
                <w:szCs w:val="24"/>
              </w:rPr>
              <w:t xml:space="preserve"> Nr. 712) ieviešanu.</w:t>
            </w:r>
          </w:p>
        </w:tc>
      </w:tr>
      <w:tr w:rsidR="00E5323B"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8D00C3"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Nav</w:t>
            </w:r>
          </w:p>
        </w:tc>
      </w:tr>
    </w:tbl>
    <w:p w:rsidR="00E5323B" w:rsidRPr="008410ED" w:rsidRDefault="00E5323B" w:rsidP="00CE66D5">
      <w:pPr>
        <w:spacing w:after="0" w:line="240" w:lineRule="auto"/>
        <w:jc w:val="both"/>
        <w:rPr>
          <w:rFonts w:ascii="Times New Roman" w:eastAsia="Times New Roman" w:hAnsi="Times New Roman" w:cs="Times New Roman"/>
          <w:iCs/>
          <w:sz w:val="10"/>
          <w:szCs w:val="10"/>
          <w:lang w:eastAsia="lv-LV"/>
        </w:rPr>
      </w:pPr>
      <w:r w:rsidRPr="008410E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E5323B" w:rsidRPr="008410ED"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8410ED" w:rsidRDefault="002979D5" w:rsidP="002979D5">
            <w:pPr>
              <w:pStyle w:val="ListParagraph"/>
              <w:ind w:left="59"/>
              <w:jc w:val="both"/>
              <w:rPr>
                <w:b/>
                <w:bCs/>
                <w:iCs/>
              </w:rPr>
            </w:pPr>
            <w:r>
              <w:rPr>
                <w:b/>
                <w:bCs/>
                <w:iCs/>
              </w:rPr>
              <w:t>1.</w:t>
            </w:r>
            <w:r w:rsidR="00E5323B" w:rsidRPr="008410ED">
              <w:rPr>
                <w:b/>
                <w:bCs/>
                <w:iCs/>
              </w:rPr>
              <w:t>tabula</w:t>
            </w:r>
            <w:r w:rsidR="00E5323B" w:rsidRPr="008410ED">
              <w:rPr>
                <w:b/>
                <w:bCs/>
                <w:iCs/>
              </w:rPr>
              <w:br/>
              <w:t>Tiesību akta projekta atbilstība ES tiesību aktiem</w:t>
            </w:r>
          </w:p>
        </w:tc>
      </w:tr>
      <w:tr w:rsidR="00CE66D5" w:rsidRPr="008410E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0ED" w:rsidRDefault="00FF3D3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Projekts šo jomu neskar.</w:t>
            </w:r>
          </w:p>
        </w:tc>
      </w:tr>
      <w:tr w:rsidR="00CE66D5" w:rsidRPr="008410E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D</w:t>
            </w:r>
          </w:p>
        </w:tc>
      </w:tr>
      <w:tr w:rsidR="00CE66D5" w:rsidRPr="008410E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Attiecīgā ES tiesību akta panta numurs (uzskaitot katru tiesību akta vienību – </w:t>
            </w:r>
            <w:r w:rsidRPr="008410ED">
              <w:rPr>
                <w:rFonts w:ascii="Times New Roman" w:eastAsia="Times New Roman" w:hAnsi="Times New Roman" w:cs="Times New Roman"/>
                <w:iCs/>
                <w:sz w:val="24"/>
                <w:szCs w:val="24"/>
                <w:lang w:eastAsia="lv-LV"/>
              </w:rPr>
              <w:lastRenderedPageBreak/>
              <w:t>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 xml:space="preserve">Projekta vienība, kas pārņem vai ievieš katru šīs tabulas A ailē minēto ES tiesību akta </w:t>
            </w:r>
            <w:r w:rsidRPr="008410ED">
              <w:rPr>
                <w:rFonts w:ascii="Times New Roman" w:eastAsia="Times New Roman" w:hAnsi="Times New Roman" w:cs="Times New Roman"/>
                <w:iCs/>
                <w:sz w:val="24"/>
                <w:szCs w:val="24"/>
                <w:lang w:eastAsia="lv-LV"/>
              </w:rPr>
              <w:lastRenderedPageBreak/>
              <w:t>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 xml:space="preserve">Informācija par to, vai šīs tabulas A ailē minētās ES tiesību akta vienības tiek </w:t>
            </w:r>
            <w:r w:rsidRPr="008410ED">
              <w:rPr>
                <w:rFonts w:ascii="Times New Roman" w:eastAsia="Times New Roman" w:hAnsi="Times New Roman" w:cs="Times New Roman"/>
                <w:iCs/>
                <w:sz w:val="24"/>
                <w:szCs w:val="24"/>
                <w:lang w:eastAsia="lv-LV"/>
              </w:rPr>
              <w:lastRenderedPageBreak/>
              <w:t>pārņemtas vai ieviestas pilnībā vai daļēji.</w:t>
            </w:r>
            <w:r w:rsidRPr="008410ED">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410ED">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 xml:space="preserve">Informācija par to, vai šīs tabulas B ailē minētās projekta vienības paredz </w:t>
            </w:r>
            <w:r w:rsidRPr="008410ED">
              <w:rPr>
                <w:rFonts w:ascii="Times New Roman" w:eastAsia="Times New Roman" w:hAnsi="Times New Roman" w:cs="Times New Roman"/>
                <w:iCs/>
                <w:sz w:val="24"/>
                <w:szCs w:val="24"/>
                <w:lang w:eastAsia="lv-LV"/>
              </w:rPr>
              <w:lastRenderedPageBreak/>
              <w:t>stingrākas prasības nekā šīs tabulas A ailē minētās ES tiesību akta vienības.</w:t>
            </w:r>
            <w:r w:rsidRPr="008410E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8410ED">
              <w:rPr>
                <w:rFonts w:ascii="Times New Roman" w:eastAsia="Times New Roman" w:hAnsi="Times New Roman" w:cs="Times New Roman"/>
                <w:iCs/>
                <w:sz w:val="24"/>
                <w:szCs w:val="24"/>
                <w:lang w:eastAsia="lv-LV"/>
              </w:rPr>
              <w:br/>
              <w:t>Nor</w:t>
            </w:r>
            <w:r w:rsidR="00EB5D68" w:rsidRPr="008410ED">
              <w:rPr>
                <w:rFonts w:ascii="Times New Roman" w:eastAsia="Times New Roman" w:hAnsi="Times New Roman" w:cs="Times New Roman"/>
                <w:iCs/>
                <w:sz w:val="24"/>
                <w:szCs w:val="24"/>
                <w:lang w:eastAsia="lv-LV"/>
              </w:rPr>
              <w:t>āda iespējamās alternatīvas (t.</w:t>
            </w:r>
            <w:r w:rsidRPr="008410ED">
              <w:rPr>
                <w:rFonts w:ascii="Times New Roman" w:eastAsia="Times New Roman" w:hAnsi="Times New Roman" w:cs="Times New Roman"/>
                <w:iCs/>
                <w:sz w:val="24"/>
                <w:szCs w:val="24"/>
                <w:lang w:eastAsia="lv-LV"/>
              </w:rPr>
              <w:t>sk. alternatīvas, kas neparedz tiesiskā regulējuma izstrādi) – kādos gadījumos būtu iespējams izvairīties no stingrāku prasību noteikšanas, nekā paredzēts attiecīgajos ES tiesību aktos</w:t>
            </w:r>
          </w:p>
        </w:tc>
      </w:tr>
      <w:tr w:rsidR="00CE66D5" w:rsidRPr="008410E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88653F"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lastRenderedPageBreak/>
              <w:t>Projekts šo jomu neskar.</w:t>
            </w:r>
          </w:p>
        </w:tc>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88653F"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Projekts šo jomu neskar.</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8410ED" w:rsidRDefault="0088653F"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Projekts šo jomu neskar.</w:t>
            </w:r>
          </w:p>
        </w:tc>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88653F"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Projekts šo jomu neskar.</w:t>
            </w:r>
          </w:p>
        </w:tc>
      </w:tr>
      <w:tr w:rsidR="00CE66D5" w:rsidRPr="008410E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0ED" w:rsidRDefault="00A616F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Projekts šo jomu neskar.</w:t>
            </w:r>
          </w:p>
        </w:tc>
      </w:tr>
      <w:tr w:rsidR="00CE66D5" w:rsidRPr="008410E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0ED" w:rsidRDefault="00A616F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Projekts šo jomu neskar.</w:t>
            </w:r>
          </w:p>
        </w:tc>
      </w:tr>
      <w:tr w:rsidR="00CE66D5" w:rsidRPr="008410E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0ED" w:rsidRDefault="00A616F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Nav</w:t>
            </w:r>
          </w:p>
        </w:tc>
      </w:tr>
      <w:tr w:rsidR="00CE66D5" w:rsidRPr="008410ED"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8410ED" w:rsidRDefault="00DC2F4D" w:rsidP="007F5718">
            <w:pPr>
              <w:spacing w:after="0" w:line="240" w:lineRule="auto"/>
              <w:jc w:val="both"/>
              <w:rPr>
                <w:rFonts w:ascii="Times New Roman" w:eastAsia="Times New Roman" w:hAnsi="Times New Roman" w:cs="Times New Roman"/>
                <w:b/>
                <w:bCs/>
                <w:iCs/>
                <w:sz w:val="24"/>
                <w:szCs w:val="24"/>
                <w:lang w:eastAsia="lv-LV"/>
              </w:rPr>
            </w:pPr>
            <w:r w:rsidRPr="008410ED">
              <w:rPr>
                <w:rFonts w:ascii="Times New Roman" w:eastAsia="Times New Roman" w:hAnsi="Times New Roman" w:cs="Times New Roman"/>
                <w:b/>
                <w:bCs/>
                <w:iCs/>
                <w:sz w:val="24"/>
                <w:szCs w:val="24"/>
                <w:lang w:eastAsia="lv-LV"/>
              </w:rPr>
              <w:t>2.</w:t>
            </w:r>
            <w:r w:rsidR="00E5323B" w:rsidRPr="008410ED">
              <w:rPr>
                <w:rFonts w:ascii="Times New Roman" w:eastAsia="Times New Roman" w:hAnsi="Times New Roman" w:cs="Times New Roman"/>
                <w:b/>
                <w:bCs/>
                <w:iCs/>
                <w:sz w:val="24"/>
                <w:szCs w:val="24"/>
                <w:lang w:eastAsia="lv-LV"/>
              </w:rPr>
              <w:t>tabula</w:t>
            </w:r>
            <w:r w:rsidR="00E5323B" w:rsidRPr="008410ED">
              <w:rPr>
                <w:rFonts w:ascii="Times New Roman" w:eastAsia="Times New Roman" w:hAnsi="Times New Roman" w:cs="Times New Roman"/>
                <w:b/>
                <w:bCs/>
                <w:iCs/>
                <w:sz w:val="24"/>
                <w:szCs w:val="24"/>
                <w:lang w:eastAsia="lv-LV"/>
              </w:rPr>
              <w:br/>
              <w:t xml:space="preserve">Ar tiesību akta projektu izpildītās vai uzņemtās saistības, kas izriet no starptautiskajiem </w:t>
            </w:r>
            <w:r w:rsidR="00E5323B" w:rsidRPr="008410ED">
              <w:rPr>
                <w:rFonts w:ascii="Times New Roman" w:eastAsia="Times New Roman" w:hAnsi="Times New Roman" w:cs="Times New Roman"/>
                <w:b/>
                <w:bCs/>
                <w:iCs/>
                <w:sz w:val="24"/>
                <w:szCs w:val="24"/>
                <w:lang w:eastAsia="lv-LV"/>
              </w:rPr>
              <w:lastRenderedPageBreak/>
              <w:t>tiesību aktiem vai starptautiskas institūcijas vai organizācijas dokumentiem.</w:t>
            </w:r>
            <w:r w:rsidR="00E5323B" w:rsidRPr="008410ED">
              <w:rPr>
                <w:rFonts w:ascii="Times New Roman" w:eastAsia="Times New Roman" w:hAnsi="Times New Roman" w:cs="Times New Roman"/>
                <w:b/>
                <w:bCs/>
                <w:iCs/>
                <w:sz w:val="24"/>
                <w:szCs w:val="24"/>
                <w:lang w:eastAsia="lv-LV"/>
              </w:rPr>
              <w:br/>
              <w:t>Pasākumi šo saistību izpildei</w:t>
            </w:r>
          </w:p>
        </w:tc>
      </w:tr>
      <w:tr w:rsidR="00E5323B" w:rsidRPr="008410E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0ED" w:rsidRDefault="00A616FE" w:rsidP="00574650">
            <w:pPr>
              <w:pStyle w:val="naiskr"/>
              <w:spacing w:before="0" w:after="0"/>
              <w:ind w:right="173"/>
              <w:jc w:val="both"/>
              <w:rPr>
                <w:iCs/>
              </w:rPr>
            </w:pPr>
            <w:r w:rsidRPr="008410ED">
              <w:t xml:space="preserve">2017. gada 14. decembra Saprašanās memoranda par </w:t>
            </w:r>
            <w:r w:rsidRPr="008410ED">
              <w:rPr>
                <w:bCs/>
              </w:rPr>
              <w:t>Eiropas Ekonomikas zonas finanšu</w:t>
            </w:r>
            <w:r w:rsidRPr="008410ED">
              <w:t xml:space="preserve"> instrumenta ieviešanu 2014.–2021. gadā starp Latvijas Republiku un Islandi, Lihtenšteinas Firstisti un Norvēģijas Karalisti B pielikuma C sadaļa </w:t>
            </w:r>
            <w:r w:rsidRPr="008410ED">
              <w:rPr>
                <w:iCs/>
                <w:szCs w:val="28"/>
              </w:rPr>
              <w:t>(apstiprināts ar Ministru kabineta 2017. gada 5. decembra noteikumiem Nr. 712)</w:t>
            </w:r>
            <w:r w:rsidR="0088653F" w:rsidRPr="008410ED">
              <w:rPr>
                <w:iCs/>
                <w:szCs w:val="28"/>
              </w:rPr>
              <w:t>.</w:t>
            </w:r>
          </w:p>
        </w:tc>
      </w:tr>
      <w:tr w:rsidR="00CE66D5" w:rsidRPr="008410E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w:t>
            </w:r>
          </w:p>
        </w:tc>
      </w:tr>
      <w:tr w:rsidR="00CE66D5" w:rsidRPr="008410E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Starptautiskās saistības (pēc būtības), kas izriet no norādītā starptautiskā dokumenta.</w:t>
            </w:r>
            <w:r w:rsidRPr="008410ED">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Informācija par to, vai starptautiskās saistības,</w:t>
            </w:r>
            <w:r w:rsidR="00D03B60" w:rsidRPr="008410ED">
              <w:rPr>
                <w:rFonts w:ascii="Times New Roman" w:eastAsia="Times New Roman" w:hAnsi="Times New Roman" w:cs="Times New Roman"/>
                <w:iCs/>
                <w:sz w:val="24"/>
                <w:szCs w:val="24"/>
                <w:lang w:eastAsia="lv-LV"/>
              </w:rPr>
              <w:t xml:space="preserve"> kas minētas šīs tabulas A ailē</w:t>
            </w:r>
            <w:r w:rsidRPr="008410ED">
              <w:rPr>
                <w:rFonts w:ascii="Times New Roman" w:eastAsia="Times New Roman" w:hAnsi="Times New Roman" w:cs="Times New Roman"/>
                <w:iCs/>
                <w:sz w:val="24"/>
                <w:szCs w:val="24"/>
                <w:lang w:eastAsia="lv-LV"/>
              </w:rPr>
              <w:t xml:space="preserve"> tiek izpildītas pilnībā vai daļēji.</w:t>
            </w:r>
            <w:r w:rsidRPr="008410ED">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8410ED">
              <w:rPr>
                <w:rFonts w:ascii="Times New Roman" w:eastAsia="Times New Roman" w:hAnsi="Times New Roman" w:cs="Times New Roman"/>
                <w:iCs/>
                <w:sz w:val="24"/>
                <w:szCs w:val="24"/>
                <w:lang w:eastAsia="lv-LV"/>
              </w:rPr>
              <w:br/>
              <w:t>Norāda institūciju, kas ir atbildīga par šo saistību izpildi pilnībā</w:t>
            </w:r>
          </w:p>
        </w:tc>
      </w:tr>
      <w:tr w:rsidR="00CE66D5" w:rsidRPr="008410E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0ED" w:rsidRDefault="00A616F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iCs/>
                <w:sz w:val="24"/>
                <w:szCs w:val="24"/>
              </w:rPr>
              <w:t xml:space="preserve">Iekšlietu ministrijai kā programmas apsaimniekotājam jāizstrādā programmas koncepcijas projekts,  Ministru kabineta noteikumi par </w:t>
            </w:r>
            <w:r w:rsidRPr="008410ED">
              <w:rPr>
                <w:rFonts w:ascii="Times New Roman" w:hAnsi="Times New Roman" w:cs="Times New Roman"/>
                <w:sz w:val="24"/>
                <w:szCs w:val="24"/>
              </w:rPr>
              <w:t>kārtību, kādā īsteno programmu.</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8410ED" w:rsidRDefault="00A616F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Viss programmas koncepcijas projekts kopumā.</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8410ED" w:rsidRDefault="00A616F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bCs/>
                <w:iCs/>
                <w:sz w:val="24"/>
                <w:szCs w:val="24"/>
              </w:rPr>
              <w:t>Ar A ailē minēto Ministru kabineta noteikumu izstrādi saistības tiek izpildītas daļēji. Pilnībā saistības būs izpildītas pēc Programmas īstenošanas pabeigšanas 2024. gadā.</w:t>
            </w:r>
          </w:p>
        </w:tc>
      </w:tr>
      <w:tr w:rsidR="00CE66D5" w:rsidRPr="008410E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0ED" w:rsidRDefault="0088653F" w:rsidP="0088653F">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sz w:val="24"/>
                <w:szCs w:val="24"/>
              </w:rPr>
              <w:t xml:space="preserve">2017. gada 14. decembra Saprašanās memoranda par </w:t>
            </w:r>
            <w:r w:rsidRPr="008410ED">
              <w:rPr>
                <w:rFonts w:ascii="Times New Roman" w:hAnsi="Times New Roman" w:cs="Times New Roman"/>
                <w:bCs/>
                <w:sz w:val="24"/>
                <w:szCs w:val="24"/>
              </w:rPr>
              <w:t>Eiropas Ekonomikas zonas finanšu</w:t>
            </w:r>
            <w:r w:rsidRPr="008410ED">
              <w:rPr>
                <w:rFonts w:ascii="Times New Roman" w:hAnsi="Times New Roman" w:cs="Times New Roman"/>
                <w:sz w:val="24"/>
                <w:szCs w:val="24"/>
              </w:rPr>
              <w:t xml:space="preserve"> instrumenta ieviešanu 2014.–2021. gadā starp Latvijas Republiku un Islandi, Lihtenšteinas Firstisti un Norvēģijas Karalisti B pielikuma C sadaļā </w:t>
            </w:r>
            <w:r w:rsidR="00A616FE" w:rsidRPr="008410ED">
              <w:rPr>
                <w:rFonts w:ascii="Times New Roman" w:hAnsi="Times New Roman" w:cs="Times New Roman"/>
                <w:sz w:val="24"/>
                <w:szCs w:val="24"/>
              </w:rPr>
              <w:t>paredzētās saistības nav pretrunā ar jau esošajām Latvijas Republikas starptautiskajām saistībām.</w:t>
            </w:r>
          </w:p>
        </w:tc>
      </w:tr>
      <w:tr w:rsidR="00E5323B" w:rsidRPr="008410E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0ED" w:rsidRDefault="00A616FE"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Nav</w:t>
            </w:r>
          </w:p>
        </w:tc>
      </w:tr>
    </w:tbl>
    <w:p w:rsidR="00E5323B" w:rsidRPr="008410ED" w:rsidRDefault="00E5323B" w:rsidP="00CE66D5">
      <w:pPr>
        <w:spacing w:after="0" w:line="240" w:lineRule="auto"/>
        <w:jc w:val="both"/>
        <w:rPr>
          <w:rFonts w:ascii="Times New Roman" w:eastAsia="Times New Roman" w:hAnsi="Times New Roman" w:cs="Times New Roman"/>
          <w:iCs/>
          <w:sz w:val="10"/>
          <w:szCs w:val="1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410E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0ED">
              <w:rPr>
                <w:rFonts w:ascii="Times New Roman" w:eastAsia="Times New Roman" w:hAnsi="Times New Roman" w:cs="Times New Roman"/>
                <w:b/>
                <w:bCs/>
                <w:iCs/>
                <w:sz w:val="24"/>
                <w:szCs w:val="24"/>
                <w:lang w:eastAsia="lv-LV"/>
              </w:rPr>
              <w:t>VI. Sabiedrības līdzdalība un komunikācijas aktivitātes</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4526FE" w:rsidP="00F63236">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Saskaņā ar </w:t>
            </w:r>
            <w:r w:rsidR="002107AD" w:rsidRPr="008410ED">
              <w:rPr>
                <w:rFonts w:ascii="Times New Roman" w:eastAsia="Times New Roman" w:hAnsi="Times New Roman" w:cs="Times New Roman"/>
                <w:iCs/>
                <w:sz w:val="24"/>
                <w:szCs w:val="24"/>
                <w:lang w:eastAsia="lv-LV"/>
              </w:rPr>
              <w:t xml:space="preserve">EEZ FI noteikto programmas apsaimniekotājs programmas koncepcijas izstrādes laikā apzināja ieinteresētās puses. Lai nodrošinātu </w:t>
            </w:r>
            <w:r w:rsidR="00F63236" w:rsidRPr="008410ED">
              <w:rPr>
                <w:rFonts w:ascii="Times New Roman" w:eastAsia="Times New Roman" w:hAnsi="Times New Roman" w:cs="Times New Roman"/>
                <w:iCs/>
                <w:sz w:val="24"/>
                <w:szCs w:val="24"/>
                <w:lang w:eastAsia="lv-LV"/>
              </w:rPr>
              <w:lastRenderedPageBreak/>
              <w:t xml:space="preserve">dažādu ieinteresēto pušu pārstāvību, </w:t>
            </w:r>
            <w:r w:rsidR="00A616FE" w:rsidRPr="008410ED">
              <w:rPr>
                <w:rFonts w:ascii="Times New Roman" w:eastAsia="Times New Roman" w:hAnsi="Times New Roman" w:cs="Times New Roman"/>
                <w:iCs/>
                <w:sz w:val="24"/>
                <w:szCs w:val="24"/>
                <w:lang w:eastAsia="lv-LV"/>
              </w:rPr>
              <w:t xml:space="preserve">2018.gada </w:t>
            </w:r>
            <w:r w:rsidR="00D209A0" w:rsidRPr="008410ED">
              <w:rPr>
                <w:rFonts w:ascii="Times New Roman" w:eastAsia="Times New Roman" w:hAnsi="Times New Roman" w:cs="Times New Roman"/>
                <w:iCs/>
                <w:sz w:val="24"/>
                <w:szCs w:val="24"/>
                <w:lang w:eastAsia="lv-LV"/>
              </w:rPr>
              <w:t xml:space="preserve">13.martā </w:t>
            </w:r>
            <w:r w:rsidR="00F63236" w:rsidRPr="008410ED">
              <w:rPr>
                <w:rFonts w:ascii="Times New Roman" w:eastAsia="Times New Roman" w:hAnsi="Times New Roman" w:cs="Times New Roman"/>
                <w:iCs/>
                <w:sz w:val="24"/>
                <w:szCs w:val="24"/>
                <w:lang w:eastAsia="lv-LV"/>
              </w:rPr>
              <w:t xml:space="preserve">tika rīkota </w:t>
            </w:r>
            <w:r w:rsidR="00D209A0" w:rsidRPr="008410ED">
              <w:rPr>
                <w:rFonts w:ascii="Times New Roman" w:eastAsia="Times New Roman" w:hAnsi="Times New Roman" w:cs="Times New Roman"/>
                <w:iCs/>
                <w:sz w:val="24"/>
                <w:szCs w:val="24"/>
                <w:lang w:eastAsia="lv-LV"/>
              </w:rPr>
              <w:t xml:space="preserve">ieinteresēto pušu sanāksme (Stakeholder meeting), kurā sabiedrības pārstāvji varēja līdzdarboties </w:t>
            </w:r>
            <w:r w:rsidR="00412330" w:rsidRPr="008410ED">
              <w:rPr>
                <w:rFonts w:ascii="Times New Roman" w:eastAsia="Times New Roman" w:hAnsi="Times New Roman" w:cs="Times New Roman"/>
                <w:iCs/>
                <w:sz w:val="24"/>
                <w:szCs w:val="24"/>
                <w:lang w:eastAsia="lv-LV"/>
              </w:rPr>
              <w:t xml:space="preserve">programmas </w:t>
            </w:r>
            <w:r w:rsidR="00D209A0" w:rsidRPr="008410ED">
              <w:rPr>
                <w:rFonts w:ascii="Times New Roman" w:eastAsia="Times New Roman" w:hAnsi="Times New Roman" w:cs="Times New Roman"/>
                <w:iCs/>
                <w:sz w:val="24"/>
                <w:szCs w:val="24"/>
                <w:lang w:eastAsia="lv-LV"/>
              </w:rPr>
              <w:t>ietvara izstrādē</w:t>
            </w:r>
            <w:r w:rsidR="00D03B60" w:rsidRPr="008410ED">
              <w:rPr>
                <w:rFonts w:ascii="Times New Roman" w:eastAsia="Times New Roman" w:hAnsi="Times New Roman" w:cs="Times New Roman"/>
                <w:iCs/>
                <w:sz w:val="24"/>
                <w:szCs w:val="24"/>
                <w:lang w:eastAsia="lv-LV"/>
              </w:rPr>
              <w:t xml:space="preserve"> </w:t>
            </w:r>
            <w:r w:rsidR="00F63236" w:rsidRPr="008410ED">
              <w:rPr>
                <w:rFonts w:ascii="Times New Roman" w:eastAsia="Times New Roman" w:hAnsi="Times New Roman" w:cs="Times New Roman"/>
                <w:iCs/>
                <w:sz w:val="24"/>
                <w:szCs w:val="24"/>
                <w:lang w:eastAsia="lv-LV"/>
              </w:rPr>
              <w:t xml:space="preserve">pirms </w:t>
            </w:r>
            <w:r w:rsidR="00412330" w:rsidRPr="008410ED">
              <w:rPr>
                <w:rFonts w:ascii="Times New Roman" w:eastAsia="Times New Roman" w:hAnsi="Times New Roman" w:cs="Times New Roman"/>
                <w:iCs/>
                <w:sz w:val="24"/>
                <w:szCs w:val="24"/>
                <w:lang w:eastAsia="lv-LV"/>
              </w:rPr>
              <w:t>programmas koncepcijas projekta iesniegšanas Ministru kabinetā</w:t>
            </w:r>
            <w:r w:rsidR="00F63236" w:rsidRPr="008410ED">
              <w:rPr>
                <w:rFonts w:ascii="Times New Roman" w:eastAsia="Times New Roman" w:hAnsi="Times New Roman" w:cs="Times New Roman"/>
                <w:iCs/>
                <w:sz w:val="24"/>
                <w:szCs w:val="24"/>
                <w:lang w:eastAsia="lv-LV"/>
              </w:rPr>
              <w:t>.</w:t>
            </w:r>
            <w:r w:rsidR="00412330" w:rsidRPr="008410ED">
              <w:rPr>
                <w:rFonts w:ascii="Times New Roman" w:eastAsia="Times New Roman" w:hAnsi="Times New Roman" w:cs="Times New Roman"/>
                <w:iCs/>
                <w:sz w:val="24"/>
                <w:szCs w:val="24"/>
                <w:lang w:eastAsia="lv-LV"/>
              </w:rPr>
              <w:t xml:space="preserve"> </w:t>
            </w:r>
          </w:p>
          <w:p w:rsidR="008370C2" w:rsidRPr="008410ED" w:rsidRDefault="00F63236" w:rsidP="00F63236">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Programmas ieinteresēto pušu sanāksmē piedalījās pārstāvji no šādām institūcijām:</w:t>
            </w:r>
          </w:p>
          <w:p w:rsidR="008370C2" w:rsidRPr="008410ED" w:rsidRDefault="008370C2" w:rsidP="00574650">
            <w:pPr>
              <w:pStyle w:val="ListParagraph"/>
              <w:numPr>
                <w:ilvl w:val="0"/>
                <w:numId w:val="4"/>
              </w:numPr>
              <w:jc w:val="both"/>
              <w:rPr>
                <w:iCs/>
              </w:rPr>
            </w:pPr>
            <w:r w:rsidRPr="008410ED">
              <w:rPr>
                <w:iCs/>
              </w:rPr>
              <w:t>EEZ FI biroja;</w:t>
            </w:r>
          </w:p>
          <w:p w:rsidR="008370C2" w:rsidRPr="008410ED" w:rsidRDefault="008370C2" w:rsidP="008370C2">
            <w:pPr>
              <w:pStyle w:val="ListParagraph"/>
              <w:numPr>
                <w:ilvl w:val="0"/>
                <w:numId w:val="4"/>
              </w:numPr>
              <w:jc w:val="both"/>
              <w:rPr>
                <w:iCs/>
              </w:rPr>
            </w:pPr>
            <w:r w:rsidRPr="008410ED">
              <w:t>Norvēģijas vēstniecības Latvijā;</w:t>
            </w:r>
          </w:p>
          <w:p w:rsidR="008370C2" w:rsidRPr="008410ED" w:rsidRDefault="008370C2" w:rsidP="008370C2">
            <w:pPr>
              <w:pStyle w:val="ListParagraph"/>
              <w:numPr>
                <w:ilvl w:val="0"/>
                <w:numId w:val="4"/>
              </w:numPr>
              <w:jc w:val="both"/>
              <w:rPr>
                <w:iCs/>
              </w:rPr>
            </w:pPr>
            <w:r w:rsidRPr="008410ED">
              <w:rPr>
                <w:rFonts w:eastAsiaTheme="minorHAnsi"/>
                <w:bCs/>
                <w:shd w:val="clear" w:color="auto" w:fill="FFFFFF"/>
                <w:lang w:eastAsia="en-US"/>
              </w:rPr>
              <w:t>Islandes</w:t>
            </w:r>
            <w:r w:rsidRPr="008410ED">
              <w:rPr>
                <w:rFonts w:eastAsiaTheme="minorHAnsi"/>
                <w:shd w:val="clear" w:color="auto" w:fill="FFFFFF"/>
                <w:lang w:eastAsia="en-US"/>
              </w:rPr>
              <w:t> valsts </w:t>
            </w:r>
            <w:r w:rsidRPr="008410ED">
              <w:rPr>
                <w:rFonts w:eastAsiaTheme="minorHAnsi"/>
                <w:bCs/>
                <w:shd w:val="clear" w:color="auto" w:fill="FFFFFF"/>
                <w:lang w:eastAsia="en-US"/>
              </w:rPr>
              <w:t>bērnu aizsardzības aģentūras;</w:t>
            </w:r>
          </w:p>
          <w:p w:rsidR="008370C2" w:rsidRPr="008410ED" w:rsidRDefault="008370C2" w:rsidP="008370C2">
            <w:pPr>
              <w:pStyle w:val="ListParagraph"/>
              <w:numPr>
                <w:ilvl w:val="0"/>
                <w:numId w:val="4"/>
              </w:numPr>
              <w:jc w:val="both"/>
              <w:rPr>
                <w:iCs/>
              </w:rPr>
            </w:pPr>
            <w:r w:rsidRPr="008410ED">
              <w:t>Eiropas Padomes;</w:t>
            </w:r>
          </w:p>
          <w:p w:rsidR="008370C2" w:rsidRPr="008410ED" w:rsidRDefault="005A6F1A" w:rsidP="00574650">
            <w:pPr>
              <w:pStyle w:val="ListParagraph"/>
              <w:numPr>
                <w:ilvl w:val="0"/>
                <w:numId w:val="4"/>
              </w:numPr>
              <w:jc w:val="both"/>
              <w:rPr>
                <w:iCs/>
              </w:rPr>
            </w:pPr>
            <w:r w:rsidRPr="008410ED">
              <w:rPr>
                <w:iCs/>
              </w:rPr>
              <w:t>OECD;</w:t>
            </w:r>
          </w:p>
          <w:p w:rsidR="00EB58D6" w:rsidRPr="008410ED" w:rsidRDefault="00EB58D6" w:rsidP="00EB58D6">
            <w:pPr>
              <w:pStyle w:val="ListParagraph"/>
              <w:numPr>
                <w:ilvl w:val="0"/>
                <w:numId w:val="4"/>
              </w:numPr>
              <w:jc w:val="both"/>
              <w:rPr>
                <w:iCs/>
              </w:rPr>
            </w:pPr>
            <w:r w:rsidRPr="008410ED">
              <w:rPr>
                <w:rFonts w:eastAsiaTheme="minorHAnsi"/>
                <w:bCs/>
                <w:shd w:val="clear" w:color="auto" w:fill="FFFFFF"/>
                <w:lang w:eastAsia="en-US"/>
              </w:rPr>
              <w:t>Finanšu ministrijas;</w:t>
            </w:r>
          </w:p>
          <w:p w:rsidR="00EB58D6" w:rsidRPr="008410ED" w:rsidRDefault="00EB58D6" w:rsidP="00EB58D6">
            <w:pPr>
              <w:pStyle w:val="ListParagraph"/>
              <w:numPr>
                <w:ilvl w:val="0"/>
                <w:numId w:val="4"/>
              </w:numPr>
              <w:jc w:val="both"/>
              <w:rPr>
                <w:iCs/>
              </w:rPr>
            </w:pPr>
            <w:r w:rsidRPr="008410ED">
              <w:rPr>
                <w:rFonts w:eastAsiaTheme="minorHAnsi"/>
                <w:bCs/>
                <w:shd w:val="clear" w:color="auto" w:fill="FFFFFF"/>
                <w:lang w:eastAsia="en-US"/>
              </w:rPr>
              <w:t>Iekšlietu ministrijas;</w:t>
            </w:r>
          </w:p>
          <w:p w:rsidR="00EB58D6" w:rsidRPr="008410ED" w:rsidRDefault="00EB58D6" w:rsidP="00EB58D6">
            <w:pPr>
              <w:pStyle w:val="ListParagraph"/>
              <w:numPr>
                <w:ilvl w:val="0"/>
                <w:numId w:val="4"/>
              </w:numPr>
              <w:jc w:val="both"/>
              <w:rPr>
                <w:iCs/>
              </w:rPr>
            </w:pPr>
            <w:r w:rsidRPr="008410ED">
              <w:rPr>
                <w:iCs/>
              </w:rPr>
              <w:t>Labklājības ministrijas;</w:t>
            </w:r>
          </w:p>
          <w:p w:rsidR="00EB58D6" w:rsidRPr="008410ED" w:rsidRDefault="00EB58D6" w:rsidP="00EB58D6">
            <w:pPr>
              <w:pStyle w:val="ListParagraph"/>
              <w:numPr>
                <w:ilvl w:val="0"/>
                <w:numId w:val="4"/>
              </w:numPr>
              <w:jc w:val="both"/>
              <w:rPr>
                <w:iCs/>
              </w:rPr>
            </w:pPr>
            <w:r w:rsidRPr="008410ED">
              <w:rPr>
                <w:iCs/>
              </w:rPr>
              <w:t>Veselības ministrijas;</w:t>
            </w:r>
          </w:p>
          <w:p w:rsidR="00EB58D6" w:rsidRPr="008410ED" w:rsidRDefault="006A64E1" w:rsidP="00EB58D6">
            <w:pPr>
              <w:pStyle w:val="ListParagraph"/>
              <w:numPr>
                <w:ilvl w:val="0"/>
                <w:numId w:val="4"/>
              </w:numPr>
              <w:jc w:val="both"/>
              <w:rPr>
                <w:iCs/>
              </w:rPr>
            </w:pPr>
            <w:r>
              <w:rPr>
                <w:iCs/>
              </w:rPr>
              <w:t>VP</w:t>
            </w:r>
            <w:r w:rsidR="00EB58D6" w:rsidRPr="008410ED">
              <w:rPr>
                <w:iCs/>
              </w:rPr>
              <w:t>;</w:t>
            </w:r>
          </w:p>
          <w:p w:rsidR="00EB58D6" w:rsidRPr="008410ED" w:rsidRDefault="00EB58D6" w:rsidP="00EB58D6">
            <w:pPr>
              <w:pStyle w:val="ListParagraph"/>
              <w:numPr>
                <w:ilvl w:val="0"/>
                <w:numId w:val="4"/>
              </w:numPr>
              <w:jc w:val="both"/>
              <w:rPr>
                <w:iCs/>
              </w:rPr>
            </w:pPr>
            <w:r w:rsidRPr="008410ED">
              <w:rPr>
                <w:iCs/>
              </w:rPr>
              <w:t>Iekšējā Drošības biroja;</w:t>
            </w:r>
          </w:p>
          <w:p w:rsidR="00EB58D6" w:rsidRPr="008410ED" w:rsidRDefault="00EB58D6" w:rsidP="00EB58D6">
            <w:pPr>
              <w:pStyle w:val="ListParagraph"/>
              <w:numPr>
                <w:ilvl w:val="0"/>
                <w:numId w:val="4"/>
              </w:numPr>
              <w:jc w:val="both"/>
              <w:rPr>
                <w:iCs/>
              </w:rPr>
            </w:pPr>
            <w:r w:rsidRPr="008410ED">
              <w:rPr>
                <w:iCs/>
              </w:rPr>
              <w:t>Prokuratūras;</w:t>
            </w:r>
          </w:p>
          <w:p w:rsidR="00EB58D6" w:rsidRPr="008410ED" w:rsidRDefault="006A64E1" w:rsidP="00EB58D6">
            <w:pPr>
              <w:pStyle w:val="ListParagraph"/>
              <w:numPr>
                <w:ilvl w:val="0"/>
                <w:numId w:val="4"/>
              </w:numPr>
              <w:jc w:val="both"/>
              <w:rPr>
                <w:iCs/>
              </w:rPr>
            </w:pPr>
            <w:r>
              <w:rPr>
                <w:rFonts w:eastAsiaTheme="minorHAnsi"/>
                <w:bCs/>
                <w:shd w:val="clear" w:color="auto" w:fill="FFFFFF"/>
                <w:lang w:eastAsia="en-US"/>
              </w:rPr>
              <w:t>VID</w:t>
            </w:r>
            <w:r w:rsidR="00EB58D6" w:rsidRPr="008410ED">
              <w:rPr>
                <w:rFonts w:eastAsiaTheme="minorHAnsi"/>
                <w:bCs/>
                <w:shd w:val="clear" w:color="auto" w:fill="FFFFFF"/>
                <w:lang w:eastAsia="en-US"/>
              </w:rPr>
              <w:t>;</w:t>
            </w:r>
          </w:p>
          <w:p w:rsidR="00EB58D6" w:rsidRPr="008410ED" w:rsidRDefault="006A64E1" w:rsidP="00EB58D6">
            <w:pPr>
              <w:pStyle w:val="ListParagraph"/>
              <w:numPr>
                <w:ilvl w:val="0"/>
                <w:numId w:val="4"/>
              </w:numPr>
              <w:jc w:val="both"/>
              <w:rPr>
                <w:iCs/>
              </w:rPr>
            </w:pPr>
            <w:r>
              <w:rPr>
                <w:iCs/>
              </w:rPr>
              <w:t>VRS</w:t>
            </w:r>
            <w:r w:rsidR="00EB58D6" w:rsidRPr="008410ED">
              <w:rPr>
                <w:iCs/>
              </w:rPr>
              <w:t>;</w:t>
            </w:r>
          </w:p>
          <w:p w:rsidR="00EB58D6" w:rsidRPr="008410ED" w:rsidRDefault="006A64E1" w:rsidP="00EB58D6">
            <w:pPr>
              <w:pStyle w:val="ListParagraph"/>
              <w:numPr>
                <w:ilvl w:val="0"/>
                <w:numId w:val="4"/>
              </w:numPr>
              <w:jc w:val="both"/>
              <w:rPr>
                <w:iCs/>
              </w:rPr>
            </w:pPr>
            <w:r>
              <w:t>KNAB</w:t>
            </w:r>
            <w:r w:rsidR="00EB58D6" w:rsidRPr="008410ED">
              <w:t>;</w:t>
            </w:r>
          </w:p>
          <w:p w:rsidR="00EB58D6" w:rsidRPr="008410ED" w:rsidRDefault="006A64E1" w:rsidP="00EB58D6">
            <w:pPr>
              <w:pStyle w:val="ListParagraph"/>
              <w:numPr>
                <w:ilvl w:val="0"/>
                <w:numId w:val="4"/>
              </w:numPr>
              <w:jc w:val="both"/>
              <w:rPr>
                <w:iCs/>
              </w:rPr>
            </w:pPr>
            <w:r>
              <w:rPr>
                <w:iCs/>
              </w:rPr>
              <w:t>PVD</w:t>
            </w:r>
            <w:r w:rsidR="00EB58D6" w:rsidRPr="008410ED">
              <w:rPr>
                <w:iCs/>
              </w:rPr>
              <w:t>;</w:t>
            </w:r>
          </w:p>
          <w:p w:rsidR="00EB58D6" w:rsidRPr="008410ED" w:rsidRDefault="00EB58D6" w:rsidP="00EB58D6">
            <w:pPr>
              <w:pStyle w:val="ListParagraph"/>
              <w:numPr>
                <w:ilvl w:val="0"/>
                <w:numId w:val="4"/>
              </w:numPr>
              <w:jc w:val="both"/>
              <w:rPr>
                <w:iCs/>
              </w:rPr>
            </w:pPr>
            <w:r w:rsidRPr="008410ED">
              <w:rPr>
                <w:shd w:val="clear" w:color="auto" w:fill="FFFFFF"/>
              </w:rPr>
              <w:t>Noziedzīgi iegūtu līdzekļu legalizācijas novēršanas dienest</w:t>
            </w:r>
            <w:r w:rsidRPr="008410ED">
              <w:t>a;</w:t>
            </w:r>
          </w:p>
          <w:p w:rsidR="00E82FC6" w:rsidRPr="008410ED" w:rsidRDefault="00E82FC6" w:rsidP="00E82FC6">
            <w:pPr>
              <w:pStyle w:val="ListParagraph"/>
              <w:numPr>
                <w:ilvl w:val="0"/>
                <w:numId w:val="4"/>
              </w:numPr>
              <w:jc w:val="both"/>
              <w:rPr>
                <w:iCs/>
              </w:rPr>
            </w:pPr>
            <w:r w:rsidRPr="008410ED">
              <w:t>Ārvalstu investoru padomes Latvijā;</w:t>
            </w:r>
          </w:p>
          <w:p w:rsidR="00E82FC6" w:rsidRPr="008410ED" w:rsidRDefault="00E82FC6" w:rsidP="00E82FC6">
            <w:pPr>
              <w:pStyle w:val="ListParagraph"/>
              <w:numPr>
                <w:ilvl w:val="0"/>
                <w:numId w:val="4"/>
              </w:numPr>
              <w:jc w:val="both"/>
              <w:rPr>
                <w:iCs/>
              </w:rPr>
            </w:pPr>
            <w:r w:rsidRPr="008410ED">
              <w:rPr>
                <w:iCs/>
              </w:rPr>
              <w:t>Latvijas Komercbanku asociācijas;</w:t>
            </w:r>
          </w:p>
          <w:p w:rsidR="00E82FC6" w:rsidRPr="008410ED" w:rsidRDefault="006A64E1" w:rsidP="00E82FC6">
            <w:pPr>
              <w:pStyle w:val="ListParagraph"/>
              <w:numPr>
                <w:ilvl w:val="0"/>
                <w:numId w:val="4"/>
              </w:numPr>
              <w:jc w:val="both"/>
              <w:rPr>
                <w:iCs/>
              </w:rPr>
            </w:pPr>
            <w:r>
              <w:t>FKTK</w:t>
            </w:r>
            <w:r w:rsidR="00E82FC6" w:rsidRPr="008410ED">
              <w:t>;</w:t>
            </w:r>
          </w:p>
          <w:p w:rsidR="005A6F1A" w:rsidRPr="008410ED" w:rsidRDefault="00E82FC6" w:rsidP="00574650">
            <w:pPr>
              <w:pStyle w:val="ListParagraph"/>
              <w:numPr>
                <w:ilvl w:val="0"/>
                <w:numId w:val="4"/>
              </w:numPr>
              <w:jc w:val="both"/>
              <w:rPr>
                <w:iCs/>
              </w:rPr>
            </w:pPr>
            <w:r w:rsidRPr="008410ED">
              <w:t>Latgales plānošanas reģiona;</w:t>
            </w:r>
          </w:p>
          <w:p w:rsidR="00F63236" w:rsidRPr="008410ED" w:rsidRDefault="00F63236" w:rsidP="00574650">
            <w:pPr>
              <w:pStyle w:val="ListParagraph"/>
              <w:numPr>
                <w:ilvl w:val="0"/>
                <w:numId w:val="4"/>
              </w:numPr>
              <w:jc w:val="both"/>
              <w:rPr>
                <w:iCs/>
              </w:rPr>
            </w:pPr>
            <w:r w:rsidRPr="008410ED">
              <w:rPr>
                <w:iCs/>
              </w:rPr>
              <w:t>Biedrība</w:t>
            </w:r>
            <w:r w:rsidR="00A66A41" w:rsidRPr="008410ED">
              <w:rPr>
                <w:iCs/>
              </w:rPr>
              <w:t>s</w:t>
            </w:r>
            <w:r w:rsidRPr="008410ED">
              <w:rPr>
                <w:iCs/>
              </w:rPr>
              <w:t xml:space="preserve"> “Pro-Police Latvia”;</w:t>
            </w:r>
          </w:p>
          <w:p w:rsidR="00A66A41" w:rsidRPr="008410ED" w:rsidRDefault="00A66A41" w:rsidP="00574650">
            <w:pPr>
              <w:pStyle w:val="ListParagraph"/>
              <w:numPr>
                <w:ilvl w:val="0"/>
                <w:numId w:val="4"/>
              </w:numPr>
              <w:jc w:val="both"/>
              <w:rPr>
                <w:iCs/>
              </w:rPr>
            </w:pPr>
            <w:r w:rsidRPr="008410ED">
              <w:t>Nodibinājuma „Centrs Dardedze”;</w:t>
            </w:r>
          </w:p>
          <w:p w:rsidR="00A66A41" w:rsidRPr="008410ED" w:rsidRDefault="00A66A41" w:rsidP="00574650">
            <w:pPr>
              <w:pStyle w:val="ListParagraph"/>
              <w:numPr>
                <w:ilvl w:val="0"/>
                <w:numId w:val="4"/>
              </w:numPr>
              <w:jc w:val="both"/>
              <w:rPr>
                <w:iCs/>
              </w:rPr>
            </w:pPr>
            <w:r w:rsidRPr="008410ED">
              <w:t>Biedrības “Sabiedrība par atklātību – DELNA”;</w:t>
            </w:r>
          </w:p>
          <w:p w:rsidR="00A66A41" w:rsidRPr="008410ED" w:rsidRDefault="00A66A41" w:rsidP="00574650">
            <w:pPr>
              <w:pStyle w:val="ListParagraph"/>
              <w:numPr>
                <w:ilvl w:val="0"/>
                <w:numId w:val="4"/>
              </w:numPr>
              <w:jc w:val="both"/>
              <w:rPr>
                <w:iCs/>
              </w:rPr>
            </w:pPr>
            <w:r w:rsidRPr="008410ED">
              <w:t>Biedrības „Sabiedriskās politikas centrs PROVIDUS”;</w:t>
            </w:r>
          </w:p>
          <w:p w:rsidR="008370C2" w:rsidRPr="008410ED" w:rsidRDefault="008370C2" w:rsidP="00574650">
            <w:pPr>
              <w:pStyle w:val="ListParagraph"/>
              <w:numPr>
                <w:ilvl w:val="0"/>
                <w:numId w:val="4"/>
              </w:numPr>
              <w:jc w:val="both"/>
              <w:rPr>
                <w:iCs/>
              </w:rPr>
            </w:pPr>
            <w:r w:rsidRPr="008410ED">
              <w:t>Latvijas Bērnu fonda;</w:t>
            </w:r>
          </w:p>
          <w:p w:rsidR="008370C2" w:rsidRPr="00B81636" w:rsidRDefault="00E82FC6" w:rsidP="00B81636">
            <w:pPr>
              <w:pStyle w:val="ListParagraph"/>
              <w:numPr>
                <w:ilvl w:val="0"/>
                <w:numId w:val="4"/>
              </w:numPr>
              <w:jc w:val="both"/>
              <w:rPr>
                <w:iCs/>
              </w:rPr>
            </w:pPr>
            <w:r w:rsidRPr="008410ED">
              <w:t>Eften Capital SIA.</w:t>
            </w:r>
          </w:p>
          <w:p w:rsidR="00F63236" w:rsidRPr="008410ED" w:rsidRDefault="003C7459" w:rsidP="00167856">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Programmas koncepcijas projekts tika nosūtīts saskaņošanai Nevalstisko organizāciju un Ministru kabineta sadarbības memoranda īstenošanas padomei un </w:t>
            </w:r>
            <w:r w:rsidR="00167856">
              <w:rPr>
                <w:rFonts w:ascii="Times New Roman" w:eastAsia="Times New Roman" w:hAnsi="Times New Roman" w:cs="Times New Roman"/>
                <w:iCs/>
                <w:sz w:val="24"/>
                <w:szCs w:val="24"/>
                <w:lang w:eastAsia="lv-LV"/>
              </w:rPr>
              <w:t xml:space="preserve">Finanšu instrumenta birojam </w:t>
            </w:r>
            <w:r w:rsidR="00373031" w:rsidRPr="008410ED">
              <w:rPr>
                <w:rFonts w:ascii="Times New Roman" w:eastAsia="Times New Roman" w:hAnsi="Times New Roman" w:cs="Times New Roman"/>
                <w:iCs/>
                <w:sz w:val="24"/>
                <w:szCs w:val="24"/>
                <w:lang w:eastAsia="lv-LV"/>
              </w:rPr>
              <w:t>2018.gada 26.jūnijā</w:t>
            </w:r>
            <w:r w:rsidR="000A078A" w:rsidRPr="008410ED">
              <w:rPr>
                <w:rFonts w:ascii="Times New Roman" w:eastAsia="Times New Roman" w:hAnsi="Times New Roman" w:cs="Times New Roman"/>
                <w:iCs/>
                <w:sz w:val="24"/>
                <w:szCs w:val="24"/>
                <w:lang w:eastAsia="lv-LV"/>
              </w:rPr>
              <w:t xml:space="preserve"> un iebildumi noteiktajā termiņā netika saņemti.</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0A078A" w:rsidRPr="008410ED" w:rsidRDefault="000A078A"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Sabiedrības iesaistīšanās programmas koncepcijas projekta izstrādē ir nodrošināta, iesaistot diskusijās nevalstisko organizāciju pārstāvjus 2018.gada 13.martā rīkotajā ieinteresēto pušu sanāksmē. </w:t>
            </w:r>
          </w:p>
          <w:p w:rsidR="00E5323B" w:rsidRPr="008410ED" w:rsidRDefault="000A078A" w:rsidP="000A078A">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Kā arī iepriekš </w:t>
            </w:r>
            <w:r w:rsidR="00D209A0" w:rsidRPr="008410ED">
              <w:rPr>
                <w:rFonts w:ascii="Times New Roman" w:eastAsia="Times New Roman" w:hAnsi="Times New Roman" w:cs="Times New Roman"/>
                <w:iCs/>
                <w:sz w:val="24"/>
                <w:szCs w:val="24"/>
                <w:lang w:eastAsia="lv-LV"/>
              </w:rPr>
              <w:t>noteiktais projekts “</w:t>
            </w:r>
            <w:r w:rsidR="00D209A0" w:rsidRPr="008410ED">
              <w:rPr>
                <w:rFonts w:ascii="Times New Roman" w:hAnsi="Times New Roman" w:cs="Times New Roman"/>
                <w:sz w:val="24"/>
                <w:szCs w:val="24"/>
              </w:rPr>
              <w:t>Barnahus (Bērnu māja) koncepcijas popularizēšana Latvijā”</w:t>
            </w:r>
            <w:r w:rsidR="00F4751F" w:rsidRPr="008410ED">
              <w:rPr>
                <w:rFonts w:ascii="Times New Roman" w:hAnsi="Times New Roman" w:cs="Times New Roman"/>
                <w:sz w:val="24"/>
                <w:szCs w:val="24"/>
              </w:rPr>
              <w:t xml:space="preserve"> tiks</w:t>
            </w:r>
            <w:r w:rsidR="00D209A0" w:rsidRPr="008410ED">
              <w:rPr>
                <w:rFonts w:ascii="Times New Roman" w:hAnsi="Times New Roman" w:cs="Times New Roman"/>
                <w:sz w:val="24"/>
                <w:szCs w:val="24"/>
              </w:rPr>
              <w:t xml:space="preserve"> īsteno</w:t>
            </w:r>
            <w:r w:rsidR="00F4751F" w:rsidRPr="008410ED">
              <w:rPr>
                <w:rFonts w:ascii="Times New Roman" w:hAnsi="Times New Roman" w:cs="Times New Roman"/>
                <w:sz w:val="24"/>
                <w:szCs w:val="24"/>
              </w:rPr>
              <w:t xml:space="preserve">ts sadarbībā ar Latvijas Bērnu Fonds un </w:t>
            </w:r>
            <w:r w:rsidRPr="008410ED">
              <w:rPr>
                <w:rFonts w:ascii="Times New Roman" w:hAnsi="Times New Roman" w:cs="Times New Roman"/>
                <w:sz w:val="24"/>
                <w:szCs w:val="24"/>
              </w:rPr>
              <w:t xml:space="preserve">nodibinājumu </w:t>
            </w:r>
            <w:r w:rsidR="00F4751F" w:rsidRPr="008410ED">
              <w:rPr>
                <w:rFonts w:ascii="Times New Roman" w:hAnsi="Times New Roman" w:cs="Times New Roman"/>
                <w:sz w:val="24"/>
                <w:szCs w:val="24"/>
              </w:rPr>
              <w:t>“Centrs Dardedze”.</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0A078A" w:rsidP="00574650">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 2018.gada 13.martā rīkotajā ieinteresēto pušu sanāksmē </w:t>
            </w:r>
            <w:r w:rsidR="00574650" w:rsidRPr="008410ED">
              <w:rPr>
                <w:rFonts w:ascii="Times New Roman" w:eastAsia="Times New Roman" w:hAnsi="Times New Roman" w:cs="Times New Roman"/>
                <w:iCs/>
                <w:sz w:val="24"/>
                <w:szCs w:val="24"/>
                <w:lang w:eastAsia="lv-LV"/>
              </w:rPr>
              <w:t>izvirzītie izaicinājumi un iespējamie risinājumi</w:t>
            </w:r>
            <w:r w:rsidR="004526FE" w:rsidRPr="008410ED">
              <w:rPr>
                <w:rFonts w:ascii="Times New Roman" w:eastAsia="Times New Roman" w:hAnsi="Times New Roman" w:cs="Times New Roman"/>
                <w:iCs/>
                <w:sz w:val="24"/>
                <w:szCs w:val="24"/>
                <w:lang w:eastAsia="lv-LV"/>
              </w:rPr>
              <w:t xml:space="preserve"> </w:t>
            </w:r>
            <w:r w:rsidR="00574650" w:rsidRPr="008410ED">
              <w:rPr>
                <w:rFonts w:ascii="Times New Roman" w:eastAsia="Times New Roman" w:hAnsi="Times New Roman" w:cs="Times New Roman"/>
                <w:iCs/>
                <w:sz w:val="24"/>
                <w:szCs w:val="24"/>
                <w:lang w:eastAsia="lv-LV"/>
              </w:rPr>
              <w:t>programmas īstenošanai tika apkopoti un integrēti programmas koncepcijas projektā, tādējādi nodrošinot gan publiskā, gan nevalstiskā sektora viedokļu pārstāvniecību.</w:t>
            </w:r>
          </w:p>
        </w:tc>
      </w:tr>
      <w:tr w:rsidR="00E5323B"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D209A0"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Nav</w:t>
            </w:r>
          </w:p>
        </w:tc>
      </w:tr>
    </w:tbl>
    <w:p w:rsidR="00E5323B" w:rsidRPr="008410ED" w:rsidRDefault="00E5323B" w:rsidP="00CE66D5">
      <w:pPr>
        <w:spacing w:after="0" w:line="240" w:lineRule="auto"/>
        <w:jc w:val="both"/>
        <w:rPr>
          <w:rFonts w:ascii="Times New Roman" w:eastAsia="Times New Roman" w:hAnsi="Times New Roman" w:cs="Times New Roman"/>
          <w:iCs/>
          <w:sz w:val="10"/>
          <w:szCs w:val="10"/>
          <w:lang w:eastAsia="lv-LV"/>
        </w:rPr>
      </w:pPr>
      <w:r w:rsidRPr="008410E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410E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10E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0E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A35F59" w:rsidP="00CE66D5">
            <w:pPr>
              <w:spacing w:after="0" w:line="240" w:lineRule="auto"/>
              <w:jc w:val="both"/>
              <w:rPr>
                <w:rFonts w:ascii="Times New Roman" w:hAnsi="Times New Roman" w:cs="Times New Roman"/>
                <w:iCs/>
                <w:sz w:val="24"/>
                <w:szCs w:val="24"/>
              </w:rPr>
            </w:pPr>
            <w:r w:rsidRPr="008410ED">
              <w:rPr>
                <w:rFonts w:ascii="Times New Roman" w:hAnsi="Times New Roman" w:cs="Times New Roman"/>
                <w:iCs/>
                <w:sz w:val="24"/>
                <w:szCs w:val="24"/>
              </w:rPr>
              <w:t xml:space="preserve">Iekšlietu ministrija, kas ir noteikta par programmas </w:t>
            </w:r>
            <w:r w:rsidR="00D209A0" w:rsidRPr="008410ED">
              <w:rPr>
                <w:rFonts w:ascii="Times New Roman" w:hAnsi="Times New Roman" w:cs="Times New Roman"/>
                <w:iCs/>
                <w:sz w:val="24"/>
                <w:szCs w:val="24"/>
              </w:rPr>
              <w:t>apsaimniekotāj</w:t>
            </w:r>
            <w:r w:rsidRPr="008410ED">
              <w:rPr>
                <w:rFonts w:ascii="Times New Roman" w:hAnsi="Times New Roman" w:cs="Times New Roman"/>
                <w:iCs/>
                <w:sz w:val="24"/>
                <w:szCs w:val="24"/>
              </w:rPr>
              <w:t>u.</w:t>
            </w:r>
            <w:r w:rsidR="00D209A0" w:rsidRPr="008410ED">
              <w:rPr>
                <w:rFonts w:ascii="Times New Roman" w:hAnsi="Times New Roman" w:cs="Times New Roman"/>
                <w:iCs/>
                <w:sz w:val="24"/>
                <w:szCs w:val="24"/>
              </w:rPr>
              <w:t xml:space="preserve"> Programmas Sadarbības komitejā darbosies Eiropas Padome, kā arī novērotāja statusā Finanšu ministrija.</w:t>
            </w:r>
          </w:p>
          <w:p w:rsidR="007B72C3" w:rsidRPr="008410ED" w:rsidRDefault="007B72C3" w:rsidP="006A64E1">
            <w:pPr>
              <w:spacing w:after="0" w:line="240" w:lineRule="auto"/>
              <w:jc w:val="both"/>
              <w:rPr>
                <w:rFonts w:ascii="Times New Roman" w:eastAsia="Times New Roman" w:hAnsi="Times New Roman" w:cs="Times New Roman"/>
                <w:iCs/>
                <w:sz w:val="24"/>
                <w:szCs w:val="24"/>
                <w:lang w:eastAsia="lv-LV"/>
              </w:rPr>
            </w:pPr>
            <w:r w:rsidRPr="008410ED">
              <w:rPr>
                <w:rFonts w:ascii="Times New Roman" w:hAnsi="Times New Roman" w:cs="Times New Roman"/>
                <w:iCs/>
                <w:sz w:val="24"/>
                <w:szCs w:val="24"/>
              </w:rPr>
              <w:t xml:space="preserve">Programmā iepriekš noteiktos projektus īstenos </w:t>
            </w:r>
            <w:r w:rsidR="006A64E1">
              <w:rPr>
                <w:rFonts w:ascii="Times New Roman" w:hAnsi="Times New Roman" w:cs="Times New Roman"/>
                <w:iCs/>
                <w:sz w:val="24"/>
                <w:szCs w:val="24"/>
              </w:rPr>
              <w:t>VP</w:t>
            </w:r>
            <w:r w:rsidRPr="008410ED">
              <w:rPr>
                <w:rFonts w:ascii="Times New Roman" w:hAnsi="Times New Roman" w:cs="Times New Roman"/>
                <w:iCs/>
                <w:sz w:val="24"/>
                <w:szCs w:val="24"/>
              </w:rPr>
              <w:t xml:space="preserve">, </w:t>
            </w:r>
            <w:r w:rsidR="006A64E1">
              <w:rPr>
                <w:rFonts w:ascii="Times New Roman" w:hAnsi="Times New Roman" w:cs="Times New Roman"/>
                <w:iCs/>
                <w:sz w:val="24"/>
                <w:szCs w:val="24"/>
              </w:rPr>
              <w:t>VID</w:t>
            </w:r>
            <w:r w:rsidR="00E156DE" w:rsidRPr="008410ED">
              <w:rPr>
                <w:rFonts w:ascii="Times New Roman" w:hAnsi="Times New Roman" w:cs="Times New Roman"/>
                <w:iCs/>
                <w:sz w:val="24"/>
                <w:szCs w:val="24"/>
              </w:rPr>
              <w:t xml:space="preserve">, </w:t>
            </w:r>
            <w:r w:rsidR="006A64E1">
              <w:rPr>
                <w:rFonts w:ascii="Times New Roman" w:hAnsi="Times New Roman" w:cs="Times New Roman"/>
                <w:iCs/>
                <w:sz w:val="24"/>
                <w:szCs w:val="24"/>
              </w:rPr>
              <w:t>KNAB</w:t>
            </w:r>
            <w:r w:rsidRPr="008410ED">
              <w:rPr>
                <w:rFonts w:ascii="Times New Roman" w:hAnsi="Times New Roman" w:cs="Times New Roman"/>
                <w:iCs/>
                <w:sz w:val="24"/>
                <w:szCs w:val="24"/>
              </w:rPr>
              <w:t>, Labklājības ministrija</w:t>
            </w:r>
            <w:r w:rsidR="005D5FDA" w:rsidRPr="008410ED">
              <w:rPr>
                <w:rFonts w:ascii="Times New Roman" w:hAnsi="Times New Roman" w:cs="Times New Roman"/>
                <w:iCs/>
                <w:sz w:val="24"/>
                <w:szCs w:val="24"/>
              </w:rPr>
              <w:t xml:space="preserve">, </w:t>
            </w:r>
            <w:r w:rsidR="005D5FDA" w:rsidRPr="008410ED">
              <w:rPr>
                <w:rFonts w:ascii="Times New Roman" w:hAnsi="Times New Roman" w:cs="Times New Roman"/>
                <w:sz w:val="24"/>
                <w:szCs w:val="24"/>
                <w:shd w:val="clear" w:color="auto" w:fill="FFFFFF"/>
              </w:rPr>
              <w:t>Noziedzīgi iegūtu līdzekļu legalizācijas novēršanas dienest</w:t>
            </w:r>
            <w:r w:rsidR="00A35F59" w:rsidRPr="008410ED">
              <w:rPr>
                <w:rFonts w:ascii="Times New Roman" w:hAnsi="Times New Roman" w:cs="Times New Roman"/>
                <w:sz w:val="24"/>
                <w:szCs w:val="24"/>
              </w:rPr>
              <w:t>s</w:t>
            </w:r>
            <w:r w:rsidRPr="008410ED">
              <w:rPr>
                <w:rFonts w:ascii="Times New Roman" w:hAnsi="Times New Roman" w:cs="Times New Roman"/>
                <w:iCs/>
                <w:sz w:val="24"/>
                <w:szCs w:val="24"/>
              </w:rPr>
              <w:t xml:space="preserve"> un </w:t>
            </w:r>
            <w:r w:rsidR="006A64E1">
              <w:rPr>
                <w:rFonts w:ascii="Times New Roman" w:hAnsi="Times New Roman" w:cs="Times New Roman"/>
                <w:iCs/>
                <w:sz w:val="24"/>
                <w:szCs w:val="24"/>
              </w:rPr>
              <w:t>FKTK</w:t>
            </w:r>
            <w:r w:rsidRPr="008410ED">
              <w:rPr>
                <w:rFonts w:ascii="Times New Roman" w:hAnsi="Times New Roman" w:cs="Times New Roman"/>
                <w:iCs/>
                <w:sz w:val="24"/>
                <w:szCs w:val="24"/>
              </w:rPr>
              <w:t>.</w:t>
            </w:r>
          </w:p>
        </w:tc>
      </w:tr>
      <w:tr w:rsidR="00CE66D5"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Projekta izpildes ietekme uz pārvaldes funkcijām un institucionālo struktūru.</w:t>
            </w:r>
            <w:r w:rsidRPr="008410E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FE623D"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 xml:space="preserve">Programmas koncepcijas projekta izpildes nodrošināšanai netiks izveidotas jaunas institūcijas. Programmas koncepcijas projekta izpilde tiks nodrošināta iestāžu esošo cilvēkresursu ietvaros un jaunas amata vietas netiks veidotas.  </w:t>
            </w:r>
          </w:p>
        </w:tc>
      </w:tr>
      <w:tr w:rsidR="00E5323B" w:rsidRPr="008410E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10ED" w:rsidRDefault="00E5323B" w:rsidP="00CE66D5">
            <w:pPr>
              <w:spacing w:after="0" w:line="240" w:lineRule="auto"/>
              <w:jc w:val="both"/>
              <w:rPr>
                <w:rFonts w:ascii="Times New Roman" w:eastAsia="Times New Roman" w:hAnsi="Times New Roman" w:cs="Times New Roman"/>
                <w:iCs/>
                <w:sz w:val="24"/>
                <w:szCs w:val="24"/>
                <w:lang w:eastAsia="lv-LV"/>
              </w:rPr>
            </w:pPr>
            <w:r w:rsidRPr="008410E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0ED" w:rsidRDefault="00B1554A" w:rsidP="008410ED">
            <w:pPr>
              <w:spacing w:after="0" w:line="240" w:lineRule="auto"/>
              <w:jc w:val="both"/>
              <w:rPr>
                <w:rFonts w:ascii="Times New Roman" w:hAnsi="Times New Roman" w:cs="Times New Roman"/>
                <w:bCs/>
                <w:sz w:val="24"/>
                <w:szCs w:val="24"/>
              </w:rPr>
            </w:pPr>
            <w:r w:rsidRPr="008410ED">
              <w:rPr>
                <w:rFonts w:ascii="Times New Roman" w:hAnsi="Times New Roman" w:cs="Times New Roman"/>
                <w:bCs/>
                <w:sz w:val="24"/>
                <w:szCs w:val="24"/>
              </w:rPr>
              <w:t xml:space="preserve">Atbilstoši </w:t>
            </w:r>
            <w:r w:rsidRPr="008410ED">
              <w:rPr>
                <w:rFonts w:ascii="Times New Roman" w:hAnsi="Times New Roman" w:cs="Times New Roman"/>
                <w:sz w:val="24"/>
                <w:szCs w:val="24"/>
              </w:rPr>
              <w:t xml:space="preserve">Eiropas Ekonomikas zonas finanšu instrumenta 2014.–2021. gadam ieviešanas noteikumu 6.2. pantam </w:t>
            </w:r>
            <w:r w:rsidRPr="008410ED">
              <w:rPr>
                <w:rFonts w:ascii="Times New Roman" w:hAnsi="Times New Roman" w:cs="Times New Roman"/>
                <w:bCs/>
                <w:sz w:val="24"/>
                <w:szCs w:val="24"/>
              </w:rPr>
              <w:t xml:space="preserve">Finanšu ministrija (turpmāk - vadošā iestāde) nodrošina </w:t>
            </w:r>
            <w:r w:rsidRPr="008410ED">
              <w:rPr>
                <w:rFonts w:ascii="Times New Roman" w:hAnsi="Times New Roman" w:cs="Times New Roman"/>
                <w:sz w:val="24"/>
                <w:szCs w:val="24"/>
              </w:rPr>
              <w:t>programmas koncepcijas projekta</w:t>
            </w:r>
            <w:r w:rsidRPr="008410ED">
              <w:rPr>
                <w:rFonts w:ascii="Times New Roman" w:hAnsi="Times New Roman" w:cs="Times New Roman"/>
                <w:bCs/>
                <w:sz w:val="24"/>
                <w:szCs w:val="24"/>
              </w:rPr>
              <w:t xml:space="preserve"> iesniegšanu </w:t>
            </w:r>
            <w:r w:rsidR="008410ED" w:rsidRPr="008410ED">
              <w:rPr>
                <w:rFonts w:ascii="Times New Roman" w:hAnsi="Times New Roman" w:cs="Times New Roman"/>
                <w:sz w:val="24"/>
                <w:szCs w:val="24"/>
              </w:rPr>
              <w:t>EEZ FI komitejā</w:t>
            </w:r>
            <w:r w:rsidRPr="008410ED">
              <w:rPr>
                <w:rFonts w:ascii="Times New Roman" w:hAnsi="Times New Roman" w:cs="Times New Roman"/>
                <w:sz w:val="24"/>
                <w:szCs w:val="24"/>
              </w:rPr>
              <w:t xml:space="preserve">.  Pēc </w:t>
            </w:r>
            <w:r w:rsidR="008410ED" w:rsidRPr="008410ED">
              <w:rPr>
                <w:rFonts w:ascii="Times New Roman" w:hAnsi="Times New Roman" w:cs="Times New Roman"/>
                <w:sz w:val="24"/>
                <w:szCs w:val="24"/>
              </w:rPr>
              <w:t xml:space="preserve">EEZ FI komitejas </w:t>
            </w:r>
            <w:r w:rsidRPr="008410ED">
              <w:rPr>
                <w:rFonts w:ascii="Times New Roman" w:hAnsi="Times New Roman" w:cs="Times New Roman"/>
                <w:sz w:val="24"/>
                <w:szCs w:val="24"/>
              </w:rPr>
              <w:t>vērtējuma un komentāru saņemšanas</w:t>
            </w:r>
            <w:r w:rsidR="008410ED" w:rsidRPr="008410ED">
              <w:rPr>
                <w:rFonts w:ascii="Times New Roman" w:hAnsi="Times New Roman" w:cs="Times New Roman"/>
                <w:sz w:val="24"/>
                <w:szCs w:val="24"/>
              </w:rPr>
              <w:t>,</w:t>
            </w:r>
            <w:r w:rsidRPr="008410ED">
              <w:rPr>
                <w:rFonts w:ascii="Times New Roman" w:hAnsi="Times New Roman" w:cs="Times New Roman"/>
                <w:sz w:val="24"/>
                <w:szCs w:val="24"/>
              </w:rPr>
              <w:t xml:space="preserve"> programmas apsaimniekotājs un vadošā iestāde piedalās programmas līguma projekta sagatavošanā. </w:t>
            </w:r>
            <w:r w:rsidR="008410ED">
              <w:rPr>
                <w:rFonts w:ascii="Times New Roman" w:hAnsi="Times New Roman" w:cs="Times New Roman"/>
                <w:sz w:val="24"/>
                <w:szCs w:val="24"/>
              </w:rPr>
              <w:t>EEZ FI komiteja</w:t>
            </w:r>
            <w:r w:rsidR="008410ED" w:rsidRPr="008410ED">
              <w:rPr>
                <w:rFonts w:ascii="Times New Roman" w:hAnsi="Times New Roman" w:cs="Times New Roman"/>
                <w:sz w:val="24"/>
                <w:szCs w:val="24"/>
              </w:rPr>
              <w:t xml:space="preserve"> </w:t>
            </w:r>
            <w:r w:rsidRPr="008410ED">
              <w:rPr>
                <w:rFonts w:ascii="Times New Roman" w:hAnsi="Times New Roman" w:cs="Times New Roman"/>
                <w:sz w:val="24"/>
                <w:szCs w:val="24"/>
              </w:rPr>
              <w:t xml:space="preserve">var noteikt papildu nosacījumus vai pieprasīt labojumus programmas līguma projektā. Ja </w:t>
            </w:r>
            <w:r w:rsidR="008410ED">
              <w:rPr>
                <w:rFonts w:ascii="Times New Roman" w:hAnsi="Times New Roman" w:cs="Times New Roman"/>
                <w:sz w:val="24"/>
                <w:szCs w:val="24"/>
              </w:rPr>
              <w:t>EEZ FI komiteja</w:t>
            </w:r>
            <w:r w:rsidR="008410ED" w:rsidRPr="008410ED">
              <w:rPr>
                <w:rFonts w:ascii="Times New Roman" w:hAnsi="Times New Roman" w:cs="Times New Roman"/>
                <w:sz w:val="24"/>
                <w:szCs w:val="24"/>
              </w:rPr>
              <w:t xml:space="preserve"> </w:t>
            </w:r>
            <w:r w:rsidRPr="008410ED">
              <w:rPr>
                <w:rFonts w:ascii="Times New Roman" w:hAnsi="Times New Roman" w:cs="Times New Roman"/>
                <w:sz w:val="24"/>
                <w:szCs w:val="24"/>
              </w:rPr>
              <w:t xml:space="preserve">pēc būtības maina programmas saturu, programmas apsaimniekotājs par to informē Ministru </w:t>
            </w:r>
            <w:r w:rsidR="00DA2D56" w:rsidRPr="008410ED">
              <w:rPr>
                <w:rFonts w:ascii="Times New Roman" w:hAnsi="Times New Roman" w:cs="Times New Roman"/>
                <w:sz w:val="24"/>
                <w:szCs w:val="24"/>
              </w:rPr>
              <w:t>k</w:t>
            </w:r>
            <w:r w:rsidRPr="008410ED">
              <w:rPr>
                <w:rFonts w:ascii="Times New Roman" w:hAnsi="Times New Roman" w:cs="Times New Roman"/>
                <w:sz w:val="24"/>
                <w:szCs w:val="24"/>
              </w:rPr>
              <w:t xml:space="preserve">abinetu pirms programmas līguma slēgšanas. Vadošā iestāde nodrošina programmas līguma slēgšanu ar </w:t>
            </w:r>
            <w:r w:rsidR="008410ED">
              <w:rPr>
                <w:rFonts w:ascii="Times New Roman" w:hAnsi="Times New Roman" w:cs="Times New Roman"/>
                <w:sz w:val="24"/>
                <w:szCs w:val="24"/>
              </w:rPr>
              <w:t>EEZ FI komiteju</w:t>
            </w:r>
            <w:r w:rsidR="00DA2D56" w:rsidRPr="008410ED">
              <w:rPr>
                <w:rFonts w:ascii="Times New Roman" w:hAnsi="Times New Roman" w:cs="Times New Roman"/>
                <w:sz w:val="24"/>
                <w:szCs w:val="24"/>
              </w:rPr>
              <w:t>.</w:t>
            </w:r>
          </w:p>
        </w:tc>
      </w:tr>
    </w:tbl>
    <w:p w:rsidR="00E5323B" w:rsidRPr="008410ED" w:rsidRDefault="00E5323B" w:rsidP="00CE66D5">
      <w:pPr>
        <w:spacing w:after="0" w:line="240" w:lineRule="auto"/>
        <w:jc w:val="both"/>
        <w:rPr>
          <w:rFonts w:ascii="Times New Roman" w:hAnsi="Times New Roman" w:cs="Times New Roman"/>
          <w:sz w:val="10"/>
          <w:szCs w:val="10"/>
        </w:rPr>
      </w:pPr>
    </w:p>
    <w:p w:rsidR="002979D5" w:rsidRPr="008410ED" w:rsidRDefault="002979D5" w:rsidP="00CE66D5">
      <w:pPr>
        <w:spacing w:after="0" w:line="240" w:lineRule="auto"/>
        <w:jc w:val="both"/>
        <w:rPr>
          <w:rFonts w:ascii="Times New Roman" w:hAnsi="Times New Roman" w:cs="Times New Roman"/>
          <w:sz w:val="28"/>
          <w:szCs w:val="28"/>
        </w:rPr>
      </w:pPr>
    </w:p>
    <w:p w:rsidR="00D209A0" w:rsidRPr="008410ED" w:rsidRDefault="00D209A0" w:rsidP="00CE66D5">
      <w:pPr>
        <w:pStyle w:val="StyleRight"/>
        <w:spacing w:after="0"/>
        <w:ind w:firstLine="0"/>
        <w:jc w:val="both"/>
        <w:rPr>
          <w:sz w:val="24"/>
          <w:szCs w:val="24"/>
        </w:rPr>
      </w:pPr>
      <w:r w:rsidRPr="008410ED">
        <w:rPr>
          <w:sz w:val="24"/>
          <w:szCs w:val="24"/>
        </w:rPr>
        <w:t>Iekšlietu ministrs</w:t>
      </w:r>
      <w:r w:rsidRPr="008410ED">
        <w:rPr>
          <w:sz w:val="24"/>
          <w:szCs w:val="24"/>
        </w:rPr>
        <w:tab/>
      </w:r>
      <w:r w:rsidRPr="008410ED">
        <w:rPr>
          <w:sz w:val="24"/>
          <w:szCs w:val="24"/>
        </w:rPr>
        <w:tab/>
      </w:r>
      <w:r w:rsidRPr="008410ED">
        <w:rPr>
          <w:sz w:val="24"/>
          <w:szCs w:val="24"/>
        </w:rPr>
        <w:tab/>
      </w:r>
      <w:r w:rsidRPr="008410ED">
        <w:rPr>
          <w:sz w:val="24"/>
          <w:szCs w:val="24"/>
        </w:rPr>
        <w:tab/>
      </w:r>
      <w:r w:rsidRPr="008410ED">
        <w:rPr>
          <w:sz w:val="24"/>
          <w:szCs w:val="24"/>
        </w:rPr>
        <w:tab/>
      </w:r>
      <w:r w:rsidRPr="008410ED">
        <w:rPr>
          <w:sz w:val="24"/>
          <w:szCs w:val="24"/>
        </w:rPr>
        <w:tab/>
      </w:r>
      <w:r w:rsidRPr="008410ED">
        <w:rPr>
          <w:sz w:val="24"/>
          <w:szCs w:val="24"/>
        </w:rPr>
        <w:tab/>
      </w:r>
      <w:r w:rsidRPr="008410ED">
        <w:rPr>
          <w:sz w:val="24"/>
          <w:szCs w:val="24"/>
        </w:rPr>
        <w:tab/>
      </w:r>
      <w:r w:rsidR="009D2B10">
        <w:rPr>
          <w:sz w:val="24"/>
          <w:szCs w:val="24"/>
        </w:rPr>
        <w:t xml:space="preserve">       </w:t>
      </w:r>
      <w:r w:rsidRPr="008410ED">
        <w:rPr>
          <w:sz w:val="24"/>
          <w:szCs w:val="24"/>
        </w:rPr>
        <w:t>R.Kozlovskis</w:t>
      </w:r>
    </w:p>
    <w:p w:rsidR="00D209A0" w:rsidRDefault="00D209A0" w:rsidP="00CE66D5">
      <w:pPr>
        <w:pStyle w:val="StyleRight"/>
        <w:spacing w:after="0"/>
        <w:ind w:firstLine="0"/>
        <w:jc w:val="both"/>
        <w:rPr>
          <w:sz w:val="24"/>
          <w:szCs w:val="24"/>
        </w:rPr>
      </w:pPr>
    </w:p>
    <w:p w:rsidR="002979D5" w:rsidRPr="008410ED" w:rsidRDefault="002979D5" w:rsidP="00CE66D5">
      <w:pPr>
        <w:pStyle w:val="StyleRight"/>
        <w:spacing w:after="0"/>
        <w:ind w:firstLine="0"/>
        <w:jc w:val="both"/>
        <w:rPr>
          <w:sz w:val="24"/>
          <w:szCs w:val="24"/>
        </w:rPr>
      </w:pPr>
    </w:p>
    <w:p w:rsidR="00D209A0" w:rsidRPr="008410ED" w:rsidRDefault="00474265" w:rsidP="00CE66D5">
      <w:pPr>
        <w:pStyle w:val="StyleRight"/>
        <w:spacing w:after="0"/>
        <w:ind w:firstLine="0"/>
        <w:jc w:val="both"/>
        <w:rPr>
          <w:sz w:val="24"/>
          <w:szCs w:val="24"/>
        </w:rPr>
      </w:pPr>
      <w:r>
        <w:rPr>
          <w:sz w:val="24"/>
          <w:szCs w:val="24"/>
        </w:rPr>
        <w:t>Vīza</w:t>
      </w:r>
      <w:r w:rsidR="002979D5">
        <w:rPr>
          <w:sz w:val="24"/>
          <w:szCs w:val="24"/>
        </w:rPr>
        <w:t xml:space="preserve">: </w:t>
      </w:r>
      <w:r w:rsidR="00D209A0" w:rsidRPr="008410ED">
        <w:rPr>
          <w:sz w:val="24"/>
          <w:szCs w:val="24"/>
        </w:rPr>
        <w:t xml:space="preserve">Iekšlietu </w:t>
      </w:r>
      <w:r w:rsidR="007C0DB2">
        <w:rPr>
          <w:sz w:val="24"/>
          <w:szCs w:val="24"/>
        </w:rPr>
        <w:t>ministr</w:t>
      </w:r>
      <w:r w:rsidR="00D33BAA">
        <w:rPr>
          <w:sz w:val="24"/>
          <w:szCs w:val="24"/>
        </w:rPr>
        <w:t>ijas valsts sekretārs</w:t>
      </w:r>
      <w:r w:rsidR="00D33BAA">
        <w:rPr>
          <w:sz w:val="24"/>
          <w:szCs w:val="24"/>
        </w:rPr>
        <w:tab/>
      </w:r>
      <w:r w:rsidR="00D33BAA">
        <w:rPr>
          <w:sz w:val="24"/>
          <w:szCs w:val="24"/>
        </w:rPr>
        <w:tab/>
      </w:r>
      <w:r w:rsidR="00D33BAA">
        <w:rPr>
          <w:sz w:val="24"/>
          <w:szCs w:val="24"/>
        </w:rPr>
        <w:tab/>
        <w:t xml:space="preserve">        </w:t>
      </w:r>
      <w:r w:rsidR="00D33BAA">
        <w:rPr>
          <w:sz w:val="24"/>
          <w:szCs w:val="24"/>
        </w:rPr>
        <w:tab/>
        <w:t xml:space="preserve">      </w:t>
      </w:r>
      <w:r w:rsidR="00D33BAA">
        <w:rPr>
          <w:sz w:val="24"/>
          <w:szCs w:val="24"/>
        </w:rPr>
        <w:tab/>
        <w:t xml:space="preserve">        D.Trofimovs</w:t>
      </w:r>
    </w:p>
    <w:p w:rsidR="00C262BE" w:rsidRDefault="00C262BE" w:rsidP="00CE66D5">
      <w:pPr>
        <w:spacing w:after="0" w:line="240" w:lineRule="auto"/>
        <w:jc w:val="both"/>
        <w:rPr>
          <w:rFonts w:ascii="Times New Roman" w:hAnsi="Times New Roman" w:cs="Times New Roman"/>
          <w:sz w:val="18"/>
          <w:szCs w:val="18"/>
        </w:rPr>
      </w:pPr>
    </w:p>
    <w:p w:rsidR="00D209A0" w:rsidRPr="008410ED" w:rsidRDefault="00D209A0" w:rsidP="00CE66D5">
      <w:pPr>
        <w:spacing w:after="0" w:line="240" w:lineRule="auto"/>
        <w:jc w:val="both"/>
        <w:rPr>
          <w:rFonts w:ascii="Times New Roman" w:hAnsi="Times New Roman" w:cs="Times New Roman"/>
          <w:sz w:val="18"/>
          <w:szCs w:val="18"/>
        </w:rPr>
      </w:pPr>
      <w:r w:rsidRPr="008410ED">
        <w:rPr>
          <w:rFonts w:ascii="Times New Roman" w:hAnsi="Times New Roman" w:cs="Times New Roman"/>
          <w:sz w:val="18"/>
          <w:szCs w:val="18"/>
        </w:rPr>
        <w:t>I.Baranovska 67219557</w:t>
      </w:r>
    </w:p>
    <w:p w:rsidR="00D209A0" w:rsidRPr="008410ED" w:rsidRDefault="001046E8" w:rsidP="00CE66D5">
      <w:pPr>
        <w:spacing w:after="0" w:line="240" w:lineRule="auto"/>
        <w:jc w:val="both"/>
        <w:rPr>
          <w:rFonts w:ascii="Times New Roman" w:hAnsi="Times New Roman" w:cs="Times New Roman"/>
          <w:sz w:val="18"/>
          <w:szCs w:val="18"/>
        </w:rPr>
      </w:pPr>
      <w:hyperlink r:id="rId9" w:history="1">
        <w:r w:rsidR="00D209A0" w:rsidRPr="008410ED">
          <w:rPr>
            <w:rStyle w:val="Hyperlink"/>
            <w:rFonts w:ascii="Times New Roman" w:hAnsi="Times New Roman" w:cs="Times New Roman"/>
            <w:color w:val="auto"/>
            <w:sz w:val="18"/>
            <w:szCs w:val="18"/>
            <w:u w:val="none"/>
          </w:rPr>
          <w:t>ilze.baranovska@iem.gov.lv</w:t>
        </w:r>
      </w:hyperlink>
      <w:r w:rsidR="00D209A0" w:rsidRPr="008410ED">
        <w:rPr>
          <w:rFonts w:ascii="Times New Roman" w:hAnsi="Times New Roman" w:cs="Times New Roman"/>
          <w:sz w:val="18"/>
          <w:szCs w:val="18"/>
        </w:rPr>
        <w:t xml:space="preserve"> </w:t>
      </w:r>
    </w:p>
    <w:p w:rsidR="00752C9B" w:rsidRPr="008410ED" w:rsidRDefault="00752C9B" w:rsidP="00002413">
      <w:pPr>
        <w:spacing w:after="0" w:line="240" w:lineRule="auto"/>
        <w:jc w:val="both"/>
        <w:rPr>
          <w:rFonts w:ascii="Times New Roman" w:hAnsi="Times New Roman" w:cs="Times New Roman"/>
          <w:sz w:val="18"/>
          <w:szCs w:val="18"/>
        </w:rPr>
      </w:pPr>
    </w:p>
    <w:p w:rsidR="00002413" w:rsidRPr="008410ED" w:rsidRDefault="00002413" w:rsidP="00002413">
      <w:pPr>
        <w:spacing w:after="0" w:line="240" w:lineRule="auto"/>
        <w:jc w:val="both"/>
        <w:rPr>
          <w:rFonts w:ascii="Times New Roman" w:hAnsi="Times New Roman" w:cs="Times New Roman"/>
          <w:sz w:val="18"/>
          <w:szCs w:val="18"/>
        </w:rPr>
      </w:pPr>
      <w:r w:rsidRPr="008410ED">
        <w:rPr>
          <w:rFonts w:ascii="Times New Roman" w:hAnsi="Times New Roman" w:cs="Times New Roman"/>
          <w:sz w:val="18"/>
          <w:szCs w:val="18"/>
        </w:rPr>
        <w:t>D.Lapoško 67219112</w:t>
      </w:r>
    </w:p>
    <w:p w:rsidR="00002413" w:rsidRPr="008410ED" w:rsidRDefault="001046E8" w:rsidP="00752C9B">
      <w:pPr>
        <w:spacing w:after="0" w:line="240" w:lineRule="auto"/>
        <w:jc w:val="both"/>
        <w:rPr>
          <w:rFonts w:ascii="Times New Roman" w:hAnsi="Times New Roman" w:cs="Times New Roman"/>
          <w:sz w:val="18"/>
          <w:szCs w:val="18"/>
        </w:rPr>
      </w:pPr>
      <w:hyperlink r:id="rId10" w:history="1">
        <w:r w:rsidR="00002413" w:rsidRPr="008410ED">
          <w:rPr>
            <w:rStyle w:val="Hyperlink"/>
            <w:rFonts w:ascii="Times New Roman" w:hAnsi="Times New Roman" w:cs="Times New Roman"/>
            <w:color w:val="auto"/>
            <w:sz w:val="18"/>
            <w:szCs w:val="18"/>
            <w:u w:val="none"/>
          </w:rPr>
          <w:t>diana.laposko@iem.gov.lv</w:t>
        </w:r>
      </w:hyperlink>
    </w:p>
    <w:sectPr w:rsidR="00002413" w:rsidRPr="008410ED" w:rsidSect="009A2654">
      <w:footerReference w:type="defaul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6E8" w:rsidRDefault="001046E8" w:rsidP="00894C55">
      <w:pPr>
        <w:spacing w:after="0" w:line="240" w:lineRule="auto"/>
      </w:pPr>
      <w:r>
        <w:separator/>
      </w:r>
    </w:p>
  </w:endnote>
  <w:endnote w:type="continuationSeparator" w:id="0">
    <w:p w:rsidR="001046E8" w:rsidRDefault="001046E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72745221"/>
      <w:docPartObj>
        <w:docPartGallery w:val="Page Numbers (Bottom of Page)"/>
        <w:docPartUnique/>
      </w:docPartObj>
    </w:sdtPr>
    <w:sdtEndPr>
      <w:rPr>
        <w:rFonts w:ascii="Times New Roman" w:hAnsi="Times New Roman" w:cs="Times New Roman"/>
        <w:noProof/>
      </w:rPr>
    </w:sdtEndPr>
    <w:sdtContent>
      <w:p w:rsidR="00474265" w:rsidRPr="009D2B10" w:rsidRDefault="00474265">
        <w:pPr>
          <w:pStyle w:val="Footer"/>
          <w:jc w:val="center"/>
          <w:rPr>
            <w:rFonts w:ascii="Times New Roman" w:hAnsi="Times New Roman" w:cs="Times New Roman"/>
            <w:noProof/>
            <w:sz w:val="20"/>
            <w:szCs w:val="20"/>
          </w:rPr>
        </w:pPr>
        <w:r w:rsidRPr="009D2B10">
          <w:rPr>
            <w:rFonts w:ascii="Times New Roman" w:hAnsi="Times New Roman" w:cs="Times New Roman"/>
            <w:sz w:val="20"/>
            <w:szCs w:val="20"/>
          </w:rPr>
          <w:fldChar w:fldCharType="begin"/>
        </w:r>
        <w:r w:rsidRPr="009D2B10">
          <w:rPr>
            <w:rFonts w:ascii="Times New Roman" w:hAnsi="Times New Roman" w:cs="Times New Roman"/>
            <w:sz w:val="20"/>
            <w:szCs w:val="20"/>
          </w:rPr>
          <w:instrText xml:space="preserve"> PAGE   \* MERGEFORMAT </w:instrText>
        </w:r>
        <w:r w:rsidRPr="009D2B10">
          <w:rPr>
            <w:rFonts w:ascii="Times New Roman" w:hAnsi="Times New Roman" w:cs="Times New Roman"/>
            <w:sz w:val="20"/>
            <w:szCs w:val="20"/>
          </w:rPr>
          <w:fldChar w:fldCharType="separate"/>
        </w:r>
        <w:r w:rsidR="006F479B">
          <w:rPr>
            <w:rFonts w:ascii="Times New Roman" w:hAnsi="Times New Roman" w:cs="Times New Roman"/>
            <w:noProof/>
            <w:sz w:val="20"/>
            <w:szCs w:val="20"/>
          </w:rPr>
          <w:t>19</w:t>
        </w:r>
        <w:r w:rsidRPr="009D2B10">
          <w:rPr>
            <w:rFonts w:ascii="Times New Roman" w:hAnsi="Times New Roman" w:cs="Times New Roman"/>
            <w:noProof/>
            <w:sz w:val="20"/>
            <w:szCs w:val="20"/>
          </w:rPr>
          <w:fldChar w:fldCharType="end"/>
        </w:r>
      </w:p>
      <w:p w:rsidR="00474265" w:rsidRPr="009D2B10" w:rsidRDefault="00474265" w:rsidP="009D2B10">
        <w:pPr>
          <w:pStyle w:val="Footer"/>
          <w:rPr>
            <w:rFonts w:ascii="Times New Roman" w:hAnsi="Times New Roman" w:cs="Times New Roman"/>
            <w:sz w:val="20"/>
            <w:szCs w:val="20"/>
          </w:rPr>
        </w:pPr>
        <w:r w:rsidRPr="009D2B10">
          <w:rPr>
            <w:rFonts w:ascii="Times New Roman" w:hAnsi="Times New Roman" w:cs="Times New Roman"/>
            <w:noProof/>
            <w:sz w:val="20"/>
            <w:szCs w:val="20"/>
          </w:rPr>
          <w:t>IEManot_130818_EEZ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6E8" w:rsidRDefault="001046E8" w:rsidP="00894C55">
      <w:pPr>
        <w:spacing w:after="0" w:line="240" w:lineRule="auto"/>
      </w:pPr>
      <w:r>
        <w:separator/>
      </w:r>
    </w:p>
  </w:footnote>
  <w:footnote w:type="continuationSeparator" w:id="0">
    <w:p w:rsidR="001046E8" w:rsidRDefault="001046E8" w:rsidP="00894C55">
      <w:pPr>
        <w:spacing w:after="0" w:line="240" w:lineRule="auto"/>
      </w:pPr>
      <w:r>
        <w:continuationSeparator/>
      </w:r>
    </w:p>
  </w:footnote>
  <w:footnote w:id="1">
    <w:p w:rsidR="00474265" w:rsidRPr="006A2679" w:rsidRDefault="00474265" w:rsidP="00BC61D8">
      <w:pPr>
        <w:pStyle w:val="FootnoteText"/>
        <w:rPr>
          <w:rFonts w:ascii="Times New Roman" w:hAnsi="Times New Roman"/>
          <w:i/>
          <w:sz w:val="16"/>
          <w:szCs w:val="16"/>
          <w:lang w:val="lv-LV"/>
        </w:rPr>
      </w:pPr>
      <w:r w:rsidRPr="006A2679">
        <w:rPr>
          <w:rStyle w:val="FootnoteReference"/>
          <w:rFonts w:ascii="Times New Roman" w:hAnsi="Times New Roman"/>
          <w:i/>
          <w:sz w:val="16"/>
          <w:szCs w:val="16"/>
        </w:rPr>
        <w:footnoteRef/>
      </w:r>
      <w:r w:rsidRPr="006A2679">
        <w:rPr>
          <w:rFonts w:ascii="Times New Roman" w:hAnsi="Times New Roman"/>
          <w:i/>
          <w:sz w:val="16"/>
          <w:szCs w:val="16"/>
        </w:rPr>
        <w:t xml:space="preserve"> </w:t>
      </w:r>
      <w:r w:rsidRPr="006A2679">
        <w:rPr>
          <w:rFonts w:ascii="Times New Roman" w:hAnsi="Times New Roman"/>
          <w:i/>
          <w:sz w:val="16"/>
          <w:szCs w:val="16"/>
          <w:lang w:val="lv-LV"/>
        </w:rPr>
        <w:t>Kopējais lietu skaits dalīts ar kopējo izmeklētāju skaitu (Marts,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976"/>
    <w:multiLevelType w:val="hybridMultilevel"/>
    <w:tmpl w:val="617E8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B5A4E"/>
    <w:multiLevelType w:val="hybridMultilevel"/>
    <w:tmpl w:val="385204A4"/>
    <w:lvl w:ilvl="0" w:tplc="3AD8C31A">
      <w:start w:val="1"/>
      <w:numFmt w:val="bullet"/>
      <w:lvlText w:val="-"/>
      <w:lvlJc w:val="left"/>
      <w:pPr>
        <w:ind w:left="720" w:hanging="360"/>
      </w:pPr>
      <w:rPr>
        <w:rFonts w:ascii="Times New Roman" w:eastAsia="Times New Roman" w:hAnsi="Times New Roman" w:cs="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133286"/>
    <w:multiLevelType w:val="hybridMultilevel"/>
    <w:tmpl w:val="462A2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476526"/>
    <w:multiLevelType w:val="hybridMultilevel"/>
    <w:tmpl w:val="740687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1D47EF"/>
    <w:multiLevelType w:val="hybridMultilevel"/>
    <w:tmpl w:val="456CD48E"/>
    <w:lvl w:ilvl="0" w:tplc="7B6C7ECE">
      <w:start w:val="28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5066CA"/>
    <w:multiLevelType w:val="hybridMultilevel"/>
    <w:tmpl w:val="D616B472"/>
    <w:lvl w:ilvl="0" w:tplc="0E3680CE">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7D032B97"/>
    <w:multiLevelType w:val="hybridMultilevel"/>
    <w:tmpl w:val="A3FCAB32"/>
    <w:lvl w:ilvl="0" w:tplc="E1947ED2">
      <w:start w:val="7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7E2E1015"/>
    <w:multiLevelType w:val="hybridMultilevel"/>
    <w:tmpl w:val="35FA0920"/>
    <w:lvl w:ilvl="0" w:tplc="F604C1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413"/>
    <w:rsid w:val="000038C6"/>
    <w:rsid w:val="00007DD1"/>
    <w:rsid w:val="00021BB7"/>
    <w:rsid w:val="00024DA1"/>
    <w:rsid w:val="0002554F"/>
    <w:rsid w:val="00034300"/>
    <w:rsid w:val="00072C67"/>
    <w:rsid w:val="000A078A"/>
    <w:rsid w:val="000A7A2E"/>
    <w:rsid w:val="000E4AE5"/>
    <w:rsid w:val="00103160"/>
    <w:rsid w:val="001046E8"/>
    <w:rsid w:val="001301C7"/>
    <w:rsid w:val="00154615"/>
    <w:rsid w:val="00156337"/>
    <w:rsid w:val="001603CF"/>
    <w:rsid w:val="001633E3"/>
    <w:rsid w:val="001633FB"/>
    <w:rsid w:val="00163D10"/>
    <w:rsid w:val="00167856"/>
    <w:rsid w:val="001838AE"/>
    <w:rsid w:val="001A6723"/>
    <w:rsid w:val="001B4272"/>
    <w:rsid w:val="001C3CD4"/>
    <w:rsid w:val="001D257A"/>
    <w:rsid w:val="001E12FB"/>
    <w:rsid w:val="002107AD"/>
    <w:rsid w:val="00223CE5"/>
    <w:rsid w:val="00243426"/>
    <w:rsid w:val="00257933"/>
    <w:rsid w:val="00270D76"/>
    <w:rsid w:val="00287A74"/>
    <w:rsid w:val="00294E35"/>
    <w:rsid w:val="002979D5"/>
    <w:rsid w:val="002A6B7D"/>
    <w:rsid w:val="002B5EC5"/>
    <w:rsid w:val="002D0551"/>
    <w:rsid w:val="002E0DEA"/>
    <w:rsid w:val="002E1C05"/>
    <w:rsid w:val="002E2D41"/>
    <w:rsid w:val="002F20B0"/>
    <w:rsid w:val="00301870"/>
    <w:rsid w:val="0032158F"/>
    <w:rsid w:val="003407D4"/>
    <w:rsid w:val="00344F1D"/>
    <w:rsid w:val="00373031"/>
    <w:rsid w:val="00374BB0"/>
    <w:rsid w:val="00375F52"/>
    <w:rsid w:val="00377652"/>
    <w:rsid w:val="00397BA1"/>
    <w:rsid w:val="003B0BF9"/>
    <w:rsid w:val="003B13CF"/>
    <w:rsid w:val="003C7459"/>
    <w:rsid w:val="003D2463"/>
    <w:rsid w:val="003E0791"/>
    <w:rsid w:val="003E4E98"/>
    <w:rsid w:val="003F111A"/>
    <w:rsid w:val="003F28AC"/>
    <w:rsid w:val="003F637E"/>
    <w:rsid w:val="00412330"/>
    <w:rsid w:val="00415720"/>
    <w:rsid w:val="004359F0"/>
    <w:rsid w:val="004454FE"/>
    <w:rsid w:val="004526FE"/>
    <w:rsid w:val="00456E40"/>
    <w:rsid w:val="00471F27"/>
    <w:rsid w:val="00474265"/>
    <w:rsid w:val="00480A7D"/>
    <w:rsid w:val="00484A79"/>
    <w:rsid w:val="004A4454"/>
    <w:rsid w:val="004A59A3"/>
    <w:rsid w:val="004A6B6D"/>
    <w:rsid w:val="004B3728"/>
    <w:rsid w:val="004D2998"/>
    <w:rsid w:val="004E6D16"/>
    <w:rsid w:val="0050178F"/>
    <w:rsid w:val="00544748"/>
    <w:rsid w:val="00574650"/>
    <w:rsid w:val="00574B1E"/>
    <w:rsid w:val="005767AF"/>
    <w:rsid w:val="005944BA"/>
    <w:rsid w:val="005A6265"/>
    <w:rsid w:val="005A6F1A"/>
    <w:rsid w:val="005C296C"/>
    <w:rsid w:val="005C6918"/>
    <w:rsid w:val="005C6A6E"/>
    <w:rsid w:val="005D4E99"/>
    <w:rsid w:val="005D5FDA"/>
    <w:rsid w:val="005E738C"/>
    <w:rsid w:val="005F7912"/>
    <w:rsid w:val="00643680"/>
    <w:rsid w:val="00644200"/>
    <w:rsid w:val="00644D36"/>
    <w:rsid w:val="006557BE"/>
    <w:rsid w:val="00655F2C"/>
    <w:rsid w:val="006851D4"/>
    <w:rsid w:val="00686D86"/>
    <w:rsid w:val="006A64E1"/>
    <w:rsid w:val="006B56DA"/>
    <w:rsid w:val="006D34F7"/>
    <w:rsid w:val="006E1081"/>
    <w:rsid w:val="006E476C"/>
    <w:rsid w:val="006F479B"/>
    <w:rsid w:val="006F4C0A"/>
    <w:rsid w:val="00700FC8"/>
    <w:rsid w:val="00702478"/>
    <w:rsid w:val="00706E4B"/>
    <w:rsid w:val="007107C6"/>
    <w:rsid w:val="007113AA"/>
    <w:rsid w:val="00720585"/>
    <w:rsid w:val="0072176C"/>
    <w:rsid w:val="00727160"/>
    <w:rsid w:val="00733F5D"/>
    <w:rsid w:val="00752C9B"/>
    <w:rsid w:val="00764B71"/>
    <w:rsid w:val="00773AF6"/>
    <w:rsid w:val="00790A64"/>
    <w:rsid w:val="00795F71"/>
    <w:rsid w:val="007A4C95"/>
    <w:rsid w:val="007A55B8"/>
    <w:rsid w:val="007B72C3"/>
    <w:rsid w:val="007C0DB2"/>
    <w:rsid w:val="007C654A"/>
    <w:rsid w:val="007D5E7E"/>
    <w:rsid w:val="007E5F7A"/>
    <w:rsid w:val="007E73AB"/>
    <w:rsid w:val="007F5718"/>
    <w:rsid w:val="00801F9F"/>
    <w:rsid w:val="00816C11"/>
    <w:rsid w:val="0082446D"/>
    <w:rsid w:val="008370C2"/>
    <w:rsid w:val="00837475"/>
    <w:rsid w:val="008410ED"/>
    <w:rsid w:val="00845642"/>
    <w:rsid w:val="008542C3"/>
    <w:rsid w:val="00864FED"/>
    <w:rsid w:val="00873784"/>
    <w:rsid w:val="0088653F"/>
    <w:rsid w:val="00894753"/>
    <w:rsid w:val="00894C55"/>
    <w:rsid w:val="008C414B"/>
    <w:rsid w:val="008C6B50"/>
    <w:rsid w:val="008D00C3"/>
    <w:rsid w:val="008D5C6D"/>
    <w:rsid w:val="008F1F1E"/>
    <w:rsid w:val="008F2BC1"/>
    <w:rsid w:val="008F6EE2"/>
    <w:rsid w:val="00923295"/>
    <w:rsid w:val="009412F6"/>
    <w:rsid w:val="00956BE8"/>
    <w:rsid w:val="00964D19"/>
    <w:rsid w:val="00965D4E"/>
    <w:rsid w:val="009A2654"/>
    <w:rsid w:val="009D2B10"/>
    <w:rsid w:val="009D64E5"/>
    <w:rsid w:val="009D6F7C"/>
    <w:rsid w:val="00A1009F"/>
    <w:rsid w:val="00A10FC3"/>
    <w:rsid w:val="00A17959"/>
    <w:rsid w:val="00A35F59"/>
    <w:rsid w:val="00A6033C"/>
    <w:rsid w:val="00A6073E"/>
    <w:rsid w:val="00A616FE"/>
    <w:rsid w:val="00A63001"/>
    <w:rsid w:val="00A66A41"/>
    <w:rsid w:val="00A73E98"/>
    <w:rsid w:val="00AD37F2"/>
    <w:rsid w:val="00AE2103"/>
    <w:rsid w:val="00AE5567"/>
    <w:rsid w:val="00AF1239"/>
    <w:rsid w:val="00B1554A"/>
    <w:rsid w:val="00B16480"/>
    <w:rsid w:val="00B2165C"/>
    <w:rsid w:val="00B244AC"/>
    <w:rsid w:val="00B54131"/>
    <w:rsid w:val="00B73AD2"/>
    <w:rsid w:val="00B7602E"/>
    <w:rsid w:val="00B81636"/>
    <w:rsid w:val="00B9738C"/>
    <w:rsid w:val="00BA20AA"/>
    <w:rsid w:val="00BC5DBB"/>
    <w:rsid w:val="00BC61D8"/>
    <w:rsid w:val="00BC68AB"/>
    <w:rsid w:val="00BD0E80"/>
    <w:rsid w:val="00BD4425"/>
    <w:rsid w:val="00BF1831"/>
    <w:rsid w:val="00BF53CD"/>
    <w:rsid w:val="00C00A2B"/>
    <w:rsid w:val="00C02E46"/>
    <w:rsid w:val="00C17805"/>
    <w:rsid w:val="00C206F8"/>
    <w:rsid w:val="00C21E91"/>
    <w:rsid w:val="00C25B49"/>
    <w:rsid w:val="00C262BE"/>
    <w:rsid w:val="00C52574"/>
    <w:rsid w:val="00CC0D2D"/>
    <w:rsid w:val="00CC4470"/>
    <w:rsid w:val="00CD03B5"/>
    <w:rsid w:val="00CD4383"/>
    <w:rsid w:val="00CE26EC"/>
    <w:rsid w:val="00CE5657"/>
    <w:rsid w:val="00CE66D5"/>
    <w:rsid w:val="00CF41FE"/>
    <w:rsid w:val="00D03B60"/>
    <w:rsid w:val="00D133F8"/>
    <w:rsid w:val="00D14A3E"/>
    <w:rsid w:val="00D209A0"/>
    <w:rsid w:val="00D22039"/>
    <w:rsid w:val="00D23622"/>
    <w:rsid w:val="00D33BAA"/>
    <w:rsid w:val="00D340EE"/>
    <w:rsid w:val="00D54927"/>
    <w:rsid w:val="00D7754D"/>
    <w:rsid w:val="00D95671"/>
    <w:rsid w:val="00DA2D56"/>
    <w:rsid w:val="00DA3824"/>
    <w:rsid w:val="00DB4246"/>
    <w:rsid w:val="00DC2F4D"/>
    <w:rsid w:val="00DE0535"/>
    <w:rsid w:val="00DF1F1F"/>
    <w:rsid w:val="00E11D4E"/>
    <w:rsid w:val="00E156DE"/>
    <w:rsid w:val="00E2405F"/>
    <w:rsid w:val="00E3716B"/>
    <w:rsid w:val="00E379B1"/>
    <w:rsid w:val="00E42659"/>
    <w:rsid w:val="00E43A92"/>
    <w:rsid w:val="00E5323B"/>
    <w:rsid w:val="00E70E85"/>
    <w:rsid w:val="00E82FC6"/>
    <w:rsid w:val="00E8749E"/>
    <w:rsid w:val="00E907E8"/>
    <w:rsid w:val="00E90C01"/>
    <w:rsid w:val="00E939F9"/>
    <w:rsid w:val="00EA486E"/>
    <w:rsid w:val="00EB374C"/>
    <w:rsid w:val="00EB58D6"/>
    <w:rsid w:val="00EB5D68"/>
    <w:rsid w:val="00EB5FE7"/>
    <w:rsid w:val="00EC2237"/>
    <w:rsid w:val="00EC71B7"/>
    <w:rsid w:val="00EF0E4B"/>
    <w:rsid w:val="00F1458B"/>
    <w:rsid w:val="00F36327"/>
    <w:rsid w:val="00F41B67"/>
    <w:rsid w:val="00F4751F"/>
    <w:rsid w:val="00F57B0C"/>
    <w:rsid w:val="00F6049A"/>
    <w:rsid w:val="00F61C02"/>
    <w:rsid w:val="00F63236"/>
    <w:rsid w:val="00F662E7"/>
    <w:rsid w:val="00F74F93"/>
    <w:rsid w:val="00F83416"/>
    <w:rsid w:val="00F91B54"/>
    <w:rsid w:val="00FA43A1"/>
    <w:rsid w:val="00FC2268"/>
    <w:rsid w:val="00FE0F9F"/>
    <w:rsid w:val="00FE17DA"/>
    <w:rsid w:val="00FE623D"/>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C73B1-78C4-4682-A984-4F29905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413"/>
  </w:style>
  <w:style w:type="paragraph" w:styleId="Heading2">
    <w:name w:val="heading 2"/>
    <w:basedOn w:val="Normal"/>
    <w:next w:val="Normal"/>
    <w:link w:val="Heading2Char"/>
    <w:uiPriority w:val="9"/>
    <w:semiHidden/>
    <w:unhideWhenUsed/>
    <w:qFormat/>
    <w:rsid w:val="00A66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4C9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397BA1"/>
    <w:pPr>
      <w:spacing w:before="100" w:beforeAutospacing="1" w:after="119"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1870"/>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30187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01870"/>
    <w:rPr>
      <w:rFonts w:ascii="Times New Roman" w:eastAsia="Times New Roman" w:hAnsi="Times New Roman" w:cs="Times New Roman"/>
      <w:sz w:val="20"/>
      <w:szCs w:val="20"/>
      <w:lang w:eastAsia="lv-LV"/>
    </w:rPr>
  </w:style>
  <w:style w:type="character" w:styleId="Emphasis">
    <w:name w:val="Emphasis"/>
    <w:basedOn w:val="DefaultParagraphFont"/>
    <w:uiPriority w:val="20"/>
    <w:qFormat/>
    <w:rsid w:val="00A616FE"/>
    <w:rPr>
      <w:rFonts w:cs="Times New Roman"/>
      <w:b/>
      <w:bCs/>
    </w:rPr>
  </w:style>
  <w:style w:type="character" w:customStyle="1" w:styleId="st">
    <w:name w:val="st"/>
    <w:basedOn w:val="DefaultParagraphFont"/>
    <w:uiPriority w:val="99"/>
    <w:rsid w:val="00A616FE"/>
    <w:rPr>
      <w:rFonts w:cs="Times New Roman"/>
    </w:rPr>
  </w:style>
  <w:style w:type="paragraph" w:customStyle="1" w:styleId="naiskr">
    <w:name w:val="naiskr"/>
    <w:basedOn w:val="Normal"/>
    <w:uiPriority w:val="99"/>
    <w:rsid w:val="00A616FE"/>
    <w:pPr>
      <w:spacing w:before="75" w:after="75" w:line="240" w:lineRule="auto"/>
    </w:pPr>
    <w:rPr>
      <w:rFonts w:ascii="Times New Roman" w:eastAsia="Times New Roman" w:hAnsi="Times New Roman" w:cs="Times New Roman"/>
      <w:sz w:val="24"/>
      <w:szCs w:val="24"/>
      <w:lang w:eastAsia="lv-LV"/>
    </w:rPr>
  </w:style>
  <w:style w:type="paragraph" w:customStyle="1" w:styleId="StyleRight">
    <w:name w:val="Style Right"/>
    <w:basedOn w:val="Normal"/>
    <w:rsid w:val="00D209A0"/>
    <w:pPr>
      <w:spacing w:after="120" w:line="240" w:lineRule="auto"/>
      <w:ind w:firstLine="720"/>
      <w:jc w:val="right"/>
    </w:pPr>
    <w:rPr>
      <w:rFonts w:ascii="Times New Roman" w:eastAsia="Times New Roman" w:hAnsi="Times New Roman" w:cs="Times New Roman"/>
      <w:sz w:val="28"/>
      <w:szCs w:val="28"/>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n,f"/>
    <w:basedOn w:val="Normal"/>
    <w:link w:val="FootnoteTextChar"/>
    <w:uiPriority w:val="99"/>
    <w:unhideWhenUsed/>
    <w:qFormat/>
    <w:rsid w:val="003F637E"/>
    <w:pPr>
      <w:spacing w:after="200" w:line="276" w:lineRule="auto"/>
    </w:pPr>
    <w:rPr>
      <w:rFonts w:ascii="Calibri" w:eastAsia="Calibri" w:hAnsi="Calibri" w:cs="Times New Roman"/>
      <w:sz w:val="20"/>
      <w:szCs w:val="20"/>
      <w:lang w:val="en-GB"/>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n Char,f Char"/>
    <w:basedOn w:val="DefaultParagraphFont"/>
    <w:link w:val="FootnoteText"/>
    <w:uiPriority w:val="99"/>
    <w:rsid w:val="003F637E"/>
    <w:rPr>
      <w:rFonts w:ascii="Calibri" w:eastAsia="Calibri" w:hAnsi="Calibri" w:cs="Times New Roman"/>
      <w:sz w:val="20"/>
      <w:szCs w:val="20"/>
      <w:lang w:val="en-GB"/>
    </w:rPr>
  </w:style>
  <w:style w:type="character" w:styleId="FootnoteReference">
    <w:name w:val="footnote reference"/>
    <w:aliases w:val="fr,ftref,Footnote Reference Number,Footnote symbol,SUPERS,BVI fnr,Footnote,Footnote Reference Superscript,(Footnote Reference),Footnote reference number,note TESI,EN Footnote Reference,Voetnootverwijzing,Times 10 Point,Ref"/>
    <w:uiPriority w:val="99"/>
    <w:unhideWhenUsed/>
    <w:qFormat/>
    <w:rsid w:val="003F637E"/>
    <w:rPr>
      <w:vertAlign w:val="superscript"/>
    </w:rPr>
  </w:style>
  <w:style w:type="table" w:styleId="TableGrid">
    <w:name w:val="Table Grid"/>
    <w:basedOn w:val="TableNormal"/>
    <w:uiPriority w:val="39"/>
    <w:rsid w:val="003F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2E7"/>
    <w:pPr>
      <w:spacing w:after="0" w:line="240" w:lineRule="auto"/>
    </w:pPr>
  </w:style>
  <w:style w:type="character" w:customStyle="1" w:styleId="Heading3Char">
    <w:name w:val="Heading 3 Char"/>
    <w:basedOn w:val="DefaultParagraphFont"/>
    <w:link w:val="Heading3"/>
    <w:uiPriority w:val="9"/>
    <w:rsid w:val="007A4C95"/>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923295"/>
    <w:rPr>
      <w:b/>
      <w:bCs/>
    </w:rPr>
  </w:style>
  <w:style w:type="paragraph" w:styleId="HTMLPreformatted">
    <w:name w:val="HTML Preformatted"/>
    <w:basedOn w:val="Normal"/>
    <w:link w:val="HTMLPreformattedChar"/>
    <w:uiPriority w:val="99"/>
    <w:unhideWhenUsed/>
    <w:rsid w:val="0095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56BE8"/>
    <w:rPr>
      <w:rFonts w:ascii="Courier New" w:eastAsia="Times New Roman" w:hAnsi="Courier New" w:cs="Courier New"/>
      <w:sz w:val="20"/>
      <w:szCs w:val="20"/>
      <w:lang w:eastAsia="lv-LV"/>
    </w:rPr>
  </w:style>
  <w:style w:type="character" w:customStyle="1" w:styleId="Heading2Char">
    <w:name w:val="Heading 2 Char"/>
    <w:basedOn w:val="DefaultParagraphFont"/>
    <w:link w:val="Heading2"/>
    <w:uiPriority w:val="9"/>
    <w:semiHidden/>
    <w:rsid w:val="00A66A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2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344689">
      <w:bodyDiv w:val="1"/>
      <w:marLeft w:val="0"/>
      <w:marRight w:val="0"/>
      <w:marTop w:val="0"/>
      <w:marBottom w:val="0"/>
      <w:divBdr>
        <w:top w:val="none" w:sz="0" w:space="0" w:color="auto"/>
        <w:left w:val="none" w:sz="0" w:space="0" w:color="auto"/>
        <w:bottom w:val="none" w:sz="0" w:space="0" w:color="auto"/>
        <w:right w:val="none" w:sz="0" w:space="0" w:color="auto"/>
      </w:divBdr>
    </w:div>
    <w:div w:id="488596761">
      <w:bodyDiv w:val="1"/>
      <w:marLeft w:val="0"/>
      <w:marRight w:val="0"/>
      <w:marTop w:val="0"/>
      <w:marBottom w:val="0"/>
      <w:divBdr>
        <w:top w:val="none" w:sz="0" w:space="0" w:color="auto"/>
        <w:left w:val="none" w:sz="0" w:space="0" w:color="auto"/>
        <w:bottom w:val="none" w:sz="0" w:space="0" w:color="auto"/>
        <w:right w:val="none" w:sz="0" w:space="0" w:color="auto"/>
      </w:divBdr>
    </w:div>
    <w:div w:id="653991243">
      <w:bodyDiv w:val="1"/>
      <w:marLeft w:val="0"/>
      <w:marRight w:val="0"/>
      <w:marTop w:val="0"/>
      <w:marBottom w:val="0"/>
      <w:divBdr>
        <w:top w:val="none" w:sz="0" w:space="0" w:color="auto"/>
        <w:left w:val="none" w:sz="0" w:space="0" w:color="auto"/>
        <w:bottom w:val="none" w:sz="0" w:space="0" w:color="auto"/>
        <w:right w:val="none" w:sz="0" w:space="0" w:color="auto"/>
      </w:divBdr>
    </w:div>
    <w:div w:id="11553406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2014860">
      <w:bodyDiv w:val="1"/>
      <w:marLeft w:val="0"/>
      <w:marRight w:val="0"/>
      <w:marTop w:val="0"/>
      <w:marBottom w:val="0"/>
      <w:divBdr>
        <w:top w:val="none" w:sz="0" w:space="0" w:color="auto"/>
        <w:left w:val="none" w:sz="0" w:space="0" w:color="auto"/>
        <w:bottom w:val="none" w:sz="0" w:space="0" w:color="auto"/>
        <w:right w:val="none" w:sz="0" w:space="0" w:color="auto"/>
      </w:divBdr>
    </w:div>
    <w:div w:id="1635981785">
      <w:bodyDiv w:val="1"/>
      <w:marLeft w:val="0"/>
      <w:marRight w:val="0"/>
      <w:marTop w:val="0"/>
      <w:marBottom w:val="0"/>
      <w:divBdr>
        <w:top w:val="none" w:sz="0" w:space="0" w:color="auto"/>
        <w:left w:val="none" w:sz="0" w:space="0" w:color="auto"/>
        <w:bottom w:val="none" w:sz="0" w:space="0" w:color="auto"/>
        <w:right w:val="none" w:sz="0" w:space="0" w:color="auto"/>
      </w:divBdr>
    </w:div>
    <w:div w:id="17720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488"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ana.laposko@iem.gov.lv" TargetMode="External"/><Relationship Id="rId4" Type="http://schemas.openxmlformats.org/officeDocument/2006/relationships/settings" Target="settings.xml"/><Relationship Id="rId9" Type="http://schemas.openxmlformats.org/officeDocument/2006/relationships/hyperlink" Target="mailto:ilze.baranovska@iem.gov.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0C11"/>
    <w:rsid w:val="00044EA6"/>
    <w:rsid w:val="00057C8B"/>
    <w:rsid w:val="00084514"/>
    <w:rsid w:val="000C1A0B"/>
    <w:rsid w:val="001D14BF"/>
    <w:rsid w:val="001F73C9"/>
    <w:rsid w:val="00236DDE"/>
    <w:rsid w:val="002A7BBA"/>
    <w:rsid w:val="00344186"/>
    <w:rsid w:val="00346DF1"/>
    <w:rsid w:val="00364724"/>
    <w:rsid w:val="00431CB4"/>
    <w:rsid w:val="00472F39"/>
    <w:rsid w:val="00523A63"/>
    <w:rsid w:val="005614D2"/>
    <w:rsid w:val="005D0E55"/>
    <w:rsid w:val="006216EB"/>
    <w:rsid w:val="00631CE0"/>
    <w:rsid w:val="006359CE"/>
    <w:rsid w:val="008B623B"/>
    <w:rsid w:val="008D39C9"/>
    <w:rsid w:val="009C1B4C"/>
    <w:rsid w:val="009C5DA8"/>
    <w:rsid w:val="009C7457"/>
    <w:rsid w:val="009D4B3A"/>
    <w:rsid w:val="00A95C71"/>
    <w:rsid w:val="00A96601"/>
    <w:rsid w:val="00AB4580"/>
    <w:rsid w:val="00AD4A2F"/>
    <w:rsid w:val="00AF46F7"/>
    <w:rsid w:val="00B3767C"/>
    <w:rsid w:val="00B75E4B"/>
    <w:rsid w:val="00C00671"/>
    <w:rsid w:val="00C14793"/>
    <w:rsid w:val="00C6030F"/>
    <w:rsid w:val="00C73CB0"/>
    <w:rsid w:val="00CF1A46"/>
    <w:rsid w:val="00DF0EA7"/>
    <w:rsid w:val="00E10FF7"/>
    <w:rsid w:val="00E323C0"/>
    <w:rsid w:val="00E51C22"/>
    <w:rsid w:val="00E67F79"/>
    <w:rsid w:val="00EB358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60BD7-0452-45FE-B730-3C49C15A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22161</Words>
  <Characters>12633</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3</cp:revision>
  <cp:lastPrinted>2018-08-24T05:26:00Z</cp:lastPrinted>
  <dcterms:created xsi:type="dcterms:W3CDTF">2018-08-24T05:26:00Z</dcterms:created>
  <dcterms:modified xsi:type="dcterms:W3CDTF">2018-08-24T05:26:00Z</dcterms:modified>
</cp:coreProperties>
</file>