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Layout w:type="fixed"/>
        <w:tblCellMar>
          <w:left w:w="0" w:type="dxa"/>
          <w:right w:w="0" w:type="dxa"/>
        </w:tblCellMar>
        <w:tblLook w:val="04A0" w:firstRow="1" w:lastRow="0" w:firstColumn="1" w:lastColumn="0" w:noHBand="0" w:noVBand="1"/>
      </w:tblPr>
      <w:tblGrid>
        <w:gridCol w:w="9300"/>
        <w:gridCol w:w="450"/>
      </w:tblGrid>
      <w:tr w:rsidR="00070B85" w:rsidRPr="00070B85" w:rsidTr="00BC0598">
        <w:trPr>
          <w:tblCellSpacing w:w="0" w:type="dxa"/>
        </w:trPr>
        <w:tc>
          <w:tcPr>
            <w:tcW w:w="9300" w:type="dxa"/>
            <w:hideMark/>
          </w:tcPr>
          <w:p w:rsidR="00070B85" w:rsidRPr="00070B85" w:rsidRDefault="00070B85" w:rsidP="00070B85">
            <w:pPr>
              <w:spacing w:before="100" w:beforeAutospacing="1" w:after="100" w:afterAutospacing="1" w:line="240" w:lineRule="auto"/>
              <w:jc w:val="center"/>
              <w:rPr>
                <w:rFonts w:ascii="Times New Roman" w:eastAsia="Times New Roman" w:hAnsi="Times New Roman" w:cs="Times New Roman"/>
                <w:b/>
                <w:sz w:val="26"/>
                <w:szCs w:val="26"/>
                <w:lang w:eastAsia="lv-LV"/>
              </w:rPr>
            </w:pPr>
            <w:r w:rsidRPr="00070B85">
              <w:rPr>
                <w:rFonts w:ascii="Times New Roman" w:eastAsia="Times New Roman" w:hAnsi="Times New Roman" w:cs="Times New Roman"/>
                <w:b/>
                <w:sz w:val="26"/>
                <w:szCs w:val="26"/>
                <w:lang w:eastAsia="lv-LV"/>
              </w:rPr>
              <w:t>Likumprojekta „Grozījumi likumā „Par interešu konflikta novēršanu valsts amatpersonu darbībā””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6"/>
              <w:gridCol w:w="2359"/>
              <w:gridCol w:w="6429"/>
            </w:tblGrid>
            <w:tr w:rsidR="00070B85" w:rsidRPr="00070B85" w:rsidTr="00BC0598">
              <w:trPr>
                <w:trHeight w:val="405"/>
                <w:tblCellSpacing w:w="15" w:type="dxa"/>
              </w:trPr>
              <w:tc>
                <w:tcPr>
                  <w:tcW w:w="8989" w:type="dxa"/>
                  <w:gridSpan w:val="3"/>
                  <w:tcBorders>
                    <w:top w:val="outset" w:sz="6" w:space="0" w:color="auto"/>
                    <w:left w:val="outset" w:sz="6" w:space="0" w:color="auto"/>
                    <w:bottom w:val="outset" w:sz="6" w:space="0" w:color="auto"/>
                    <w:right w:val="outset" w:sz="6" w:space="0" w:color="auto"/>
                  </w:tcBorders>
                  <w:vAlign w:val="center"/>
                  <w:hideMark/>
                </w:tcPr>
                <w:p w:rsidR="00070B85" w:rsidRPr="00070B85" w:rsidRDefault="00070B85" w:rsidP="00070B85">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070B85">
                    <w:rPr>
                      <w:rFonts w:ascii="Times New Roman" w:eastAsia="Times New Roman" w:hAnsi="Times New Roman" w:cs="Times New Roman"/>
                      <w:b/>
                      <w:bCs/>
                      <w:sz w:val="26"/>
                      <w:szCs w:val="26"/>
                      <w:lang w:eastAsia="lv-LV"/>
                    </w:rPr>
                    <w:t>I. Tiesību akta projekta izstrādes nepieciešamība</w:t>
                  </w:r>
                </w:p>
              </w:tc>
            </w:tr>
            <w:tr w:rsidR="00070B85" w:rsidRPr="00070B85" w:rsidTr="00BC0598">
              <w:trPr>
                <w:trHeight w:val="40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1.</w:t>
                  </w:r>
                </w:p>
              </w:tc>
              <w:tc>
                <w:tcPr>
                  <w:tcW w:w="1271"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Pamatojums</w:t>
                  </w:r>
                </w:p>
              </w:tc>
              <w:tc>
                <w:tcPr>
                  <w:tcW w:w="3410"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Ministru kabineta 2015.gada 17.novembra sēdes prot.Nr.60 44.§ 4.punkts, </w:t>
                  </w:r>
                  <w:r w:rsidRPr="00070B85">
                    <w:rPr>
                      <w:rFonts w:ascii="Times New Roman" w:hAnsi="Times New Roman" w:cs="Times New Roman"/>
                      <w:sz w:val="26"/>
                      <w:szCs w:val="26"/>
                    </w:rPr>
                    <w:t>Korupcijas novēršanas un apkarošanas pamatnostādņu 2015.–2020.gadam</w:t>
                  </w:r>
                  <w:r w:rsidRPr="00070B85">
                    <w:rPr>
                      <w:rFonts w:ascii="Times New Roman" w:eastAsia="Times New Roman" w:hAnsi="Times New Roman" w:cs="Times New Roman"/>
                      <w:sz w:val="26"/>
                      <w:szCs w:val="26"/>
                      <w:lang w:eastAsia="lv-LV"/>
                    </w:rPr>
                    <w:t xml:space="preserve"> 6.nodaļas “Uzdevumu un pasākumu plāns” 2.21., 2.25. un 8.3.uzdevums, Kriminālprocesa likuma pārejas noteikumu 9.punkts, Korupcijas novēršanas un apkarošanas biroja un Valsts ieņēmumu dienesta iniciatīva.</w:t>
                  </w:r>
                </w:p>
              </w:tc>
            </w:tr>
            <w:tr w:rsidR="00070B85" w:rsidRPr="00070B85" w:rsidTr="00BC059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2.</w:t>
                  </w:r>
                </w:p>
              </w:tc>
              <w:tc>
                <w:tcPr>
                  <w:tcW w:w="1271"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410" w:type="pct"/>
                  <w:tcBorders>
                    <w:top w:val="outset" w:sz="6" w:space="0" w:color="auto"/>
                    <w:left w:val="outset" w:sz="6" w:space="0" w:color="auto"/>
                    <w:bottom w:val="outset" w:sz="6" w:space="0" w:color="auto"/>
                    <w:right w:val="outset" w:sz="6" w:space="0" w:color="auto"/>
                  </w:tcBorders>
                  <w:hideMark/>
                </w:tcPr>
                <w:p w:rsidR="00070B85" w:rsidRDefault="00070B85" w:rsidP="00070B85">
                  <w:pPr>
                    <w:spacing w:after="0" w:line="240" w:lineRule="auto"/>
                    <w:jc w:val="center"/>
                    <w:rPr>
                      <w:rFonts w:ascii="Times New Roman" w:eastAsia="Times New Roman" w:hAnsi="Times New Roman" w:cs="Times New Roman"/>
                      <w:b/>
                      <w:sz w:val="26"/>
                      <w:szCs w:val="26"/>
                      <w:lang w:eastAsia="lv-LV"/>
                    </w:rPr>
                  </w:pPr>
                  <w:r w:rsidRPr="00070B85">
                    <w:rPr>
                      <w:rFonts w:ascii="Times New Roman" w:eastAsia="Times New Roman" w:hAnsi="Times New Roman" w:cs="Times New Roman"/>
                      <w:b/>
                      <w:sz w:val="26"/>
                      <w:szCs w:val="26"/>
                      <w:lang w:eastAsia="lv-LV"/>
                    </w:rPr>
                    <w:t>1. Ziedojumu pieņemšanas ierobežojumi</w:t>
                  </w:r>
                </w:p>
                <w:p w:rsidR="00661FD5" w:rsidRPr="00070B85" w:rsidRDefault="00661FD5" w:rsidP="00070B85">
                  <w:pPr>
                    <w:spacing w:after="0" w:line="240" w:lineRule="auto"/>
                    <w:jc w:val="center"/>
                    <w:rPr>
                      <w:rFonts w:ascii="Times New Roman" w:eastAsia="Times New Roman" w:hAnsi="Times New Roman" w:cs="Times New Roman"/>
                      <w:b/>
                      <w:sz w:val="26"/>
                      <w:szCs w:val="26"/>
                      <w:lang w:eastAsia="lv-LV"/>
                    </w:rPr>
                  </w:pPr>
                </w:p>
                <w:p w:rsidR="00070B85" w:rsidRDefault="00070B85" w:rsidP="00070B85">
                  <w:pPr>
                    <w:spacing w:after="0" w:line="240" w:lineRule="auto"/>
                    <w:rPr>
                      <w:rFonts w:ascii="Times New Roman" w:hAnsi="Times New Roman" w:cs="Times New Roman"/>
                      <w:sz w:val="26"/>
                      <w:szCs w:val="26"/>
                    </w:rPr>
                  </w:pPr>
                  <w:r w:rsidRPr="00070B85">
                    <w:rPr>
                      <w:rFonts w:ascii="Times New Roman" w:eastAsia="Times New Roman" w:hAnsi="Times New Roman" w:cs="Times New Roman"/>
                      <w:sz w:val="26"/>
                      <w:szCs w:val="26"/>
                      <w:lang w:eastAsia="lv-LV"/>
                    </w:rPr>
                    <w:t>Piedāvātā likuma „Par interešu konflikta novēršanu valsts amatpersonu darbībā”, turpmāk – Likums, 14.panta pirmās daļas redakcija</w:t>
                  </w:r>
                  <w:r w:rsidR="00684360">
                    <w:rPr>
                      <w:rFonts w:ascii="Times New Roman" w:eastAsia="Times New Roman" w:hAnsi="Times New Roman" w:cs="Times New Roman"/>
                      <w:sz w:val="26"/>
                      <w:szCs w:val="26"/>
                      <w:lang w:eastAsia="lv-LV"/>
                    </w:rPr>
                    <w:t xml:space="preserve"> precizē</w:t>
                  </w:r>
                  <w:r w:rsidR="004466A9">
                    <w:rPr>
                      <w:rFonts w:ascii="Times New Roman" w:eastAsia="Times New Roman" w:hAnsi="Times New Roman" w:cs="Times New Roman"/>
                      <w:sz w:val="26"/>
                      <w:szCs w:val="26"/>
                      <w:lang w:eastAsia="lv-LV"/>
                    </w:rPr>
                    <w:t xml:space="preserve"> </w:t>
                  </w:r>
                  <w:r w:rsidRPr="00070B85">
                    <w:rPr>
                      <w:rFonts w:ascii="Times New Roman" w:eastAsia="Times New Roman" w:hAnsi="Times New Roman" w:cs="Times New Roman"/>
                      <w:sz w:val="26"/>
                      <w:szCs w:val="26"/>
                      <w:lang w:eastAsia="lv-LV"/>
                    </w:rPr>
                    <w:t>ziedojuma definīciju, nosakot, ka par ziedojumu var būt manta, tai skaitā finanšu līdzekļi</w:t>
                  </w:r>
                  <w:r w:rsidR="00604158">
                    <w:rPr>
                      <w:rFonts w:ascii="Times New Roman" w:eastAsia="Times New Roman" w:hAnsi="Times New Roman" w:cs="Times New Roman"/>
                      <w:sz w:val="26"/>
                      <w:szCs w:val="26"/>
                      <w:lang w:eastAsia="lv-LV"/>
                    </w:rPr>
                    <w:t>,</w:t>
                  </w:r>
                  <w:r w:rsidRPr="00070B85">
                    <w:rPr>
                      <w:rFonts w:ascii="Times New Roman" w:eastAsia="Times New Roman" w:hAnsi="Times New Roman" w:cs="Times New Roman"/>
                      <w:sz w:val="26"/>
                      <w:szCs w:val="26"/>
                      <w:lang w:eastAsia="lv-LV"/>
                    </w:rPr>
                    <w:t xml:space="preserve"> pakalpojums, tiesības un citāda veida labumi. Piem., noteikta veida </w:t>
                  </w:r>
                  <w:r w:rsidRPr="00070B85">
                    <w:rPr>
                      <w:rFonts w:ascii="Times New Roman" w:hAnsi="Times New Roman" w:cs="Times New Roman"/>
                      <w:sz w:val="26"/>
                      <w:szCs w:val="26"/>
                    </w:rPr>
                    <w:t>tiesību piešķiršana, nodošana, atbrīvošana no pienākuma, atteikšanās no kādas tiesības, kā arī citas darbības, kuru rezultātā rodas kāds materiāls vai nemateriāls labums publiskas personas institūcijai arī var būt ziedojuma priekšmets. Kā praktisku piemēru var minēt līgumisko pirmpirkuma tiesību vai mantisko autortiesību nodošanu par labu citai personai – šajā gadījumā publiskas personas institūcijai.</w:t>
                  </w:r>
                  <w:r w:rsidR="004466A9">
                    <w:rPr>
                      <w:rFonts w:ascii="Times New Roman" w:hAnsi="Times New Roman" w:cs="Times New Roman"/>
                      <w:sz w:val="26"/>
                      <w:szCs w:val="26"/>
                    </w:rPr>
                    <w:t xml:space="preserve"> </w:t>
                  </w:r>
                  <w:r w:rsidR="00721173">
                    <w:rPr>
                      <w:rFonts w:ascii="Times New Roman" w:hAnsi="Times New Roman" w:cs="Times New Roman"/>
                      <w:sz w:val="26"/>
                      <w:szCs w:val="26"/>
                    </w:rPr>
                    <w:t>“Tiesības</w:t>
                  </w:r>
                  <w:r w:rsidR="00367A12">
                    <w:rPr>
                      <w:rFonts w:ascii="Times New Roman" w:hAnsi="Times New Roman" w:cs="Times New Roman"/>
                      <w:sz w:val="26"/>
                      <w:szCs w:val="26"/>
                    </w:rPr>
                    <w:t xml:space="preserve"> un cit</w:t>
                  </w:r>
                  <w:r w:rsidR="00721173">
                    <w:rPr>
                      <w:rFonts w:ascii="Times New Roman" w:hAnsi="Times New Roman" w:cs="Times New Roman"/>
                      <w:sz w:val="26"/>
                      <w:szCs w:val="26"/>
                    </w:rPr>
                    <w:t>āda veida labumi”</w:t>
                  </w:r>
                  <w:r w:rsidR="004466A9">
                    <w:rPr>
                      <w:rFonts w:ascii="Times New Roman" w:hAnsi="Times New Roman" w:cs="Times New Roman"/>
                      <w:sz w:val="26"/>
                      <w:szCs w:val="26"/>
                    </w:rPr>
                    <w:t xml:space="preserve"> </w:t>
                  </w:r>
                  <w:r w:rsidR="00367A12">
                    <w:rPr>
                      <w:rFonts w:ascii="Times New Roman" w:hAnsi="Times New Roman" w:cs="Times New Roman"/>
                      <w:sz w:val="26"/>
                      <w:szCs w:val="26"/>
                    </w:rPr>
                    <w:t>ziedojuma definīcijā</w:t>
                  </w:r>
                  <w:r w:rsidR="004466A9">
                    <w:rPr>
                      <w:rFonts w:ascii="Times New Roman" w:hAnsi="Times New Roman" w:cs="Times New Roman"/>
                      <w:sz w:val="26"/>
                      <w:szCs w:val="26"/>
                    </w:rPr>
                    <w:t xml:space="preserve"> </w:t>
                  </w:r>
                  <w:r w:rsidR="00367A12">
                    <w:rPr>
                      <w:rFonts w:ascii="Times New Roman" w:hAnsi="Times New Roman" w:cs="Times New Roman"/>
                      <w:sz w:val="26"/>
                      <w:szCs w:val="26"/>
                    </w:rPr>
                    <w:t xml:space="preserve">šobrīd izriet no Likuma spēkā esošās 14.panta pirmajā daļā </w:t>
                  </w:r>
                  <w:r w:rsidR="007207FD">
                    <w:rPr>
                      <w:rFonts w:ascii="Times New Roman" w:hAnsi="Times New Roman" w:cs="Times New Roman"/>
                      <w:sz w:val="26"/>
                      <w:szCs w:val="26"/>
                    </w:rPr>
                    <w:t>ietvertā vārda “pakalpojumi”, kas</w:t>
                  </w:r>
                  <w:r w:rsidR="00721173">
                    <w:rPr>
                      <w:rFonts w:ascii="Times New Roman" w:hAnsi="Times New Roman" w:cs="Times New Roman"/>
                      <w:sz w:val="26"/>
                      <w:szCs w:val="26"/>
                    </w:rPr>
                    <w:t xml:space="preserve"> sevī</w:t>
                  </w:r>
                  <w:r w:rsidR="002A7632">
                    <w:rPr>
                      <w:rFonts w:ascii="Times New Roman" w:hAnsi="Times New Roman" w:cs="Times New Roman"/>
                      <w:sz w:val="26"/>
                      <w:szCs w:val="26"/>
                    </w:rPr>
                    <w:t xml:space="preserve"> </w:t>
                  </w:r>
                  <w:r w:rsidR="00721173">
                    <w:rPr>
                      <w:rFonts w:ascii="Times New Roman" w:hAnsi="Times New Roman" w:cs="Times New Roman"/>
                      <w:sz w:val="26"/>
                      <w:szCs w:val="26"/>
                    </w:rPr>
                    <w:t>var saturēt minētos ziedojuma veidus</w:t>
                  </w:r>
                  <w:r w:rsidR="008363B0">
                    <w:rPr>
                      <w:rFonts w:ascii="Times New Roman" w:hAnsi="Times New Roman" w:cs="Times New Roman"/>
                      <w:sz w:val="26"/>
                      <w:szCs w:val="26"/>
                    </w:rPr>
                    <w:t>.</w:t>
                  </w:r>
                </w:p>
                <w:p w:rsidR="00DC32EE" w:rsidRDefault="00DC32EE" w:rsidP="00070B85">
                  <w:pPr>
                    <w:spacing w:after="0" w:line="240" w:lineRule="auto"/>
                    <w:rPr>
                      <w:rFonts w:ascii="Times New Roman" w:hAnsi="Times New Roman" w:cs="Times New Roman"/>
                      <w:sz w:val="26"/>
                      <w:szCs w:val="26"/>
                    </w:rPr>
                  </w:pPr>
                </w:p>
                <w:p w:rsidR="00DC32EE" w:rsidRDefault="00DC32EE" w:rsidP="00DC32EE">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Ziedojums šā Likuma izpratnē ir uzskatāms par publiski tiesiskajām attiecībām (publisko tiesību līgumu) starp ziedotāju un publiskas personas institūciju, kas ziedojumu ir pieņēmusi. </w:t>
                  </w:r>
                  <w:r w:rsidRPr="005C1ECD">
                    <w:rPr>
                      <w:rFonts w:ascii="Times New Roman" w:hAnsi="Times New Roman" w:cs="Times New Roman"/>
                      <w:sz w:val="26"/>
                      <w:szCs w:val="26"/>
                    </w:rPr>
                    <w:t>Publisko tiesību līgums ir elastīga valsts pārvaldes darbības forma, kura pieļauj ar privātpersonu risināt kompleksus dzīves gadījumus sadarbības attiecību formā</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1"/>
                  </w:r>
                  <w:r>
                    <w:rPr>
                      <w:rFonts w:ascii="Times New Roman" w:eastAsia="Times New Roman" w:hAnsi="Times New Roman" w:cs="Times New Roman"/>
                      <w:sz w:val="26"/>
                      <w:szCs w:val="26"/>
                      <w:lang w:eastAsia="lv-LV"/>
                    </w:rPr>
                    <w:t xml:space="preserve"> Ziedojums šā Likuma izpratnē atbilst šādām publisko tiesību līguma pazīmēm:</w:t>
                  </w:r>
                </w:p>
                <w:p w:rsidR="00DC32EE" w:rsidRDefault="00DC32EE" w:rsidP="00DC32EE">
                  <w:pPr>
                    <w:pStyle w:val="ListParagraph"/>
                    <w:numPr>
                      <w:ilvl w:val="0"/>
                      <w:numId w:val="6"/>
                    </w:numPr>
                    <w:spacing w:after="0" w:line="240" w:lineRule="auto"/>
                    <w:ind w:left="0" w:firstLine="36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ziedojums </w:t>
                  </w:r>
                  <w:r w:rsidRPr="00295582">
                    <w:rPr>
                      <w:rFonts w:ascii="Times New Roman" w:eastAsia="Times New Roman" w:hAnsi="Times New Roman" w:cs="Times New Roman"/>
                      <w:sz w:val="26"/>
                      <w:szCs w:val="26"/>
                      <w:lang w:eastAsia="lv-LV"/>
                    </w:rPr>
                    <w:t>atbilst publisko tiesību līguma mēr</w:t>
                  </w:r>
                  <w:r>
                    <w:rPr>
                      <w:rFonts w:ascii="Times New Roman" w:eastAsia="Times New Roman" w:hAnsi="Times New Roman" w:cs="Times New Roman"/>
                      <w:sz w:val="26"/>
                      <w:szCs w:val="26"/>
                      <w:lang w:eastAsia="lv-LV"/>
                    </w:rPr>
                    <w:t>ķim</w:t>
                  </w:r>
                  <w:r w:rsidR="004466A9">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nodrošināt</w:t>
                  </w:r>
                  <w:r w:rsidR="004466A9">
                    <w:rPr>
                      <w:rFonts w:ascii="Times New Roman" w:eastAsia="Times New Roman" w:hAnsi="Times New Roman" w:cs="Times New Roman"/>
                      <w:sz w:val="26"/>
                      <w:szCs w:val="26"/>
                      <w:lang w:eastAsia="lv-LV"/>
                    </w:rPr>
                    <w:t xml:space="preserve"> </w:t>
                  </w:r>
                  <w:r w:rsidRPr="00295582">
                    <w:rPr>
                      <w:rFonts w:ascii="Times New Roman" w:hAnsi="Times New Roman" w:cs="Times New Roman"/>
                      <w:sz w:val="26"/>
                      <w:szCs w:val="26"/>
                    </w:rPr>
                    <w:t>efektī</w:t>
                  </w:r>
                  <w:r>
                    <w:rPr>
                      <w:rFonts w:ascii="Times New Roman" w:hAnsi="Times New Roman" w:cs="Times New Roman"/>
                      <w:sz w:val="26"/>
                      <w:szCs w:val="26"/>
                    </w:rPr>
                    <w:t>vu</w:t>
                  </w:r>
                  <w:r w:rsidRPr="00295582">
                    <w:rPr>
                      <w:rFonts w:ascii="Times New Roman" w:hAnsi="Times New Roman" w:cs="Times New Roman"/>
                      <w:sz w:val="26"/>
                      <w:szCs w:val="26"/>
                    </w:rPr>
                    <w:t xml:space="preserve"> valsts pārvaldes funkciju veikš</w:t>
                  </w:r>
                  <w:r>
                    <w:rPr>
                      <w:rFonts w:ascii="Times New Roman" w:hAnsi="Times New Roman" w:cs="Times New Roman"/>
                      <w:sz w:val="26"/>
                      <w:szCs w:val="26"/>
                    </w:rPr>
                    <w:t>anu</w:t>
                  </w:r>
                  <w:r w:rsidR="00BA36B7">
                    <w:rPr>
                      <w:rStyle w:val="FootnoteReference"/>
                      <w:rFonts w:ascii="Times New Roman" w:hAnsi="Times New Roman" w:cs="Times New Roman"/>
                      <w:sz w:val="26"/>
                      <w:szCs w:val="26"/>
                    </w:rPr>
                    <w:footnoteReference w:id="2"/>
                  </w:r>
                  <w:r>
                    <w:rPr>
                      <w:rFonts w:ascii="Times New Roman" w:hAnsi="Times New Roman" w:cs="Times New Roman"/>
                      <w:sz w:val="26"/>
                      <w:szCs w:val="26"/>
                    </w:rPr>
                    <w:t xml:space="preserve">, t.i., ziedojumu atvēl </w:t>
                  </w:r>
                  <w:r w:rsidRPr="00F4026F">
                    <w:rPr>
                      <w:rFonts w:ascii="Times New Roman" w:eastAsia="Calibri" w:hAnsi="Times New Roman" w:cs="Times New Roman"/>
                      <w:sz w:val="26"/>
                      <w:szCs w:val="26"/>
                    </w:rPr>
                    <w:t>publiskas personas institūcijas funkciju</w:t>
                  </w:r>
                  <w:r>
                    <w:rPr>
                      <w:rFonts w:ascii="Times New Roman" w:eastAsia="Calibri" w:hAnsi="Times New Roman" w:cs="Times New Roman"/>
                      <w:sz w:val="26"/>
                      <w:szCs w:val="26"/>
                    </w:rPr>
                    <w:t xml:space="preserve"> izpildes veicināšanai vai</w:t>
                  </w:r>
                  <w:r w:rsidR="00F81E72">
                    <w:rPr>
                      <w:rFonts w:ascii="Times New Roman" w:eastAsia="Calibri" w:hAnsi="Times New Roman" w:cs="Times New Roman"/>
                      <w:sz w:val="26"/>
                      <w:szCs w:val="26"/>
                    </w:rPr>
                    <w:t xml:space="preserve"> </w:t>
                  </w:r>
                  <w:r w:rsidRPr="00DC32EE">
                    <w:rPr>
                      <w:rFonts w:ascii="Times New Roman" w:hAnsi="Times New Roman" w:cs="Times New Roman"/>
                      <w:sz w:val="26"/>
                      <w:szCs w:val="26"/>
                    </w:rPr>
                    <w:t>lai īstenotu sabiedriski nozīmīgu mērķi</w:t>
                  </w:r>
                  <w:r w:rsidR="004466A9">
                    <w:rPr>
                      <w:rFonts w:ascii="Times New Roman" w:hAnsi="Times New Roman" w:cs="Times New Roman"/>
                      <w:sz w:val="26"/>
                      <w:szCs w:val="26"/>
                    </w:rPr>
                    <w:t xml:space="preserve"> </w:t>
                  </w:r>
                  <w:r w:rsidR="00F87786">
                    <w:rPr>
                      <w:rFonts w:ascii="Times New Roman" w:hAnsi="Times New Roman" w:cs="Times New Roman"/>
                      <w:sz w:val="26"/>
                      <w:szCs w:val="26"/>
                    </w:rPr>
                    <w:t>(sk. likumprojekta 14.pan</w:t>
                  </w:r>
                  <w:r>
                    <w:rPr>
                      <w:rFonts w:ascii="Times New Roman" w:hAnsi="Times New Roman" w:cs="Times New Roman"/>
                      <w:sz w:val="26"/>
                      <w:szCs w:val="26"/>
                    </w:rPr>
                    <w:t>ta pirmo un septīto daļu). Tā</w:t>
                  </w:r>
                  <w:r w:rsidR="000F763C">
                    <w:rPr>
                      <w:rFonts w:ascii="Times New Roman" w:hAnsi="Times New Roman" w:cs="Times New Roman"/>
                      <w:sz w:val="26"/>
                      <w:szCs w:val="26"/>
                    </w:rPr>
                    <w:t>tad</w:t>
                  </w:r>
                  <w:r>
                    <w:rPr>
                      <w:rFonts w:ascii="Times New Roman" w:hAnsi="Times New Roman" w:cs="Times New Roman"/>
                      <w:sz w:val="26"/>
                      <w:szCs w:val="26"/>
                    </w:rPr>
                    <w:t xml:space="preserve"> ziedojum</w:t>
                  </w:r>
                  <w:r w:rsidR="000F763C">
                    <w:rPr>
                      <w:rFonts w:ascii="Times New Roman" w:hAnsi="Times New Roman" w:cs="Times New Roman"/>
                      <w:sz w:val="26"/>
                      <w:szCs w:val="26"/>
                    </w:rPr>
                    <w:t>a atvēlēšana</w:t>
                  </w:r>
                  <w:r>
                    <w:rPr>
                      <w:rFonts w:ascii="Times New Roman" w:hAnsi="Times New Roman" w:cs="Times New Roman"/>
                      <w:sz w:val="26"/>
                      <w:szCs w:val="26"/>
                    </w:rPr>
                    <w:t xml:space="preserve"> ir v</w:t>
                  </w:r>
                  <w:r w:rsidR="000F763C">
                    <w:rPr>
                      <w:rFonts w:ascii="Times New Roman" w:hAnsi="Times New Roman" w:cs="Times New Roman"/>
                      <w:sz w:val="26"/>
                      <w:szCs w:val="26"/>
                    </w:rPr>
                    <w:t>ērsta</w:t>
                  </w:r>
                  <w:r>
                    <w:rPr>
                      <w:rFonts w:ascii="Times New Roman" w:hAnsi="Times New Roman" w:cs="Times New Roman"/>
                      <w:sz w:val="26"/>
                      <w:szCs w:val="26"/>
                    </w:rPr>
                    <w:t xml:space="preserve"> uz publiski tiesisko </w:t>
                  </w:r>
                  <w:r>
                    <w:rPr>
                      <w:rFonts w:ascii="Times New Roman" w:hAnsi="Times New Roman" w:cs="Times New Roman"/>
                      <w:sz w:val="26"/>
                      <w:szCs w:val="26"/>
                    </w:rPr>
                    <w:lastRenderedPageBreak/>
                    <w:t>pārvaldes kārtību;</w:t>
                  </w:r>
                </w:p>
                <w:p w:rsidR="00DC32EE" w:rsidRDefault="00F87786" w:rsidP="00DC32EE">
                  <w:pPr>
                    <w:pStyle w:val="ListParagraph"/>
                    <w:numPr>
                      <w:ilvl w:val="0"/>
                      <w:numId w:val="6"/>
                    </w:numPr>
                    <w:spacing w:after="0" w:line="240" w:lineRule="auto"/>
                    <w:ind w:left="0" w:firstLine="36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vismaz </w:t>
                  </w:r>
                  <w:r w:rsidR="00DC32EE">
                    <w:rPr>
                      <w:rFonts w:ascii="Times New Roman" w:eastAsia="Times New Roman" w:hAnsi="Times New Roman" w:cs="Times New Roman"/>
                      <w:sz w:val="26"/>
                      <w:szCs w:val="26"/>
                      <w:lang w:eastAsia="lv-LV"/>
                    </w:rPr>
                    <w:t>viens no publiski tiesisko attiecību dalībniekiem ir valsts varas nesējs, kas īsteno kādas funkcijas publisko tiesību valsts pārvaldes jomā</w:t>
                  </w:r>
                  <w:r w:rsidR="00DC32EE">
                    <w:rPr>
                      <w:rStyle w:val="FootnoteReference"/>
                      <w:rFonts w:ascii="Times New Roman" w:eastAsia="Times New Roman" w:hAnsi="Times New Roman" w:cs="Times New Roman"/>
                      <w:sz w:val="26"/>
                      <w:szCs w:val="26"/>
                      <w:lang w:eastAsia="lv-LV"/>
                    </w:rPr>
                    <w:footnoteReference w:id="3"/>
                  </w:r>
                  <w:r w:rsidR="00FE28C7">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Valsts varas īstenotājs var būt kā publiska persona, tā arī privātpersona, kurai deleģēti valsts pārvaldes uzdevumi</w:t>
                  </w:r>
                  <w:r>
                    <w:rPr>
                      <w:rStyle w:val="FootnoteReference"/>
                      <w:rFonts w:ascii="Times New Roman" w:eastAsia="Times New Roman" w:hAnsi="Times New Roman" w:cs="Times New Roman"/>
                      <w:sz w:val="26"/>
                      <w:szCs w:val="26"/>
                      <w:lang w:eastAsia="lv-LV"/>
                    </w:rPr>
                    <w:footnoteReference w:id="4"/>
                  </w:r>
                  <w:r w:rsidR="00DC32EE">
                    <w:rPr>
                      <w:rFonts w:ascii="Times New Roman" w:eastAsia="Times New Roman" w:hAnsi="Times New Roman" w:cs="Times New Roman"/>
                      <w:sz w:val="26"/>
                      <w:szCs w:val="26"/>
                      <w:lang w:eastAsia="lv-LV"/>
                    </w:rPr>
                    <w:t>;</w:t>
                  </w:r>
                </w:p>
                <w:p w:rsidR="00365FB2" w:rsidRDefault="00365FB2" w:rsidP="00331F4F">
                  <w:pPr>
                    <w:pStyle w:val="ListParagraph"/>
                    <w:numPr>
                      <w:ilvl w:val="0"/>
                      <w:numId w:val="6"/>
                    </w:numPr>
                    <w:spacing w:after="0" w:line="240" w:lineRule="auto"/>
                    <w:ind w:left="0" w:firstLine="36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ziedojuma atvēlēšanai ir</w:t>
                  </w:r>
                  <w:r w:rsidR="00EE3636">
                    <w:rPr>
                      <w:rFonts w:ascii="Times New Roman" w:eastAsia="Times New Roman" w:hAnsi="Times New Roman" w:cs="Times New Roman"/>
                      <w:sz w:val="26"/>
                      <w:szCs w:val="26"/>
                      <w:lang w:eastAsia="lv-LV"/>
                    </w:rPr>
                    <w:t xml:space="preserve"> jābūt</w:t>
                  </w:r>
                  <w:r>
                    <w:rPr>
                      <w:rFonts w:ascii="Times New Roman" w:eastAsia="Times New Roman" w:hAnsi="Times New Roman" w:cs="Times New Roman"/>
                      <w:sz w:val="26"/>
                      <w:szCs w:val="26"/>
                      <w:lang w:eastAsia="lv-LV"/>
                    </w:rPr>
                    <w:t xml:space="preserve"> cieša</w:t>
                  </w:r>
                  <w:r w:rsidR="00EE3636">
                    <w:rPr>
                      <w:rFonts w:ascii="Times New Roman" w:eastAsia="Times New Roman" w:hAnsi="Times New Roman" w:cs="Times New Roman"/>
                      <w:sz w:val="26"/>
                      <w:szCs w:val="26"/>
                      <w:lang w:eastAsia="lv-LV"/>
                    </w:rPr>
                    <w:t>i</w:t>
                  </w:r>
                  <w:r>
                    <w:rPr>
                      <w:rFonts w:ascii="Times New Roman" w:eastAsia="Times New Roman" w:hAnsi="Times New Roman" w:cs="Times New Roman"/>
                      <w:sz w:val="26"/>
                      <w:szCs w:val="26"/>
                      <w:lang w:eastAsia="lv-LV"/>
                    </w:rPr>
                    <w:t xml:space="preserve"> sasaiste</w:t>
                  </w:r>
                  <w:r w:rsidR="00EE3636">
                    <w:rPr>
                      <w:rFonts w:ascii="Times New Roman" w:eastAsia="Times New Roman" w:hAnsi="Times New Roman" w:cs="Times New Roman"/>
                      <w:sz w:val="26"/>
                      <w:szCs w:val="26"/>
                      <w:lang w:eastAsia="lv-LV"/>
                    </w:rPr>
                    <w:t>i</w:t>
                  </w:r>
                  <w:r>
                    <w:rPr>
                      <w:rFonts w:ascii="Times New Roman" w:eastAsia="Times New Roman" w:hAnsi="Times New Roman" w:cs="Times New Roman"/>
                      <w:sz w:val="26"/>
                      <w:szCs w:val="26"/>
                      <w:lang w:eastAsia="lv-LV"/>
                    </w:rPr>
                    <w:t xml:space="preserve"> ar publiskajām ties</w:t>
                  </w:r>
                  <w:r w:rsidR="00D90B63">
                    <w:rPr>
                      <w:rFonts w:ascii="Times New Roman" w:eastAsia="Times New Roman" w:hAnsi="Times New Roman" w:cs="Times New Roman"/>
                      <w:sz w:val="26"/>
                      <w:szCs w:val="26"/>
                      <w:lang w:eastAsia="lv-LV"/>
                    </w:rPr>
                    <w:t>ībām un pienākumiem</w:t>
                  </w:r>
                  <w:r w:rsidR="00E673F2">
                    <w:rPr>
                      <w:rFonts w:ascii="Times New Roman" w:eastAsia="Times New Roman" w:hAnsi="Times New Roman" w:cs="Times New Roman"/>
                      <w:sz w:val="26"/>
                      <w:szCs w:val="26"/>
                      <w:lang w:eastAsia="lv-LV"/>
                    </w:rPr>
                    <w:t>,</w:t>
                  </w:r>
                  <w:r w:rsidR="00D90B63">
                    <w:rPr>
                      <w:rFonts w:ascii="Times New Roman" w:eastAsia="Times New Roman" w:hAnsi="Times New Roman" w:cs="Times New Roman"/>
                      <w:sz w:val="26"/>
                      <w:szCs w:val="26"/>
                      <w:lang w:eastAsia="lv-LV"/>
                    </w:rPr>
                    <w:t xml:space="preserve"> un</w:t>
                  </w:r>
                  <w:r>
                    <w:rPr>
                      <w:rFonts w:ascii="Times New Roman" w:eastAsia="Times New Roman" w:hAnsi="Times New Roman" w:cs="Times New Roman"/>
                      <w:sz w:val="26"/>
                      <w:szCs w:val="26"/>
                      <w:lang w:eastAsia="lv-LV"/>
                    </w:rPr>
                    <w:t xml:space="preserve"> publiskas personas institūcijai</w:t>
                  </w:r>
                  <w:r w:rsidR="00367AEF">
                    <w:rPr>
                      <w:rFonts w:ascii="Times New Roman" w:eastAsia="Times New Roman" w:hAnsi="Times New Roman" w:cs="Times New Roman"/>
                      <w:sz w:val="26"/>
                      <w:szCs w:val="26"/>
                      <w:lang w:eastAsia="lv-LV"/>
                    </w:rPr>
                    <w:t xml:space="preserve"> ir</w:t>
                  </w:r>
                  <w:r w:rsidR="004466A9">
                    <w:rPr>
                      <w:rFonts w:ascii="Times New Roman" w:eastAsia="Times New Roman" w:hAnsi="Times New Roman" w:cs="Times New Roman"/>
                      <w:sz w:val="26"/>
                      <w:szCs w:val="26"/>
                      <w:lang w:eastAsia="lv-LV"/>
                    </w:rPr>
                    <w:t xml:space="preserve"> </w:t>
                  </w:r>
                  <w:r w:rsidR="00E71134">
                    <w:rPr>
                      <w:rFonts w:ascii="Times New Roman" w:eastAsia="Times New Roman" w:hAnsi="Times New Roman" w:cs="Times New Roman"/>
                      <w:sz w:val="26"/>
                      <w:szCs w:val="26"/>
                      <w:lang w:eastAsia="lv-LV"/>
                    </w:rPr>
                    <w:t>pienākums</w:t>
                  </w:r>
                  <w:r>
                    <w:rPr>
                      <w:rFonts w:ascii="Times New Roman" w:eastAsia="Times New Roman" w:hAnsi="Times New Roman" w:cs="Times New Roman"/>
                      <w:sz w:val="26"/>
                      <w:szCs w:val="26"/>
                      <w:lang w:eastAsia="lv-LV"/>
                    </w:rPr>
                    <w:t xml:space="preserve"> izmantot ziedojumu tam</w:t>
                  </w:r>
                  <w:r w:rsidR="00F062EF">
                    <w:rPr>
                      <w:rFonts w:ascii="Times New Roman" w:eastAsia="Times New Roman" w:hAnsi="Times New Roman" w:cs="Times New Roman"/>
                      <w:sz w:val="26"/>
                      <w:szCs w:val="26"/>
                      <w:lang w:eastAsia="lv-LV"/>
                    </w:rPr>
                    <w:t xml:space="preserve"> Likumā</w:t>
                  </w:r>
                  <w:r>
                    <w:rPr>
                      <w:rFonts w:ascii="Times New Roman" w:eastAsia="Times New Roman" w:hAnsi="Times New Roman" w:cs="Times New Roman"/>
                      <w:sz w:val="26"/>
                      <w:szCs w:val="26"/>
                      <w:lang w:eastAsia="lv-LV"/>
                    </w:rPr>
                    <w:t xml:space="preserve"> paredzētajam mērķim</w:t>
                  </w:r>
                  <w:r w:rsidR="007C2E6A">
                    <w:rPr>
                      <w:rFonts w:ascii="Times New Roman" w:eastAsia="Times New Roman" w:hAnsi="Times New Roman" w:cs="Times New Roman"/>
                      <w:sz w:val="26"/>
                      <w:szCs w:val="26"/>
                      <w:lang w:eastAsia="lv-LV"/>
                    </w:rPr>
                    <w:t xml:space="preserve">. </w:t>
                  </w:r>
                  <w:r w:rsidR="008C5948">
                    <w:rPr>
                      <w:rFonts w:ascii="Times New Roman" w:eastAsia="Times New Roman" w:hAnsi="Times New Roman" w:cs="Times New Roman"/>
                      <w:sz w:val="26"/>
                      <w:szCs w:val="26"/>
                      <w:lang w:eastAsia="lv-LV"/>
                    </w:rPr>
                    <w:t xml:space="preserve">Lai </w:t>
                  </w:r>
                  <w:r w:rsidR="00D90B63">
                    <w:rPr>
                      <w:rFonts w:ascii="Times New Roman" w:eastAsia="Times New Roman" w:hAnsi="Times New Roman" w:cs="Times New Roman"/>
                      <w:sz w:val="26"/>
                      <w:szCs w:val="26"/>
                      <w:lang w:eastAsia="lv-LV"/>
                    </w:rPr>
                    <w:t xml:space="preserve">konstatētu, vai </w:t>
                  </w:r>
                  <w:r w:rsidR="003328EE">
                    <w:rPr>
                      <w:rFonts w:ascii="Times New Roman" w:eastAsia="Times New Roman" w:hAnsi="Times New Roman" w:cs="Times New Roman"/>
                      <w:sz w:val="26"/>
                      <w:szCs w:val="26"/>
                      <w:lang w:eastAsia="lv-LV"/>
                    </w:rPr>
                    <w:t>pastāv publiski tiesiskās attiecības, ir jānoskaidro, vai konkrētajā tiesiskajā attiecībā tiek īstenota normatīvo aktu piešķirta tāda subjektīva tiesība/pienākums, ar kuru tiek izpildīts valsts pārvaldes uzdevums, vai arī konkrētās subjektīvās tiesības/pienākumus normatīvais akts piešķir/uzliek tikai publiskai personai.</w:t>
                  </w:r>
                  <w:r w:rsidR="003328EE">
                    <w:rPr>
                      <w:rStyle w:val="FootnoteReference"/>
                      <w:rFonts w:ascii="Times New Roman" w:eastAsia="Times New Roman" w:hAnsi="Times New Roman" w:cs="Times New Roman"/>
                      <w:sz w:val="26"/>
                      <w:szCs w:val="26"/>
                      <w:lang w:eastAsia="lv-LV"/>
                    </w:rPr>
                    <w:footnoteReference w:id="5"/>
                  </w:r>
                </w:p>
                <w:p w:rsidR="00F87786" w:rsidRDefault="00F87786" w:rsidP="00F87786">
                  <w:pPr>
                    <w:pStyle w:val="ListParagraph"/>
                    <w:numPr>
                      <w:ilvl w:val="0"/>
                      <w:numId w:val="6"/>
                    </w:numPr>
                    <w:spacing w:after="0" w:line="240" w:lineRule="auto"/>
                    <w:ind w:left="0" w:firstLine="36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ar Likumu tiks noteikts jauns publisko tiesību līguma veids – ziedojums – papildus Valsts pārvaldes iekārtas likuma 12.panta pirmajā daļā minētajiem veidiem (sadarbības līgumam, administratīvajam līgumam, deleģēšanas līgumam un līdzdarbības līgumam).</w:t>
                  </w:r>
                </w:p>
                <w:p w:rsidR="00DC32EE" w:rsidRDefault="00674CC7" w:rsidP="00F8778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Tāpat </w:t>
                  </w:r>
                  <w:r w:rsidR="00F87786">
                    <w:rPr>
                      <w:rFonts w:ascii="Times New Roman" w:hAnsi="Times New Roman" w:cs="Times New Roman"/>
                      <w:sz w:val="26"/>
                      <w:szCs w:val="26"/>
                    </w:rPr>
                    <w:t>norādāms, ka</w:t>
                  </w:r>
                  <w:r w:rsidR="00951EFA">
                    <w:rPr>
                      <w:rFonts w:ascii="Times New Roman" w:hAnsi="Times New Roman" w:cs="Times New Roman"/>
                      <w:sz w:val="26"/>
                      <w:szCs w:val="26"/>
                    </w:rPr>
                    <w:t xml:space="preserve"> </w:t>
                  </w:r>
                  <w:r w:rsidR="00F87786" w:rsidRPr="00F87786">
                    <w:rPr>
                      <w:rFonts w:ascii="Times New Roman" w:hAnsi="Times New Roman" w:cs="Times New Roman"/>
                      <w:sz w:val="26"/>
                      <w:szCs w:val="26"/>
                    </w:rPr>
                    <w:t xml:space="preserve">publikas personas institūcijai nav saistošs tās apsolījums pieņemt ziedojumu, t.i., slēgt publisko tiesību līgumu; un attiecīgi – potenciālais ziedotājs nevar prasīt ziedojuma pieņemšanu. Ziedojuma atvēlēšana un ziedojuma pieņemšana </w:t>
                  </w:r>
                  <w:r w:rsidR="00BA36B7">
                    <w:rPr>
                      <w:rFonts w:ascii="Times New Roman" w:hAnsi="Times New Roman" w:cs="Times New Roman"/>
                      <w:sz w:val="26"/>
                      <w:szCs w:val="26"/>
                    </w:rPr>
                    <w:t>ir brīvprātīga.</w:t>
                  </w:r>
                </w:p>
                <w:p w:rsidR="00517CB1" w:rsidRDefault="00517CB1" w:rsidP="00F87786">
                  <w:pPr>
                    <w:spacing w:after="0" w:line="240" w:lineRule="auto"/>
                    <w:rPr>
                      <w:rFonts w:ascii="Times New Roman" w:hAnsi="Times New Roman" w:cs="Times New Roman"/>
                      <w:sz w:val="26"/>
                      <w:szCs w:val="26"/>
                    </w:rPr>
                  </w:pPr>
                </w:p>
                <w:p w:rsidR="00517CB1" w:rsidRDefault="00517CB1" w:rsidP="00F8778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Ja publiskas personas institūcija un ziedotājs </w:t>
                  </w:r>
                  <w:r w:rsidR="003B4A7C">
                    <w:rPr>
                      <w:rFonts w:ascii="Times New Roman" w:hAnsi="Times New Roman" w:cs="Times New Roman"/>
                      <w:sz w:val="26"/>
                      <w:szCs w:val="26"/>
                    </w:rPr>
                    <w:t>slēdz</w:t>
                  </w:r>
                  <w:r>
                    <w:rPr>
                      <w:rFonts w:ascii="Times New Roman" w:hAnsi="Times New Roman" w:cs="Times New Roman"/>
                      <w:sz w:val="26"/>
                      <w:szCs w:val="26"/>
                    </w:rPr>
                    <w:t xml:space="preserve"> </w:t>
                  </w:r>
                  <w:r w:rsidR="003B4A7C">
                    <w:rPr>
                      <w:rFonts w:ascii="Times New Roman" w:hAnsi="Times New Roman" w:cs="Times New Roman"/>
                      <w:sz w:val="26"/>
                      <w:szCs w:val="26"/>
                    </w:rPr>
                    <w:t>r</w:t>
                  </w:r>
                  <w:r>
                    <w:rPr>
                      <w:rFonts w:ascii="Times New Roman" w:hAnsi="Times New Roman" w:cs="Times New Roman"/>
                      <w:sz w:val="26"/>
                      <w:szCs w:val="26"/>
                    </w:rPr>
                    <w:t>akstveida (abpus</w:t>
                  </w:r>
                  <w:r w:rsidR="003B4A7C">
                    <w:rPr>
                      <w:rFonts w:ascii="Times New Roman" w:hAnsi="Times New Roman" w:cs="Times New Roman"/>
                      <w:sz w:val="26"/>
                      <w:szCs w:val="26"/>
                    </w:rPr>
                    <w:t>ēju</w:t>
                  </w:r>
                  <w:r>
                    <w:rPr>
                      <w:rFonts w:ascii="Times New Roman" w:hAnsi="Times New Roman" w:cs="Times New Roman"/>
                      <w:sz w:val="26"/>
                      <w:szCs w:val="26"/>
                    </w:rPr>
                    <w:t>) l</w:t>
                  </w:r>
                  <w:r w:rsidR="003B4A7C">
                    <w:rPr>
                      <w:rFonts w:ascii="Times New Roman" w:hAnsi="Times New Roman" w:cs="Times New Roman"/>
                      <w:sz w:val="26"/>
                      <w:szCs w:val="26"/>
                    </w:rPr>
                    <w:t>īgumu, tad š</w:t>
                  </w:r>
                  <w:r w:rsidR="00814006">
                    <w:rPr>
                      <w:rFonts w:ascii="Times New Roman" w:hAnsi="Times New Roman" w:cs="Times New Roman"/>
                      <w:sz w:val="26"/>
                      <w:szCs w:val="26"/>
                    </w:rPr>
                    <w:t>ī</w:t>
                  </w:r>
                  <w:r w:rsidR="00DB7B3F">
                    <w:rPr>
                      <w:rFonts w:ascii="Times New Roman" w:hAnsi="Times New Roman" w:cs="Times New Roman"/>
                      <w:sz w:val="26"/>
                      <w:szCs w:val="26"/>
                    </w:rPr>
                    <w:t xml:space="preserve"> publisko tiesību </w:t>
                  </w:r>
                  <w:r w:rsidR="003B4A7C">
                    <w:rPr>
                      <w:rFonts w:ascii="Times New Roman" w:hAnsi="Times New Roman" w:cs="Times New Roman"/>
                      <w:sz w:val="26"/>
                      <w:szCs w:val="26"/>
                    </w:rPr>
                    <w:t>līguma obligāt</w:t>
                  </w:r>
                  <w:r w:rsidR="00C010F6">
                    <w:rPr>
                      <w:rFonts w:ascii="Times New Roman" w:hAnsi="Times New Roman" w:cs="Times New Roman"/>
                      <w:sz w:val="26"/>
                      <w:szCs w:val="26"/>
                    </w:rPr>
                    <w:t>ajās</w:t>
                  </w:r>
                  <w:r w:rsidR="003B4A7C">
                    <w:rPr>
                      <w:rFonts w:ascii="Times New Roman" w:hAnsi="Times New Roman" w:cs="Times New Roman"/>
                      <w:sz w:val="26"/>
                      <w:szCs w:val="26"/>
                    </w:rPr>
                    <w:t xml:space="preserve"> sastāvda</w:t>
                  </w:r>
                  <w:r w:rsidR="00C010F6">
                    <w:rPr>
                      <w:rFonts w:ascii="Times New Roman" w:hAnsi="Times New Roman" w:cs="Times New Roman"/>
                      <w:sz w:val="26"/>
                      <w:szCs w:val="26"/>
                    </w:rPr>
                    <w:t>ļās</w:t>
                  </w:r>
                  <w:r w:rsidR="00561761">
                    <w:rPr>
                      <w:rFonts w:ascii="Times New Roman" w:hAnsi="Times New Roman" w:cs="Times New Roman"/>
                      <w:sz w:val="26"/>
                      <w:szCs w:val="26"/>
                    </w:rPr>
                    <w:t xml:space="preserve"> ir</w:t>
                  </w:r>
                  <w:r w:rsidR="005C0AFB">
                    <w:rPr>
                      <w:rFonts w:ascii="Times New Roman" w:hAnsi="Times New Roman" w:cs="Times New Roman"/>
                      <w:sz w:val="26"/>
                      <w:szCs w:val="26"/>
                    </w:rPr>
                    <w:t xml:space="preserve"> </w:t>
                  </w:r>
                  <w:r w:rsidR="00C010F6">
                    <w:rPr>
                      <w:rFonts w:ascii="Times New Roman" w:hAnsi="Times New Roman" w:cs="Times New Roman"/>
                      <w:sz w:val="26"/>
                      <w:szCs w:val="26"/>
                    </w:rPr>
                    <w:t>jābūt</w:t>
                  </w:r>
                  <w:r w:rsidR="00561761">
                    <w:rPr>
                      <w:rFonts w:ascii="Times New Roman" w:hAnsi="Times New Roman" w:cs="Times New Roman"/>
                      <w:sz w:val="26"/>
                      <w:szCs w:val="26"/>
                    </w:rPr>
                    <w:t xml:space="preserve"> norādītam</w:t>
                  </w:r>
                  <w:r w:rsidR="005C0AFB">
                    <w:rPr>
                      <w:rFonts w:ascii="Times New Roman" w:hAnsi="Times New Roman" w:cs="Times New Roman"/>
                      <w:sz w:val="26"/>
                      <w:szCs w:val="26"/>
                    </w:rPr>
                    <w:t xml:space="preserve"> </w:t>
                  </w:r>
                  <w:r w:rsidR="00C010F6">
                    <w:rPr>
                      <w:rFonts w:ascii="Times New Roman" w:hAnsi="Times New Roman" w:cs="Times New Roman"/>
                      <w:sz w:val="26"/>
                      <w:szCs w:val="26"/>
                    </w:rPr>
                    <w:t>1)</w:t>
                  </w:r>
                  <w:r w:rsidR="003B4A7C">
                    <w:rPr>
                      <w:rFonts w:ascii="Times New Roman" w:hAnsi="Times New Roman" w:cs="Times New Roman"/>
                      <w:sz w:val="26"/>
                      <w:szCs w:val="26"/>
                    </w:rPr>
                    <w:t xml:space="preserve"> </w:t>
                  </w:r>
                  <w:r w:rsidR="00B319ED">
                    <w:rPr>
                      <w:rFonts w:ascii="Times New Roman" w:hAnsi="Times New Roman" w:cs="Times New Roman"/>
                      <w:sz w:val="26"/>
                      <w:szCs w:val="26"/>
                    </w:rPr>
                    <w:t>līguma priek</w:t>
                  </w:r>
                  <w:r w:rsidR="00C010F6">
                    <w:rPr>
                      <w:rFonts w:ascii="Times New Roman" w:hAnsi="Times New Roman" w:cs="Times New Roman"/>
                      <w:sz w:val="26"/>
                      <w:szCs w:val="26"/>
                    </w:rPr>
                    <w:t>šmetam</w:t>
                  </w:r>
                  <w:r w:rsidR="00DB7B3F">
                    <w:rPr>
                      <w:rFonts w:ascii="Times New Roman" w:hAnsi="Times New Roman" w:cs="Times New Roman"/>
                      <w:sz w:val="26"/>
                      <w:szCs w:val="26"/>
                    </w:rPr>
                    <w:t>,</w:t>
                  </w:r>
                  <w:r w:rsidR="00E303B8">
                    <w:rPr>
                      <w:rFonts w:ascii="Times New Roman" w:hAnsi="Times New Roman" w:cs="Times New Roman"/>
                      <w:sz w:val="26"/>
                      <w:szCs w:val="26"/>
                    </w:rPr>
                    <w:t xml:space="preserve"> k</w:t>
                  </w:r>
                  <w:r w:rsidR="00561761">
                    <w:rPr>
                      <w:rFonts w:ascii="Times New Roman" w:hAnsi="Times New Roman" w:cs="Times New Roman"/>
                      <w:sz w:val="26"/>
                      <w:szCs w:val="26"/>
                    </w:rPr>
                    <w:t>as</w:t>
                  </w:r>
                  <w:r w:rsidR="00A1561B">
                    <w:rPr>
                      <w:rFonts w:ascii="Times New Roman" w:hAnsi="Times New Roman" w:cs="Times New Roman"/>
                      <w:sz w:val="26"/>
                      <w:szCs w:val="26"/>
                    </w:rPr>
                    <w:t xml:space="preserve"> </w:t>
                  </w:r>
                  <w:r w:rsidR="00561761">
                    <w:rPr>
                      <w:rFonts w:ascii="Times New Roman" w:hAnsi="Times New Roman" w:cs="Times New Roman"/>
                      <w:sz w:val="26"/>
                      <w:szCs w:val="26"/>
                    </w:rPr>
                    <w:t>ir</w:t>
                  </w:r>
                  <w:r w:rsidR="005C0AFB">
                    <w:rPr>
                      <w:rFonts w:ascii="Times New Roman" w:hAnsi="Times New Roman" w:cs="Times New Roman"/>
                      <w:sz w:val="26"/>
                      <w:szCs w:val="26"/>
                    </w:rPr>
                    <w:t xml:space="preserve"> atvēl</w:t>
                  </w:r>
                  <w:r w:rsidR="00561761">
                    <w:rPr>
                      <w:rFonts w:ascii="Times New Roman" w:hAnsi="Times New Roman" w:cs="Times New Roman"/>
                      <w:sz w:val="26"/>
                      <w:szCs w:val="26"/>
                    </w:rPr>
                    <w:t>ēts</w:t>
                  </w:r>
                  <w:r w:rsidR="00A1561B">
                    <w:rPr>
                      <w:rFonts w:ascii="Times New Roman" w:hAnsi="Times New Roman" w:cs="Times New Roman"/>
                      <w:sz w:val="26"/>
                      <w:szCs w:val="26"/>
                    </w:rPr>
                    <w:t xml:space="preserve"> publisko tiesību jomā</w:t>
                  </w:r>
                  <w:r w:rsidR="005C0AFB">
                    <w:rPr>
                      <w:rFonts w:ascii="Times New Roman" w:hAnsi="Times New Roman" w:cs="Times New Roman"/>
                      <w:sz w:val="26"/>
                      <w:szCs w:val="26"/>
                    </w:rPr>
                    <w:t xml:space="preserve"> noteiktu publisku mērķu sasniegšanai </w:t>
                  </w:r>
                  <w:r w:rsidR="005C0AFB">
                    <w:rPr>
                      <w:rFonts w:ascii="Times New Roman" w:eastAsia="Times New Roman" w:hAnsi="Times New Roman" w:cs="Times New Roman"/>
                      <w:sz w:val="26"/>
                      <w:szCs w:val="26"/>
                      <w:lang w:eastAsia="lv-LV"/>
                    </w:rPr>
                    <w:t xml:space="preserve">(t.i., </w:t>
                  </w:r>
                  <w:r w:rsidR="005C0AFB" w:rsidRPr="00070B85">
                    <w:rPr>
                      <w:rFonts w:ascii="Times New Roman" w:eastAsia="Times New Roman" w:hAnsi="Times New Roman" w:cs="Times New Roman"/>
                      <w:sz w:val="26"/>
                      <w:szCs w:val="26"/>
                      <w:lang w:eastAsia="lv-LV"/>
                    </w:rPr>
                    <w:t>manta, tai skaitā finanšu līdzekļi</w:t>
                  </w:r>
                  <w:r w:rsidR="005C0AFB">
                    <w:rPr>
                      <w:rFonts w:ascii="Times New Roman" w:eastAsia="Times New Roman" w:hAnsi="Times New Roman" w:cs="Times New Roman"/>
                      <w:sz w:val="26"/>
                      <w:szCs w:val="26"/>
                      <w:lang w:eastAsia="lv-LV"/>
                    </w:rPr>
                    <w:t>,</w:t>
                  </w:r>
                  <w:r w:rsidR="005C0AFB" w:rsidRPr="00070B85">
                    <w:rPr>
                      <w:rFonts w:ascii="Times New Roman" w:eastAsia="Times New Roman" w:hAnsi="Times New Roman" w:cs="Times New Roman"/>
                      <w:sz w:val="26"/>
                      <w:szCs w:val="26"/>
                      <w:lang w:eastAsia="lv-LV"/>
                    </w:rPr>
                    <w:t xml:space="preserve"> pakalpojums, tiesības un citāda veida labumi</w:t>
                  </w:r>
                  <w:r w:rsidR="005C0AFB">
                    <w:rPr>
                      <w:rFonts w:ascii="Times New Roman" w:eastAsia="Times New Roman" w:hAnsi="Times New Roman" w:cs="Times New Roman"/>
                      <w:sz w:val="26"/>
                      <w:szCs w:val="26"/>
                      <w:lang w:eastAsia="lv-LV"/>
                    </w:rPr>
                    <w:t>)</w:t>
                  </w:r>
                  <w:r w:rsidR="00BD14EB">
                    <w:rPr>
                      <w:rFonts w:ascii="Times New Roman" w:hAnsi="Times New Roman" w:cs="Times New Roman"/>
                      <w:sz w:val="26"/>
                      <w:szCs w:val="26"/>
                    </w:rPr>
                    <w:t>,</w:t>
                  </w:r>
                  <w:r w:rsidR="00E303B8">
                    <w:rPr>
                      <w:rFonts w:ascii="Times New Roman" w:hAnsi="Times New Roman" w:cs="Times New Roman"/>
                      <w:sz w:val="26"/>
                      <w:szCs w:val="26"/>
                    </w:rPr>
                    <w:t xml:space="preserve"> </w:t>
                  </w:r>
                  <w:r w:rsidR="00C010F6">
                    <w:rPr>
                      <w:rFonts w:ascii="Times New Roman" w:hAnsi="Times New Roman" w:cs="Times New Roman"/>
                      <w:sz w:val="26"/>
                      <w:szCs w:val="26"/>
                    </w:rPr>
                    <w:t xml:space="preserve">2) </w:t>
                  </w:r>
                  <w:r w:rsidR="00B319ED">
                    <w:rPr>
                      <w:rFonts w:ascii="Times New Roman" w:hAnsi="Times New Roman" w:cs="Times New Roman"/>
                      <w:sz w:val="26"/>
                      <w:szCs w:val="26"/>
                    </w:rPr>
                    <w:t>līguma</w:t>
                  </w:r>
                  <w:r w:rsidR="006C1393">
                    <w:rPr>
                      <w:rFonts w:ascii="Times New Roman" w:hAnsi="Times New Roman" w:cs="Times New Roman"/>
                      <w:sz w:val="26"/>
                      <w:szCs w:val="26"/>
                    </w:rPr>
                    <w:t xml:space="preserve"> (ziedojuma)</w:t>
                  </w:r>
                  <w:r w:rsidR="00B319ED">
                    <w:rPr>
                      <w:rFonts w:ascii="Times New Roman" w:hAnsi="Times New Roman" w:cs="Times New Roman"/>
                      <w:sz w:val="26"/>
                      <w:szCs w:val="26"/>
                    </w:rPr>
                    <w:t xml:space="preserve"> mēr</w:t>
                  </w:r>
                  <w:r w:rsidR="00C010F6">
                    <w:rPr>
                      <w:rFonts w:ascii="Times New Roman" w:hAnsi="Times New Roman" w:cs="Times New Roman"/>
                      <w:sz w:val="26"/>
                      <w:szCs w:val="26"/>
                    </w:rPr>
                    <w:t>ķim</w:t>
                  </w:r>
                  <w:r w:rsidR="006C1393">
                    <w:rPr>
                      <w:rFonts w:ascii="Times New Roman" w:hAnsi="Times New Roman" w:cs="Times New Roman"/>
                      <w:sz w:val="26"/>
                      <w:szCs w:val="26"/>
                    </w:rPr>
                    <w:t xml:space="preserve"> un valsts pārvaldes funkcijai vai uzdevumam, kura efektīvāku izpildi</w:t>
                  </w:r>
                  <w:r w:rsidR="009C5550">
                    <w:rPr>
                      <w:rFonts w:ascii="Times New Roman" w:hAnsi="Times New Roman" w:cs="Times New Roman"/>
                      <w:sz w:val="26"/>
                      <w:szCs w:val="26"/>
                    </w:rPr>
                    <w:t xml:space="preserve"> </w:t>
                  </w:r>
                  <w:r w:rsidR="00E303B8">
                    <w:rPr>
                      <w:rFonts w:ascii="Times New Roman" w:hAnsi="Times New Roman" w:cs="Times New Roman"/>
                      <w:sz w:val="26"/>
                      <w:szCs w:val="26"/>
                    </w:rPr>
                    <w:t>un sabiedrības labuma gūšanu</w:t>
                  </w:r>
                  <w:r w:rsidR="005C0AFB">
                    <w:rPr>
                      <w:rFonts w:ascii="Times New Roman" w:hAnsi="Times New Roman" w:cs="Times New Roman"/>
                      <w:sz w:val="26"/>
                      <w:szCs w:val="26"/>
                    </w:rPr>
                    <w:t xml:space="preserve"> </w:t>
                  </w:r>
                  <w:r w:rsidR="006C1393">
                    <w:rPr>
                      <w:rFonts w:ascii="Times New Roman" w:hAnsi="Times New Roman" w:cs="Times New Roman"/>
                      <w:sz w:val="26"/>
                      <w:szCs w:val="26"/>
                    </w:rPr>
                    <w:t xml:space="preserve">tas veicinās </w:t>
                  </w:r>
                  <w:r w:rsidR="005C0AFB">
                    <w:rPr>
                      <w:rFonts w:ascii="Times New Roman" w:hAnsi="Times New Roman" w:cs="Times New Roman"/>
                      <w:sz w:val="26"/>
                      <w:szCs w:val="26"/>
                    </w:rPr>
                    <w:t xml:space="preserve">(piem., </w:t>
                  </w:r>
                  <w:r w:rsidR="006C1393">
                    <w:rPr>
                      <w:rFonts w:ascii="Times New Roman" w:hAnsi="Times New Roman" w:cs="Times New Roman"/>
                      <w:sz w:val="26"/>
                      <w:szCs w:val="26"/>
                    </w:rPr>
                    <w:t xml:space="preserve">veselības aprūpes nozarē – </w:t>
                  </w:r>
                  <w:r w:rsidR="00E54784">
                    <w:rPr>
                      <w:rFonts w:ascii="Times New Roman" w:hAnsi="Times New Roman" w:cs="Times New Roman"/>
                      <w:sz w:val="26"/>
                      <w:szCs w:val="26"/>
                    </w:rPr>
                    <w:t xml:space="preserve">kvalitatīvu </w:t>
                  </w:r>
                  <w:r w:rsidR="006C1393">
                    <w:rPr>
                      <w:rFonts w:ascii="Times New Roman" w:hAnsi="Times New Roman" w:cs="Times New Roman"/>
                      <w:sz w:val="26"/>
                      <w:szCs w:val="26"/>
                    </w:rPr>
                    <w:t>veselības aprūpes pakalpojumu pieejamība; pašvaldībām – konkrētā autonomā funkcija, kas minēta likumā “Par pašvaldībām”</w:t>
                  </w:r>
                  <w:r w:rsidR="00E01355">
                    <w:rPr>
                      <w:rFonts w:ascii="Times New Roman" w:hAnsi="Times New Roman" w:cs="Times New Roman"/>
                      <w:sz w:val="26"/>
                      <w:szCs w:val="26"/>
                    </w:rPr>
                    <w:t>,</w:t>
                  </w:r>
                  <w:r w:rsidR="006C1393">
                    <w:rPr>
                      <w:rFonts w:ascii="Times New Roman" w:hAnsi="Times New Roman" w:cs="Times New Roman"/>
                      <w:sz w:val="26"/>
                      <w:szCs w:val="26"/>
                    </w:rPr>
                    <w:t xml:space="preserve"> utt.</w:t>
                  </w:r>
                  <w:r w:rsidR="005C0AFB">
                    <w:rPr>
                      <w:rFonts w:ascii="Times New Roman" w:hAnsi="Times New Roman" w:cs="Times New Roman"/>
                      <w:sz w:val="26"/>
                      <w:szCs w:val="26"/>
                    </w:rPr>
                    <w:t>)</w:t>
                  </w:r>
                  <w:r w:rsidR="00E303B8">
                    <w:rPr>
                      <w:rFonts w:ascii="Times New Roman" w:hAnsi="Times New Roman" w:cs="Times New Roman"/>
                      <w:sz w:val="26"/>
                      <w:szCs w:val="26"/>
                    </w:rPr>
                    <w:t>.</w:t>
                  </w:r>
                  <w:r w:rsidR="00C010F6">
                    <w:rPr>
                      <w:rFonts w:ascii="Times New Roman" w:hAnsi="Times New Roman" w:cs="Times New Roman"/>
                      <w:sz w:val="26"/>
                      <w:szCs w:val="26"/>
                    </w:rPr>
                    <w:t xml:space="preserve"> P</w:t>
                  </w:r>
                  <w:r w:rsidR="00814006">
                    <w:rPr>
                      <w:rFonts w:ascii="Times New Roman" w:hAnsi="Times New Roman" w:cs="Times New Roman"/>
                      <w:sz w:val="26"/>
                      <w:szCs w:val="26"/>
                    </w:rPr>
                    <w:t>apildus</w:t>
                  </w:r>
                  <w:r w:rsidR="00DB7B3F">
                    <w:rPr>
                      <w:rFonts w:ascii="Times New Roman" w:hAnsi="Times New Roman" w:cs="Times New Roman"/>
                      <w:sz w:val="26"/>
                      <w:szCs w:val="26"/>
                    </w:rPr>
                    <w:t xml:space="preserve"> būtu </w:t>
                  </w:r>
                  <w:r w:rsidR="003B4A7C">
                    <w:rPr>
                      <w:rFonts w:ascii="Times New Roman" w:hAnsi="Times New Roman" w:cs="Times New Roman"/>
                      <w:sz w:val="26"/>
                      <w:szCs w:val="26"/>
                    </w:rPr>
                    <w:t>vēlama arī norāde uz ārējo normatīvo aktu, saskaņā ar kuru ir noslēgts</w:t>
                  </w:r>
                  <w:r w:rsidR="00DB7B3F">
                    <w:rPr>
                      <w:rFonts w:ascii="Times New Roman" w:hAnsi="Times New Roman" w:cs="Times New Roman"/>
                      <w:sz w:val="26"/>
                      <w:szCs w:val="26"/>
                    </w:rPr>
                    <w:t xml:space="preserve"> konkrētais līgums</w:t>
                  </w:r>
                  <w:r w:rsidR="00564C63">
                    <w:rPr>
                      <w:rFonts w:ascii="Times New Roman" w:hAnsi="Times New Roman" w:cs="Times New Roman"/>
                      <w:sz w:val="26"/>
                      <w:szCs w:val="26"/>
                    </w:rPr>
                    <w:t>. Šāda norāde mazinātu šaubas, vai noslēgtais līgums atbilst publisko ties</w:t>
                  </w:r>
                  <w:r w:rsidR="00C9257F">
                    <w:rPr>
                      <w:rFonts w:ascii="Times New Roman" w:hAnsi="Times New Roman" w:cs="Times New Roman"/>
                      <w:sz w:val="26"/>
                      <w:szCs w:val="26"/>
                    </w:rPr>
                    <w:t>ību līguma pazīmēm</w:t>
                  </w:r>
                  <w:r w:rsidR="00564C63">
                    <w:rPr>
                      <w:rFonts w:ascii="Times New Roman" w:hAnsi="Times New Roman" w:cs="Times New Roman"/>
                      <w:sz w:val="26"/>
                      <w:szCs w:val="26"/>
                    </w:rPr>
                    <w:t>.</w:t>
                  </w:r>
                </w:p>
                <w:p w:rsidR="00525DDF" w:rsidRPr="00F87786" w:rsidRDefault="00525DDF" w:rsidP="00F87786">
                  <w:pPr>
                    <w:spacing w:after="0" w:line="240" w:lineRule="auto"/>
                    <w:rPr>
                      <w:rFonts w:ascii="Times New Roman" w:eastAsia="Times New Roman" w:hAnsi="Times New Roman" w:cs="Times New Roman"/>
                      <w:sz w:val="26"/>
                      <w:szCs w:val="26"/>
                      <w:lang w:eastAsia="lv-LV"/>
                    </w:rPr>
                  </w:pPr>
                </w:p>
                <w:p w:rsidR="004776BB" w:rsidRPr="005C2CEE" w:rsidRDefault="0057396F" w:rsidP="00070B85">
                  <w:pPr>
                    <w:spacing w:after="0" w:line="240" w:lineRule="auto"/>
                    <w:rPr>
                      <w:rFonts w:ascii="Times New Roman" w:eastAsia="Times New Roman" w:hAnsi="Times New Roman" w:cs="Times New Roman"/>
                      <w:sz w:val="26"/>
                      <w:szCs w:val="26"/>
                      <w:lang w:eastAsia="lv-LV"/>
                    </w:rPr>
                  </w:pPr>
                  <w:r w:rsidRPr="005C2CEE">
                    <w:rPr>
                      <w:rFonts w:ascii="Times New Roman" w:eastAsia="Times New Roman" w:hAnsi="Times New Roman" w:cs="Times New Roman"/>
                      <w:sz w:val="26"/>
                      <w:szCs w:val="26"/>
                      <w:lang w:eastAsia="lv-LV"/>
                    </w:rPr>
                    <w:t>L</w:t>
                  </w:r>
                  <w:r w:rsidR="004776BB" w:rsidRPr="005C2CEE">
                    <w:rPr>
                      <w:rFonts w:ascii="Times New Roman" w:eastAsia="Times New Roman" w:hAnsi="Times New Roman" w:cs="Times New Roman"/>
                      <w:sz w:val="26"/>
                      <w:szCs w:val="26"/>
                      <w:lang w:eastAsia="lv-LV"/>
                    </w:rPr>
                    <w:t>ikumprojekts paredz</w:t>
                  </w:r>
                  <w:r w:rsidR="00FE28C7" w:rsidRPr="005C2CEE">
                    <w:rPr>
                      <w:rFonts w:ascii="Times New Roman" w:eastAsia="Times New Roman" w:hAnsi="Times New Roman" w:cs="Times New Roman"/>
                      <w:sz w:val="26"/>
                      <w:szCs w:val="26"/>
                      <w:lang w:eastAsia="lv-LV"/>
                    </w:rPr>
                    <w:t xml:space="preserve"> arī</w:t>
                  </w:r>
                  <w:r w:rsidR="004776BB" w:rsidRPr="005C2CEE">
                    <w:rPr>
                      <w:rFonts w:ascii="Times New Roman" w:eastAsia="Times New Roman" w:hAnsi="Times New Roman" w:cs="Times New Roman"/>
                      <w:sz w:val="26"/>
                      <w:szCs w:val="26"/>
                      <w:lang w:eastAsia="lv-LV"/>
                    </w:rPr>
                    <w:t xml:space="preserve"> atsevišķu izņēmumu no Valsts pārvaldes iekārtas likuma 12.panta otrās daļas, proti, izvērtējot lietderību,</w:t>
                  </w:r>
                  <w:r w:rsidR="004E4AA6" w:rsidRPr="005C2CEE">
                    <w:rPr>
                      <w:rFonts w:ascii="Times New Roman" w:eastAsia="Times New Roman" w:hAnsi="Times New Roman" w:cs="Times New Roman"/>
                      <w:sz w:val="26"/>
                      <w:szCs w:val="26"/>
                      <w:lang w:eastAsia="lv-LV"/>
                    </w:rPr>
                    <w:t xml:space="preserve"> publiskas personas institūcija var</w:t>
                  </w:r>
                  <w:r w:rsidR="004776BB" w:rsidRPr="005C2CEE">
                    <w:rPr>
                      <w:rFonts w:ascii="Times New Roman" w:eastAsia="Times New Roman" w:hAnsi="Times New Roman" w:cs="Times New Roman"/>
                      <w:sz w:val="26"/>
                      <w:szCs w:val="26"/>
                      <w:lang w:eastAsia="lv-LV"/>
                    </w:rPr>
                    <w:t xml:space="preserve"> neslēgt rakstveida</w:t>
                  </w:r>
                  <w:r w:rsidR="004E4AA6" w:rsidRPr="005C2CEE">
                    <w:rPr>
                      <w:rFonts w:ascii="Times New Roman" w:eastAsia="Times New Roman" w:hAnsi="Times New Roman" w:cs="Times New Roman"/>
                      <w:sz w:val="26"/>
                      <w:szCs w:val="26"/>
                      <w:lang w:eastAsia="lv-LV"/>
                    </w:rPr>
                    <w:t xml:space="preserve"> (abpusēju)</w:t>
                  </w:r>
                  <w:r w:rsidR="004776BB" w:rsidRPr="005C2CEE">
                    <w:rPr>
                      <w:rFonts w:ascii="Times New Roman" w:eastAsia="Times New Roman" w:hAnsi="Times New Roman" w:cs="Times New Roman"/>
                      <w:sz w:val="26"/>
                      <w:szCs w:val="26"/>
                      <w:lang w:eastAsia="lv-LV"/>
                    </w:rPr>
                    <w:t xml:space="preserve"> līgumu par ziedojuma pieņemšanu</w:t>
                  </w:r>
                  <w:r w:rsidR="004E4AA6" w:rsidRPr="005C2CEE">
                    <w:rPr>
                      <w:rFonts w:ascii="Times New Roman" w:eastAsia="Times New Roman" w:hAnsi="Times New Roman" w:cs="Times New Roman"/>
                      <w:sz w:val="26"/>
                      <w:szCs w:val="26"/>
                      <w:lang w:eastAsia="lv-LV"/>
                    </w:rPr>
                    <w:t>, bet</w:t>
                  </w:r>
                  <w:r w:rsidRPr="005C2CEE">
                    <w:rPr>
                      <w:rFonts w:ascii="Times New Roman" w:eastAsia="Times New Roman" w:hAnsi="Times New Roman" w:cs="Times New Roman"/>
                      <w:sz w:val="26"/>
                      <w:szCs w:val="26"/>
                      <w:lang w:eastAsia="lv-LV"/>
                    </w:rPr>
                    <w:t xml:space="preserve"> vienlaikus</w:t>
                  </w:r>
                  <w:r w:rsidR="004E4AA6" w:rsidRPr="005C2CEE">
                    <w:rPr>
                      <w:rFonts w:ascii="Times New Roman" w:eastAsia="Times New Roman" w:hAnsi="Times New Roman" w:cs="Times New Roman"/>
                      <w:sz w:val="26"/>
                      <w:szCs w:val="26"/>
                      <w:lang w:eastAsia="lv-LV"/>
                    </w:rPr>
                    <w:t xml:space="preserve"> nosaka</w:t>
                  </w:r>
                  <w:r w:rsidR="00511D7B" w:rsidRPr="005C2CEE">
                    <w:rPr>
                      <w:rFonts w:ascii="Times New Roman" w:eastAsia="Times New Roman" w:hAnsi="Times New Roman" w:cs="Times New Roman"/>
                      <w:sz w:val="26"/>
                      <w:szCs w:val="26"/>
                      <w:lang w:eastAsia="lv-LV"/>
                    </w:rPr>
                    <w:t xml:space="preserve"> </w:t>
                  </w:r>
                  <w:r w:rsidR="007A13B7" w:rsidRPr="005C2CEE">
                    <w:rPr>
                      <w:rFonts w:ascii="Times New Roman" w:eastAsia="Times New Roman" w:hAnsi="Times New Roman" w:cs="Times New Roman"/>
                      <w:sz w:val="26"/>
                      <w:szCs w:val="26"/>
                      <w:lang w:eastAsia="lv-LV"/>
                    </w:rPr>
                    <w:t xml:space="preserve">publiskas personas institūcijai </w:t>
                  </w:r>
                  <w:r w:rsidR="004E4AA6" w:rsidRPr="005C2CEE">
                    <w:rPr>
                      <w:rFonts w:ascii="Times New Roman" w:eastAsia="Times New Roman" w:hAnsi="Times New Roman" w:cs="Times New Roman"/>
                      <w:sz w:val="26"/>
                      <w:szCs w:val="26"/>
                      <w:lang w:eastAsia="lv-LV"/>
                    </w:rPr>
                    <w:t>pienākumu</w:t>
                  </w:r>
                  <w:r w:rsidR="00674CC7" w:rsidRPr="005C2CEE">
                    <w:rPr>
                      <w:rFonts w:ascii="Times New Roman" w:eastAsia="Times New Roman" w:hAnsi="Times New Roman" w:cs="Times New Roman"/>
                      <w:sz w:val="26"/>
                      <w:szCs w:val="26"/>
                      <w:lang w:eastAsia="lv-LV"/>
                    </w:rPr>
                    <w:t xml:space="preserve"> </w:t>
                  </w:r>
                  <w:r w:rsidR="004E4AA6" w:rsidRPr="005C2CEE">
                    <w:rPr>
                      <w:rFonts w:ascii="Times New Roman" w:eastAsia="Times New Roman" w:hAnsi="Times New Roman" w:cs="Times New Roman"/>
                      <w:sz w:val="26"/>
                      <w:szCs w:val="26"/>
                      <w:lang w:eastAsia="lv-LV"/>
                    </w:rPr>
                    <w:t>noformēt ziedojuma faktu</w:t>
                  </w:r>
                  <w:r w:rsidR="007A13B7" w:rsidRPr="005C2CEE">
                    <w:rPr>
                      <w:rFonts w:ascii="Times New Roman" w:eastAsia="Times New Roman" w:hAnsi="Times New Roman" w:cs="Times New Roman"/>
                      <w:sz w:val="26"/>
                      <w:szCs w:val="26"/>
                      <w:lang w:eastAsia="lv-LV"/>
                    </w:rPr>
                    <w:t>.</w:t>
                  </w:r>
                  <w:r w:rsidR="00FD574B" w:rsidRPr="005C2CEE">
                    <w:rPr>
                      <w:rFonts w:ascii="Times New Roman" w:eastAsia="Times New Roman" w:hAnsi="Times New Roman" w:cs="Times New Roman"/>
                      <w:sz w:val="26"/>
                      <w:szCs w:val="26"/>
                      <w:lang w:eastAsia="lv-LV"/>
                    </w:rPr>
                    <w:t xml:space="preserve"> </w:t>
                  </w:r>
                  <w:r w:rsidR="00171237" w:rsidRPr="005C2CEE">
                    <w:rPr>
                      <w:rFonts w:ascii="Times New Roman" w:eastAsia="Times New Roman" w:hAnsi="Times New Roman" w:cs="Times New Roman"/>
                      <w:sz w:val="26"/>
                      <w:szCs w:val="26"/>
                      <w:lang w:eastAsia="lv-LV"/>
                    </w:rPr>
                    <w:t>G</w:t>
                  </w:r>
                  <w:r w:rsidR="00FD574B" w:rsidRPr="005C2CEE">
                    <w:rPr>
                      <w:rFonts w:ascii="Times New Roman" w:eastAsia="Times New Roman" w:hAnsi="Times New Roman" w:cs="Times New Roman"/>
                      <w:sz w:val="26"/>
                      <w:szCs w:val="26"/>
                      <w:lang w:eastAsia="lv-LV"/>
                    </w:rPr>
                    <w:t>adījumos, kad publiskas personas institūcija</w:t>
                  </w:r>
                  <w:r w:rsidR="00C2735B" w:rsidRPr="005C2CEE">
                    <w:rPr>
                      <w:rFonts w:ascii="Times New Roman" w:eastAsia="Times New Roman" w:hAnsi="Times New Roman" w:cs="Times New Roman"/>
                      <w:sz w:val="26"/>
                      <w:szCs w:val="26"/>
                      <w:lang w:eastAsia="lv-LV"/>
                    </w:rPr>
                    <w:t xml:space="preserve"> pati noformē ziedojuma faktu, tā identificē</w:t>
                  </w:r>
                  <w:r w:rsidR="00E303B8">
                    <w:rPr>
                      <w:rFonts w:ascii="Times New Roman" w:eastAsia="Times New Roman" w:hAnsi="Times New Roman" w:cs="Times New Roman"/>
                      <w:sz w:val="26"/>
                      <w:szCs w:val="26"/>
                      <w:lang w:eastAsia="lv-LV"/>
                    </w:rPr>
                    <w:t xml:space="preserve"> ziedojuma mērķi,</w:t>
                  </w:r>
                  <w:r w:rsidR="00C2735B" w:rsidRPr="005C2CEE">
                    <w:rPr>
                      <w:rFonts w:ascii="Times New Roman" w:eastAsia="Times New Roman" w:hAnsi="Times New Roman" w:cs="Times New Roman"/>
                      <w:sz w:val="26"/>
                      <w:szCs w:val="26"/>
                      <w:lang w:eastAsia="lv-LV"/>
                    </w:rPr>
                    <w:t xml:space="preserve"> ziedotāju, dokumentāli atšifrējot ziedotāj</w:t>
                  </w:r>
                  <w:r w:rsidR="00171237" w:rsidRPr="005C2CEE">
                    <w:rPr>
                      <w:rFonts w:ascii="Times New Roman" w:eastAsia="Times New Roman" w:hAnsi="Times New Roman" w:cs="Times New Roman"/>
                      <w:sz w:val="26"/>
                      <w:szCs w:val="26"/>
                      <w:lang w:eastAsia="lv-LV"/>
                    </w:rPr>
                    <w:t>a</w:t>
                  </w:r>
                  <w:r w:rsidR="00C2735B" w:rsidRPr="005C2CEE">
                    <w:rPr>
                      <w:rFonts w:ascii="Times New Roman" w:eastAsia="Times New Roman" w:hAnsi="Times New Roman" w:cs="Times New Roman"/>
                      <w:sz w:val="26"/>
                      <w:szCs w:val="26"/>
                      <w:lang w:eastAsia="lv-LV"/>
                    </w:rPr>
                    <w:t xml:space="preserve"> identificējošos datus (fiziskai personai –</w:t>
                  </w:r>
                  <w:r w:rsidR="00DA46C6">
                    <w:rPr>
                      <w:rFonts w:ascii="Times New Roman" w:eastAsia="Times New Roman" w:hAnsi="Times New Roman" w:cs="Times New Roman"/>
                      <w:sz w:val="26"/>
                      <w:szCs w:val="26"/>
                      <w:lang w:eastAsia="lv-LV"/>
                    </w:rPr>
                    <w:t xml:space="preserve"> </w:t>
                  </w:r>
                  <w:r w:rsidR="00C2735B" w:rsidRPr="005C2CEE">
                    <w:rPr>
                      <w:rFonts w:ascii="Times New Roman" w:eastAsia="Times New Roman" w:hAnsi="Times New Roman" w:cs="Times New Roman"/>
                      <w:sz w:val="26"/>
                      <w:szCs w:val="26"/>
                      <w:lang w:eastAsia="lv-LV"/>
                    </w:rPr>
                    <w:t>vārdu</w:t>
                  </w:r>
                  <w:r w:rsidR="005C2CEE" w:rsidRPr="005C2CEE">
                    <w:rPr>
                      <w:rFonts w:ascii="Times New Roman" w:eastAsia="Times New Roman" w:hAnsi="Times New Roman" w:cs="Times New Roman"/>
                      <w:sz w:val="26"/>
                      <w:szCs w:val="26"/>
                      <w:lang w:eastAsia="lv-LV"/>
                    </w:rPr>
                    <w:t xml:space="preserve"> un</w:t>
                  </w:r>
                  <w:r w:rsidR="00C2735B" w:rsidRPr="005C2CEE">
                    <w:rPr>
                      <w:rFonts w:ascii="Times New Roman" w:eastAsia="Times New Roman" w:hAnsi="Times New Roman" w:cs="Times New Roman"/>
                      <w:sz w:val="26"/>
                      <w:szCs w:val="26"/>
                      <w:lang w:eastAsia="lv-LV"/>
                    </w:rPr>
                    <w:t xml:space="preserve"> uzvārdu, personas kodu</w:t>
                  </w:r>
                  <w:r w:rsidR="005C2CEE" w:rsidRPr="005C2CEE">
                    <w:rPr>
                      <w:rFonts w:ascii="Times New Roman" w:hAnsi="Times New Roman" w:cs="Times New Roman"/>
                      <w:sz w:val="26"/>
                      <w:szCs w:val="26"/>
                    </w:rPr>
                    <w:t xml:space="preserve"> </w:t>
                  </w:r>
                  <w:r w:rsidR="005C2CEE" w:rsidRPr="005C2CEE">
                    <w:rPr>
                      <w:rStyle w:val="st"/>
                      <w:rFonts w:ascii="Times New Roman" w:hAnsi="Times New Roman" w:cs="Times New Roman"/>
                      <w:sz w:val="26"/>
                      <w:szCs w:val="26"/>
                    </w:rPr>
                    <w:t xml:space="preserve">(ja </w:t>
                  </w:r>
                  <w:r w:rsidR="005C2CEE" w:rsidRPr="005C2CEE">
                    <w:rPr>
                      <w:rStyle w:val="Emphasis"/>
                      <w:rFonts w:ascii="Times New Roman" w:hAnsi="Times New Roman" w:cs="Times New Roman"/>
                      <w:i w:val="0"/>
                      <w:sz w:val="26"/>
                      <w:szCs w:val="26"/>
                    </w:rPr>
                    <w:t>personai</w:t>
                  </w:r>
                  <w:r w:rsidR="005C2CEE" w:rsidRPr="005C2CEE">
                    <w:rPr>
                      <w:rStyle w:val="st"/>
                      <w:rFonts w:ascii="Times New Roman" w:hAnsi="Times New Roman" w:cs="Times New Roman"/>
                      <w:sz w:val="26"/>
                      <w:szCs w:val="26"/>
                    </w:rPr>
                    <w:t xml:space="preserve"> nav </w:t>
                  </w:r>
                  <w:r w:rsidR="005C2CEE" w:rsidRPr="005C2CEE">
                    <w:rPr>
                      <w:rStyle w:val="Emphasis"/>
                      <w:rFonts w:ascii="Times New Roman" w:hAnsi="Times New Roman" w:cs="Times New Roman"/>
                      <w:i w:val="0"/>
                      <w:sz w:val="26"/>
                      <w:szCs w:val="26"/>
                    </w:rPr>
                    <w:t>personas</w:t>
                  </w:r>
                  <w:r w:rsidR="002D3FE8">
                    <w:rPr>
                      <w:rStyle w:val="st"/>
                      <w:rFonts w:ascii="Times New Roman" w:hAnsi="Times New Roman" w:cs="Times New Roman"/>
                      <w:sz w:val="26"/>
                      <w:szCs w:val="26"/>
                    </w:rPr>
                    <w:t xml:space="preserve"> koda – dzimšanas datumu, dzimšanas vietu</w:t>
                  </w:r>
                  <w:r w:rsidR="005C2CEE" w:rsidRPr="005C2CEE">
                    <w:rPr>
                      <w:rStyle w:val="st"/>
                      <w:rFonts w:ascii="Times New Roman" w:hAnsi="Times New Roman" w:cs="Times New Roman"/>
                      <w:sz w:val="26"/>
                      <w:szCs w:val="26"/>
                    </w:rPr>
                    <w:t>)</w:t>
                  </w:r>
                  <w:r w:rsidR="00C2735B" w:rsidRPr="005C2CEE">
                    <w:rPr>
                      <w:rFonts w:ascii="Times New Roman" w:eastAsia="Times New Roman" w:hAnsi="Times New Roman" w:cs="Times New Roman"/>
                      <w:sz w:val="26"/>
                      <w:szCs w:val="26"/>
                      <w:lang w:eastAsia="lv-LV"/>
                    </w:rPr>
                    <w:t xml:space="preserve">; juridiskai </w:t>
                  </w:r>
                  <w:r w:rsidR="00C2735B" w:rsidRPr="008B577D">
                    <w:rPr>
                      <w:rFonts w:ascii="Times New Roman" w:eastAsia="Times New Roman" w:hAnsi="Times New Roman" w:cs="Times New Roman"/>
                      <w:sz w:val="26"/>
                      <w:szCs w:val="26"/>
                      <w:lang w:eastAsia="lv-LV"/>
                    </w:rPr>
                    <w:t>pe</w:t>
                  </w:r>
                  <w:r w:rsidR="00C2735B" w:rsidRPr="00182188">
                    <w:rPr>
                      <w:rFonts w:ascii="Times New Roman" w:eastAsia="Times New Roman" w:hAnsi="Times New Roman" w:cs="Times New Roman"/>
                      <w:sz w:val="26"/>
                      <w:szCs w:val="26"/>
                      <w:lang w:eastAsia="lv-LV"/>
                    </w:rPr>
                    <w:t>rs</w:t>
                  </w:r>
                  <w:r w:rsidR="00C2735B" w:rsidRPr="005C2CEE">
                    <w:rPr>
                      <w:rFonts w:ascii="Times New Roman" w:eastAsia="Times New Roman" w:hAnsi="Times New Roman" w:cs="Times New Roman"/>
                      <w:sz w:val="26"/>
                      <w:szCs w:val="26"/>
                      <w:lang w:eastAsia="lv-LV"/>
                    </w:rPr>
                    <w:t>onai –</w:t>
                  </w:r>
                  <w:r w:rsidR="00DA46C6">
                    <w:rPr>
                      <w:rFonts w:ascii="Times New Roman" w:eastAsia="Times New Roman" w:hAnsi="Times New Roman" w:cs="Times New Roman"/>
                      <w:sz w:val="26"/>
                      <w:szCs w:val="26"/>
                      <w:lang w:eastAsia="lv-LV"/>
                    </w:rPr>
                    <w:t xml:space="preserve"> </w:t>
                  </w:r>
                  <w:r w:rsidR="00C2735B" w:rsidRPr="005C2CEE">
                    <w:rPr>
                      <w:rFonts w:ascii="Times New Roman" w:eastAsia="Times New Roman" w:hAnsi="Times New Roman" w:cs="Times New Roman"/>
                      <w:sz w:val="26"/>
                      <w:szCs w:val="26"/>
                      <w:lang w:eastAsia="lv-LV"/>
                    </w:rPr>
                    <w:t>nosaukumu un reģistrācijas numuru).</w:t>
                  </w:r>
                  <w:r w:rsidR="00FD574B" w:rsidRPr="005C2CEE">
                    <w:rPr>
                      <w:rFonts w:ascii="Times New Roman" w:eastAsia="Times New Roman" w:hAnsi="Times New Roman" w:cs="Times New Roman"/>
                      <w:sz w:val="26"/>
                      <w:szCs w:val="26"/>
                      <w:lang w:eastAsia="lv-LV"/>
                    </w:rPr>
                    <w:t xml:space="preserve"> </w:t>
                  </w:r>
                  <w:r w:rsidR="007A13B7" w:rsidRPr="005C2CEE">
                    <w:rPr>
                      <w:rFonts w:ascii="Times New Roman" w:eastAsia="Times New Roman" w:hAnsi="Times New Roman" w:cs="Times New Roman"/>
                      <w:sz w:val="26"/>
                      <w:szCs w:val="26"/>
                      <w:lang w:eastAsia="lv-LV"/>
                    </w:rPr>
                    <w:t>Min</w:t>
                  </w:r>
                  <w:r w:rsidR="00171237" w:rsidRPr="005C2CEE">
                    <w:rPr>
                      <w:rFonts w:ascii="Times New Roman" w:eastAsia="Times New Roman" w:hAnsi="Times New Roman" w:cs="Times New Roman"/>
                      <w:sz w:val="26"/>
                      <w:szCs w:val="26"/>
                      <w:lang w:eastAsia="lv-LV"/>
                    </w:rPr>
                    <w:t xml:space="preserve">ētā kārtība </w:t>
                  </w:r>
                  <w:r w:rsidR="007A13B7" w:rsidRPr="005C2CEE">
                    <w:rPr>
                      <w:rFonts w:ascii="Times New Roman" w:eastAsia="Times New Roman" w:hAnsi="Times New Roman" w:cs="Times New Roman"/>
                      <w:sz w:val="26"/>
                      <w:szCs w:val="26"/>
                      <w:lang w:eastAsia="lv-LV"/>
                    </w:rPr>
                    <w:t xml:space="preserve">neizslēdz abpusēja akta </w:t>
                  </w:r>
                  <w:r w:rsidR="004E4AA6" w:rsidRPr="005C2CEE">
                    <w:rPr>
                      <w:rFonts w:ascii="Times New Roman" w:eastAsia="Times New Roman" w:hAnsi="Times New Roman" w:cs="Times New Roman"/>
                      <w:sz w:val="26"/>
                      <w:szCs w:val="26"/>
                      <w:lang w:eastAsia="lv-LV"/>
                    </w:rPr>
                    <w:t>(piem.,</w:t>
                  </w:r>
                  <w:r w:rsidR="002D3FE8">
                    <w:rPr>
                      <w:rFonts w:ascii="Times New Roman" w:eastAsia="Times New Roman" w:hAnsi="Times New Roman" w:cs="Times New Roman"/>
                      <w:sz w:val="26"/>
                      <w:szCs w:val="26"/>
                      <w:lang w:eastAsia="lv-LV"/>
                    </w:rPr>
                    <w:t xml:space="preserve"> </w:t>
                  </w:r>
                  <w:r w:rsidR="004E4AA6" w:rsidRPr="005C2CEE">
                    <w:rPr>
                      <w:rFonts w:ascii="Times New Roman" w:eastAsia="Times New Roman" w:hAnsi="Times New Roman" w:cs="Times New Roman"/>
                      <w:sz w:val="26"/>
                      <w:szCs w:val="26"/>
                      <w:lang w:eastAsia="lv-LV"/>
                    </w:rPr>
                    <w:t>pieņemšanas-no</w:t>
                  </w:r>
                  <w:r w:rsidR="00F9502F" w:rsidRPr="005C2CEE">
                    <w:rPr>
                      <w:rFonts w:ascii="Times New Roman" w:eastAsia="Times New Roman" w:hAnsi="Times New Roman" w:cs="Times New Roman"/>
                      <w:sz w:val="26"/>
                      <w:szCs w:val="26"/>
                      <w:lang w:eastAsia="lv-LV"/>
                    </w:rPr>
                    <w:t>došanas akt</w:t>
                  </w:r>
                  <w:r w:rsidR="00F20560" w:rsidRPr="005C2CEE">
                    <w:rPr>
                      <w:rFonts w:ascii="Times New Roman" w:eastAsia="Times New Roman" w:hAnsi="Times New Roman" w:cs="Times New Roman"/>
                      <w:sz w:val="26"/>
                      <w:szCs w:val="26"/>
                      <w:lang w:eastAsia="lv-LV"/>
                    </w:rPr>
                    <w:t>a</w:t>
                  </w:r>
                  <w:r w:rsidR="004E4AA6" w:rsidRPr="005C2CEE">
                    <w:rPr>
                      <w:rFonts w:ascii="Times New Roman" w:eastAsia="Times New Roman" w:hAnsi="Times New Roman" w:cs="Times New Roman"/>
                      <w:sz w:val="26"/>
                      <w:szCs w:val="26"/>
                      <w:lang w:eastAsia="lv-LV"/>
                    </w:rPr>
                    <w:t>)</w:t>
                  </w:r>
                  <w:r w:rsidR="00F20560" w:rsidRPr="005C2CEE">
                    <w:rPr>
                      <w:rFonts w:ascii="Times New Roman" w:eastAsia="Times New Roman" w:hAnsi="Times New Roman" w:cs="Times New Roman"/>
                      <w:sz w:val="26"/>
                      <w:szCs w:val="26"/>
                      <w:lang w:eastAsia="lv-LV"/>
                    </w:rPr>
                    <w:t xml:space="preserve"> vai</w:t>
                  </w:r>
                  <w:r w:rsidR="005C2CEE" w:rsidRPr="005C2CEE">
                    <w:rPr>
                      <w:rFonts w:ascii="Times New Roman" w:eastAsia="Times New Roman" w:hAnsi="Times New Roman" w:cs="Times New Roman"/>
                      <w:sz w:val="26"/>
                      <w:szCs w:val="26"/>
                      <w:lang w:eastAsia="lv-LV"/>
                    </w:rPr>
                    <w:t xml:space="preserve"> </w:t>
                  </w:r>
                  <w:r w:rsidR="00F20560" w:rsidRPr="005C2CEE">
                    <w:rPr>
                      <w:rFonts w:ascii="Times New Roman" w:eastAsia="Times New Roman" w:hAnsi="Times New Roman" w:cs="Times New Roman"/>
                      <w:sz w:val="26"/>
                      <w:szCs w:val="26"/>
                      <w:lang w:eastAsia="lv-LV"/>
                    </w:rPr>
                    <w:t>rakstveida līguma parakstīšanas iespēju.</w:t>
                  </w:r>
                  <w:r w:rsidR="005C2CEE" w:rsidRPr="005C2CEE">
                    <w:rPr>
                      <w:rFonts w:ascii="Times New Roman" w:eastAsia="Times New Roman" w:hAnsi="Times New Roman" w:cs="Times New Roman"/>
                      <w:sz w:val="26"/>
                      <w:szCs w:val="26"/>
                      <w:lang w:eastAsia="lv-LV"/>
                    </w:rPr>
                    <w:t xml:space="preserve"> Pusēm ir dota rīcības brīvība piemērotākā risinājuma izvēlē.</w:t>
                  </w:r>
                </w:p>
                <w:p w:rsidR="004776BB" w:rsidRDefault="00E53627" w:rsidP="00070B85">
                  <w:pPr>
                    <w:spacing w:after="0" w:line="240" w:lineRule="auto"/>
                    <w:rPr>
                      <w:rFonts w:ascii="Times New Roman" w:hAnsi="Times New Roman" w:cs="Times New Roman"/>
                      <w:sz w:val="26"/>
                      <w:szCs w:val="26"/>
                    </w:rPr>
                  </w:pPr>
                  <w:r>
                    <w:rPr>
                      <w:rFonts w:ascii="Times New Roman" w:hAnsi="Times New Roman" w:cs="Times New Roman"/>
                      <w:sz w:val="26"/>
                      <w:szCs w:val="26"/>
                    </w:rPr>
                    <w:t>Ņemot vērā, ka ziedojums šā likuma izpratnē ir uzskatāms par publisko tiesību līgumu, strīdi starp pusēm būs piekritīgi administratīvajai tiesai un lieta izskatāma Administratīvā procesa likumā noteiktajā kārtībā.</w:t>
                  </w:r>
                </w:p>
                <w:p w:rsidR="00E53627" w:rsidRPr="00070B85" w:rsidRDefault="00E53627" w:rsidP="00070B85">
                  <w:pPr>
                    <w:spacing w:after="0" w:line="240" w:lineRule="auto"/>
                    <w:rPr>
                      <w:rFonts w:ascii="Times New Roman" w:eastAsia="Times New Roman" w:hAnsi="Times New Roman" w:cs="Times New Roman"/>
                      <w:sz w:val="26"/>
                      <w:szCs w:val="26"/>
                      <w:lang w:eastAsia="lv-LV"/>
                    </w:rPr>
                  </w:pP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Salīdzinot ar citiem normatīvajiem aktiem, piem., Publikas personas finanšu līdzekļu un mantas izšķērdēšanas novēršanas likuma 10.-14.pantu vai Publisko organizāciju (partiju) finansēšanas likuma 2.panta regulējumu, Likums nodala ziedojumu no dāvinājuma (dāvanas) termina, katru no tiem piepildot ar savu atsevišķu saturu. Korupcijas novēršanas un apkarošanas birojs, piemērojot dāvanu un ziedojumu ierobežojumu normas administratīvo pārkāpumu lietās, ir secinājis, ka šobrīd spēkā esošā Likuma 14.panta  piektās daļas redakcija nonāk pretrunā 14.panta otrajai un trešajai daļai, jo ziedojums, kam pēc būtības vajadzētu būt vērstam uz publiskas personas institūcijas funkciju izpildes veicināšanu, tiek pielīdzināts dāvanas saturam. Saskaņā ar Likuma 13.panta otro daļu </w:t>
                  </w:r>
                  <w:r w:rsidRPr="00070B85">
                    <w:rPr>
                      <w:rFonts w:ascii="Times New Roman" w:eastAsia="Times New Roman" w:hAnsi="Times New Roman" w:cs="Times New Roman"/>
                      <w:sz w:val="26"/>
                      <w:szCs w:val="26"/>
                      <w:u w:val="single"/>
                      <w:lang w:eastAsia="lv-LV"/>
                    </w:rPr>
                    <w:t>dāvana</w:t>
                  </w:r>
                  <w:r w:rsidRPr="00070B85">
                    <w:rPr>
                      <w:rFonts w:ascii="Times New Roman" w:eastAsia="Times New Roman" w:hAnsi="Times New Roman" w:cs="Times New Roman"/>
                      <w:sz w:val="26"/>
                      <w:szCs w:val="26"/>
                      <w:lang w:eastAsia="lv-LV"/>
                    </w:rPr>
                    <w:t xml:space="preserve"> šā Likuma izpratnē </w:t>
                  </w:r>
                  <w:r w:rsidRPr="00070B85">
                    <w:rPr>
                      <w:rFonts w:ascii="Times New Roman" w:eastAsia="Times New Roman" w:hAnsi="Times New Roman" w:cs="Times New Roman"/>
                      <w:sz w:val="26"/>
                      <w:szCs w:val="26"/>
                      <w:u w:val="single"/>
                      <w:lang w:eastAsia="lv-LV"/>
                    </w:rPr>
                    <w:t>ir jebkurš mantisks vai citāda veida labums</w:t>
                  </w:r>
                  <w:r w:rsidRPr="00070B85">
                    <w:rPr>
                      <w:rFonts w:ascii="Times New Roman" w:eastAsia="Times New Roman" w:hAnsi="Times New Roman" w:cs="Times New Roman"/>
                      <w:sz w:val="26"/>
                      <w:szCs w:val="26"/>
                      <w:lang w:eastAsia="lv-LV"/>
                    </w:rPr>
                    <w:t xml:space="preserve"> […], </w:t>
                  </w:r>
                  <w:r w:rsidRPr="00070B85">
                    <w:rPr>
                      <w:rFonts w:ascii="Times New Roman" w:eastAsia="Times New Roman" w:hAnsi="Times New Roman" w:cs="Times New Roman"/>
                      <w:sz w:val="26"/>
                      <w:szCs w:val="26"/>
                      <w:u w:val="single"/>
                      <w:lang w:eastAsia="lv-LV"/>
                    </w:rPr>
                    <w:t>kura tiešs vai netiešs guvējs ir valsts amatpersona</w:t>
                  </w:r>
                  <w:r w:rsidRPr="00070B85">
                    <w:rPr>
                      <w:rFonts w:ascii="Times New Roman" w:eastAsia="Times New Roman" w:hAnsi="Times New Roman" w:cs="Times New Roman"/>
                      <w:sz w:val="26"/>
                      <w:szCs w:val="26"/>
                      <w:lang w:eastAsia="lv-LV"/>
                    </w:rPr>
                    <w:t xml:space="preserve">. Tādējādi mantisks vai citāda veida labums, kas pieņemts vai lūgts a) pašas valsts amatpersonas vai tās radinieku vajadzībām, b) tādu fizisko vai juridisko personu vajadzībām, no kurām šī amatpersona vai tās radinieki gūst vai ir guvuši sava valsts amatpersonas amata pienākumu pildīšanas laikā jebkāda veida ienākumus, c) to komersantu vajadzībām, kuru pārvaldes vai revīzijas institūciju loceklis ir šīs valsts amatpersonas vai tā radinieki vai kuros šai amatpersonai vai tās radiniekiem pieder vairāk nekā viens procents kapitāla, pēc savas būtības ir dāvana. </w:t>
                  </w:r>
                  <w:r w:rsidRPr="00070B85">
                    <w:rPr>
                      <w:rFonts w:ascii="Times New Roman" w:eastAsia="Times New Roman" w:hAnsi="Times New Roman" w:cs="Times New Roman"/>
                      <w:sz w:val="26"/>
                      <w:szCs w:val="26"/>
                      <w:lang w:eastAsia="lv-LV"/>
                    </w:rPr>
                    <w:lastRenderedPageBreak/>
                    <w:t>Ziedojums no dāvanas būtu nošķirams visupirms identificējot subjektu jeb labuma guvēju (t.i., vai tā ir valsts amatpersona vai arī publiskas personas institūcija), un mērķi, kādam mantisks vai citāda veida labums tiek piešķirts (publiskas personas institūcijas vajadzībām vai valsts amatpersonas, to radinieku vajadzībām). Šā iemesla dēļ būtu veicams labojums 14.pantā, no tā svītrojot piektās daļas saturu. Savukārt turpmāk, ja valsts amatpersonai būs nepieciešami, piem., finanšu līdzekļi smagas slimības ārstēšanai (sk. izņēmumu, kas šobrīd paredzēts Likuma 14.panta piektās daļas pirmajā punktā), tos varēs pieņemt kā dāvanu, ievērojot Likuma 13.</w:t>
                  </w:r>
                  <w:r w:rsidRPr="00070B85">
                    <w:rPr>
                      <w:rFonts w:ascii="Times New Roman" w:eastAsia="Times New Roman" w:hAnsi="Times New Roman" w:cs="Times New Roman"/>
                      <w:sz w:val="26"/>
                      <w:szCs w:val="26"/>
                      <w:vertAlign w:val="superscript"/>
                      <w:lang w:eastAsia="lv-LV"/>
                    </w:rPr>
                    <w:t xml:space="preserve">2 </w:t>
                  </w:r>
                  <w:r w:rsidRPr="00070B85">
                    <w:rPr>
                      <w:rFonts w:ascii="Times New Roman" w:eastAsia="Times New Roman" w:hAnsi="Times New Roman" w:cs="Times New Roman"/>
                      <w:sz w:val="26"/>
                      <w:szCs w:val="26"/>
                      <w:lang w:eastAsia="lv-LV"/>
                    </w:rPr>
                    <w:t>pantu un tajā noteiktos ierobežojumus attiecībā uz dāvanas devēju:</w:t>
                  </w:r>
                </w:p>
                <w:p w:rsidR="00070B85" w:rsidRPr="00070B85" w:rsidRDefault="00070B85" w:rsidP="00070B85">
                  <w:pPr>
                    <w:numPr>
                      <w:ilvl w:val="0"/>
                      <w:numId w:val="3"/>
                    </w:numPr>
                    <w:spacing w:after="0" w:line="240" w:lineRule="auto"/>
                    <w:ind w:left="304" w:hanging="284"/>
                    <w:contextualSpacing/>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liegumu pieņemt dāvanu, ja divu gadu laikā pirms tās saņemšanas valsts amatpersona ir sagatavojusi vai izdevusi administratīvos aktus vai veikusi uzraudzības, kontroles, izmeklēšanas vai sodīšanas funkcijas, kā arī slēgusi līgumus vai veikusi citas ar amata pienākumu saistītas darbības un</w:t>
                  </w:r>
                </w:p>
                <w:p w:rsidR="00070B85" w:rsidRPr="00070B85" w:rsidRDefault="00070B85" w:rsidP="00070B85">
                  <w:pPr>
                    <w:numPr>
                      <w:ilvl w:val="0"/>
                      <w:numId w:val="3"/>
                    </w:numPr>
                    <w:spacing w:after="0" w:line="240" w:lineRule="auto"/>
                    <w:ind w:left="304" w:hanging="284"/>
                    <w:contextualSpacing/>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liegumu vēl divus gadus pēc dāvanas saņemšanas veikt jebkuru no iepriekš minētajām darbībām.</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Ievērojot apstākli, ka spēkā esošā Likuma 14.panta trešā daļa satur terminu </w:t>
                  </w:r>
                  <w:r w:rsidRPr="00070B85">
                    <w:rPr>
                      <w:rFonts w:ascii="Times New Roman" w:eastAsia="Calibri" w:hAnsi="Times New Roman" w:cs="Times New Roman"/>
                      <w:sz w:val="26"/>
                      <w:szCs w:val="26"/>
                    </w:rPr>
                    <w:t>„</w:t>
                  </w:r>
                  <w:r w:rsidRPr="00070B85">
                    <w:rPr>
                      <w:rFonts w:ascii="Times New Roman" w:eastAsia="Times New Roman" w:hAnsi="Times New Roman" w:cs="Times New Roman"/>
                      <w:sz w:val="26"/>
                      <w:szCs w:val="26"/>
                      <w:lang w:eastAsia="lv-LV"/>
                    </w:rPr>
                    <w:t>neiesaistītā trešā persona” un šī termina skaidrojums Likumā nav ietverts, tiesiskās noteiktības nolūkā papildus ir sagatavota atbilstoša 14.panta grozījumu redakcija, kurā uzskaitīti Korupcijas novēršanas un apkarošanas biroja praksē sastopamie gadījumi (sk. piedāvāto Likuma 14.panta otro daļu), kādos jebkura fiziska vai juridiska persona vai personu apvienība, t.i., ziedotājs būtu uzskatāma par trešo neiesaistīto personu un tādējādi valsts amatpersonai vai koleģiālajai institūcijai būtu atļauts pieņemt ziedojumu. 14.panta otrās daļas redakcijā minētie gadījumi galvenokārt ir vērsti uz saistību izpildes pienākumu, kas publikas personas institūcijai un privātpersonai savstarpēji varētu rasties gan uz līguma, gan likuma pamata. Vienlaikus likumprojekta regulējumā ir paredzēti arī tādi gadījumi, kad abpusējas saistības varētu rasties vai izbeigties ne vien ar abu dalībnieku, t.i., potenciālā ziedotāja un publiskas personas institūcijas saskaņotu gribas izteikumu (noslēgta līguma gadījumā), bet arī uz vienpusēja tiesiska darījuma, t.i., testamenta vai līguma uzteikuma pamata. Tādejādi piedāvātais Likuma 14.panta otrās daļas 1.punkts ir plašāks kā 14.panta otrās daļas 2.punkts, kurā minētās darbības visbiežāk izrietēs no rakstveida līguma, kas ir vismaz divu personu savstarpējs ar vienošanos pamatots gribas izteikums.</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lastRenderedPageBreak/>
                    <w:t>Lai neradītu šaubas par publiskas personas institūciju valsts amatpersonu darbību objektivitāti un neitralitāti Korupcijas novēršanas un apkarošanas biroja ieskatā nebūtu pieļaujama ziedojuma pieņemšana visos tajos gadījumos, kad starp minētajiem subjektiem ir vai varētu rasties juridiskas saistības vai publiskas personas institūcija īsteno darbības, lai personu sauktu, piem., pie administratīvās vai kriminālatbildības, jo pretējā gadījumā ziedojuma pieņemšana radītu šaubas par to, vai tas nav saistīts ar privātpersonas centieniem ietekmēt tās pienākumu (saistību) apjomu vai iegūt zināmu publiskas personas institūcijas labvēlību.</w:t>
                  </w:r>
                  <w:r w:rsidR="00537A28">
                    <w:rPr>
                      <w:rFonts w:ascii="Times New Roman" w:eastAsia="Times New Roman" w:hAnsi="Times New Roman" w:cs="Times New Roman"/>
                      <w:sz w:val="26"/>
                      <w:szCs w:val="26"/>
                      <w:lang w:eastAsia="lv-LV"/>
                    </w:rPr>
                    <w:t xml:space="preserve"> Kā saprātīgs izņēmums, kas neiekļautos iecerētajā 14.panta otrās daļas 3.punktā, ir pieļaujami atsevišķi obligāto administratīvo aktu, kuriem iestādei nav jāveic </w:t>
                  </w:r>
                  <w:r w:rsidR="007402D1">
                    <w:rPr>
                      <w:rFonts w:ascii="Times New Roman" w:eastAsia="Times New Roman" w:hAnsi="Times New Roman" w:cs="Times New Roman"/>
                      <w:sz w:val="26"/>
                      <w:szCs w:val="26"/>
                      <w:lang w:eastAsia="lv-LV"/>
                    </w:rPr>
                    <w:t>lietderības apsvērumu izvērtēšana,</w:t>
                  </w:r>
                  <w:r w:rsidR="00537A28">
                    <w:rPr>
                      <w:rFonts w:ascii="Times New Roman" w:eastAsia="Times New Roman" w:hAnsi="Times New Roman" w:cs="Times New Roman"/>
                      <w:sz w:val="26"/>
                      <w:szCs w:val="26"/>
                      <w:lang w:eastAsia="lv-LV"/>
                    </w:rPr>
                    <w:t xml:space="preserve"> veidi, piem., </w:t>
                  </w:r>
                  <w:r w:rsidR="007402D1">
                    <w:rPr>
                      <w:rFonts w:ascii="Times New Roman" w:eastAsia="Times New Roman" w:hAnsi="Times New Roman" w:cs="Times New Roman"/>
                      <w:sz w:val="26"/>
                      <w:szCs w:val="26"/>
                      <w:lang w:eastAsia="lv-LV"/>
                    </w:rPr>
                    <w:t>nodokļu un nodevu paziņojumi, par kuriem lēmumus pieņem pašvaldību nodokļu pārvaldes</w:t>
                  </w:r>
                  <w:r w:rsidR="00922E68">
                    <w:rPr>
                      <w:rFonts w:ascii="Times New Roman" w:eastAsia="Times New Roman" w:hAnsi="Times New Roman" w:cs="Times New Roman"/>
                      <w:sz w:val="26"/>
                      <w:szCs w:val="26"/>
                      <w:lang w:eastAsia="lv-LV"/>
                    </w:rPr>
                    <w:t xml:space="preserve"> un kuru apmērs ir noteikts ārējā normatīvajā aktā</w:t>
                  </w:r>
                  <w:r w:rsidR="007402D1">
                    <w:rPr>
                      <w:rFonts w:ascii="Times New Roman" w:eastAsia="Times New Roman" w:hAnsi="Times New Roman" w:cs="Times New Roman"/>
                      <w:sz w:val="26"/>
                      <w:szCs w:val="26"/>
                      <w:lang w:eastAsia="lv-LV"/>
                    </w:rPr>
                    <w:t>. Šādos gadījumos lēmumu pieņēmējs nav koleģiāla institūcija (t.i., pašvaldības dome), bet gan struktūrvienība vai valsts amatpersona, kurai šādi izdevumi ir deleģēti.</w:t>
                  </w:r>
                  <w:r w:rsidR="00922E68">
                    <w:rPr>
                      <w:rFonts w:ascii="Times New Roman" w:eastAsia="Times New Roman" w:hAnsi="Times New Roman" w:cs="Times New Roman"/>
                      <w:sz w:val="26"/>
                      <w:szCs w:val="26"/>
                      <w:lang w:eastAsia="lv-LV"/>
                    </w:rPr>
                    <w:t xml:space="preserve"> </w:t>
                  </w:r>
                </w:p>
                <w:p w:rsidR="007F698E" w:rsidRPr="007A3247" w:rsidRDefault="00070B85" w:rsidP="00070B85">
                  <w:pPr>
                    <w:spacing w:after="0" w:line="240" w:lineRule="auto"/>
                    <w:rPr>
                      <w:rFonts w:ascii="Times New Roman" w:eastAsia="Times New Roman" w:hAnsi="Times New Roman" w:cs="Times New Roman"/>
                      <w:sz w:val="26"/>
                      <w:szCs w:val="26"/>
                    </w:rPr>
                  </w:pPr>
                  <w:r w:rsidRPr="007A3247">
                    <w:rPr>
                      <w:rFonts w:ascii="Times New Roman" w:eastAsia="Times New Roman" w:hAnsi="Times New Roman" w:cs="Times New Roman"/>
                      <w:sz w:val="26"/>
                      <w:szCs w:val="26"/>
                      <w:lang w:eastAsia="lv-LV"/>
                    </w:rPr>
                    <w:t>Par izņēmuma nosacījumu, kas iepriekš Likuma 14.panta regulējumā nav bijis iekļauts, bet kas pēc būtības neierobežo valsts amatpersonas vai koleģiālās institūcijas tiesības pieņemt lēmumus attiecībās uz ziedotāju divus gadus pirms un divus gadus pēc ziedojuma pieņemšanas, ir uzskatāms atklāts konkurss</w:t>
                  </w:r>
                  <w:r w:rsidR="00E10AD5" w:rsidRPr="007A3247">
                    <w:rPr>
                      <w:rFonts w:ascii="Times New Roman" w:eastAsia="Times New Roman" w:hAnsi="Times New Roman" w:cs="Times New Roman"/>
                      <w:sz w:val="26"/>
                      <w:szCs w:val="26"/>
                      <w:lang w:eastAsia="lv-LV"/>
                    </w:rPr>
                    <w:t xml:space="preserve"> publisko iepirkumu jomas normatīvo aktu izpratnē</w:t>
                  </w:r>
                  <w:r w:rsidRPr="007A3247">
                    <w:rPr>
                      <w:rFonts w:ascii="Times New Roman" w:eastAsia="Times New Roman" w:hAnsi="Times New Roman" w:cs="Times New Roman"/>
                      <w:sz w:val="26"/>
                      <w:szCs w:val="26"/>
                      <w:lang w:eastAsia="lv-LV"/>
                    </w:rPr>
                    <w:t xml:space="preserve">. </w:t>
                  </w:r>
                  <w:r w:rsidR="002378C9" w:rsidRPr="007A3247">
                    <w:rPr>
                      <w:rFonts w:ascii="Times New Roman" w:eastAsia="Times New Roman" w:hAnsi="Times New Roman" w:cs="Times New Roman"/>
                      <w:sz w:val="26"/>
                      <w:szCs w:val="26"/>
                    </w:rPr>
                    <w:t>Atklāts konkurss novērš individuālas sarunas ar piegādātājiem, salīdzinot ar citām iepirkuma procedūrām (piem., sarunu procedūru, konkursa procedūru ar sarunām, konkursa dialogu, metu konkursu), tādējādi tiek izslēgta personiskā saite ar katru no pretendentiem. Tāpat citās iepirkuma procedūrās varētu rasties situācija, ka kādam no kandidātiem vai pretendentiem tiek nodots lielāks informācijas daudzums nekā pārējiem tirgus dalībniekiem, ņemot vērā sarunu iespējamību. Vienlaikus</w:t>
                  </w:r>
                  <w:r w:rsidR="002378C9" w:rsidRPr="007A3247">
                    <w:rPr>
                      <w:rFonts w:ascii="Times New Roman" w:eastAsia="Times New Roman" w:hAnsi="Times New Roman" w:cs="Times New Roman"/>
                      <w:sz w:val="26"/>
                      <w:szCs w:val="26"/>
                      <w:lang w:eastAsia="lv-LV"/>
                    </w:rPr>
                    <w:t xml:space="preserve"> </w:t>
                  </w:r>
                  <w:r w:rsidR="002378C9" w:rsidRPr="007A3247">
                    <w:rPr>
                      <w:rFonts w:ascii="Times New Roman" w:eastAsia="Times New Roman" w:hAnsi="Times New Roman" w:cs="Times New Roman"/>
                      <w:sz w:val="26"/>
                      <w:szCs w:val="26"/>
                    </w:rPr>
                    <w:t xml:space="preserve">atklātā konkursā līdz piedāvājumu iesniegšanas termiņa beigām pasūtītājs nezina nedz iesniegto pretendentu skaitu, nedz pašus pretendentus, kas iesnieguši piedāvājumus, savukārt citās iepirkumu procedūrās un metu konkursā tieši pasūtītājs aicina konkrētus, paša izraudzītus kandidātus iesniegt piedāvājumus. Līdz ar to arī šādos gadījumos, kad pasūtītājs zina kandidātus, kas iesniegs piedāvājumus, kādam no tiem var nodot lielāku informācijas apjomu vai radīt kādas citas nepamatotas priekšrocības iepirkumā vai iepirkuma procedūrā. Un visbeidzot - atklātā konkursā pasūtītājs ir </w:t>
                  </w:r>
                  <w:r w:rsidR="002378C9" w:rsidRPr="007A3247">
                    <w:rPr>
                      <w:rFonts w:ascii="Times New Roman" w:eastAsia="Times New Roman" w:hAnsi="Times New Roman" w:cs="Times New Roman"/>
                      <w:sz w:val="26"/>
                      <w:szCs w:val="26"/>
                    </w:rPr>
                    <w:lastRenderedPageBreak/>
                    <w:t>konkrēti apzinājis savas vajadzības un tas izstrādā pietiekami  detalizētu tehnisko specifikāciju un</w:t>
                  </w:r>
                  <w:r w:rsidR="009045D7" w:rsidRPr="007A3247">
                    <w:rPr>
                      <w:rFonts w:ascii="Times New Roman" w:eastAsia="Times New Roman" w:hAnsi="Times New Roman" w:cs="Times New Roman"/>
                      <w:sz w:val="26"/>
                      <w:szCs w:val="26"/>
                    </w:rPr>
                    <w:t xml:space="preserve"> </w:t>
                  </w:r>
                  <w:r w:rsidR="002378C9" w:rsidRPr="007A3247">
                    <w:rPr>
                      <w:rFonts w:ascii="Times New Roman" w:eastAsia="Times New Roman" w:hAnsi="Times New Roman" w:cs="Times New Roman"/>
                      <w:sz w:val="26"/>
                      <w:szCs w:val="26"/>
                    </w:rPr>
                    <w:t>tādēļ tam nav nepieciešams sarunas ar tirgus dalībniekiem par labāko risinājumu, jo pasūtītājs sākotnēji jau ir apzinājis savas vajadzības.</w:t>
                  </w:r>
                </w:p>
                <w:p w:rsidR="007F698E" w:rsidRPr="007A3247" w:rsidRDefault="007F698E" w:rsidP="00070B85">
                  <w:pPr>
                    <w:spacing w:after="0" w:line="240" w:lineRule="auto"/>
                    <w:rPr>
                      <w:rFonts w:ascii="Times New Roman" w:eastAsia="Times New Roman" w:hAnsi="Times New Roman" w:cs="Times New Roman"/>
                      <w:sz w:val="26"/>
                      <w:szCs w:val="26"/>
                    </w:rPr>
                  </w:pPr>
                  <w:r w:rsidRPr="007A3247">
                    <w:rPr>
                      <w:rFonts w:ascii="Times New Roman" w:eastAsia="Times New Roman" w:hAnsi="Times New Roman" w:cs="Times New Roman"/>
                      <w:sz w:val="26"/>
                      <w:szCs w:val="26"/>
                    </w:rPr>
                    <w:t xml:space="preserve">Tāpat šā likuma izpratnē pie termina </w:t>
                  </w:r>
                  <w:r w:rsidR="00511215" w:rsidRPr="007A3247">
                    <w:rPr>
                      <w:rFonts w:ascii="Times New Roman" w:eastAsia="Times New Roman" w:hAnsi="Times New Roman" w:cs="Times New Roman"/>
                      <w:sz w:val="26"/>
                      <w:szCs w:val="26"/>
                    </w:rPr>
                    <w:t>“atklāts konkurss”</w:t>
                  </w:r>
                  <w:r w:rsidR="008C68E1" w:rsidRPr="007A3247">
                    <w:rPr>
                      <w:rFonts w:ascii="Times New Roman" w:eastAsia="Times New Roman" w:hAnsi="Times New Roman" w:cs="Times New Roman"/>
                      <w:sz w:val="26"/>
                      <w:szCs w:val="26"/>
                    </w:rPr>
                    <w:t xml:space="preserve"> pieder </w:t>
                  </w:r>
                  <w:r w:rsidR="00313E83" w:rsidRPr="007A3247">
                    <w:rPr>
                      <w:rFonts w:ascii="Times New Roman" w:eastAsia="Times New Roman" w:hAnsi="Times New Roman" w:cs="Times New Roman"/>
                      <w:sz w:val="26"/>
                      <w:szCs w:val="26"/>
                    </w:rPr>
                    <w:t>Publisko iepirkumu likuma 9.panta (izņemot divdesmit pirmās daļas) kārtībā veiktie iepirkumi, jo</w:t>
                  </w:r>
                  <w:r w:rsidR="007777DC" w:rsidRPr="007A3247">
                    <w:rPr>
                      <w:rFonts w:ascii="Times New Roman" w:eastAsia="Times New Roman" w:hAnsi="Times New Roman" w:cs="Times New Roman"/>
                      <w:sz w:val="26"/>
                      <w:szCs w:val="26"/>
                    </w:rPr>
                    <w:t xml:space="preserve"> </w:t>
                  </w:r>
                  <w:r w:rsidR="00313E83" w:rsidRPr="007A3247">
                    <w:rPr>
                      <w:rFonts w:ascii="Times New Roman" w:eastAsia="Times New Roman" w:hAnsi="Times New Roman" w:cs="Times New Roman"/>
                      <w:sz w:val="26"/>
                      <w:szCs w:val="26"/>
                    </w:rPr>
                    <w:t>līdzīgi kā atklātā konkursā</w:t>
                  </w:r>
                  <w:r w:rsidR="007C00C1" w:rsidRPr="007A3247">
                    <w:rPr>
                      <w:rFonts w:ascii="Times New Roman" w:eastAsia="Times New Roman" w:hAnsi="Times New Roman" w:cs="Times New Roman"/>
                      <w:sz w:val="26"/>
                      <w:szCs w:val="26"/>
                    </w:rPr>
                    <w:t xml:space="preserve"> tie </w:t>
                  </w:r>
                  <w:r w:rsidR="007777DC" w:rsidRPr="007A3247">
                    <w:rPr>
                      <w:rFonts w:ascii="Times New Roman" w:eastAsia="Times New Roman" w:hAnsi="Times New Roman" w:cs="Times New Roman"/>
                      <w:sz w:val="26"/>
                      <w:szCs w:val="26"/>
                    </w:rPr>
                    <w:t>novērš individuālas sarunas ar piegādātājiem un līdz piedāvājumu iesniegšanas termiņa beigām pasūtītājs nezina nedz iesniegto pretendentu skaitu, nedz pašus pretendentus, kas iesnieguši piedāvājumus.</w:t>
                  </w:r>
                </w:p>
                <w:p w:rsidR="00070B85" w:rsidRDefault="00070B85" w:rsidP="00070B85">
                  <w:pPr>
                    <w:spacing w:after="0" w:line="240" w:lineRule="auto"/>
                    <w:rPr>
                      <w:rFonts w:ascii="Times New Roman" w:eastAsia="Times New Roman" w:hAnsi="Times New Roman" w:cs="Times New Roman"/>
                      <w:sz w:val="26"/>
                      <w:szCs w:val="26"/>
                      <w:lang w:eastAsia="lv-LV"/>
                    </w:rPr>
                  </w:pPr>
                  <w:r w:rsidRPr="007A3247">
                    <w:rPr>
                      <w:rFonts w:ascii="Times New Roman" w:eastAsia="Times New Roman" w:hAnsi="Times New Roman" w:cs="Times New Roman"/>
                      <w:sz w:val="26"/>
                      <w:szCs w:val="26"/>
                      <w:lang w:eastAsia="lv-LV"/>
                    </w:rPr>
                    <w:t>Tādējādi, ja nav konstatējama cēloņsakarība starp ziedojuma atvēlēšanu likumprojekta 14.panta pirmajā daļā paredzētajam mērķim un atklātajā konkursā visiem pretendentiem izvirzītajām vienotajām pretendentu atlases prasībām, proti, ka ziedojums būtu kaut kādā veidā ietekmējis atklātajā konkursā iekļautās prasības, tad nav arī pamata noteikt ierobežojumu ziedojuma pieņemšanai vēl divus gadus.</w:t>
                  </w:r>
                </w:p>
                <w:p w:rsidR="00B8618B" w:rsidRDefault="00B8618B" w:rsidP="00070B85">
                  <w:pPr>
                    <w:spacing w:after="0" w:line="240" w:lineRule="auto"/>
                    <w:rPr>
                      <w:rFonts w:ascii="Times New Roman" w:eastAsia="Times New Roman" w:hAnsi="Times New Roman" w:cs="Times New Roman"/>
                      <w:sz w:val="26"/>
                      <w:szCs w:val="26"/>
                      <w:lang w:eastAsia="lv-LV"/>
                    </w:rPr>
                  </w:pPr>
                </w:p>
                <w:p w:rsidR="00B8618B" w:rsidRPr="006A2841" w:rsidRDefault="00B8618B" w:rsidP="00070B85">
                  <w:pPr>
                    <w:spacing w:after="0" w:line="240" w:lineRule="auto"/>
                    <w:rPr>
                      <w:rFonts w:ascii="Times New Roman" w:hAnsi="Times New Roman" w:cs="Times New Roman"/>
                      <w:iCs/>
                      <w:sz w:val="26"/>
                      <w:szCs w:val="26"/>
                    </w:rPr>
                  </w:pPr>
                  <w:r>
                    <w:rPr>
                      <w:rFonts w:ascii="Times New Roman" w:eastAsia="Times New Roman" w:hAnsi="Times New Roman" w:cs="Times New Roman"/>
                      <w:sz w:val="26"/>
                      <w:szCs w:val="26"/>
                      <w:lang w:eastAsia="lv-LV"/>
                    </w:rPr>
                    <w:t xml:space="preserve">Ārlietu ministrijas ieskatā ir pieļaujams un attaisnojams atsevišķs izņēmums no vispārējās ziedojumu pieņemšanas un noteikto ierobežojumu ievērošanas kārtības: </w:t>
                  </w:r>
                  <w:r>
                    <w:rPr>
                      <w:rFonts w:ascii="Times New Roman" w:hAnsi="Times New Roman" w:cs="Times New Roman"/>
                      <w:iCs/>
                      <w:sz w:val="26"/>
                      <w:szCs w:val="26"/>
                    </w:rPr>
                    <w:t>s</w:t>
                  </w:r>
                  <w:r w:rsidRPr="00F44D85">
                    <w:rPr>
                      <w:rFonts w:ascii="Times New Roman" w:hAnsi="Times New Roman" w:cs="Times New Roman"/>
                      <w:iCs/>
                      <w:sz w:val="26"/>
                      <w:szCs w:val="26"/>
                    </w:rPr>
                    <w:t>askaņā ar Ministru kabineta 2003. gada 29. aprīļa noteikumu Nr. 237 “Ārlietu ministrijas nolikums”, turpmāk – Ārlietu ministrijas nolikums, 4.2. punktu viena no Ārlietu ministrijas funkcijām ir ar politiskiem un diplomātiskiem līdzekļiem īstenot vienotu valsts ārpolitiku. Lai nodrošinātu funkciju izpildi, Ārlietu ministrija saskaņā ar Ārlietu ministrijas nolikuma 5.2. un 5.2.</w:t>
                  </w:r>
                  <w:r w:rsidRPr="00F44D85">
                    <w:rPr>
                      <w:rFonts w:ascii="Times New Roman" w:hAnsi="Times New Roman" w:cs="Times New Roman"/>
                      <w:iCs/>
                      <w:sz w:val="26"/>
                      <w:szCs w:val="26"/>
                      <w:vertAlign w:val="superscript"/>
                    </w:rPr>
                    <w:t>2</w:t>
                  </w:r>
                  <w:r w:rsidRPr="00F44D85">
                    <w:rPr>
                      <w:rFonts w:ascii="Times New Roman" w:hAnsi="Times New Roman" w:cs="Times New Roman"/>
                      <w:iCs/>
                      <w:sz w:val="26"/>
                      <w:szCs w:val="26"/>
                    </w:rPr>
                    <w:t> punktu piedalās valsts ārējās ekonomikas un tirdzniecības politikas veidošanā. Tāpat ļoti būtiska ir sadarbības nodrošināšana ar Latvijas diasporu (Ārlietu ministrijas nolikuma 5.8.</w:t>
                  </w:r>
                  <w:r w:rsidRPr="00F44D85">
                    <w:rPr>
                      <w:rFonts w:ascii="Times New Roman" w:hAnsi="Times New Roman" w:cs="Times New Roman"/>
                      <w:iCs/>
                      <w:sz w:val="26"/>
                      <w:szCs w:val="26"/>
                      <w:vertAlign w:val="superscript"/>
                    </w:rPr>
                    <w:t>1</w:t>
                  </w:r>
                  <w:r>
                    <w:rPr>
                      <w:rFonts w:ascii="Times New Roman" w:hAnsi="Times New Roman" w:cs="Times New Roman"/>
                      <w:iCs/>
                      <w:sz w:val="26"/>
                      <w:szCs w:val="26"/>
                    </w:rPr>
                    <w:t>punkts).</w:t>
                  </w:r>
                  <w:r w:rsidRPr="00F44D85">
                    <w:rPr>
                      <w:rFonts w:ascii="Times New Roman" w:hAnsi="Times New Roman" w:cs="Times New Roman"/>
                      <w:sz w:val="26"/>
                      <w:szCs w:val="26"/>
                    </w:rPr>
                    <w:br/>
                  </w:r>
                  <w:r w:rsidRPr="00F44D85">
                    <w:rPr>
                      <w:rFonts w:ascii="Times New Roman" w:hAnsi="Times New Roman" w:cs="Times New Roman"/>
                      <w:iCs/>
                      <w:sz w:val="26"/>
                      <w:szCs w:val="26"/>
                    </w:rPr>
                    <w:t>Lai nodrošinātu minēto funkciju un uzdevumu īstenošanu, vairotu atbalstu Latvijai un izpratni par tās politiskajām, drošības un ekonomikas interesēm, Ārlietu ministrija, Latvijas Republikas diplomātiskās un konsulārās pārstāvniecības ārvalstīs (turpmāk – pārstāvniecības) un Latvijas institūts īsteno:</w:t>
                  </w:r>
                  <w:r w:rsidRPr="00F44D85">
                    <w:rPr>
                      <w:rFonts w:ascii="Times New Roman" w:hAnsi="Times New Roman" w:cs="Times New Roman"/>
                      <w:sz w:val="26"/>
                      <w:szCs w:val="26"/>
                    </w:rPr>
                    <w:br/>
                  </w:r>
                  <w:r w:rsidRPr="00F44D85">
                    <w:rPr>
                      <w:rFonts w:ascii="Times New Roman" w:hAnsi="Times New Roman" w:cs="Times New Roman"/>
                      <w:iCs/>
                      <w:sz w:val="26"/>
                      <w:szCs w:val="26"/>
                    </w:rPr>
                    <w:t>-              publiskās diplomātijas projektus (konferences, seminārus, diskusijas, politiskās un ekonomiskās vizītes, atbalstu kultūras pasākumiem, valsts svētkus u.c.);</w:t>
                  </w:r>
                  <w:r w:rsidRPr="00F44D85">
                    <w:rPr>
                      <w:rFonts w:ascii="Times New Roman" w:hAnsi="Times New Roman" w:cs="Times New Roman"/>
                      <w:sz w:val="26"/>
                      <w:szCs w:val="26"/>
                    </w:rPr>
                    <w:br/>
                  </w:r>
                  <w:r w:rsidRPr="00F44D85">
                    <w:rPr>
                      <w:rFonts w:ascii="Times New Roman" w:hAnsi="Times New Roman" w:cs="Times New Roman"/>
                      <w:iCs/>
                      <w:sz w:val="26"/>
                      <w:szCs w:val="26"/>
                    </w:rPr>
                    <w:t>-              aktivitātes Latvijas uzņēmēju atbalstam (pieaicināšana valsts vizītēs, atbalsts centieniem ienākt tirgū, u.c.);</w:t>
                  </w:r>
                  <w:r w:rsidRPr="00F44D85">
                    <w:rPr>
                      <w:rFonts w:ascii="Times New Roman" w:hAnsi="Times New Roman" w:cs="Times New Roman"/>
                      <w:sz w:val="26"/>
                      <w:szCs w:val="26"/>
                    </w:rPr>
                    <w:br/>
                  </w:r>
                  <w:r w:rsidRPr="00F44D85">
                    <w:rPr>
                      <w:rFonts w:ascii="Times New Roman" w:hAnsi="Times New Roman" w:cs="Times New Roman"/>
                      <w:iCs/>
                      <w:sz w:val="26"/>
                      <w:szCs w:val="26"/>
                    </w:rPr>
                    <w:t xml:space="preserve">-              dažādus pasākumus latvisko tradīciju kopšanai, lai </w:t>
                  </w:r>
                  <w:r w:rsidRPr="00F44D85">
                    <w:rPr>
                      <w:rFonts w:ascii="Times New Roman" w:hAnsi="Times New Roman" w:cs="Times New Roman"/>
                      <w:iCs/>
                      <w:sz w:val="26"/>
                      <w:szCs w:val="26"/>
                    </w:rPr>
                    <w:lastRenderedPageBreak/>
                    <w:t xml:space="preserve">nodrošinātu Latvijas diasporas saikni ar Latviju. </w:t>
                  </w:r>
                  <w:r w:rsidRPr="00F44D85">
                    <w:rPr>
                      <w:rFonts w:ascii="Times New Roman" w:hAnsi="Times New Roman" w:cs="Times New Roman"/>
                      <w:sz w:val="26"/>
                      <w:szCs w:val="26"/>
                    </w:rPr>
                    <w:br/>
                  </w:r>
                  <w:r w:rsidRPr="00F44D85">
                    <w:rPr>
                      <w:rFonts w:ascii="Times New Roman" w:hAnsi="Times New Roman" w:cs="Times New Roman"/>
                      <w:iCs/>
                      <w:sz w:val="26"/>
                      <w:szCs w:val="26"/>
                    </w:rPr>
                    <w:t xml:space="preserve">Ņemot vērā ierobežoto valsts budžeta finansējumu, ievērojamu daļu no šiem pasākumiem organizē par komersantu </w:t>
                  </w:r>
                  <w:r>
                    <w:rPr>
                      <w:rFonts w:ascii="Times New Roman" w:hAnsi="Times New Roman" w:cs="Times New Roman"/>
                      <w:iCs/>
                      <w:sz w:val="26"/>
                      <w:szCs w:val="26"/>
                    </w:rPr>
                    <w:t>saziedotajiem līdzekļiem. L</w:t>
                  </w:r>
                  <w:r w:rsidRPr="00F44D85">
                    <w:rPr>
                      <w:rFonts w:ascii="Times New Roman" w:hAnsi="Times New Roman" w:cs="Times New Roman"/>
                      <w:iCs/>
                      <w:sz w:val="26"/>
                      <w:szCs w:val="26"/>
                    </w:rPr>
                    <w:t>ai novērstu interešu konflikta riskus, Ārlietu ministrijā ir izstrādāti iekšējie noteikumi, kas regulē ziedojumu pieņemšanu un nosaka kritērijus, kādos gadījumos ziedojums ir pieņemams un kādos noraidāms. Ārlietu ministrija, izvērtējot katru konkrēto gadījumu</w:t>
                  </w:r>
                  <w:r>
                    <w:rPr>
                      <w:rFonts w:ascii="Times New Roman" w:hAnsi="Times New Roman" w:cs="Times New Roman"/>
                      <w:iCs/>
                      <w:sz w:val="26"/>
                      <w:szCs w:val="26"/>
                    </w:rPr>
                    <w:t xml:space="preserve"> un papildus likuma prasībām</w:t>
                  </w:r>
                  <w:r w:rsidRPr="00F44D85">
                    <w:rPr>
                      <w:rFonts w:ascii="Times New Roman" w:hAnsi="Times New Roman" w:cs="Times New Roman"/>
                      <w:iCs/>
                      <w:sz w:val="26"/>
                      <w:szCs w:val="26"/>
                    </w:rPr>
                    <w:t xml:space="preserve">, ņem vērā ziedotāja reputāciju, ziedojuma mērķa ticamību, iespējamo interešu konfliktu, politisko </w:t>
                  </w:r>
                  <w:proofErr w:type="spellStart"/>
                  <w:r w:rsidRPr="00F44D85">
                    <w:rPr>
                      <w:rFonts w:ascii="Times New Roman" w:hAnsi="Times New Roman" w:cs="Times New Roman"/>
                      <w:iCs/>
                      <w:sz w:val="26"/>
                      <w:szCs w:val="26"/>
                    </w:rPr>
                    <w:t>sensitivitāti</w:t>
                  </w:r>
                  <w:proofErr w:type="spellEnd"/>
                  <w:r w:rsidRPr="00F44D85">
                    <w:rPr>
                      <w:rFonts w:ascii="Times New Roman" w:hAnsi="Times New Roman" w:cs="Times New Roman"/>
                      <w:iCs/>
                      <w:sz w:val="26"/>
                      <w:szCs w:val="26"/>
                    </w:rPr>
                    <w:t xml:space="preserve"> u.c. apstākļus. Ziedojuma pieņemšanas izvērtējums tiek organizēts vairākos līmeņos, iesaistot vairākas piekritīgās ministrijas struktūrvienības, kā arī to striktu kon</w:t>
                  </w:r>
                  <w:r w:rsidR="00564389">
                    <w:rPr>
                      <w:rFonts w:ascii="Times New Roman" w:hAnsi="Times New Roman" w:cs="Times New Roman"/>
                      <w:iCs/>
                      <w:sz w:val="26"/>
                      <w:szCs w:val="26"/>
                    </w:rPr>
                    <w:t>troli veic ministrijas vadība.</w:t>
                  </w:r>
                  <w:r w:rsidRPr="00F44D85">
                    <w:rPr>
                      <w:rFonts w:ascii="Times New Roman" w:hAnsi="Times New Roman" w:cs="Times New Roman"/>
                      <w:sz w:val="26"/>
                      <w:szCs w:val="26"/>
                    </w:rPr>
                    <w:br/>
                  </w:r>
                  <w:r w:rsidRPr="00F44D85">
                    <w:rPr>
                      <w:rFonts w:ascii="Times New Roman" w:hAnsi="Times New Roman" w:cs="Times New Roman"/>
                      <w:iCs/>
                      <w:sz w:val="26"/>
                      <w:szCs w:val="26"/>
                    </w:rPr>
                    <w:t>Tāpat Ārlietu ministrija un pārstāvniecības, organizējot dažādus publiskās diplomātijas projektus Latvijas politisko, drošības un ekonomikas interešu veicināšanai, slēdz vienošanās ar māksliniekiem, filmu izplatītājiem, autoriem u.c. par bezatlīdzības licences saņemšanu, lai varētu nodrošināt kultūras pr</w:t>
                  </w:r>
                  <w:r w:rsidR="00E9482E">
                    <w:rPr>
                      <w:rFonts w:ascii="Times New Roman" w:hAnsi="Times New Roman" w:cs="Times New Roman"/>
                      <w:iCs/>
                      <w:sz w:val="26"/>
                      <w:szCs w:val="26"/>
                    </w:rPr>
                    <w:t>ogrammu attiecīgajos pasākumos.</w:t>
                  </w:r>
                  <w:r w:rsidRPr="00F44D85">
                    <w:rPr>
                      <w:rFonts w:ascii="Times New Roman" w:hAnsi="Times New Roman" w:cs="Times New Roman"/>
                      <w:sz w:val="26"/>
                      <w:szCs w:val="26"/>
                    </w:rPr>
                    <w:br/>
                  </w:r>
                  <w:r w:rsidRPr="00F44D85">
                    <w:rPr>
                      <w:rFonts w:ascii="Times New Roman" w:hAnsi="Times New Roman" w:cs="Times New Roman"/>
                      <w:iCs/>
                      <w:sz w:val="26"/>
                      <w:szCs w:val="26"/>
                    </w:rPr>
                    <w:t xml:space="preserve">Atbilstoši Ārlietu ministrijas nolikuma 4.4. punktam Ārlietu ministrija veic konsulārās funkcijas Latvijā un ārvalstīs. Saskaņā ar likumu “Konsulārais reglaments” konsuli sniedz palīdzību tiesu, administratīvajās, pilsonības un pasu lietās, kā arī aizstāv to personiskās, mantiskās un citas tiesības un intereses. Ārlietu ministrijas amatpersonas pieņem lēmumus par konsulārās palīdzības sniegšanu, piemēram, par materiālās palīdzības piešķiršanu saskaņā ar Ministru kabineta 2012. gada 8. maija noteikumiem Nr. 322 “Materiālās palīdzības nodrošināšanas kārtība ārkārtas situācijā ārvalstī nonākušai personai”. Savukārt, ja ziedotājs ir ārvalstnieks, pastāv iespējamība, ka šī persona lūgs izsniegt vīzu ieceļošanai Latvijā, kas arī ir administratīvs akts. Attiecīgi pastāv iespēja, ka Ārlietu ministrijai tiesību aktos noteiktajā kārtībā jāpieņem lēmums par ziedotāju. </w:t>
                  </w:r>
                  <w:r w:rsidRPr="00F44D85">
                    <w:rPr>
                      <w:rFonts w:ascii="Times New Roman" w:hAnsi="Times New Roman" w:cs="Times New Roman"/>
                      <w:sz w:val="26"/>
                      <w:szCs w:val="26"/>
                    </w:rPr>
                    <w:br/>
                  </w:r>
                  <w:r w:rsidRPr="00F44D85">
                    <w:rPr>
                      <w:rFonts w:ascii="Times New Roman" w:hAnsi="Times New Roman" w:cs="Times New Roman"/>
                      <w:iCs/>
                      <w:sz w:val="26"/>
                      <w:szCs w:val="26"/>
                    </w:rPr>
                    <w:t>Tāpat Ārlietu ministrija atbilstoši tās funkcijām ārējās tirdzniecības un ekonomikas jomā sniedz atbalstu Latvijas uzņēmējiem e</w:t>
                  </w:r>
                  <w:r>
                    <w:rPr>
                      <w:rFonts w:ascii="Times New Roman" w:hAnsi="Times New Roman" w:cs="Times New Roman"/>
                      <w:iCs/>
                      <w:sz w:val="26"/>
                      <w:szCs w:val="26"/>
                    </w:rPr>
                    <w:t>ksporta iespēju paplašināšanā.</w:t>
                  </w:r>
                  <w:r w:rsidRPr="00F44D85">
                    <w:rPr>
                      <w:rFonts w:ascii="Times New Roman" w:hAnsi="Times New Roman" w:cs="Times New Roman"/>
                      <w:iCs/>
                      <w:sz w:val="26"/>
                      <w:szCs w:val="26"/>
                    </w:rPr>
                    <w:t> Šāda veida atbalsta aktivitātes ir dalība uzņēmumu popularizēšanas pasākumos, pieaicināšana dalībai valsts vizītēs, kas veicina uzņēmēju ienākšanu attiecīgās valsts tirgū, kā arī citas aktivitātes Latvijas uzņēmēju atpazīstamības veicināšanai mītnes zemē.</w:t>
                  </w:r>
                </w:p>
                <w:p w:rsidR="00A04084" w:rsidRDefault="00A04084" w:rsidP="00070B85">
                  <w:pPr>
                    <w:spacing w:after="0" w:line="240" w:lineRule="auto"/>
                    <w:rPr>
                      <w:rFonts w:ascii="Times New Roman" w:hAnsi="Times New Roman" w:cs="Times New Roman"/>
                      <w:iCs/>
                      <w:sz w:val="26"/>
                      <w:szCs w:val="26"/>
                    </w:rPr>
                  </w:pPr>
                </w:p>
                <w:p w:rsidR="00A04084" w:rsidRDefault="00FD349E" w:rsidP="00070B8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Iecerētā 14.panta </w:t>
                  </w:r>
                  <w:r w:rsidR="000A4C55">
                    <w:rPr>
                      <w:rFonts w:ascii="Times New Roman" w:eastAsia="Times New Roman" w:hAnsi="Times New Roman" w:cs="Times New Roman"/>
                      <w:sz w:val="26"/>
                      <w:szCs w:val="26"/>
                      <w:lang w:eastAsia="lv-LV"/>
                    </w:rPr>
                    <w:t>s</w:t>
                  </w:r>
                  <w:r w:rsidR="00B8618B">
                    <w:rPr>
                      <w:rFonts w:ascii="Times New Roman" w:eastAsia="Times New Roman" w:hAnsi="Times New Roman" w:cs="Times New Roman"/>
                      <w:sz w:val="26"/>
                      <w:szCs w:val="26"/>
                      <w:lang w:eastAsia="lv-LV"/>
                    </w:rPr>
                    <w:t>eptītā</w:t>
                  </w:r>
                  <w:r w:rsidR="000A4C55">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daļa </w:t>
                  </w:r>
                  <w:r w:rsidR="00C45176">
                    <w:rPr>
                      <w:rFonts w:ascii="Times New Roman" w:eastAsia="Times New Roman" w:hAnsi="Times New Roman" w:cs="Times New Roman"/>
                      <w:sz w:val="26"/>
                      <w:szCs w:val="26"/>
                      <w:lang w:eastAsia="lv-LV"/>
                    </w:rPr>
                    <w:t>nosaka</w:t>
                  </w:r>
                  <w:r w:rsidR="00E31245">
                    <w:rPr>
                      <w:rFonts w:ascii="Times New Roman" w:eastAsia="Times New Roman" w:hAnsi="Times New Roman" w:cs="Times New Roman"/>
                      <w:sz w:val="26"/>
                      <w:szCs w:val="26"/>
                      <w:lang w:eastAsia="lv-LV"/>
                    </w:rPr>
                    <w:t xml:space="preserve"> kārtību to ziedojumu pieņemšanai, </w:t>
                  </w:r>
                  <w:r w:rsidR="00CF4CD9">
                    <w:rPr>
                      <w:rFonts w:ascii="Times New Roman" w:eastAsia="Times New Roman" w:hAnsi="Times New Roman" w:cs="Times New Roman"/>
                      <w:sz w:val="26"/>
                      <w:szCs w:val="26"/>
                      <w:lang w:eastAsia="lv-LV"/>
                    </w:rPr>
                    <w:t xml:space="preserve">kuri vērsti uz sabiedriski nozīmīgu mērķu </w:t>
                  </w:r>
                  <w:r w:rsidR="00CF4CD9">
                    <w:rPr>
                      <w:rFonts w:ascii="Times New Roman" w:eastAsia="Times New Roman" w:hAnsi="Times New Roman" w:cs="Times New Roman"/>
                      <w:sz w:val="26"/>
                      <w:szCs w:val="26"/>
                      <w:lang w:eastAsia="lv-LV"/>
                    </w:rPr>
                    <w:lastRenderedPageBreak/>
                    <w:t>īstenošanu</w:t>
                  </w:r>
                  <w:r w:rsidR="00C45176">
                    <w:rPr>
                      <w:rFonts w:ascii="Times New Roman" w:eastAsia="Times New Roman" w:hAnsi="Times New Roman" w:cs="Times New Roman"/>
                      <w:sz w:val="26"/>
                      <w:szCs w:val="26"/>
                      <w:lang w:eastAsia="lv-LV"/>
                    </w:rPr>
                    <w:t>,</w:t>
                  </w:r>
                  <w:r w:rsidR="00CF4CD9">
                    <w:rPr>
                      <w:rFonts w:ascii="Times New Roman" w:eastAsia="Times New Roman" w:hAnsi="Times New Roman" w:cs="Times New Roman"/>
                      <w:sz w:val="26"/>
                      <w:szCs w:val="26"/>
                      <w:lang w:eastAsia="lv-LV"/>
                    </w:rPr>
                    <w:t xml:space="preserve"> paredz</w:t>
                  </w:r>
                  <w:r w:rsidR="00C45176">
                    <w:rPr>
                      <w:rFonts w:ascii="Times New Roman" w:eastAsia="Times New Roman" w:hAnsi="Times New Roman" w:cs="Times New Roman"/>
                      <w:sz w:val="26"/>
                      <w:szCs w:val="26"/>
                      <w:lang w:eastAsia="lv-LV"/>
                    </w:rPr>
                    <w:t>ot</w:t>
                  </w:r>
                  <w:r w:rsidR="00CF4CD9">
                    <w:rPr>
                      <w:rFonts w:ascii="Times New Roman" w:eastAsia="Times New Roman" w:hAnsi="Times New Roman" w:cs="Times New Roman"/>
                      <w:sz w:val="26"/>
                      <w:szCs w:val="26"/>
                      <w:lang w:eastAsia="lv-LV"/>
                    </w:rPr>
                    <w:t xml:space="preserve"> būtisku sabiedrības ieguvumu.</w:t>
                  </w:r>
                  <w:r w:rsidR="00C65CA8">
                    <w:rPr>
                      <w:rFonts w:ascii="Times New Roman" w:eastAsia="Times New Roman" w:hAnsi="Times New Roman" w:cs="Times New Roman"/>
                      <w:sz w:val="26"/>
                      <w:szCs w:val="26"/>
                      <w:lang w:eastAsia="lv-LV"/>
                    </w:rPr>
                    <w:t xml:space="preserve"> Ar sabiedriski nozīmīgiem mērķiem</w:t>
                  </w:r>
                  <w:r w:rsidR="00C553EB">
                    <w:rPr>
                      <w:rFonts w:ascii="Times New Roman" w:eastAsia="Times New Roman" w:hAnsi="Times New Roman" w:cs="Times New Roman"/>
                      <w:sz w:val="26"/>
                      <w:szCs w:val="26"/>
                      <w:lang w:eastAsia="lv-LV"/>
                    </w:rPr>
                    <w:t xml:space="preserve"> šā likumprojekta ietvaros</w:t>
                  </w:r>
                  <w:r w:rsidR="00C65CA8">
                    <w:rPr>
                      <w:rFonts w:ascii="Times New Roman" w:eastAsia="Times New Roman" w:hAnsi="Times New Roman" w:cs="Times New Roman"/>
                      <w:sz w:val="26"/>
                      <w:szCs w:val="26"/>
                      <w:lang w:eastAsia="lv-LV"/>
                    </w:rPr>
                    <w:t xml:space="preserve"> ir saprota</w:t>
                  </w:r>
                  <w:r w:rsidR="00C553EB">
                    <w:rPr>
                      <w:rFonts w:ascii="Times New Roman" w:eastAsia="Times New Roman" w:hAnsi="Times New Roman" w:cs="Times New Roman"/>
                      <w:sz w:val="26"/>
                      <w:szCs w:val="26"/>
                      <w:lang w:eastAsia="lv-LV"/>
                    </w:rPr>
                    <w:t>m</w:t>
                  </w:r>
                  <w:r w:rsidR="00AC7F13">
                    <w:rPr>
                      <w:rFonts w:ascii="Times New Roman" w:eastAsia="Times New Roman" w:hAnsi="Times New Roman" w:cs="Times New Roman"/>
                      <w:sz w:val="26"/>
                      <w:szCs w:val="26"/>
                      <w:lang w:eastAsia="lv-LV"/>
                    </w:rPr>
                    <w:t>a, piemēram, bet ne tikai</w:t>
                  </w:r>
                  <w:r w:rsidR="00C553EB">
                    <w:rPr>
                      <w:rFonts w:ascii="Times New Roman" w:eastAsia="Times New Roman" w:hAnsi="Times New Roman" w:cs="Times New Roman"/>
                      <w:sz w:val="26"/>
                      <w:szCs w:val="26"/>
                      <w:lang w:eastAsia="lv-LV"/>
                    </w:rPr>
                    <w:t>, valsts ār</w:t>
                  </w:r>
                  <w:r w:rsidR="003616C2">
                    <w:rPr>
                      <w:rFonts w:ascii="Times New Roman" w:eastAsia="Times New Roman" w:hAnsi="Times New Roman" w:cs="Times New Roman"/>
                      <w:sz w:val="26"/>
                      <w:szCs w:val="26"/>
                      <w:lang w:eastAsia="lv-LV"/>
                    </w:rPr>
                    <w:t>ējā</w:t>
                  </w:r>
                  <w:r w:rsidR="00C553EB">
                    <w:rPr>
                      <w:rFonts w:ascii="Times New Roman" w:eastAsia="Times New Roman" w:hAnsi="Times New Roman" w:cs="Times New Roman"/>
                      <w:sz w:val="26"/>
                      <w:szCs w:val="26"/>
                      <w:lang w:eastAsia="lv-LV"/>
                    </w:rPr>
                    <w:t xml:space="preserve"> un iekš</w:t>
                  </w:r>
                  <w:r w:rsidR="003616C2">
                    <w:rPr>
                      <w:rFonts w:ascii="Times New Roman" w:eastAsia="Times New Roman" w:hAnsi="Times New Roman" w:cs="Times New Roman"/>
                      <w:sz w:val="26"/>
                      <w:szCs w:val="26"/>
                      <w:lang w:eastAsia="lv-LV"/>
                    </w:rPr>
                    <w:t>ējā</w:t>
                  </w:r>
                  <w:r w:rsidR="00C553EB">
                    <w:rPr>
                      <w:rFonts w:ascii="Times New Roman" w:eastAsia="Times New Roman" w:hAnsi="Times New Roman" w:cs="Times New Roman"/>
                      <w:sz w:val="26"/>
                      <w:szCs w:val="26"/>
                      <w:lang w:eastAsia="lv-LV"/>
                    </w:rPr>
                    <w:t xml:space="preserve"> </w:t>
                  </w:r>
                  <w:r w:rsidR="003616C2">
                    <w:rPr>
                      <w:rFonts w:ascii="Times New Roman" w:eastAsia="Times New Roman" w:hAnsi="Times New Roman" w:cs="Times New Roman"/>
                      <w:sz w:val="26"/>
                      <w:szCs w:val="26"/>
                      <w:lang w:eastAsia="lv-LV"/>
                    </w:rPr>
                    <w:t>apdraudējuma</w:t>
                  </w:r>
                  <w:r w:rsidR="00C553EB">
                    <w:rPr>
                      <w:rFonts w:ascii="Times New Roman" w:eastAsia="Times New Roman" w:hAnsi="Times New Roman" w:cs="Times New Roman"/>
                      <w:sz w:val="26"/>
                      <w:szCs w:val="26"/>
                      <w:lang w:eastAsia="lv-LV"/>
                    </w:rPr>
                    <w:t xml:space="preserve"> novēršana</w:t>
                  </w:r>
                  <w:r w:rsidR="003616C2">
                    <w:rPr>
                      <w:rFonts w:ascii="Times New Roman" w:eastAsia="Times New Roman" w:hAnsi="Times New Roman" w:cs="Times New Roman"/>
                      <w:sz w:val="26"/>
                      <w:szCs w:val="26"/>
                      <w:lang w:eastAsia="lv-LV"/>
                    </w:rPr>
                    <w:t>,</w:t>
                  </w:r>
                  <w:r w:rsidR="00C553EB">
                    <w:rPr>
                      <w:rFonts w:ascii="Times New Roman" w:eastAsia="Times New Roman" w:hAnsi="Times New Roman" w:cs="Times New Roman"/>
                      <w:sz w:val="26"/>
                      <w:szCs w:val="26"/>
                      <w:lang w:eastAsia="lv-LV"/>
                    </w:rPr>
                    <w:t xml:space="preserve"> noziedzības</w:t>
                  </w:r>
                  <w:r w:rsidR="00D80410">
                    <w:rPr>
                      <w:rFonts w:ascii="Times New Roman" w:eastAsia="Times New Roman" w:hAnsi="Times New Roman" w:cs="Times New Roman"/>
                      <w:sz w:val="26"/>
                      <w:szCs w:val="26"/>
                      <w:lang w:eastAsia="lv-LV"/>
                    </w:rPr>
                    <w:t xml:space="preserve"> novēršana un</w:t>
                  </w:r>
                  <w:r w:rsidR="00C553EB">
                    <w:rPr>
                      <w:rFonts w:ascii="Times New Roman" w:eastAsia="Times New Roman" w:hAnsi="Times New Roman" w:cs="Times New Roman"/>
                      <w:sz w:val="26"/>
                      <w:szCs w:val="26"/>
                      <w:lang w:eastAsia="lv-LV"/>
                    </w:rPr>
                    <w:t xml:space="preserve"> apkarošana, cilvēku dzīvībai, veselībai un videi iespējamā kaitējuma novēršana,</w:t>
                  </w:r>
                  <w:r w:rsidR="00380F17">
                    <w:rPr>
                      <w:rFonts w:ascii="Times New Roman" w:eastAsia="Times New Roman" w:hAnsi="Times New Roman" w:cs="Times New Roman"/>
                      <w:sz w:val="26"/>
                      <w:szCs w:val="26"/>
                      <w:lang w:eastAsia="lv-LV"/>
                    </w:rPr>
                    <w:t xml:space="preserve"> Latvijas informatīvās telpas stiprināšana,</w:t>
                  </w:r>
                  <w:r w:rsidR="00C553EB">
                    <w:rPr>
                      <w:rFonts w:ascii="Times New Roman" w:eastAsia="Times New Roman" w:hAnsi="Times New Roman" w:cs="Times New Roman"/>
                      <w:sz w:val="26"/>
                      <w:szCs w:val="26"/>
                      <w:lang w:eastAsia="lv-LV"/>
                    </w:rPr>
                    <w:t xml:space="preserve"> kultūrvēsturiskā mantojuma saglabāšana</w:t>
                  </w:r>
                  <w:r w:rsidR="00380F17">
                    <w:rPr>
                      <w:rFonts w:ascii="Times New Roman" w:eastAsia="Times New Roman" w:hAnsi="Times New Roman" w:cs="Times New Roman"/>
                      <w:sz w:val="26"/>
                      <w:szCs w:val="26"/>
                      <w:lang w:eastAsia="lv-LV"/>
                    </w:rPr>
                    <w:t>,</w:t>
                  </w:r>
                  <w:r w:rsidR="00C553EB">
                    <w:rPr>
                      <w:rFonts w:ascii="Times New Roman" w:eastAsia="Times New Roman" w:hAnsi="Times New Roman" w:cs="Times New Roman"/>
                      <w:sz w:val="26"/>
                      <w:szCs w:val="26"/>
                      <w:lang w:eastAsia="lv-LV"/>
                    </w:rPr>
                    <w:t xml:space="preserve"> u.c. </w:t>
                  </w:r>
                  <w:r w:rsidR="00CF4CD9">
                    <w:rPr>
                      <w:rFonts w:ascii="Times New Roman" w:eastAsia="Times New Roman" w:hAnsi="Times New Roman" w:cs="Times New Roman"/>
                      <w:sz w:val="26"/>
                      <w:szCs w:val="26"/>
                      <w:lang w:eastAsia="lv-LV"/>
                    </w:rPr>
                    <w:t xml:space="preserve">Tādējādi </w:t>
                  </w:r>
                  <w:r w:rsidR="00A364BE">
                    <w:rPr>
                      <w:rFonts w:ascii="Times New Roman" w:eastAsia="Times New Roman" w:hAnsi="Times New Roman" w:cs="Times New Roman"/>
                      <w:sz w:val="26"/>
                      <w:szCs w:val="26"/>
                      <w:lang w:eastAsia="lv-LV"/>
                    </w:rPr>
                    <w:t xml:space="preserve">minētais </w:t>
                  </w:r>
                  <w:r w:rsidR="00CF4CD9">
                    <w:rPr>
                      <w:rFonts w:ascii="Times New Roman" w:eastAsia="Times New Roman" w:hAnsi="Times New Roman" w:cs="Times New Roman"/>
                      <w:sz w:val="26"/>
                      <w:szCs w:val="26"/>
                      <w:lang w:eastAsia="lv-LV"/>
                    </w:rPr>
                    <w:t>kritērijs</w:t>
                  </w:r>
                  <w:r w:rsidR="00C45176">
                    <w:rPr>
                      <w:rFonts w:ascii="Times New Roman" w:eastAsia="Times New Roman" w:hAnsi="Times New Roman" w:cs="Times New Roman"/>
                      <w:sz w:val="26"/>
                      <w:szCs w:val="26"/>
                      <w:lang w:eastAsia="lv-LV"/>
                    </w:rPr>
                    <w:t xml:space="preserve"> ir papildu nosacījums</w:t>
                  </w:r>
                  <w:r w:rsidR="00CF4CD9">
                    <w:rPr>
                      <w:rFonts w:ascii="Times New Roman" w:eastAsia="Times New Roman" w:hAnsi="Times New Roman" w:cs="Times New Roman"/>
                      <w:sz w:val="26"/>
                      <w:szCs w:val="26"/>
                      <w:lang w:eastAsia="lv-LV"/>
                    </w:rPr>
                    <w:t xml:space="preserve"> 14.panta pirmajā daļā noteiktajam, ka ziedojumu atvēl </w:t>
                  </w:r>
                  <w:r w:rsidR="00586694">
                    <w:rPr>
                      <w:rFonts w:ascii="Times New Roman" w:eastAsia="Times New Roman" w:hAnsi="Times New Roman" w:cs="Times New Roman"/>
                      <w:sz w:val="26"/>
                      <w:szCs w:val="26"/>
                      <w:lang w:eastAsia="lv-LV"/>
                    </w:rPr>
                    <w:t xml:space="preserve">publiskas personas institūcijas </w:t>
                  </w:r>
                  <w:r w:rsidR="00195916">
                    <w:rPr>
                      <w:rFonts w:ascii="Times New Roman" w:eastAsia="Times New Roman" w:hAnsi="Times New Roman" w:cs="Times New Roman"/>
                      <w:sz w:val="26"/>
                      <w:szCs w:val="26"/>
                      <w:lang w:eastAsia="lv-LV"/>
                    </w:rPr>
                    <w:t>funkciju</w:t>
                  </w:r>
                  <w:r w:rsidR="00586694">
                    <w:rPr>
                      <w:rFonts w:ascii="Times New Roman" w:eastAsia="Times New Roman" w:hAnsi="Times New Roman" w:cs="Times New Roman"/>
                      <w:sz w:val="26"/>
                      <w:szCs w:val="26"/>
                      <w:lang w:eastAsia="lv-LV"/>
                    </w:rPr>
                    <w:t xml:space="preserve"> izpildes veicināšanai.</w:t>
                  </w:r>
                  <w:r w:rsidR="007073E6">
                    <w:rPr>
                      <w:rFonts w:ascii="Times New Roman" w:eastAsia="Times New Roman" w:hAnsi="Times New Roman" w:cs="Times New Roman"/>
                      <w:sz w:val="26"/>
                      <w:szCs w:val="26"/>
                      <w:lang w:eastAsia="lv-LV"/>
                    </w:rPr>
                    <w:t xml:space="preserve"> Šādos gadījumos lēmumu pieņems Ministru kabinets, kurš izskatīs </w:t>
                  </w:r>
                  <w:r w:rsidR="00E246A3">
                    <w:rPr>
                      <w:rFonts w:ascii="Times New Roman" w:eastAsia="Times New Roman" w:hAnsi="Times New Roman" w:cs="Times New Roman"/>
                      <w:sz w:val="26"/>
                      <w:szCs w:val="26"/>
                      <w:lang w:eastAsia="lv-LV"/>
                    </w:rPr>
                    <w:t>atbildīg</w:t>
                  </w:r>
                  <w:r w:rsidR="00222F7D">
                    <w:rPr>
                      <w:rFonts w:ascii="Times New Roman" w:eastAsia="Times New Roman" w:hAnsi="Times New Roman" w:cs="Times New Roman"/>
                      <w:sz w:val="26"/>
                      <w:szCs w:val="26"/>
                      <w:lang w:eastAsia="lv-LV"/>
                    </w:rPr>
                    <w:t>ās ministrijas sagatavotu</w:t>
                  </w:r>
                  <w:r w:rsidR="00195916">
                    <w:rPr>
                      <w:rFonts w:ascii="Times New Roman" w:eastAsia="Times New Roman" w:hAnsi="Times New Roman" w:cs="Times New Roman"/>
                      <w:sz w:val="26"/>
                      <w:szCs w:val="26"/>
                      <w:lang w:eastAsia="lv-LV"/>
                    </w:rPr>
                    <w:t xml:space="preserve"> un Ministru kabineta kārtības rullī</w:t>
                  </w:r>
                  <w:r w:rsidR="00222F7D">
                    <w:rPr>
                      <w:rStyle w:val="FootnoteReference"/>
                      <w:rFonts w:ascii="Times New Roman" w:eastAsia="Times New Roman" w:hAnsi="Times New Roman" w:cs="Times New Roman"/>
                      <w:sz w:val="26"/>
                      <w:szCs w:val="26"/>
                      <w:lang w:eastAsia="lv-LV"/>
                    </w:rPr>
                    <w:footnoteReference w:id="6"/>
                  </w:r>
                  <w:r w:rsidR="00195916">
                    <w:rPr>
                      <w:rFonts w:ascii="Times New Roman" w:eastAsia="Times New Roman" w:hAnsi="Times New Roman" w:cs="Times New Roman"/>
                      <w:sz w:val="26"/>
                      <w:szCs w:val="26"/>
                      <w:lang w:eastAsia="lv-LV"/>
                    </w:rPr>
                    <w:t xml:space="preserve"> noteiktajā kārtībā saskaņotu rīkojuma</w:t>
                  </w:r>
                  <w:r w:rsidR="00222F7D">
                    <w:rPr>
                      <w:rFonts w:ascii="Times New Roman" w:eastAsia="Times New Roman" w:hAnsi="Times New Roman" w:cs="Times New Roman"/>
                      <w:sz w:val="26"/>
                      <w:szCs w:val="26"/>
                      <w:lang w:eastAsia="lv-LV"/>
                    </w:rPr>
                    <w:t xml:space="preserve"> un anotācijas</w:t>
                  </w:r>
                  <w:r w:rsidR="00195916">
                    <w:rPr>
                      <w:rFonts w:ascii="Times New Roman" w:eastAsia="Times New Roman" w:hAnsi="Times New Roman" w:cs="Times New Roman"/>
                      <w:sz w:val="26"/>
                      <w:szCs w:val="26"/>
                      <w:lang w:eastAsia="lv-LV"/>
                    </w:rPr>
                    <w:t xml:space="preserve"> projektu ar ietvertu analīzi par ziedojuma pieļaujamību,</w:t>
                  </w:r>
                  <w:r w:rsidR="00A364BE">
                    <w:rPr>
                      <w:rFonts w:ascii="Times New Roman" w:eastAsia="Times New Roman" w:hAnsi="Times New Roman" w:cs="Times New Roman"/>
                      <w:sz w:val="26"/>
                      <w:szCs w:val="26"/>
                      <w:lang w:eastAsia="lv-LV"/>
                    </w:rPr>
                    <w:t xml:space="preserve"> iekļautiem</w:t>
                  </w:r>
                  <w:r w:rsidR="00195916">
                    <w:rPr>
                      <w:rFonts w:ascii="Times New Roman" w:eastAsia="Times New Roman" w:hAnsi="Times New Roman" w:cs="Times New Roman"/>
                      <w:sz w:val="26"/>
                      <w:szCs w:val="26"/>
                      <w:lang w:eastAsia="lv-LV"/>
                    </w:rPr>
                    <w:t xml:space="preserve"> </w:t>
                  </w:r>
                  <w:r w:rsidR="00222F7D">
                    <w:rPr>
                      <w:rFonts w:ascii="Times New Roman" w:eastAsia="Times New Roman" w:hAnsi="Times New Roman" w:cs="Times New Roman"/>
                      <w:sz w:val="26"/>
                      <w:szCs w:val="26"/>
                      <w:lang w:eastAsia="lv-LV"/>
                    </w:rPr>
                    <w:t>ziedojuma izmantošanas nosacījumiem, kas neietekmētu attiecīgās publiskas personas institūcijas</w:t>
                  </w:r>
                  <w:r w:rsidR="00825676">
                    <w:rPr>
                      <w:rFonts w:ascii="Times New Roman" w:eastAsia="Times New Roman" w:hAnsi="Times New Roman" w:cs="Times New Roman"/>
                      <w:sz w:val="26"/>
                      <w:szCs w:val="26"/>
                      <w:lang w:eastAsia="lv-LV"/>
                    </w:rPr>
                    <w:t xml:space="preserve"> (</w:t>
                  </w:r>
                  <w:r w:rsidR="002B5098">
                    <w:rPr>
                      <w:rFonts w:ascii="Times New Roman" w:eastAsia="Times New Roman" w:hAnsi="Times New Roman" w:cs="Times New Roman"/>
                      <w:sz w:val="26"/>
                      <w:szCs w:val="26"/>
                      <w:lang w:eastAsia="lv-LV"/>
                    </w:rPr>
                    <w:t>ziedojuma</w:t>
                  </w:r>
                  <w:r w:rsidR="00825676">
                    <w:rPr>
                      <w:rFonts w:ascii="Times New Roman" w:eastAsia="Times New Roman" w:hAnsi="Times New Roman" w:cs="Times New Roman"/>
                      <w:sz w:val="26"/>
                      <w:szCs w:val="26"/>
                      <w:lang w:eastAsia="lv-LV"/>
                    </w:rPr>
                    <w:t xml:space="preserve"> izmantotāja)</w:t>
                  </w:r>
                  <w:r w:rsidR="00222F7D">
                    <w:rPr>
                      <w:rFonts w:ascii="Times New Roman" w:eastAsia="Times New Roman" w:hAnsi="Times New Roman" w:cs="Times New Roman"/>
                      <w:sz w:val="26"/>
                      <w:szCs w:val="26"/>
                      <w:lang w:eastAsia="lv-LV"/>
                    </w:rPr>
                    <w:t xml:space="preserve"> un to amatpersonu darbības objektivitāti un neitralitāti</w:t>
                  </w:r>
                  <w:r w:rsidR="00825676">
                    <w:rPr>
                      <w:rFonts w:ascii="Times New Roman" w:eastAsia="Times New Roman" w:hAnsi="Times New Roman" w:cs="Times New Roman"/>
                      <w:sz w:val="26"/>
                      <w:szCs w:val="26"/>
                      <w:lang w:eastAsia="lv-LV"/>
                    </w:rPr>
                    <w:t>. T</w:t>
                  </w:r>
                  <w:r w:rsidR="00CE68C7">
                    <w:rPr>
                      <w:rFonts w:ascii="Times New Roman" w:eastAsia="Times New Roman" w:hAnsi="Times New Roman" w:cs="Times New Roman"/>
                      <w:sz w:val="26"/>
                      <w:szCs w:val="26"/>
                      <w:lang w:eastAsia="lv-LV"/>
                    </w:rPr>
                    <w:t>āpat</w:t>
                  </w:r>
                  <w:r w:rsidR="00825676">
                    <w:rPr>
                      <w:rFonts w:ascii="Times New Roman" w:eastAsia="Times New Roman" w:hAnsi="Times New Roman" w:cs="Times New Roman"/>
                      <w:sz w:val="26"/>
                      <w:szCs w:val="26"/>
                      <w:lang w:eastAsia="lv-LV"/>
                    </w:rPr>
                    <w:t xml:space="preserve"> </w:t>
                  </w:r>
                  <w:r w:rsidR="005504BC">
                    <w:rPr>
                      <w:rFonts w:ascii="Times New Roman" w:eastAsia="Times New Roman" w:hAnsi="Times New Roman" w:cs="Times New Roman"/>
                      <w:sz w:val="26"/>
                      <w:szCs w:val="26"/>
                      <w:lang w:eastAsia="lv-LV"/>
                    </w:rPr>
                    <w:t>ir</w:t>
                  </w:r>
                  <w:r w:rsidR="002B5098">
                    <w:rPr>
                      <w:rFonts w:ascii="Times New Roman" w:eastAsia="Times New Roman" w:hAnsi="Times New Roman" w:cs="Times New Roman"/>
                      <w:sz w:val="26"/>
                      <w:szCs w:val="26"/>
                      <w:lang w:eastAsia="lv-LV"/>
                    </w:rPr>
                    <w:t xml:space="preserve"> </w:t>
                  </w:r>
                  <w:r w:rsidR="00856B9B">
                    <w:rPr>
                      <w:rFonts w:ascii="Times New Roman" w:eastAsia="Times New Roman" w:hAnsi="Times New Roman" w:cs="Times New Roman"/>
                      <w:sz w:val="26"/>
                      <w:szCs w:val="26"/>
                      <w:lang w:eastAsia="lv-LV"/>
                    </w:rPr>
                    <w:t>j</w:t>
                  </w:r>
                  <w:r w:rsidR="009C2AF5">
                    <w:rPr>
                      <w:rFonts w:ascii="Times New Roman" w:eastAsia="Times New Roman" w:hAnsi="Times New Roman" w:cs="Times New Roman"/>
                      <w:sz w:val="26"/>
                      <w:szCs w:val="26"/>
                      <w:lang w:eastAsia="lv-LV"/>
                    </w:rPr>
                    <w:t>āpievieno</w:t>
                  </w:r>
                  <w:r w:rsidR="00CE68C7">
                    <w:rPr>
                      <w:rFonts w:ascii="Times New Roman" w:eastAsia="Times New Roman" w:hAnsi="Times New Roman" w:cs="Times New Roman"/>
                      <w:sz w:val="26"/>
                      <w:szCs w:val="26"/>
                      <w:lang w:eastAsia="lv-LV"/>
                    </w:rPr>
                    <w:t xml:space="preserve"> izvērtējums </w:t>
                  </w:r>
                  <w:r w:rsidR="005504BC">
                    <w:rPr>
                      <w:rFonts w:ascii="Times New Roman" w:eastAsia="Times New Roman" w:hAnsi="Times New Roman" w:cs="Times New Roman"/>
                      <w:sz w:val="26"/>
                      <w:szCs w:val="26"/>
                      <w:lang w:eastAsia="lv-LV"/>
                    </w:rPr>
                    <w:t xml:space="preserve">par </w:t>
                  </w:r>
                  <w:r w:rsidR="00856B9B">
                    <w:rPr>
                      <w:rFonts w:ascii="Times New Roman" w:eastAsia="Times New Roman" w:hAnsi="Times New Roman" w:cs="Times New Roman"/>
                      <w:sz w:val="26"/>
                      <w:szCs w:val="26"/>
                      <w:lang w:eastAsia="lv-LV"/>
                    </w:rPr>
                    <w:t>iekļaujamo</w:t>
                  </w:r>
                  <w:r w:rsidR="005504BC">
                    <w:rPr>
                      <w:rFonts w:ascii="Times New Roman" w:eastAsia="Times New Roman" w:hAnsi="Times New Roman" w:cs="Times New Roman"/>
                      <w:sz w:val="26"/>
                      <w:szCs w:val="26"/>
                      <w:lang w:eastAsia="lv-LV"/>
                    </w:rPr>
                    <w:t xml:space="preserve"> ziedojuma izmantošanas nosacījumu atbilstību nozares ētikas normām, </w:t>
                  </w:r>
                  <w:r w:rsidR="00D41BC0">
                    <w:rPr>
                      <w:rFonts w:ascii="Times New Roman" w:eastAsia="Times New Roman" w:hAnsi="Times New Roman" w:cs="Times New Roman"/>
                      <w:sz w:val="26"/>
                      <w:szCs w:val="26"/>
                      <w:lang w:eastAsia="lv-LV"/>
                    </w:rPr>
                    <w:t>ziedojuma izmantotājam veicot valsts pārvaldes funkcijas un uzdevumus attiecībā uz ziedotāju.</w:t>
                  </w:r>
                </w:p>
                <w:p w:rsidR="00856B9B" w:rsidRDefault="009C2AF5" w:rsidP="00070B8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Lai nodrošinātu saņemtā ziedojuma izmanto</w:t>
                  </w:r>
                  <w:r w:rsidR="00054999">
                    <w:rPr>
                      <w:rFonts w:ascii="Times New Roman" w:eastAsia="Times New Roman" w:hAnsi="Times New Roman" w:cs="Times New Roman"/>
                      <w:sz w:val="26"/>
                      <w:szCs w:val="26"/>
                      <w:lang w:eastAsia="lv-LV"/>
                    </w:rPr>
                    <w:t>šanas</w:t>
                  </w:r>
                  <w:r>
                    <w:rPr>
                      <w:rFonts w:ascii="Times New Roman" w:eastAsia="Times New Roman" w:hAnsi="Times New Roman" w:cs="Times New Roman"/>
                      <w:sz w:val="26"/>
                      <w:szCs w:val="26"/>
                      <w:lang w:eastAsia="lv-LV"/>
                    </w:rPr>
                    <w:t xml:space="preserve"> uzraudz</w:t>
                  </w:r>
                  <w:r w:rsidR="00054999">
                    <w:rPr>
                      <w:rFonts w:ascii="Times New Roman" w:eastAsia="Times New Roman" w:hAnsi="Times New Roman" w:cs="Times New Roman"/>
                      <w:sz w:val="26"/>
                      <w:szCs w:val="26"/>
                      <w:lang w:eastAsia="lv-LV"/>
                    </w:rPr>
                    <w:t>ību un</w:t>
                  </w:r>
                  <w:r>
                    <w:rPr>
                      <w:rFonts w:ascii="Times New Roman" w:eastAsia="Times New Roman" w:hAnsi="Times New Roman" w:cs="Times New Roman"/>
                      <w:sz w:val="26"/>
                      <w:szCs w:val="26"/>
                      <w:lang w:eastAsia="lv-LV"/>
                    </w:rPr>
                    <w:t xml:space="preserve"> kontroli</w:t>
                  </w:r>
                  <w:r w:rsidR="006F4D3E">
                    <w:rPr>
                      <w:rFonts w:ascii="Times New Roman" w:eastAsia="Times New Roman" w:hAnsi="Times New Roman" w:cs="Times New Roman"/>
                      <w:sz w:val="26"/>
                      <w:szCs w:val="26"/>
                      <w:lang w:eastAsia="lv-LV"/>
                    </w:rPr>
                    <w:t xml:space="preserve"> </w:t>
                  </w:r>
                  <w:r w:rsidR="00211B8B">
                    <w:rPr>
                      <w:rFonts w:ascii="Times New Roman" w:eastAsia="Times New Roman" w:hAnsi="Times New Roman" w:cs="Times New Roman"/>
                      <w:sz w:val="26"/>
                      <w:szCs w:val="26"/>
                      <w:lang w:eastAsia="lv-LV"/>
                    </w:rPr>
                    <w:t xml:space="preserve">14.panta </w:t>
                  </w:r>
                  <w:r w:rsidR="004823BB">
                    <w:rPr>
                      <w:rFonts w:ascii="Times New Roman" w:eastAsia="Times New Roman" w:hAnsi="Times New Roman" w:cs="Times New Roman"/>
                      <w:sz w:val="26"/>
                      <w:szCs w:val="26"/>
                      <w:lang w:eastAsia="lv-LV"/>
                    </w:rPr>
                    <w:t>astotās</w:t>
                  </w:r>
                  <w:r w:rsidR="000A4C55">
                    <w:rPr>
                      <w:rFonts w:ascii="Times New Roman" w:eastAsia="Times New Roman" w:hAnsi="Times New Roman" w:cs="Times New Roman"/>
                      <w:sz w:val="26"/>
                      <w:szCs w:val="26"/>
                      <w:lang w:eastAsia="lv-LV"/>
                    </w:rPr>
                    <w:t xml:space="preserve"> </w:t>
                  </w:r>
                  <w:r w:rsidR="00211B8B">
                    <w:rPr>
                      <w:rFonts w:ascii="Times New Roman" w:eastAsia="Times New Roman" w:hAnsi="Times New Roman" w:cs="Times New Roman"/>
                      <w:sz w:val="26"/>
                      <w:szCs w:val="26"/>
                      <w:lang w:eastAsia="lv-LV"/>
                    </w:rPr>
                    <w:t>daļas ietvaros</w:t>
                  </w:r>
                  <w:r w:rsidR="00054999">
                    <w:rPr>
                      <w:rFonts w:ascii="Times New Roman" w:eastAsia="Times New Roman" w:hAnsi="Times New Roman" w:cs="Times New Roman"/>
                      <w:sz w:val="26"/>
                      <w:szCs w:val="26"/>
                      <w:lang w:eastAsia="lv-LV"/>
                    </w:rPr>
                    <w:t>, likumprojekts nosaka pilnvarojumu Ministru kabinetam noteikt uzraugošo iest</w:t>
                  </w:r>
                  <w:r w:rsidR="00B058D9">
                    <w:rPr>
                      <w:rFonts w:ascii="Times New Roman" w:eastAsia="Times New Roman" w:hAnsi="Times New Roman" w:cs="Times New Roman"/>
                      <w:sz w:val="26"/>
                      <w:szCs w:val="26"/>
                      <w:lang w:eastAsia="lv-LV"/>
                    </w:rPr>
                    <w:t>ādi</w:t>
                  </w:r>
                  <w:r w:rsidR="00054999">
                    <w:rPr>
                      <w:rFonts w:ascii="Times New Roman" w:eastAsia="Times New Roman" w:hAnsi="Times New Roman" w:cs="Times New Roman"/>
                      <w:sz w:val="26"/>
                      <w:szCs w:val="26"/>
                      <w:lang w:eastAsia="lv-LV"/>
                    </w:rPr>
                    <w:t xml:space="preserve"> minēto darbību veik</w:t>
                  </w:r>
                  <w:r w:rsidR="00B058D9">
                    <w:rPr>
                      <w:rFonts w:ascii="Times New Roman" w:eastAsia="Times New Roman" w:hAnsi="Times New Roman" w:cs="Times New Roman"/>
                      <w:sz w:val="26"/>
                      <w:szCs w:val="26"/>
                      <w:lang w:eastAsia="lv-LV"/>
                    </w:rPr>
                    <w:t>šanai</w:t>
                  </w:r>
                  <w:r w:rsidR="00E818BB">
                    <w:rPr>
                      <w:rFonts w:ascii="Times New Roman" w:eastAsia="Times New Roman" w:hAnsi="Times New Roman" w:cs="Times New Roman"/>
                      <w:sz w:val="26"/>
                      <w:szCs w:val="26"/>
                      <w:lang w:eastAsia="lv-LV"/>
                    </w:rPr>
                    <w:t>.</w:t>
                  </w:r>
                  <w:r w:rsidR="00182188">
                    <w:rPr>
                      <w:rFonts w:ascii="Times New Roman" w:eastAsia="Times New Roman" w:hAnsi="Times New Roman" w:cs="Times New Roman"/>
                      <w:sz w:val="26"/>
                      <w:szCs w:val="26"/>
                      <w:lang w:eastAsia="lv-LV"/>
                    </w:rPr>
                    <w:t xml:space="preserve"> Tā varētu būt </w:t>
                  </w:r>
                  <w:r w:rsidR="00CE6DD8">
                    <w:rPr>
                      <w:rFonts w:ascii="Times New Roman" w:eastAsia="Times New Roman" w:hAnsi="Times New Roman" w:cs="Times New Roman"/>
                      <w:sz w:val="26"/>
                      <w:szCs w:val="26"/>
                      <w:lang w:eastAsia="lv-LV"/>
                    </w:rPr>
                    <w:t>(</w:t>
                  </w:r>
                  <w:r w:rsidR="002D3FE8">
                    <w:rPr>
                      <w:rFonts w:ascii="Times New Roman" w:eastAsia="Times New Roman" w:hAnsi="Times New Roman" w:cs="Times New Roman"/>
                      <w:sz w:val="26"/>
                      <w:szCs w:val="26"/>
                      <w:lang w:eastAsia="lv-LV"/>
                    </w:rPr>
                    <w:t>par nozari</w:t>
                  </w:r>
                  <w:r w:rsidR="00CE6DD8">
                    <w:rPr>
                      <w:rFonts w:ascii="Times New Roman" w:eastAsia="Times New Roman" w:hAnsi="Times New Roman" w:cs="Times New Roman"/>
                      <w:sz w:val="26"/>
                      <w:szCs w:val="26"/>
                      <w:lang w:eastAsia="lv-LV"/>
                    </w:rPr>
                    <w:t>)</w:t>
                  </w:r>
                  <w:r w:rsidR="002D3FE8">
                    <w:rPr>
                      <w:rFonts w:ascii="Times New Roman" w:eastAsia="Times New Roman" w:hAnsi="Times New Roman" w:cs="Times New Roman"/>
                      <w:sz w:val="26"/>
                      <w:szCs w:val="26"/>
                      <w:lang w:eastAsia="lv-LV"/>
                    </w:rPr>
                    <w:t xml:space="preserve"> atbildīgā</w:t>
                  </w:r>
                  <w:r w:rsidR="00CE6DD8">
                    <w:rPr>
                      <w:rFonts w:ascii="Times New Roman" w:eastAsia="Times New Roman" w:hAnsi="Times New Roman" w:cs="Times New Roman"/>
                      <w:sz w:val="26"/>
                      <w:szCs w:val="26"/>
                      <w:lang w:eastAsia="lv-LV"/>
                    </w:rPr>
                    <w:t xml:space="preserve"> ministrija</w:t>
                  </w:r>
                  <w:r w:rsidR="002D3FE8">
                    <w:rPr>
                      <w:rFonts w:ascii="Times New Roman" w:eastAsia="Times New Roman" w:hAnsi="Times New Roman" w:cs="Times New Roman"/>
                      <w:sz w:val="26"/>
                      <w:szCs w:val="26"/>
                      <w:lang w:eastAsia="lv-LV"/>
                    </w:rPr>
                    <w:t>, kas</w:t>
                  </w:r>
                  <w:r w:rsidR="00CE6DD8">
                    <w:rPr>
                      <w:rFonts w:ascii="Times New Roman" w:eastAsia="Times New Roman" w:hAnsi="Times New Roman" w:cs="Times New Roman"/>
                      <w:sz w:val="26"/>
                      <w:szCs w:val="26"/>
                      <w:lang w:eastAsia="lv-LV"/>
                    </w:rPr>
                    <w:t xml:space="preserve"> ir</w:t>
                  </w:r>
                  <w:r w:rsidR="002D3FE8">
                    <w:rPr>
                      <w:rFonts w:ascii="Times New Roman" w:eastAsia="Times New Roman" w:hAnsi="Times New Roman" w:cs="Times New Roman"/>
                      <w:sz w:val="26"/>
                      <w:szCs w:val="26"/>
                      <w:lang w:eastAsia="lv-LV"/>
                    </w:rPr>
                    <w:t xml:space="preserve"> sagatavo</w:t>
                  </w:r>
                  <w:r w:rsidR="00CE6DD8">
                    <w:rPr>
                      <w:rFonts w:ascii="Times New Roman" w:eastAsia="Times New Roman" w:hAnsi="Times New Roman" w:cs="Times New Roman"/>
                      <w:sz w:val="26"/>
                      <w:szCs w:val="26"/>
                      <w:lang w:eastAsia="lv-LV"/>
                    </w:rPr>
                    <w:t>jusi un virzījusi</w:t>
                  </w:r>
                  <w:r w:rsidR="002D3FE8">
                    <w:rPr>
                      <w:rFonts w:ascii="Times New Roman" w:eastAsia="Times New Roman" w:hAnsi="Times New Roman" w:cs="Times New Roman"/>
                      <w:sz w:val="26"/>
                      <w:szCs w:val="26"/>
                      <w:lang w:eastAsia="lv-LV"/>
                    </w:rPr>
                    <w:t xml:space="preserve"> attiec</w:t>
                  </w:r>
                  <w:r w:rsidR="00CE6DD8">
                    <w:rPr>
                      <w:rFonts w:ascii="Times New Roman" w:eastAsia="Times New Roman" w:hAnsi="Times New Roman" w:cs="Times New Roman"/>
                      <w:sz w:val="26"/>
                      <w:szCs w:val="26"/>
                      <w:lang w:eastAsia="lv-LV"/>
                    </w:rPr>
                    <w:t>īgo rīkojuma projektu</w:t>
                  </w:r>
                  <w:r w:rsidR="002D3FE8">
                    <w:rPr>
                      <w:rFonts w:ascii="Times New Roman" w:eastAsia="Times New Roman" w:hAnsi="Times New Roman" w:cs="Times New Roman"/>
                      <w:sz w:val="26"/>
                      <w:szCs w:val="26"/>
                      <w:lang w:eastAsia="lv-LV"/>
                    </w:rPr>
                    <w:t>.</w:t>
                  </w:r>
                </w:p>
                <w:p w:rsidR="007A5758" w:rsidRDefault="007A5758" w:rsidP="00070B85">
                  <w:pPr>
                    <w:spacing w:after="0" w:line="240" w:lineRule="auto"/>
                    <w:rPr>
                      <w:rFonts w:ascii="Times New Roman" w:eastAsia="Times New Roman" w:hAnsi="Times New Roman" w:cs="Times New Roman"/>
                      <w:sz w:val="26"/>
                      <w:szCs w:val="26"/>
                      <w:lang w:eastAsia="lv-LV"/>
                    </w:rPr>
                  </w:pPr>
                </w:p>
                <w:p w:rsidR="00815A75" w:rsidRPr="00815A75" w:rsidRDefault="00C45176" w:rsidP="00070B85">
                  <w:pPr>
                    <w:spacing w:after="0" w:line="240" w:lineRule="auto"/>
                    <w:rPr>
                      <w:rFonts w:ascii="Times New Roman" w:hAnsi="Times New Roman" w:cs="Times New Roman"/>
                      <w:color w:val="000000"/>
                      <w:sz w:val="26"/>
                      <w:szCs w:val="26"/>
                    </w:rPr>
                  </w:pPr>
                  <w:r>
                    <w:rPr>
                      <w:rFonts w:ascii="Times New Roman" w:eastAsia="Times New Roman" w:hAnsi="Times New Roman" w:cs="Times New Roman"/>
                      <w:sz w:val="26"/>
                      <w:szCs w:val="26"/>
                      <w:lang w:eastAsia="lv-LV"/>
                    </w:rPr>
                    <w:t xml:space="preserve">Savukārt </w:t>
                  </w:r>
                  <w:r w:rsidR="00BC0598" w:rsidRPr="00BC0598">
                    <w:rPr>
                      <w:rFonts w:ascii="Times New Roman" w:eastAsia="Times New Roman" w:hAnsi="Times New Roman" w:cs="Times New Roman"/>
                      <w:sz w:val="26"/>
                      <w:szCs w:val="26"/>
                      <w:lang w:eastAsia="lv-LV"/>
                    </w:rPr>
                    <w:t xml:space="preserve"> 14.panta </w:t>
                  </w:r>
                  <w:r w:rsidR="004823BB">
                    <w:rPr>
                      <w:rFonts w:ascii="Times New Roman" w:eastAsia="Times New Roman" w:hAnsi="Times New Roman" w:cs="Times New Roman"/>
                      <w:sz w:val="26"/>
                      <w:szCs w:val="26"/>
                      <w:lang w:eastAsia="lv-LV"/>
                    </w:rPr>
                    <w:t xml:space="preserve">astotajā </w:t>
                  </w:r>
                  <w:r w:rsidR="00BC0598" w:rsidRPr="00BC0598">
                    <w:rPr>
                      <w:rFonts w:ascii="Times New Roman" w:eastAsia="Times New Roman" w:hAnsi="Times New Roman" w:cs="Times New Roman"/>
                      <w:sz w:val="26"/>
                      <w:szCs w:val="26"/>
                      <w:lang w:eastAsia="lv-LV"/>
                    </w:rPr>
                    <w:t>daļā ir ietverts pilnvarojums Ministru</w:t>
                  </w:r>
                  <w:r w:rsidR="006D505A">
                    <w:rPr>
                      <w:rFonts w:ascii="Times New Roman" w:eastAsia="Times New Roman" w:hAnsi="Times New Roman" w:cs="Times New Roman"/>
                      <w:sz w:val="26"/>
                      <w:szCs w:val="26"/>
                      <w:lang w:eastAsia="lv-LV"/>
                    </w:rPr>
                    <w:t xml:space="preserve"> kabinetam noteikt kārtību, kādā</w:t>
                  </w:r>
                  <w:r w:rsidR="00BC0598" w:rsidRPr="00BC0598">
                    <w:rPr>
                      <w:rFonts w:ascii="Times New Roman" w:eastAsia="Times New Roman" w:hAnsi="Times New Roman" w:cs="Times New Roman"/>
                      <w:sz w:val="26"/>
                      <w:szCs w:val="26"/>
                      <w:lang w:eastAsia="lv-LV"/>
                    </w:rPr>
                    <w:t xml:space="preserve"> publiskas </w:t>
                  </w:r>
                  <w:r w:rsidR="00BC0598" w:rsidRPr="00BC0598">
                    <w:rPr>
                      <w:rFonts w:ascii="Times New Roman" w:hAnsi="Times New Roman" w:cs="Times New Roman"/>
                      <w:color w:val="000000"/>
                      <w:sz w:val="26"/>
                      <w:szCs w:val="26"/>
                    </w:rPr>
                    <w:t>personas institūcija pieņem, uzskaita un izmanto atvēlēto ziedojumu, kā arī kārtību, kādā</w:t>
                  </w:r>
                  <w:r w:rsidR="00BC0598">
                    <w:rPr>
                      <w:rFonts w:ascii="Times New Roman" w:hAnsi="Times New Roman" w:cs="Times New Roman"/>
                      <w:color w:val="000000"/>
                      <w:sz w:val="26"/>
                      <w:szCs w:val="26"/>
                    </w:rPr>
                    <w:t xml:space="preserve"> </w:t>
                  </w:r>
                  <w:r w:rsidR="00BC0598" w:rsidRPr="00BC0598">
                    <w:rPr>
                      <w:rFonts w:ascii="Times New Roman" w:hAnsi="Times New Roman" w:cs="Times New Roman"/>
                      <w:color w:val="000000"/>
                      <w:sz w:val="26"/>
                      <w:szCs w:val="26"/>
                    </w:rPr>
                    <w:t>publiskas personas institūcija</w:t>
                  </w:r>
                  <w:r w:rsidR="00BC0598">
                    <w:rPr>
                      <w:rFonts w:ascii="Times New Roman" w:hAnsi="Times New Roman" w:cs="Times New Roman"/>
                      <w:color w:val="000000"/>
                      <w:sz w:val="26"/>
                      <w:szCs w:val="26"/>
                    </w:rPr>
                    <w:t xml:space="preserve"> </w:t>
                  </w:r>
                  <w:r w:rsidR="00BC0598" w:rsidRPr="00BC0598">
                    <w:rPr>
                      <w:rFonts w:ascii="Times New Roman" w:hAnsi="Times New Roman" w:cs="Times New Roman"/>
                      <w:color w:val="000000"/>
                      <w:sz w:val="26"/>
                      <w:szCs w:val="26"/>
                    </w:rPr>
                    <w:t>publicē informāciju par saņemto</w:t>
                  </w:r>
                  <w:r w:rsidR="00BC0598">
                    <w:rPr>
                      <w:rFonts w:ascii="Times New Roman" w:hAnsi="Times New Roman" w:cs="Times New Roman"/>
                      <w:color w:val="000000"/>
                      <w:sz w:val="26"/>
                      <w:szCs w:val="26"/>
                    </w:rPr>
                    <w:t xml:space="preserve"> </w:t>
                  </w:r>
                  <w:r w:rsidR="00BC0598" w:rsidRPr="00BC0598">
                    <w:rPr>
                      <w:rFonts w:ascii="Times New Roman" w:hAnsi="Times New Roman" w:cs="Times New Roman"/>
                      <w:color w:val="000000"/>
                      <w:sz w:val="26"/>
                      <w:szCs w:val="26"/>
                    </w:rPr>
                    <w:t>ziedojumu,</w:t>
                  </w:r>
                  <w:r w:rsidR="00BC0598">
                    <w:rPr>
                      <w:rFonts w:ascii="Times New Roman" w:hAnsi="Times New Roman" w:cs="Times New Roman"/>
                      <w:color w:val="000000"/>
                      <w:sz w:val="26"/>
                      <w:szCs w:val="26"/>
                    </w:rPr>
                    <w:t xml:space="preserve"> </w:t>
                  </w:r>
                  <w:r w:rsidR="00BC0598" w:rsidRPr="00BC0598">
                    <w:rPr>
                      <w:rFonts w:ascii="Times New Roman" w:hAnsi="Times New Roman" w:cs="Times New Roman"/>
                      <w:color w:val="000000"/>
                      <w:sz w:val="26"/>
                      <w:szCs w:val="26"/>
                    </w:rPr>
                    <w:t>ziedotāju un ziedojuma izmantošanu.</w:t>
                  </w:r>
                  <w:r w:rsidR="0095746D">
                    <w:rPr>
                      <w:rFonts w:ascii="Times New Roman" w:hAnsi="Times New Roman" w:cs="Times New Roman"/>
                      <w:color w:val="000000"/>
                      <w:sz w:val="26"/>
                      <w:szCs w:val="26"/>
                    </w:rPr>
                    <w:t xml:space="preserve"> Minētā kārtība būs procesuāla kārt</w:t>
                  </w:r>
                  <w:r w:rsidR="0091583F">
                    <w:rPr>
                      <w:rFonts w:ascii="Times New Roman" w:hAnsi="Times New Roman" w:cs="Times New Roman"/>
                      <w:color w:val="000000"/>
                      <w:sz w:val="26"/>
                      <w:szCs w:val="26"/>
                    </w:rPr>
                    <w:t>ība dokumentu</w:t>
                  </w:r>
                  <w:r w:rsidR="00453072">
                    <w:rPr>
                      <w:rFonts w:ascii="Times New Roman" w:hAnsi="Times New Roman" w:cs="Times New Roman"/>
                      <w:color w:val="000000"/>
                      <w:sz w:val="26"/>
                      <w:szCs w:val="26"/>
                    </w:rPr>
                    <w:t xml:space="preserve"> </w:t>
                  </w:r>
                  <w:r w:rsidR="002D0DEB">
                    <w:rPr>
                      <w:rFonts w:ascii="Times New Roman" w:hAnsi="Times New Roman" w:cs="Times New Roman"/>
                      <w:color w:val="000000"/>
                      <w:sz w:val="26"/>
                      <w:szCs w:val="26"/>
                    </w:rPr>
                    <w:t>apritei</w:t>
                  </w:r>
                  <w:r w:rsidR="00453072">
                    <w:rPr>
                      <w:rFonts w:ascii="Times New Roman" w:hAnsi="Times New Roman" w:cs="Times New Roman"/>
                      <w:color w:val="000000"/>
                      <w:sz w:val="26"/>
                      <w:szCs w:val="26"/>
                    </w:rPr>
                    <w:t>, kas nepieciešami l</w:t>
                  </w:r>
                  <w:r w:rsidR="00E05BAD">
                    <w:rPr>
                      <w:rFonts w:ascii="Times New Roman" w:hAnsi="Times New Roman" w:cs="Times New Roman"/>
                      <w:color w:val="000000"/>
                      <w:sz w:val="26"/>
                      <w:szCs w:val="26"/>
                    </w:rPr>
                    <w:t>ēmuma par ziedojumu</w:t>
                  </w:r>
                  <w:r w:rsidR="00453072">
                    <w:rPr>
                      <w:rFonts w:ascii="Times New Roman" w:hAnsi="Times New Roman" w:cs="Times New Roman"/>
                      <w:color w:val="000000"/>
                      <w:sz w:val="26"/>
                      <w:szCs w:val="26"/>
                    </w:rPr>
                    <w:t xml:space="preserve"> pieņemšanai</w:t>
                  </w:r>
                  <w:r w:rsidR="00121862">
                    <w:rPr>
                      <w:rFonts w:ascii="Times New Roman" w:hAnsi="Times New Roman" w:cs="Times New Roman"/>
                      <w:color w:val="000000"/>
                      <w:sz w:val="26"/>
                      <w:szCs w:val="26"/>
                    </w:rPr>
                    <w:t>.</w:t>
                  </w:r>
                  <w:r w:rsidR="00476F89">
                    <w:rPr>
                      <w:rFonts w:ascii="Times New Roman" w:hAnsi="Times New Roman" w:cs="Times New Roman"/>
                      <w:color w:val="000000"/>
                      <w:sz w:val="26"/>
                      <w:szCs w:val="26"/>
                    </w:rPr>
                    <w:t xml:space="preserve"> Tāpat Ministru kabineta izdota kārtība</w:t>
                  </w:r>
                  <w:r w:rsidR="0091583F">
                    <w:rPr>
                      <w:rFonts w:ascii="Times New Roman" w:hAnsi="Times New Roman" w:cs="Times New Roman"/>
                      <w:color w:val="000000"/>
                      <w:sz w:val="26"/>
                      <w:szCs w:val="26"/>
                    </w:rPr>
                    <w:t xml:space="preserve"> </w:t>
                  </w:r>
                  <w:r w:rsidR="000103DA">
                    <w:rPr>
                      <w:rFonts w:ascii="Times New Roman" w:hAnsi="Times New Roman" w:cs="Times New Roman"/>
                      <w:color w:val="000000"/>
                      <w:sz w:val="26"/>
                      <w:szCs w:val="26"/>
                    </w:rPr>
                    <w:t>sev</w:t>
                  </w:r>
                  <w:r w:rsidR="00476F89">
                    <w:rPr>
                      <w:rFonts w:ascii="Times New Roman" w:hAnsi="Times New Roman" w:cs="Times New Roman"/>
                      <w:color w:val="000000"/>
                      <w:sz w:val="26"/>
                      <w:szCs w:val="26"/>
                    </w:rPr>
                    <w:t>ī ietvers pienākumu un pamatprincipus saņemtā ziedojuma uzskaitei un reģistrēšanai, kas nodrošinātu finanšu</w:t>
                  </w:r>
                  <w:r w:rsidR="00E41AA7">
                    <w:rPr>
                      <w:rFonts w:ascii="Times New Roman" w:hAnsi="Times New Roman" w:cs="Times New Roman"/>
                      <w:color w:val="000000"/>
                      <w:sz w:val="26"/>
                      <w:szCs w:val="26"/>
                    </w:rPr>
                    <w:t xml:space="preserve"> </w:t>
                  </w:r>
                  <w:r w:rsidR="00476F89">
                    <w:rPr>
                      <w:rFonts w:ascii="Times New Roman" w:hAnsi="Times New Roman" w:cs="Times New Roman"/>
                      <w:color w:val="000000"/>
                      <w:sz w:val="26"/>
                      <w:szCs w:val="26"/>
                    </w:rPr>
                    <w:t>plūsmas</w:t>
                  </w:r>
                  <w:r w:rsidR="00E41AA7">
                    <w:rPr>
                      <w:rFonts w:ascii="Times New Roman" w:hAnsi="Times New Roman" w:cs="Times New Roman"/>
                      <w:color w:val="000000"/>
                      <w:sz w:val="26"/>
                      <w:szCs w:val="26"/>
                    </w:rPr>
                    <w:t xml:space="preserve"> un mantas</w:t>
                  </w:r>
                  <w:r w:rsidR="00476F89">
                    <w:rPr>
                      <w:rFonts w:ascii="Times New Roman" w:hAnsi="Times New Roman" w:cs="Times New Roman"/>
                      <w:color w:val="000000"/>
                      <w:sz w:val="26"/>
                      <w:szCs w:val="26"/>
                    </w:rPr>
                    <w:t xml:space="preserve"> caurskatāmību</w:t>
                  </w:r>
                  <w:r w:rsidR="00E41AA7">
                    <w:rPr>
                      <w:rFonts w:ascii="Times New Roman" w:hAnsi="Times New Roman" w:cs="Times New Roman"/>
                      <w:color w:val="000000"/>
                      <w:sz w:val="26"/>
                      <w:szCs w:val="26"/>
                    </w:rPr>
                    <w:t xml:space="preserve"> institūcijā.</w:t>
                  </w:r>
                  <w:r w:rsidR="00BC0598">
                    <w:rPr>
                      <w:rFonts w:ascii="Times New Roman" w:hAnsi="Times New Roman" w:cs="Times New Roman"/>
                      <w:color w:val="000000"/>
                      <w:sz w:val="26"/>
                      <w:szCs w:val="26"/>
                    </w:rPr>
                    <w:t xml:space="preserve"> Informācijas publicēšana ir noteikta ar mērķi atklāt sabiedrībai ziedošanas pieņemšanas faktu, kas palīdzētu arī uzraugošajām un tiesībsargājošajām iestādēm pārliecināties par ziedojuma</w:t>
                  </w:r>
                  <w:r w:rsidR="006D505A">
                    <w:rPr>
                      <w:rFonts w:ascii="Times New Roman" w:hAnsi="Times New Roman" w:cs="Times New Roman"/>
                      <w:color w:val="000000"/>
                      <w:sz w:val="26"/>
                      <w:szCs w:val="26"/>
                    </w:rPr>
                    <w:t xml:space="preserve"> pieņemšanas</w:t>
                  </w:r>
                  <w:r w:rsidR="00BC0598">
                    <w:rPr>
                      <w:rFonts w:ascii="Times New Roman" w:hAnsi="Times New Roman" w:cs="Times New Roman"/>
                      <w:color w:val="000000"/>
                      <w:sz w:val="26"/>
                      <w:szCs w:val="26"/>
                    </w:rPr>
                    <w:t xml:space="preserve"> tiesiskumu. Vienlaikus </w:t>
                  </w:r>
                  <w:r w:rsidR="00780278">
                    <w:rPr>
                      <w:rFonts w:ascii="Times New Roman" w:hAnsi="Times New Roman" w:cs="Times New Roman"/>
                      <w:color w:val="000000"/>
                      <w:sz w:val="26"/>
                      <w:szCs w:val="26"/>
                    </w:rPr>
                    <w:t xml:space="preserve">visa informācija, kas tiks publicēta saistībā ar ziedotāju, tiks </w:t>
                  </w:r>
                  <w:r w:rsidR="00780278">
                    <w:rPr>
                      <w:rFonts w:ascii="Times New Roman" w:hAnsi="Times New Roman" w:cs="Times New Roman"/>
                      <w:color w:val="000000"/>
                      <w:sz w:val="26"/>
                      <w:szCs w:val="26"/>
                    </w:rPr>
                    <w:lastRenderedPageBreak/>
                    <w:t>publicēta, ievērojot per</w:t>
                  </w:r>
                  <w:r w:rsidR="002D1E38">
                    <w:rPr>
                      <w:rFonts w:ascii="Times New Roman" w:hAnsi="Times New Roman" w:cs="Times New Roman"/>
                      <w:color w:val="000000"/>
                      <w:sz w:val="26"/>
                      <w:szCs w:val="26"/>
                    </w:rPr>
                    <w:t>s</w:t>
                  </w:r>
                  <w:r w:rsidR="00780278">
                    <w:rPr>
                      <w:rFonts w:ascii="Times New Roman" w:hAnsi="Times New Roman" w:cs="Times New Roman"/>
                      <w:color w:val="000000"/>
                      <w:sz w:val="26"/>
                      <w:szCs w:val="26"/>
                    </w:rPr>
                    <w:t>onu datu aizsardzības prasības.</w:t>
                  </w:r>
                  <w:r w:rsidR="00815A75">
                    <w:rPr>
                      <w:rFonts w:ascii="Times New Roman" w:hAnsi="Times New Roman" w:cs="Times New Roman"/>
                      <w:color w:val="000000"/>
                      <w:sz w:val="26"/>
                      <w:szCs w:val="26"/>
                    </w:rPr>
                    <w:t xml:space="preserve"> Kārtība</w:t>
                  </w:r>
                  <w:r w:rsidR="00815A75" w:rsidRPr="00815A75">
                    <w:rPr>
                      <w:rFonts w:ascii="Times New Roman" w:hAnsi="Times New Roman" w:cs="Times New Roman"/>
                      <w:color w:val="000000"/>
                      <w:sz w:val="26"/>
                      <w:szCs w:val="26"/>
                    </w:rPr>
                    <w:t>, kādā publiskas personas institūcija pieņem, uzskaita un izmanto atvēlēto ziedojumu, kā arī</w:t>
                  </w:r>
                  <w:r w:rsidR="00815A75">
                    <w:rPr>
                      <w:rFonts w:ascii="Times New Roman" w:hAnsi="Times New Roman" w:cs="Times New Roman"/>
                      <w:color w:val="000000"/>
                      <w:sz w:val="26"/>
                      <w:szCs w:val="26"/>
                    </w:rPr>
                    <w:t xml:space="preserve"> kārtība</w:t>
                  </w:r>
                  <w:r w:rsidR="00815A75" w:rsidRPr="00815A75">
                    <w:rPr>
                      <w:rFonts w:ascii="Times New Roman" w:hAnsi="Times New Roman" w:cs="Times New Roman"/>
                      <w:color w:val="000000"/>
                      <w:sz w:val="26"/>
                      <w:szCs w:val="26"/>
                    </w:rPr>
                    <w:t>, kādā</w:t>
                  </w:r>
                  <w:r w:rsidR="00815A75">
                    <w:rPr>
                      <w:rFonts w:ascii="Times New Roman" w:hAnsi="Times New Roman" w:cs="Times New Roman"/>
                      <w:color w:val="000000"/>
                      <w:sz w:val="26"/>
                      <w:szCs w:val="26"/>
                    </w:rPr>
                    <w:t xml:space="preserve"> </w:t>
                  </w:r>
                  <w:r w:rsidR="00815A75" w:rsidRPr="00815A75">
                    <w:rPr>
                      <w:rFonts w:ascii="Times New Roman" w:hAnsi="Times New Roman" w:cs="Times New Roman"/>
                      <w:color w:val="000000"/>
                      <w:sz w:val="26"/>
                      <w:szCs w:val="26"/>
                    </w:rPr>
                    <w:t>publiskas personas institūcija</w:t>
                  </w:r>
                  <w:r w:rsidR="00815A75">
                    <w:rPr>
                      <w:rFonts w:ascii="Times New Roman" w:hAnsi="Times New Roman" w:cs="Times New Roman"/>
                      <w:color w:val="000000"/>
                      <w:sz w:val="26"/>
                      <w:szCs w:val="26"/>
                    </w:rPr>
                    <w:t xml:space="preserve"> </w:t>
                  </w:r>
                  <w:r w:rsidR="00815A75" w:rsidRPr="00815A75">
                    <w:rPr>
                      <w:rFonts w:ascii="Times New Roman" w:hAnsi="Times New Roman" w:cs="Times New Roman"/>
                      <w:color w:val="000000"/>
                      <w:sz w:val="26"/>
                      <w:szCs w:val="26"/>
                    </w:rPr>
                    <w:t>publicē informāciju par saņemto</w:t>
                  </w:r>
                  <w:r w:rsidR="00815A75">
                    <w:rPr>
                      <w:rFonts w:ascii="Times New Roman" w:hAnsi="Times New Roman" w:cs="Times New Roman"/>
                      <w:color w:val="000000"/>
                      <w:sz w:val="26"/>
                      <w:szCs w:val="26"/>
                    </w:rPr>
                    <w:t xml:space="preserve"> </w:t>
                  </w:r>
                  <w:r w:rsidR="00815A75" w:rsidRPr="00815A75">
                    <w:rPr>
                      <w:rFonts w:ascii="Times New Roman" w:hAnsi="Times New Roman" w:cs="Times New Roman"/>
                      <w:color w:val="000000"/>
                      <w:sz w:val="26"/>
                      <w:szCs w:val="26"/>
                    </w:rPr>
                    <w:t>ziedojumu,</w:t>
                  </w:r>
                  <w:r w:rsidR="00815A75">
                    <w:rPr>
                      <w:rFonts w:ascii="Times New Roman" w:hAnsi="Times New Roman" w:cs="Times New Roman"/>
                      <w:color w:val="000000"/>
                      <w:sz w:val="26"/>
                      <w:szCs w:val="26"/>
                    </w:rPr>
                    <w:t xml:space="preserve"> </w:t>
                  </w:r>
                  <w:r w:rsidR="00815A75" w:rsidRPr="00815A75">
                    <w:rPr>
                      <w:rFonts w:ascii="Times New Roman" w:hAnsi="Times New Roman" w:cs="Times New Roman"/>
                      <w:color w:val="000000"/>
                      <w:sz w:val="26"/>
                      <w:szCs w:val="26"/>
                    </w:rPr>
                    <w:t>ziedotāju un ziedojuma izmantošanu</w:t>
                  </w:r>
                  <w:r w:rsidR="00815A75">
                    <w:rPr>
                      <w:rFonts w:ascii="Times New Roman" w:hAnsi="Times New Roman" w:cs="Times New Roman"/>
                      <w:color w:val="000000"/>
                      <w:sz w:val="26"/>
                      <w:szCs w:val="26"/>
                    </w:rPr>
                    <w:t xml:space="preserve"> tiks attiecināta gan uz </w:t>
                  </w:r>
                  <w:r w:rsidR="00E0577F">
                    <w:rPr>
                      <w:rFonts w:ascii="Times New Roman" w:hAnsi="Times New Roman" w:cs="Times New Roman"/>
                      <w:color w:val="000000"/>
                      <w:sz w:val="26"/>
                      <w:szCs w:val="26"/>
                    </w:rPr>
                    <w:t>iecerētā 14.panta vispārējo regulējumu, gan paredzēt</w:t>
                  </w:r>
                  <w:r w:rsidR="004823BB">
                    <w:rPr>
                      <w:rFonts w:ascii="Times New Roman" w:hAnsi="Times New Roman" w:cs="Times New Roman"/>
                      <w:color w:val="000000"/>
                      <w:sz w:val="26"/>
                      <w:szCs w:val="26"/>
                    </w:rPr>
                    <w:t>ajiem</w:t>
                  </w:r>
                  <w:r w:rsidR="00E0577F">
                    <w:rPr>
                      <w:rFonts w:ascii="Times New Roman" w:hAnsi="Times New Roman" w:cs="Times New Roman"/>
                      <w:color w:val="000000"/>
                      <w:sz w:val="26"/>
                      <w:szCs w:val="26"/>
                    </w:rPr>
                    <w:t xml:space="preserve"> izņēmum</w:t>
                  </w:r>
                  <w:r w:rsidR="004823BB">
                    <w:rPr>
                      <w:rFonts w:ascii="Times New Roman" w:hAnsi="Times New Roman" w:cs="Times New Roman"/>
                      <w:color w:val="000000"/>
                      <w:sz w:val="26"/>
                      <w:szCs w:val="26"/>
                    </w:rPr>
                    <w:t>iem</w:t>
                  </w:r>
                  <w:r w:rsidR="00E0577F">
                    <w:rPr>
                      <w:rFonts w:ascii="Times New Roman" w:hAnsi="Times New Roman" w:cs="Times New Roman"/>
                      <w:color w:val="000000"/>
                      <w:sz w:val="26"/>
                      <w:szCs w:val="26"/>
                    </w:rPr>
                    <w:t xml:space="preserve"> (iecerētā 14.panta sestā </w:t>
                  </w:r>
                  <w:r w:rsidR="004823BB">
                    <w:rPr>
                      <w:rFonts w:ascii="Times New Roman" w:hAnsi="Times New Roman" w:cs="Times New Roman"/>
                      <w:color w:val="000000"/>
                      <w:sz w:val="26"/>
                      <w:szCs w:val="26"/>
                    </w:rPr>
                    <w:t xml:space="preserve">un septītā </w:t>
                  </w:r>
                  <w:r w:rsidR="00E0577F">
                    <w:rPr>
                      <w:rFonts w:ascii="Times New Roman" w:hAnsi="Times New Roman" w:cs="Times New Roman"/>
                      <w:color w:val="000000"/>
                      <w:sz w:val="26"/>
                      <w:szCs w:val="26"/>
                    </w:rPr>
                    <w:t>daļa).</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p>
                <w:p w:rsidR="00661FD5" w:rsidRDefault="00070B85" w:rsidP="00070B85">
                  <w:pPr>
                    <w:spacing w:after="0" w:line="240" w:lineRule="auto"/>
                    <w:jc w:val="center"/>
                    <w:rPr>
                      <w:rFonts w:ascii="Times New Roman" w:eastAsia="Times New Roman" w:hAnsi="Times New Roman" w:cs="Times New Roman"/>
                      <w:b/>
                      <w:sz w:val="26"/>
                      <w:szCs w:val="26"/>
                      <w:lang w:eastAsia="lv-LV"/>
                    </w:rPr>
                  </w:pPr>
                  <w:r w:rsidRPr="00070B85">
                    <w:rPr>
                      <w:rFonts w:ascii="Times New Roman" w:eastAsia="Times New Roman" w:hAnsi="Times New Roman" w:cs="Times New Roman"/>
                      <w:b/>
                      <w:sz w:val="26"/>
                      <w:szCs w:val="26"/>
                      <w:lang w:eastAsia="lv-LV"/>
                    </w:rPr>
                    <w:t>2. Terminēta ienākumu gūšanas ierobežojuma noteikšana valsts amatpersonām, kuras pārstāvējušas publiskas personas institūcijas intereses dažādās jurisdikcijas tiesās</w:t>
                  </w:r>
                </w:p>
                <w:p w:rsidR="00070B85" w:rsidRPr="00070B85" w:rsidRDefault="00070B85" w:rsidP="00070B85">
                  <w:pPr>
                    <w:spacing w:after="0" w:line="240" w:lineRule="auto"/>
                    <w:jc w:val="center"/>
                    <w:rPr>
                      <w:rFonts w:ascii="Times New Roman" w:eastAsia="Times New Roman" w:hAnsi="Times New Roman" w:cs="Times New Roman"/>
                      <w:b/>
                      <w:color w:val="FF0000"/>
                      <w:sz w:val="26"/>
                      <w:szCs w:val="26"/>
                      <w:lang w:eastAsia="lv-LV"/>
                    </w:rPr>
                  </w:pPr>
                  <w:r w:rsidRPr="00070B85">
                    <w:rPr>
                      <w:rFonts w:ascii="Times New Roman" w:eastAsia="Times New Roman" w:hAnsi="Times New Roman" w:cs="Times New Roman"/>
                      <w:b/>
                      <w:sz w:val="26"/>
                      <w:szCs w:val="26"/>
                      <w:lang w:eastAsia="lv-LV"/>
                    </w:rPr>
                    <w:t xml:space="preserve"> </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eastAsia="Times New Roman" w:hAnsi="Times New Roman" w:cs="Times New Roman"/>
                      <w:sz w:val="26"/>
                      <w:szCs w:val="26"/>
                      <w:lang w:eastAsia="lv-LV"/>
                    </w:rPr>
                    <w:t xml:space="preserve">Pašlaik </w:t>
                  </w:r>
                  <w:r w:rsidRPr="00070B85">
                    <w:rPr>
                      <w:rFonts w:ascii="Times New Roman" w:hAnsi="Times New Roman" w:cs="Times New Roman"/>
                      <w:sz w:val="26"/>
                      <w:szCs w:val="26"/>
                    </w:rPr>
                    <w:t>normatīvie akti neparedz aizliegumu valsts amatpersonām pēc tam, kad tās pārstāvējušas publiskas personas institūcijas intereses tiesā gūt ienākumus no personām, attiecībā pret kurām tās ir pārstāvējušas (tai skaitā gatavojušas dokumentus pārstāvībai) publiskas personas intereses tiesā, vai ieņemt tajās amatus. Ir konstatēti gadījumi, kad valsts amatpersona, kas pārstāv valsts intereses tiesvedībā pret privātpersonu, pēc amata pienākumu pildīšanas beigšanas tajā pašā tiesas procesā pārstāv otru pusi pret valsti. Galvenie riski, kas izriet no šādas situācijas ir: 1) informācijas, kas iegūta, pildot valsts amatpersonas pienākumus, izmantošana pretējās puses interesēs, tajā skaitā iestādes iekšējās informācijas un valsts izstrādātās pārstāvības stratēģijas un izvēlētās taktikas pārzināšana; 2) ja persona ir nodrošinājusi valsts interešu pārstāvību tiesā pret privātpersonu un tajā pašā strīdā nākamajā fāzē pārstāv privātpersonu pret valsti, pastāv risks, ka valsts amatpersona vēl, pildot savus pienākumus, rīkojas neatbilstoši valsts interesēm, nodrošinot nākamajam darba devējam vai darījumu partnerim labvēlīgu risinājumu; 3) sabiedrības uzticības mazināšana publiskai pārvaldei kopumā.</w:t>
                  </w:r>
                  <w:r w:rsidR="003F2981">
                    <w:rPr>
                      <w:rFonts w:ascii="Times New Roman" w:hAnsi="Times New Roman" w:cs="Times New Roman"/>
                      <w:sz w:val="26"/>
                      <w:szCs w:val="26"/>
                    </w:rPr>
                    <w:t xml:space="preserve"> </w:t>
                  </w:r>
                  <w:r w:rsidRPr="00070B85">
                    <w:rPr>
                      <w:rFonts w:ascii="Times New Roman" w:hAnsi="Times New Roman" w:cs="Times New Roman"/>
                      <w:sz w:val="26"/>
                      <w:szCs w:val="26"/>
                    </w:rPr>
                    <w:t>Saskaņā ar OECD labās prakses ieteikumiem interešu konflikta novēršanā</w:t>
                  </w:r>
                  <w:r w:rsidRPr="00070B85">
                    <w:rPr>
                      <w:rFonts w:ascii="Times New Roman" w:hAnsi="Times New Roman" w:cs="Times New Roman"/>
                      <w:sz w:val="26"/>
                      <w:szCs w:val="26"/>
                      <w:vertAlign w:val="superscript"/>
                    </w:rPr>
                    <w:footnoteReference w:id="7"/>
                  </w:r>
                  <w:r w:rsidRPr="00070B85">
                    <w:rPr>
                      <w:rFonts w:ascii="Times New Roman" w:hAnsi="Times New Roman" w:cs="Times New Roman"/>
                      <w:sz w:val="26"/>
                      <w:szCs w:val="26"/>
                    </w:rPr>
                    <w:t xml:space="preserve"> šajā kontekstā riski aptver ne tikai tādu informāciju, kas saskaņā ar normatīvajiem aktiem ir atzīta par ierobežotas pieejamības informāciju, bet arī informāciju, kas ir apritē iestādes iekšienē kā neformāli viedokļi, diskusijas un ekspertu vērtējumi, kas nav darīti zināmi plašākai publikai, kā arī nav materializēti </w:t>
                  </w:r>
                  <w:r w:rsidRPr="00070B85">
                    <w:rPr>
                      <w:rFonts w:ascii="Times New Roman" w:hAnsi="Times New Roman" w:cs="Times New Roman"/>
                      <w:sz w:val="26"/>
                      <w:szCs w:val="26"/>
                    </w:rPr>
                    <w:lastRenderedPageBreak/>
                    <w:t xml:space="preserve">dokumentu formā. </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Saskaņā ar OECD apkopotajiem datiem</w:t>
                  </w:r>
                  <w:r w:rsidRPr="00070B85">
                    <w:rPr>
                      <w:rFonts w:ascii="Times New Roman" w:hAnsi="Times New Roman" w:cs="Times New Roman"/>
                      <w:sz w:val="26"/>
                      <w:szCs w:val="26"/>
                      <w:vertAlign w:val="superscript"/>
                    </w:rPr>
                    <w:footnoteReference w:id="8"/>
                  </w:r>
                  <w:r w:rsidRPr="00070B85">
                    <w:rPr>
                      <w:rFonts w:ascii="Times New Roman" w:hAnsi="Times New Roman" w:cs="Times New Roman"/>
                      <w:sz w:val="26"/>
                      <w:szCs w:val="26"/>
                    </w:rPr>
                    <w:t xml:space="preserve"> (</w:t>
                  </w:r>
                  <w:r w:rsidRPr="002378C9">
                    <w:rPr>
                      <w:rFonts w:ascii="Times New Roman" w:hAnsi="Times New Roman" w:cs="Times New Roman"/>
                      <w:i/>
                      <w:sz w:val="26"/>
                      <w:szCs w:val="26"/>
                    </w:rPr>
                    <w:t xml:space="preserve">OECD </w:t>
                  </w:r>
                  <w:proofErr w:type="spellStart"/>
                  <w:r w:rsidRPr="002378C9">
                    <w:rPr>
                      <w:rFonts w:ascii="Times New Roman" w:hAnsi="Times New Roman" w:cs="Times New Roman"/>
                      <w:i/>
                      <w:sz w:val="26"/>
                      <w:szCs w:val="26"/>
                    </w:rPr>
                    <w:t>Managing</w:t>
                  </w:r>
                  <w:proofErr w:type="spellEnd"/>
                  <w:r w:rsidR="0059522B"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conflict</w:t>
                  </w:r>
                  <w:proofErr w:type="spellEnd"/>
                  <w:r w:rsidR="0059522B"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of</w:t>
                  </w:r>
                  <w:proofErr w:type="spellEnd"/>
                  <w:r w:rsidR="0059522B"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int</w:t>
                  </w:r>
                  <w:r w:rsidR="0059522B" w:rsidRPr="002378C9">
                    <w:rPr>
                      <w:rFonts w:ascii="Times New Roman" w:hAnsi="Times New Roman" w:cs="Times New Roman"/>
                      <w:i/>
                      <w:sz w:val="26"/>
                      <w:szCs w:val="26"/>
                    </w:rPr>
                    <w:t>e</w:t>
                  </w:r>
                  <w:r w:rsidRPr="002378C9">
                    <w:rPr>
                      <w:rFonts w:ascii="Times New Roman" w:hAnsi="Times New Roman" w:cs="Times New Roman"/>
                      <w:i/>
                      <w:sz w:val="26"/>
                      <w:szCs w:val="26"/>
                    </w:rPr>
                    <w:t>rest</w:t>
                  </w:r>
                  <w:proofErr w:type="spellEnd"/>
                  <w:r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Pre</w:t>
                  </w:r>
                  <w:proofErr w:type="spellEnd"/>
                  <w:r w:rsidRPr="002378C9">
                    <w:rPr>
                      <w:rFonts w:ascii="Times New Roman" w:hAnsi="Times New Roman" w:cs="Times New Roman"/>
                      <w:i/>
                      <w:sz w:val="26"/>
                      <w:szCs w:val="26"/>
                    </w:rPr>
                    <w:t xml:space="preserve"> – </w:t>
                  </w:r>
                  <w:proofErr w:type="spellStart"/>
                  <w:r w:rsidRPr="002378C9">
                    <w:rPr>
                      <w:rFonts w:ascii="Times New Roman" w:hAnsi="Times New Roman" w:cs="Times New Roman"/>
                      <w:i/>
                      <w:sz w:val="26"/>
                      <w:szCs w:val="26"/>
                    </w:rPr>
                    <w:t>and</w:t>
                  </w:r>
                  <w:proofErr w:type="spellEnd"/>
                  <w:r w:rsidRPr="002378C9">
                    <w:rPr>
                      <w:rFonts w:ascii="Times New Roman" w:hAnsi="Times New Roman" w:cs="Times New Roman"/>
                      <w:i/>
                      <w:sz w:val="26"/>
                      <w:szCs w:val="26"/>
                    </w:rPr>
                    <w:t xml:space="preserve"> post – </w:t>
                  </w:r>
                  <w:proofErr w:type="spellStart"/>
                  <w:r w:rsidRPr="002378C9">
                    <w:rPr>
                      <w:rFonts w:ascii="Times New Roman" w:hAnsi="Times New Roman" w:cs="Times New Roman"/>
                      <w:i/>
                      <w:sz w:val="26"/>
                      <w:szCs w:val="26"/>
                    </w:rPr>
                    <w:t>public</w:t>
                  </w:r>
                  <w:proofErr w:type="spellEnd"/>
                  <w:r w:rsidR="0059522B"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employment</w:t>
                  </w:r>
                  <w:proofErr w:type="spellEnd"/>
                  <w:r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in</w:t>
                  </w:r>
                  <w:proofErr w:type="spellEnd"/>
                  <w:r w:rsidR="0059522B"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Government</w:t>
                  </w:r>
                  <w:proofErr w:type="spellEnd"/>
                  <w:r w:rsidR="0059522B"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at</w:t>
                  </w:r>
                  <w:proofErr w:type="spellEnd"/>
                  <w:r w:rsidRPr="002378C9">
                    <w:rPr>
                      <w:rFonts w:ascii="Times New Roman" w:hAnsi="Times New Roman" w:cs="Times New Roman"/>
                      <w:i/>
                      <w:sz w:val="26"/>
                      <w:szCs w:val="26"/>
                    </w:rPr>
                    <w:t xml:space="preserve"> a </w:t>
                  </w:r>
                  <w:proofErr w:type="spellStart"/>
                  <w:r w:rsidRPr="002378C9">
                    <w:rPr>
                      <w:rFonts w:ascii="Times New Roman" w:hAnsi="Times New Roman" w:cs="Times New Roman"/>
                      <w:i/>
                      <w:sz w:val="26"/>
                      <w:szCs w:val="26"/>
                    </w:rPr>
                    <w:t>Glance</w:t>
                  </w:r>
                  <w:proofErr w:type="spellEnd"/>
                  <w:r w:rsidRPr="002378C9">
                    <w:rPr>
                      <w:rFonts w:ascii="Times New Roman" w:hAnsi="Times New Roman" w:cs="Times New Roman"/>
                      <w:i/>
                      <w:sz w:val="26"/>
                      <w:szCs w:val="26"/>
                    </w:rPr>
                    <w:t xml:space="preserve"> 2015</w:t>
                  </w:r>
                  <w:r w:rsidRPr="00070B85">
                    <w:rPr>
                      <w:rFonts w:ascii="Times New Roman" w:hAnsi="Times New Roman" w:cs="Times New Roman"/>
                      <w:sz w:val="26"/>
                      <w:szCs w:val="26"/>
                    </w:rPr>
                    <w:t>) 21 OECD dalībvalstī, kuras piedalījās aptaujā, t.i., 66% pastāv tā sauktais “</w:t>
                  </w:r>
                  <w:proofErr w:type="spellStart"/>
                  <w:r w:rsidRPr="00070B85">
                    <w:rPr>
                      <w:rFonts w:ascii="Times New Roman" w:hAnsi="Times New Roman" w:cs="Times New Roman"/>
                      <w:i/>
                      <w:sz w:val="26"/>
                      <w:szCs w:val="26"/>
                    </w:rPr>
                    <w:t>cooling-off</w:t>
                  </w:r>
                  <w:r w:rsidRPr="00070B85">
                    <w:rPr>
                      <w:rFonts w:ascii="Times New Roman" w:hAnsi="Times New Roman" w:cs="Times New Roman"/>
                      <w:sz w:val="26"/>
                      <w:szCs w:val="26"/>
                    </w:rPr>
                    <w:t>”</w:t>
                  </w:r>
                  <w:proofErr w:type="spellEnd"/>
                  <w:r w:rsidRPr="00070B85">
                    <w:rPr>
                      <w:rFonts w:ascii="Times New Roman" w:hAnsi="Times New Roman" w:cs="Times New Roman"/>
                      <w:sz w:val="26"/>
                      <w:szCs w:val="26"/>
                    </w:rPr>
                    <w:t xml:space="preserve"> periods, kas paredz ierobežojumus bijušajām valsts amatpersonām piedalīties procesos, kas saistīti ar tās iepriekšējo amatu, kolēģiem vai padotajiem. Ierobežojuma ilgums OECD dalībvalstīs valsts amatpersonām variē no mazāk kā viena gada Austrijā līdz pat pieciem gadiem Vācijā</w:t>
                  </w:r>
                  <w:r w:rsidRPr="00070B85">
                    <w:rPr>
                      <w:rFonts w:ascii="Times New Roman" w:hAnsi="Times New Roman" w:cs="Times New Roman"/>
                      <w:sz w:val="26"/>
                      <w:szCs w:val="26"/>
                      <w:vertAlign w:val="superscript"/>
                    </w:rPr>
                    <w:footnoteReference w:id="9"/>
                  </w:r>
                  <w:r w:rsidRPr="00070B85">
                    <w:rPr>
                      <w:rFonts w:ascii="Times New Roman" w:hAnsi="Times New Roman" w:cs="Times New Roman"/>
                      <w:sz w:val="26"/>
                      <w:szCs w:val="26"/>
                    </w:rPr>
                    <w:t>. Tāpat tikai dažās valstīs un atsevišķām bijušajām valsts amatpersonu kategorijām “</w:t>
                  </w:r>
                  <w:proofErr w:type="spellStart"/>
                  <w:r w:rsidRPr="00070B85">
                    <w:rPr>
                      <w:rFonts w:ascii="Times New Roman" w:hAnsi="Times New Roman" w:cs="Times New Roman"/>
                      <w:i/>
                      <w:sz w:val="26"/>
                      <w:szCs w:val="26"/>
                    </w:rPr>
                    <w:t>cooling-off</w:t>
                  </w:r>
                  <w:r w:rsidRPr="00070B85">
                    <w:rPr>
                      <w:rFonts w:ascii="Times New Roman" w:hAnsi="Times New Roman" w:cs="Times New Roman"/>
                      <w:sz w:val="26"/>
                      <w:szCs w:val="26"/>
                    </w:rPr>
                    <w:t>”</w:t>
                  </w:r>
                  <w:proofErr w:type="spellEnd"/>
                  <w:r w:rsidRPr="00070B85">
                    <w:rPr>
                      <w:rFonts w:ascii="Times New Roman" w:hAnsi="Times New Roman" w:cs="Times New Roman"/>
                      <w:sz w:val="26"/>
                      <w:szCs w:val="26"/>
                    </w:rPr>
                    <w:t xml:space="preserve"> periodā tiek izmaksātas kompensācijas; lielākajā daļā valstu tās nav noteiktas vispār, vai arī tiek paredzētas tikai augstākā ranga amatpersonām. Savukārt likumprojektā ierobežojuma termiņš trīs gadi noteikts, par pamatu ņemot vidējos svērtos tiesvedības termiņus</w:t>
                  </w:r>
                  <w:r w:rsidRPr="00070B85">
                    <w:rPr>
                      <w:rFonts w:ascii="Times New Roman" w:hAnsi="Times New Roman" w:cs="Times New Roman"/>
                      <w:sz w:val="26"/>
                      <w:szCs w:val="26"/>
                      <w:vertAlign w:val="superscript"/>
                    </w:rPr>
                    <w:footnoteReference w:id="10"/>
                  </w:r>
                  <w:r w:rsidRPr="00070B85">
                    <w:rPr>
                      <w:rFonts w:ascii="Times New Roman" w:hAnsi="Times New Roman" w:cs="Times New Roman"/>
                      <w:sz w:val="26"/>
                      <w:szCs w:val="26"/>
                    </w:rPr>
                    <w:t xml:space="preserve"> Latvijas tiesās. Proti, trīs gadu termiņa noteikšanas mērķis ir samazināt varbūtību, ka valsts amatpersona, kas piedalījusies prasības pieteikuma sagatavošanā pirmās instancei tiesai, varētu pārstāvēt otru pusi, t.i., privātpersonu tajā pašā tiesas procesā, piem., kasācijas instances tiesā. Papildus jānorāda, ka Likums atsevišķos gadījumos jau patlaban paredz zināmu ierobežojumu ievērošanas pienākumu trīs (nevis divu) gadu laikā, piem., tie ir </w:t>
                  </w:r>
                  <w:r w:rsidRPr="00070B85">
                    <w:rPr>
                      <w:rFonts w:ascii="Times New Roman" w:hAnsi="Times New Roman" w:cs="Times New Roman"/>
                      <w:color w:val="000000" w:themeColor="text1"/>
                      <w:sz w:val="26"/>
                      <w:szCs w:val="26"/>
                    </w:rPr>
                    <w:t xml:space="preserve">ienākumu gūšanas </w:t>
                  </w:r>
                  <w:r w:rsidRPr="00070B85">
                    <w:rPr>
                      <w:rFonts w:ascii="Times New Roman" w:hAnsi="Times New Roman" w:cs="Times New Roman"/>
                      <w:sz w:val="26"/>
                      <w:szCs w:val="26"/>
                    </w:rPr>
                    <w:t>ierobežojumi valsts amatpersonai, ja tā ir bijusi publiskas personas kapitāla daļu turētāja pārstāvis (sk. Likuma 9.panta ceturto daļu).</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 xml:space="preserve">Piedāvātā norma ir veidota, lai izslēgtu varbūtību, ka bijusī valsts amatpersona tieši vai pastarpināti varētu piedalīties tiesvedībās vai sagatavot dokumentus pārstāvības nodrošināšanai pret valsti, t.i., veikt pilnvarojuma izpildi, un tostarp saņemt kādu mantisku vērtību (atlīdzību) vai daļu šīs </w:t>
                  </w:r>
                  <w:r w:rsidRPr="00070B85">
                    <w:rPr>
                      <w:rFonts w:ascii="Times New Roman" w:hAnsi="Times New Roman" w:cs="Times New Roman"/>
                      <w:sz w:val="26"/>
                      <w:szCs w:val="26"/>
                    </w:rPr>
                    <w:lastRenderedPageBreak/>
                    <w:t>vērtības, ja bijusī valsts amatpersona ir nodarbināta, tostarp zvērinātu advokātu birojā, kuram attiecīgi maksā klients (pārstāvamā persona).</w:t>
                  </w:r>
                </w:p>
                <w:p w:rsidR="00070B85" w:rsidRPr="00070B85" w:rsidRDefault="00070B85" w:rsidP="00070B85">
                  <w:pPr>
                    <w:spacing w:after="0" w:line="240" w:lineRule="auto"/>
                    <w:rPr>
                      <w:rFonts w:ascii="Times New Roman" w:hAnsi="Times New Roman" w:cs="Times New Roman"/>
                      <w:sz w:val="26"/>
                      <w:szCs w:val="26"/>
                    </w:rPr>
                  </w:pP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Vērtējot iecerēto Likuma 9.panta sestās daļas</w:t>
                  </w:r>
                  <w:r w:rsidR="005C0F79">
                    <w:rPr>
                      <w:rFonts w:ascii="Times New Roman" w:hAnsi="Times New Roman" w:cs="Times New Roman"/>
                      <w:sz w:val="26"/>
                      <w:szCs w:val="26"/>
                    </w:rPr>
                    <w:t xml:space="preserve"> un 10.panta astotās daļas</w:t>
                  </w:r>
                  <w:r w:rsidRPr="00070B85">
                    <w:rPr>
                      <w:rFonts w:ascii="Times New Roman" w:hAnsi="Times New Roman" w:cs="Times New Roman"/>
                      <w:sz w:val="26"/>
                      <w:szCs w:val="26"/>
                    </w:rPr>
                    <w:t xml:space="preserve"> redakcijas atbilstību Satversmes 106.pantam – personas tiesībām brīvi izvēlēties nodarbošanos atbilstoši savām spējām un kvalifikācijai –, norma neparedz absolūtu aizliegumu personai darboties kādā profesijā vai arodā, bet paredz ierobežojumu sadarboties ar konkrēti (šauri) definētu personu loku, proti, tikai privātpersonām, pret kurām tā pārstāvējusi valsts intereses tiesās. Ierobežojums ir terminēts uz trīs gadiem, </w:t>
                  </w:r>
                  <w:r w:rsidRPr="002C6E63">
                    <w:rPr>
                      <w:rFonts w:ascii="Times New Roman" w:hAnsi="Times New Roman" w:cs="Times New Roman"/>
                      <w:sz w:val="26"/>
                      <w:szCs w:val="26"/>
                    </w:rPr>
                    <w:t xml:space="preserve">kas tiek aprēķināts no pēdējās veiktās darbības (piem., pēdējā sagatavotā dokumenta vai nodrošinātās pārstāvības) </w:t>
                  </w:r>
                  <w:r w:rsidRPr="008F100D">
                    <w:rPr>
                      <w:rFonts w:ascii="Times New Roman" w:hAnsi="Times New Roman" w:cs="Times New Roman"/>
                      <w:sz w:val="26"/>
                      <w:szCs w:val="26"/>
                    </w:rPr>
                    <w:t xml:space="preserve">un attiecas tikai uz tādiem tiesvedību procesiem, kuros valsts amatpersona pēdējo trīs gadu laikā pirms amata pienākumu pildīšanas izbeigšanas ir pārstāvējusi valsts intereses. </w:t>
                  </w:r>
                  <w:r w:rsidRPr="00070B85">
                    <w:rPr>
                      <w:rFonts w:ascii="Times New Roman" w:hAnsi="Times New Roman" w:cs="Times New Roman"/>
                      <w:sz w:val="26"/>
                      <w:szCs w:val="26"/>
                    </w:rPr>
                    <w:t>Attiecīgi bijusī valsts amatpersona uzreiz pēc amata pienākumu pildīšanas izbeigšanas var stāties jebkādās citās tiesiskajās attiecībās ar jebkuru citu subjektu. Tiesvedībās, kurās ir iesaistīta valsts, prasības apjomi var sasniegt vairākus desmitus miljonus (pārsvarā civillietās un starptautiskajās šķīrējtiesās), kā arī skart nozīmīgas sabiedrības intereses administratīvajās tiesvedībās; un attiecīgi gadījumā, ja iestājas iepriekš minētie riski, tie var nodarīt būtisku kaitējumu sabiedrības interesēm. Ierobežojumi pastāv arī reglamentētajās profesijās, piem., Advokatūras likuma 65.pants paredz, ka zvērināts advokāts nedrīkst būt vienā un tajā pašā laikā abu pušu padomnieks un pilnvarnieks, kā arī tas nedrīkst arī pāriet vienā un tajā pašā lietā no vienas puses pie otras. No valsts un sabiedrības interešu aizsardzības viedokļa, līdzīga pieeja būtu nosakāma arī valsts amatpersonām.</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Līdzīgi arī Konkurences likums paredz “</w:t>
                  </w:r>
                  <w:proofErr w:type="spellStart"/>
                  <w:r w:rsidRPr="00070B85">
                    <w:rPr>
                      <w:rFonts w:ascii="Times New Roman" w:hAnsi="Times New Roman" w:cs="Times New Roman"/>
                      <w:i/>
                      <w:sz w:val="26"/>
                      <w:szCs w:val="26"/>
                    </w:rPr>
                    <w:t>cooling</w:t>
                  </w:r>
                  <w:proofErr w:type="spellEnd"/>
                  <w:r w:rsidR="007E5688">
                    <w:rPr>
                      <w:rFonts w:ascii="Times New Roman" w:hAnsi="Times New Roman" w:cs="Times New Roman"/>
                      <w:i/>
                      <w:sz w:val="26"/>
                      <w:szCs w:val="26"/>
                    </w:rPr>
                    <w:t xml:space="preserve"> </w:t>
                  </w:r>
                  <w:proofErr w:type="spellStart"/>
                  <w:r w:rsidRPr="00070B85">
                    <w:rPr>
                      <w:rFonts w:ascii="Times New Roman" w:hAnsi="Times New Roman" w:cs="Times New Roman"/>
                      <w:i/>
                      <w:sz w:val="26"/>
                      <w:szCs w:val="26"/>
                    </w:rPr>
                    <w:t>off</w:t>
                  </w:r>
                  <w:proofErr w:type="spellEnd"/>
                  <w:r w:rsidRPr="00070B85">
                    <w:rPr>
                      <w:rFonts w:ascii="Times New Roman" w:hAnsi="Times New Roman" w:cs="Times New Roman"/>
                      <w:sz w:val="26"/>
                      <w:szCs w:val="26"/>
                    </w:rPr>
                    <w:t>” periodu Konkurences padomes amatpersonām, t.i., divus gadus pēc tam, kad tās sagatavojušas vai pieņēmušas lēmumus vai veikušas uzraudzības, kontroles izmeklēšanas sodīšanas vai citas Konkurences likumā noteiktās darbības, aizliegts tieši vai pastarpināti būt par tādas privātpersonas pārstāvi, attiecībā uz kurām šīs amatpersonas minētās darbības veikušas (sk. Konkurences likuma 10.panta otro daļu).</w:t>
                  </w:r>
                </w:p>
                <w:p w:rsidR="00070B85" w:rsidRPr="00070B85" w:rsidRDefault="00070B85" w:rsidP="00070B85">
                  <w:pPr>
                    <w:spacing w:after="0" w:line="240" w:lineRule="auto"/>
                    <w:rPr>
                      <w:rFonts w:ascii="Times New Roman" w:hAnsi="Times New Roman" w:cs="Times New Roman"/>
                      <w:sz w:val="26"/>
                      <w:szCs w:val="26"/>
                    </w:rPr>
                  </w:pPr>
                </w:p>
                <w:p w:rsid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 xml:space="preserve">Tāpat, lai nodrošinātu tiesisko līdzsvaru starp valsts interešu un privātpersonu interešu aizsardzības līmeni gadījumos, kad attiecīgais pārstāvis tiesvedībā ir mainījis pārstāvamo pusi, Likums tiek papildināts ar jaunu 15.panta pirmās daļas </w:t>
                  </w:r>
                  <w:r w:rsidRPr="00070B85">
                    <w:rPr>
                      <w:rFonts w:ascii="Times New Roman" w:hAnsi="Times New Roman" w:cs="Times New Roman"/>
                      <w:sz w:val="26"/>
                      <w:szCs w:val="26"/>
                    </w:rPr>
                    <w:lastRenderedPageBreak/>
                    <w:t xml:space="preserve">5.punktu, kas paredz līdzvērtīgu ierobežojumu valsts amatpersonai pārstāvēt publiskas personas institūcijas intereses jebkuras jurisdikcijas tiesā pret juridiskām un fiziskām personām un personu apvienībām, </w:t>
                  </w:r>
                  <w:r w:rsidR="00355E1C">
                    <w:rPr>
                      <w:rFonts w:ascii="Times New Roman" w:hAnsi="Times New Roman" w:cs="Times New Roman"/>
                      <w:sz w:val="26"/>
                      <w:szCs w:val="26"/>
                    </w:rPr>
                    <w:t xml:space="preserve">tajā skaitā </w:t>
                  </w:r>
                  <w:r w:rsidRPr="00070B85">
                    <w:rPr>
                      <w:rFonts w:ascii="Times New Roman" w:hAnsi="Times New Roman" w:cs="Times New Roman"/>
                      <w:sz w:val="26"/>
                      <w:szCs w:val="26"/>
                    </w:rPr>
                    <w:t xml:space="preserve"> civiltiesiskām sabiedrībām</w:t>
                  </w:r>
                  <w:r w:rsidR="00355E1C">
                    <w:rPr>
                      <w:rFonts w:ascii="Times New Roman" w:hAnsi="Times New Roman" w:cs="Times New Roman"/>
                      <w:sz w:val="26"/>
                      <w:szCs w:val="26"/>
                    </w:rPr>
                    <w:t xml:space="preserve"> (piem.,</w:t>
                  </w:r>
                  <w:r w:rsidR="00713FF1">
                    <w:rPr>
                      <w:rFonts w:ascii="Times New Roman" w:hAnsi="Times New Roman" w:cs="Times New Roman"/>
                      <w:sz w:val="26"/>
                      <w:szCs w:val="26"/>
                    </w:rPr>
                    <w:t xml:space="preserve"> zvērinātu advokātu biroji</w:t>
                  </w:r>
                  <w:r w:rsidR="00E246A3">
                    <w:rPr>
                      <w:rFonts w:ascii="Times New Roman" w:hAnsi="Times New Roman" w:cs="Times New Roman"/>
                      <w:sz w:val="26"/>
                      <w:szCs w:val="26"/>
                    </w:rPr>
                    <w:t>em</w:t>
                  </w:r>
                  <w:r w:rsidR="00355E1C">
                    <w:rPr>
                      <w:rFonts w:ascii="Times New Roman" w:hAnsi="Times New Roman" w:cs="Times New Roman"/>
                      <w:sz w:val="26"/>
                      <w:szCs w:val="26"/>
                    </w:rPr>
                    <w:t>)</w:t>
                  </w:r>
                  <w:r w:rsidRPr="00070B85">
                    <w:rPr>
                      <w:rFonts w:ascii="Times New Roman" w:hAnsi="Times New Roman" w:cs="Times New Roman"/>
                      <w:sz w:val="26"/>
                      <w:szCs w:val="26"/>
                    </w:rPr>
                    <w:t xml:space="preserve">, ja pēdējo trīs gadu laikā tā ir saņēmusi jebkādu mantisku vai citāda veida labumu (tai skaitā atlīdzību) no tām, bijusi tās dalībnieks, akcionārs, biedrs, vai ieņēmusi tajā amatus. Attiecīgi, lai publiskas personas institūcijas vadītājs savā iestādē varētu pilnvērtīgi un savlaicīgi novērst personas nonākšanu interešu konflikta situācijā un iespējamā kaitējuma nodarīšanu iepriekšējam darba devējam (privātpersonai), valsts amatpersonai ir nosakāms papildu pienākums iesniegt informāciju par privātpersonu, no kuras valsts amatpersona ir saņēmusi jebkādu mantisku vai citāda veida labumu pēdējo trīs gadu laikā, ja </w:t>
                  </w:r>
                  <w:r w:rsidRPr="00070B85">
                    <w:rPr>
                      <w:rFonts w:ascii="Times New Roman" w:eastAsia="Calibri" w:hAnsi="Times New Roman" w:cs="Times New Roman"/>
                      <w:sz w:val="26"/>
                      <w:szCs w:val="26"/>
                    </w:rPr>
                    <w:t xml:space="preserve">tai ir uzdots pārstāvēt </w:t>
                  </w:r>
                  <w:r w:rsidRPr="00070B85">
                    <w:rPr>
                      <w:rFonts w:ascii="Times New Roman" w:hAnsi="Times New Roman" w:cs="Times New Roman"/>
                      <w:sz w:val="26"/>
                      <w:szCs w:val="26"/>
                    </w:rPr>
                    <w:t>publiskas personas institūcijas intereses jebkuras jurisdikcijas tiesā pret konkrēto privātpersonu (sk. sagatavoto Likuma 21.panta otro daļu).</w:t>
                  </w:r>
                </w:p>
                <w:p w:rsidR="00F3449A" w:rsidRDefault="00F3449A" w:rsidP="00070B85">
                  <w:pPr>
                    <w:spacing w:after="0" w:line="240" w:lineRule="auto"/>
                    <w:rPr>
                      <w:rFonts w:ascii="Times New Roman" w:hAnsi="Times New Roman" w:cs="Times New Roman"/>
                      <w:sz w:val="26"/>
                      <w:szCs w:val="26"/>
                    </w:rPr>
                  </w:pPr>
                </w:p>
                <w:p w:rsidR="00F3449A" w:rsidRDefault="00312CCF" w:rsidP="00070B85">
                  <w:pPr>
                    <w:spacing w:after="0" w:line="240" w:lineRule="auto"/>
                    <w:rPr>
                      <w:rFonts w:ascii="Times New Roman" w:hAnsi="Times New Roman" w:cs="Times New Roman"/>
                      <w:sz w:val="26"/>
                      <w:szCs w:val="26"/>
                    </w:rPr>
                  </w:pPr>
                  <w:r w:rsidRPr="00312CCF">
                    <w:rPr>
                      <w:rFonts w:ascii="Times New Roman" w:hAnsi="Times New Roman" w:cs="Times New Roman"/>
                      <w:sz w:val="26"/>
                      <w:szCs w:val="26"/>
                    </w:rPr>
                    <w:t xml:space="preserve">Iecerētajā Likuma 9.panta sestās daļas un 10.panta astotās daļas redakcijā ar tām amatpersonām, kuras </w:t>
                  </w:r>
                  <w:r>
                    <w:rPr>
                      <w:rFonts w:ascii="Times New Roman" w:hAnsi="Times New Roman" w:cs="Times New Roman"/>
                      <w:sz w:val="26"/>
                      <w:szCs w:val="26"/>
                    </w:rPr>
                    <w:t>pārstāvējušas</w:t>
                  </w:r>
                  <w:r w:rsidRPr="00312CCF">
                    <w:rPr>
                      <w:rFonts w:ascii="Times New Roman" w:hAnsi="Times New Roman" w:cs="Times New Roman"/>
                      <w:sz w:val="26"/>
                      <w:szCs w:val="26"/>
                    </w:rPr>
                    <w:t xml:space="preserve"> publiskas personas institūcijas intereses jebkuras juri</w:t>
                  </w:r>
                  <w:r>
                    <w:rPr>
                      <w:rFonts w:ascii="Times New Roman" w:hAnsi="Times New Roman" w:cs="Times New Roman"/>
                      <w:sz w:val="26"/>
                      <w:szCs w:val="26"/>
                    </w:rPr>
                    <w:t>sdikcijas tiesā, ir saprotamas valsts amatpersonas, kuras ir bijušas pilnvarotas (piem., ar iestādes vadītāja</w:t>
                  </w:r>
                  <w:r w:rsidR="005954BC">
                    <w:rPr>
                      <w:rFonts w:ascii="Times New Roman" w:hAnsi="Times New Roman" w:cs="Times New Roman"/>
                      <w:sz w:val="26"/>
                      <w:szCs w:val="26"/>
                    </w:rPr>
                    <w:t xml:space="preserve"> izdotu</w:t>
                  </w:r>
                  <w:r>
                    <w:rPr>
                      <w:rFonts w:ascii="Times New Roman" w:hAnsi="Times New Roman" w:cs="Times New Roman"/>
                      <w:sz w:val="26"/>
                      <w:szCs w:val="26"/>
                    </w:rPr>
                    <w:t xml:space="preserve"> </w:t>
                  </w:r>
                  <w:r w:rsidR="005954BC">
                    <w:rPr>
                      <w:rFonts w:ascii="Times New Roman" w:hAnsi="Times New Roman" w:cs="Times New Roman"/>
                      <w:sz w:val="26"/>
                      <w:szCs w:val="26"/>
                    </w:rPr>
                    <w:t>pilnvaru</w:t>
                  </w:r>
                  <w:r>
                    <w:rPr>
                      <w:rFonts w:ascii="Times New Roman" w:hAnsi="Times New Roman" w:cs="Times New Roman"/>
                      <w:sz w:val="26"/>
                      <w:szCs w:val="26"/>
                    </w:rPr>
                    <w:t>) pārstāvēt publiskas personas institūciju un kuras</w:t>
                  </w:r>
                  <w:r w:rsidR="005954BC">
                    <w:rPr>
                      <w:rFonts w:ascii="Times New Roman" w:hAnsi="Times New Roman" w:cs="Times New Roman"/>
                      <w:sz w:val="26"/>
                      <w:szCs w:val="26"/>
                    </w:rPr>
                    <w:t xml:space="preserve"> šādu pārstāvību </w:t>
                  </w:r>
                  <w:r w:rsidR="007A121F">
                    <w:rPr>
                      <w:rFonts w:ascii="Times New Roman" w:hAnsi="Times New Roman" w:cs="Times New Roman"/>
                      <w:sz w:val="26"/>
                      <w:szCs w:val="26"/>
                    </w:rPr>
                    <w:t xml:space="preserve">ir īstenojušas </w:t>
                  </w:r>
                  <w:r w:rsidR="005954BC">
                    <w:rPr>
                      <w:rFonts w:ascii="Times New Roman" w:hAnsi="Times New Roman" w:cs="Times New Roman"/>
                      <w:sz w:val="26"/>
                      <w:szCs w:val="26"/>
                    </w:rPr>
                    <w:t xml:space="preserve">vismaz vienu reizi konkrētās lietas ietvaros. </w:t>
                  </w:r>
                  <w:r w:rsidR="005954BC" w:rsidRPr="00210CDF">
                    <w:rPr>
                      <w:rFonts w:ascii="Times New Roman" w:hAnsi="Times New Roman" w:cs="Times New Roman"/>
                      <w:sz w:val="26"/>
                      <w:szCs w:val="26"/>
                    </w:rPr>
                    <w:t xml:space="preserve">Savukārt </w:t>
                  </w:r>
                  <w:r w:rsidR="00210CDF">
                    <w:rPr>
                      <w:rFonts w:ascii="Times New Roman" w:hAnsi="Times New Roman" w:cs="Times New Roman"/>
                      <w:sz w:val="26"/>
                      <w:szCs w:val="26"/>
                    </w:rPr>
                    <w:t>ar tām amatpersonām, kuras sagatavojušas dokumentus</w:t>
                  </w:r>
                  <w:r w:rsidR="00210CDF" w:rsidRPr="00210CDF">
                    <w:rPr>
                      <w:rFonts w:ascii="Times New Roman" w:hAnsi="Times New Roman" w:cs="Times New Roman"/>
                      <w:sz w:val="26"/>
                      <w:szCs w:val="26"/>
                    </w:rPr>
                    <w:t xml:space="preserve"> pārstāvības nodrošināšanai</w:t>
                  </w:r>
                  <w:r w:rsidR="00210CDF">
                    <w:rPr>
                      <w:rFonts w:ascii="Times New Roman" w:hAnsi="Times New Roman" w:cs="Times New Roman"/>
                      <w:sz w:val="26"/>
                      <w:szCs w:val="26"/>
                    </w:rPr>
                    <w:t>, ir saprotamas valsts amatpersonas, kuras ir pārstāvības dokumentu autori</w:t>
                  </w:r>
                  <w:r w:rsidR="00955D3F">
                    <w:rPr>
                      <w:rFonts w:ascii="Times New Roman" w:hAnsi="Times New Roman" w:cs="Times New Roman"/>
                      <w:sz w:val="26"/>
                      <w:szCs w:val="26"/>
                    </w:rPr>
                    <w:t>, kas veikušas šo dokumentu izstr</w:t>
                  </w:r>
                  <w:r w:rsidR="005B663D">
                    <w:rPr>
                      <w:rFonts w:ascii="Times New Roman" w:hAnsi="Times New Roman" w:cs="Times New Roman"/>
                      <w:sz w:val="26"/>
                      <w:szCs w:val="26"/>
                    </w:rPr>
                    <w:t>ādi, kā arī</w:t>
                  </w:r>
                  <w:r w:rsidR="00955D3F">
                    <w:rPr>
                      <w:rFonts w:ascii="Times New Roman" w:hAnsi="Times New Roman" w:cs="Times New Roman"/>
                      <w:sz w:val="26"/>
                      <w:szCs w:val="26"/>
                    </w:rPr>
                    <w:t xml:space="preserve"> parakstītāji</w:t>
                  </w:r>
                  <w:r w:rsidR="00C84A13">
                    <w:rPr>
                      <w:rFonts w:ascii="Times New Roman" w:hAnsi="Times New Roman" w:cs="Times New Roman"/>
                      <w:sz w:val="26"/>
                      <w:szCs w:val="26"/>
                    </w:rPr>
                    <w:t xml:space="preserve"> (piem., iest</w:t>
                  </w:r>
                  <w:r w:rsidR="006B70CC">
                    <w:rPr>
                      <w:rFonts w:ascii="Times New Roman" w:hAnsi="Times New Roman" w:cs="Times New Roman"/>
                      <w:sz w:val="26"/>
                      <w:szCs w:val="26"/>
                    </w:rPr>
                    <w:t xml:space="preserve">ādes </w:t>
                  </w:r>
                  <w:r w:rsidR="00C84A13">
                    <w:rPr>
                      <w:rFonts w:ascii="Times New Roman" w:hAnsi="Times New Roman" w:cs="Times New Roman"/>
                      <w:sz w:val="26"/>
                      <w:szCs w:val="26"/>
                    </w:rPr>
                    <w:t>vadītājs)</w:t>
                  </w:r>
                  <w:r w:rsidR="00955D3F">
                    <w:rPr>
                      <w:rFonts w:ascii="Times New Roman" w:hAnsi="Times New Roman" w:cs="Times New Roman"/>
                      <w:sz w:val="26"/>
                      <w:szCs w:val="26"/>
                    </w:rPr>
                    <w:t xml:space="preserve">. </w:t>
                  </w:r>
                  <w:r w:rsidR="005B663D">
                    <w:rPr>
                      <w:rFonts w:ascii="Times New Roman" w:hAnsi="Times New Roman" w:cs="Times New Roman"/>
                      <w:sz w:val="26"/>
                      <w:szCs w:val="26"/>
                    </w:rPr>
                    <w:t>Vienlaikus</w:t>
                  </w:r>
                  <w:r w:rsidR="007A121F">
                    <w:rPr>
                      <w:rFonts w:ascii="Times New Roman" w:hAnsi="Times New Roman" w:cs="Times New Roman"/>
                      <w:sz w:val="26"/>
                      <w:szCs w:val="26"/>
                    </w:rPr>
                    <w:t xml:space="preserve"> jāvērš uzmanība, ka</w:t>
                  </w:r>
                  <w:r w:rsidR="005B663D">
                    <w:rPr>
                      <w:rFonts w:ascii="Times New Roman" w:hAnsi="Times New Roman" w:cs="Times New Roman"/>
                      <w:sz w:val="26"/>
                      <w:szCs w:val="26"/>
                    </w:rPr>
                    <w:t xml:space="preserve"> ar</w:t>
                  </w:r>
                  <w:r w:rsidR="00955D3F">
                    <w:rPr>
                      <w:rFonts w:ascii="Times New Roman" w:hAnsi="Times New Roman" w:cs="Times New Roman"/>
                      <w:sz w:val="26"/>
                      <w:szCs w:val="26"/>
                    </w:rPr>
                    <w:t xml:space="preserve"> amatpersonām, kuras sagatavojušas dokumentus</w:t>
                  </w:r>
                  <w:r w:rsidR="00955D3F" w:rsidRPr="00210CDF">
                    <w:rPr>
                      <w:rFonts w:ascii="Times New Roman" w:hAnsi="Times New Roman" w:cs="Times New Roman"/>
                      <w:sz w:val="26"/>
                      <w:szCs w:val="26"/>
                    </w:rPr>
                    <w:t xml:space="preserve"> pārstāvības nodrošināšanai</w:t>
                  </w:r>
                  <w:r w:rsidR="00C90714">
                    <w:rPr>
                      <w:rFonts w:ascii="Times New Roman" w:hAnsi="Times New Roman" w:cs="Times New Roman"/>
                      <w:sz w:val="26"/>
                      <w:szCs w:val="26"/>
                    </w:rPr>
                    <w:t>,</w:t>
                  </w:r>
                  <w:r w:rsidR="00D9645F">
                    <w:rPr>
                      <w:rFonts w:ascii="Times New Roman" w:hAnsi="Times New Roman" w:cs="Times New Roman"/>
                      <w:sz w:val="26"/>
                      <w:szCs w:val="26"/>
                    </w:rPr>
                    <w:t xml:space="preserve"> nav uzskatāmi pārstāvības d</w:t>
                  </w:r>
                  <w:r w:rsidR="006D17F8">
                    <w:rPr>
                      <w:rFonts w:ascii="Times New Roman" w:hAnsi="Times New Roman" w:cs="Times New Roman"/>
                      <w:sz w:val="26"/>
                      <w:szCs w:val="26"/>
                    </w:rPr>
                    <w:t>okumentu saskaņotāji (vīzētāji)</w:t>
                  </w:r>
                  <w:r w:rsidR="00210CDF">
                    <w:rPr>
                      <w:rFonts w:ascii="Times New Roman" w:hAnsi="Times New Roman" w:cs="Times New Roman"/>
                      <w:sz w:val="26"/>
                      <w:szCs w:val="26"/>
                    </w:rPr>
                    <w:t>.</w:t>
                  </w:r>
                  <w:r w:rsidR="006D17F8">
                    <w:rPr>
                      <w:rFonts w:ascii="Times New Roman" w:hAnsi="Times New Roman" w:cs="Times New Roman"/>
                      <w:sz w:val="26"/>
                      <w:szCs w:val="26"/>
                    </w:rPr>
                    <w:t xml:space="preserve"> </w:t>
                  </w:r>
                </w:p>
                <w:p w:rsidR="00056E46" w:rsidRPr="00210CDF" w:rsidRDefault="00056E46" w:rsidP="00070B8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Pie </w:t>
                  </w:r>
                  <w:r w:rsidR="003A08C2">
                    <w:rPr>
                      <w:rFonts w:ascii="Times New Roman" w:hAnsi="Times New Roman" w:cs="Times New Roman"/>
                      <w:sz w:val="26"/>
                      <w:szCs w:val="26"/>
                    </w:rPr>
                    <w:t xml:space="preserve">sagatavoto </w:t>
                  </w:r>
                  <w:r>
                    <w:rPr>
                      <w:rFonts w:ascii="Times New Roman" w:hAnsi="Times New Roman" w:cs="Times New Roman"/>
                      <w:sz w:val="26"/>
                      <w:szCs w:val="26"/>
                    </w:rPr>
                    <w:t xml:space="preserve">dokumentu veidiem </w:t>
                  </w:r>
                  <w:r w:rsidR="003A08C2">
                    <w:rPr>
                      <w:rFonts w:ascii="Times New Roman" w:hAnsi="Times New Roman" w:cs="Times New Roman"/>
                      <w:sz w:val="26"/>
                      <w:szCs w:val="26"/>
                    </w:rPr>
                    <w:t>šā likuma izpratnē ir uzskatāmi</w:t>
                  </w:r>
                  <w:r w:rsidR="001F70CF">
                    <w:rPr>
                      <w:rFonts w:ascii="Times New Roman" w:hAnsi="Times New Roman" w:cs="Times New Roman"/>
                      <w:sz w:val="26"/>
                      <w:szCs w:val="26"/>
                    </w:rPr>
                    <w:t xml:space="preserve"> dokumenti, kas sagatavoti administratīvā</w:t>
                  </w:r>
                  <w:r w:rsidR="008D6336">
                    <w:rPr>
                      <w:rFonts w:ascii="Times New Roman" w:hAnsi="Times New Roman" w:cs="Times New Roman"/>
                      <w:sz w:val="26"/>
                      <w:szCs w:val="26"/>
                    </w:rPr>
                    <w:t xml:space="preserve"> procesa</w:t>
                  </w:r>
                  <w:r w:rsidR="001F70CF">
                    <w:rPr>
                      <w:rFonts w:ascii="Times New Roman" w:hAnsi="Times New Roman" w:cs="Times New Roman"/>
                      <w:sz w:val="26"/>
                      <w:szCs w:val="26"/>
                    </w:rPr>
                    <w:t>, civilprocesa, kriminālprocesa</w:t>
                  </w:r>
                  <w:r w:rsidR="001E2516">
                    <w:rPr>
                      <w:rFonts w:ascii="Times New Roman" w:hAnsi="Times New Roman" w:cs="Times New Roman"/>
                      <w:sz w:val="26"/>
                      <w:szCs w:val="26"/>
                    </w:rPr>
                    <w:t xml:space="preserve"> vai starptautisko strīdu</w:t>
                  </w:r>
                  <w:r w:rsidR="001F70CF">
                    <w:rPr>
                      <w:rFonts w:ascii="Times New Roman" w:hAnsi="Times New Roman" w:cs="Times New Roman"/>
                      <w:sz w:val="26"/>
                      <w:szCs w:val="26"/>
                    </w:rPr>
                    <w:t xml:space="preserve"> regulējošo normatīvo aktu </w:t>
                  </w:r>
                  <w:r w:rsidR="008D6336">
                    <w:rPr>
                      <w:rFonts w:ascii="Times New Roman" w:hAnsi="Times New Roman" w:cs="Times New Roman"/>
                      <w:sz w:val="26"/>
                      <w:szCs w:val="26"/>
                    </w:rPr>
                    <w:t>noteiktajā kartībā.</w:t>
                  </w:r>
                </w:p>
                <w:p w:rsidR="00070B85" w:rsidRPr="00070B85" w:rsidRDefault="00070B85" w:rsidP="00070B85">
                  <w:pPr>
                    <w:spacing w:after="0" w:line="240" w:lineRule="auto"/>
                    <w:rPr>
                      <w:rFonts w:ascii="Times New Roman" w:hAnsi="Times New Roman" w:cs="Times New Roman"/>
                      <w:sz w:val="26"/>
                      <w:szCs w:val="26"/>
                    </w:rPr>
                  </w:pPr>
                </w:p>
                <w:p w:rsidR="00070B85" w:rsidRDefault="00070B85" w:rsidP="00070B85">
                  <w:pPr>
                    <w:spacing w:after="0" w:line="240" w:lineRule="auto"/>
                    <w:jc w:val="center"/>
                    <w:rPr>
                      <w:rFonts w:ascii="Times New Roman" w:eastAsia="Times New Roman" w:hAnsi="Times New Roman" w:cs="Times New Roman"/>
                      <w:b/>
                      <w:sz w:val="26"/>
                      <w:szCs w:val="26"/>
                      <w:lang w:eastAsia="lv-LV"/>
                    </w:rPr>
                  </w:pPr>
                  <w:r w:rsidRPr="00070B85">
                    <w:rPr>
                      <w:rFonts w:ascii="Times New Roman" w:eastAsia="Times New Roman" w:hAnsi="Times New Roman" w:cs="Times New Roman"/>
                      <w:b/>
                      <w:sz w:val="26"/>
                      <w:szCs w:val="26"/>
                      <w:lang w:eastAsia="lv-LV"/>
                    </w:rPr>
                    <w:t>3. Termina “radinieks” precizēšana</w:t>
                  </w:r>
                </w:p>
                <w:p w:rsidR="00661FD5" w:rsidRPr="00070B85" w:rsidRDefault="00661FD5" w:rsidP="00070B85">
                  <w:pPr>
                    <w:spacing w:after="0" w:line="240" w:lineRule="auto"/>
                    <w:jc w:val="center"/>
                    <w:rPr>
                      <w:rFonts w:ascii="Times New Roman" w:eastAsia="Times New Roman" w:hAnsi="Times New Roman" w:cs="Times New Roman"/>
                      <w:b/>
                      <w:sz w:val="26"/>
                      <w:szCs w:val="26"/>
                      <w:lang w:eastAsia="lv-LV"/>
                    </w:rPr>
                  </w:pP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Gramatiski interpretējot Likuma 24.panta pirmās daļas 1.punktu kopā ar 1.panta 6.punktu, deklarāciju iesniedzēji varētu tulkot tiesību normas tādējādi, ka deklarācijā nav norādāmas ziņas par adoptētajiem (bērniem), bet gan tikai bioloģiskajiem bērniem. Šādi interpretējot normas, tās </w:t>
                  </w:r>
                  <w:r w:rsidRPr="00070B85">
                    <w:rPr>
                      <w:rFonts w:ascii="Times New Roman" w:eastAsia="Times New Roman" w:hAnsi="Times New Roman" w:cs="Times New Roman"/>
                      <w:sz w:val="26"/>
                      <w:szCs w:val="26"/>
                      <w:lang w:eastAsia="lv-LV"/>
                    </w:rPr>
                    <w:lastRenderedPageBreak/>
                    <w:t>nonāktu pretrunā vienam no Likuma pamatmērķim, proti, novērst valsts amatpersonas nonākšanu interešu konflikta situācijā jeb valsts amatpersonas darbību savās, radinieku vai darījumu partneru personiskajās vai mantiskajās interesēs.</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Saskaņā ar Civillikuma 173.panta pirmo teikumu </w:t>
                  </w:r>
                  <w:r w:rsidRPr="00070B85">
                    <w:rPr>
                      <w:rFonts w:ascii="Times New Roman" w:hAnsi="Times New Roman" w:cs="Times New Roman"/>
                      <w:sz w:val="26"/>
                      <w:szCs w:val="26"/>
                    </w:rPr>
                    <w:t xml:space="preserve">adoptētais bērns un viņa pēcnācēji attiecībā pret adoptētāju un viņa radiniekiem iegūst laulībā dzimuša bērna tiesisko stāvokli kā personiskajās, tā mantiskajās attiecībās. Tādējādi adoptētais tiek pielīdzināts ģimenē dzimušajam (bioloģiskajam) bērnam. Lai novērstu normu dažādu interpretācijas varbūtību, būtu veicams grozījums arī </w:t>
                  </w:r>
                  <w:r w:rsidRPr="00070B85">
                    <w:rPr>
                      <w:rFonts w:ascii="Times New Roman" w:eastAsia="Times New Roman" w:hAnsi="Times New Roman" w:cs="Times New Roman"/>
                      <w:sz w:val="26"/>
                      <w:szCs w:val="26"/>
                      <w:lang w:eastAsia="lv-LV"/>
                    </w:rPr>
                    <w:t>1.panta 6.punktā, precizējot tā saturu un attiecīgi ar vārdu “bērns” turpmāk visos gadījumos saprotot arī adoptēto, bet ar vārdiem “tēvs” un “māte” – arī adoptētāju. Terminu “adoptētājs” un “adoptētais” atsevišķa izdalīšana deklarācijā (kurā pēc pilngadības sasniegšanas informācija par bērnu esību ir publiski pieejama) nav nepieciešama un lietderīga vairāku apsvērumu dēļ, jo 1) visupirms šāda kārtība var nonākt pretrunā adopcijas noslēpumam, kas sevī ietver liegumu bez adoptētāja piekrišanas ziņas par adopciju līdz bērna pilngadībai neizpaust; 2) valsts amatpersonām un institūcijām, kuras saskaņā ar Likumu pārbauda deklarācijas, bērna bioloģiskā izcelsme vai bērna adopcijas fakts nav apstāklis, kas tiek ņemts vērā, vērtējot iespējamo interešu konfliktu, proti, pietiekoši ir konstatēt bērna esību un juridisko saikni ar pieaugušo (t.i., pārbaudāmo valsts amatpersonu); 3) šajā gadījumā princips “</w:t>
                  </w:r>
                  <w:proofErr w:type="spellStart"/>
                  <w:r w:rsidRPr="00070B85">
                    <w:rPr>
                      <w:rFonts w:ascii="Times New Roman" w:eastAsia="Times New Roman" w:hAnsi="Times New Roman" w:cs="Times New Roman"/>
                      <w:i/>
                      <w:sz w:val="26"/>
                      <w:szCs w:val="26"/>
                      <w:lang w:eastAsia="lv-LV"/>
                    </w:rPr>
                    <w:t>need-to-know</w:t>
                  </w:r>
                  <w:r w:rsidRPr="00070B85">
                    <w:rPr>
                      <w:rFonts w:ascii="Times New Roman" w:eastAsia="Times New Roman" w:hAnsi="Times New Roman" w:cs="Times New Roman"/>
                      <w:sz w:val="26"/>
                      <w:szCs w:val="26"/>
                      <w:lang w:eastAsia="lv-LV"/>
                    </w:rPr>
                    <w:t>”</w:t>
                  </w:r>
                  <w:proofErr w:type="spellEnd"/>
                  <w:r w:rsidRPr="00070B85">
                    <w:rPr>
                      <w:rFonts w:ascii="Times New Roman" w:eastAsia="Times New Roman" w:hAnsi="Times New Roman" w:cs="Times New Roman"/>
                      <w:sz w:val="26"/>
                      <w:szCs w:val="26"/>
                      <w:lang w:eastAsia="lv-LV"/>
                    </w:rPr>
                    <w:t xml:space="preserve"> (“nepieciešamība zināt” – </w:t>
                  </w:r>
                  <w:proofErr w:type="spellStart"/>
                  <w:r w:rsidRPr="00070B85">
                    <w:rPr>
                      <w:rFonts w:ascii="Times New Roman" w:eastAsia="Times New Roman" w:hAnsi="Times New Roman" w:cs="Times New Roman"/>
                      <w:sz w:val="26"/>
                      <w:szCs w:val="26"/>
                      <w:lang w:eastAsia="lv-LV"/>
                    </w:rPr>
                    <w:t>latv.val</w:t>
                  </w:r>
                  <w:proofErr w:type="spellEnd"/>
                  <w:r w:rsidRPr="00070B85">
                    <w:rPr>
                      <w:rFonts w:ascii="Times New Roman" w:eastAsia="Times New Roman" w:hAnsi="Times New Roman" w:cs="Times New Roman"/>
                      <w:sz w:val="26"/>
                      <w:szCs w:val="26"/>
                      <w:lang w:eastAsia="lv-LV"/>
                    </w:rPr>
                    <w:t>., kas sevī ietver personai piešķirtās tiesības piekļūt informācijai, kura nepieciešama valsts amatpersonas pienākumu izpildei) nebūtu attiecināms uz informācijas par bērna un vecāku savstarpējo bioloģisko radniecību pieejamību.</w:t>
                  </w:r>
                </w:p>
                <w:p w:rsidR="00070B85" w:rsidRPr="00070B85" w:rsidRDefault="00070B85" w:rsidP="00070B85">
                  <w:pPr>
                    <w:spacing w:after="0" w:line="240" w:lineRule="auto"/>
                    <w:rPr>
                      <w:rFonts w:ascii="Times New Roman" w:eastAsia="Times New Roman" w:hAnsi="Times New Roman" w:cs="Times New Roman"/>
                      <w:b/>
                      <w:sz w:val="26"/>
                      <w:szCs w:val="26"/>
                      <w:lang w:eastAsia="lv-LV"/>
                    </w:rPr>
                  </w:pPr>
                </w:p>
                <w:p w:rsidR="00070B85" w:rsidRDefault="00070B85" w:rsidP="00070B85">
                  <w:pPr>
                    <w:spacing w:after="0" w:line="240" w:lineRule="auto"/>
                    <w:jc w:val="center"/>
                    <w:rPr>
                      <w:rFonts w:ascii="Times New Roman" w:eastAsia="Times New Roman" w:hAnsi="Times New Roman" w:cs="Times New Roman"/>
                      <w:b/>
                      <w:sz w:val="26"/>
                      <w:szCs w:val="26"/>
                      <w:lang w:eastAsia="lv-LV"/>
                    </w:rPr>
                  </w:pPr>
                  <w:r w:rsidRPr="00070B85">
                    <w:rPr>
                      <w:rFonts w:ascii="Times New Roman" w:eastAsia="Times New Roman" w:hAnsi="Times New Roman" w:cs="Times New Roman"/>
                      <w:b/>
                      <w:sz w:val="26"/>
                      <w:szCs w:val="26"/>
                      <w:lang w:eastAsia="lv-LV"/>
                    </w:rPr>
                    <w:t>4. Pienākums norādīt deklarācijā ziņas par pusmāsām un pusbrāļiem</w:t>
                  </w:r>
                </w:p>
                <w:p w:rsidR="00661FD5" w:rsidRPr="00070B85" w:rsidRDefault="00661FD5" w:rsidP="00070B85">
                  <w:pPr>
                    <w:spacing w:after="0" w:line="240" w:lineRule="auto"/>
                    <w:jc w:val="center"/>
                    <w:rPr>
                      <w:rFonts w:ascii="Times New Roman" w:eastAsia="Times New Roman" w:hAnsi="Times New Roman" w:cs="Times New Roman"/>
                      <w:b/>
                      <w:sz w:val="26"/>
                      <w:szCs w:val="26"/>
                      <w:lang w:eastAsia="lv-LV"/>
                    </w:rPr>
                  </w:pP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Saskaņā ar Likuma 2.pantā noteikto šā Likuma mērķis ir cita starpā nodrošināt valsts amatpersonu darbību sabiedrības interesēs, novēršot jebkuras valsts amatpersonas, tās </w:t>
                  </w:r>
                  <w:r w:rsidRPr="00070B85">
                    <w:rPr>
                      <w:rFonts w:ascii="Times New Roman" w:eastAsia="Times New Roman" w:hAnsi="Times New Roman" w:cs="Times New Roman"/>
                      <w:sz w:val="26"/>
                      <w:szCs w:val="26"/>
                      <w:u w:val="single"/>
                      <w:lang w:eastAsia="lv-LV"/>
                    </w:rPr>
                    <w:t>radinieku</w:t>
                  </w:r>
                  <w:r w:rsidRPr="00070B85">
                    <w:rPr>
                      <w:rFonts w:ascii="Times New Roman" w:eastAsia="Times New Roman" w:hAnsi="Times New Roman" w:cs="Times New Roman"/>
                      <w:sz w:val="26"/>
                      <w:szCs w:val="26"/>
                      <w:lang w:eastAsia="lv-LV"/>
                    </w:rPr>
                    <w:t xml:space="preserve"> vai darījumu partneru personiskās vai mantiskās ieinteresētības ietekmi uz valsts amatpersonas darbu […]. Šobrīd Likuma 1.panta 6.punkts uzskaita visas tās personas, kuras ir uzskatāmas par valsts amatpersonu radiniekiem, proti, tas ir tēvs, māte, vecāmāte, vecaistēvs, bērns, mazbērns, adoptētais, adoptētājs, brālis, māsa, pusmāsa, pusbrālis un laulātais. Vienlaikus atbilstoši </w:t>
                  </w:r>
                  <w:r w:rsidRPr="00070B85">
                    <w:rPr>
                      <w:rFonts w:ascii="Times New Roman" w:eastAsia="Times New Roman" w:hAnsi="Times New Roman" w:cs="Times New Roman"/>
                      <w:sz w:val="26"/>
                      <w:szCs w:val="26"/>
                      <w:lang w:eastAsia="lv-LV"/>
                    </w:rPr>
                    <w:lastRenderedPageBreak/>
                    <w:t xml:space="preserve">spēkā esošai Likuma 24.panta pirmās daļas 1.punkta redakcijai, aizpildot deklarāciju, valsts amatpersonai ir noteikts pienākums norādīt informāciju (ziņas) par daudz šaurāku radinieku loku, t.i., sava laulātā, vecāku, brāļu, māsu un bērnu vārdu, uzvārdu un radniecību. Ņemot vērā apstākli, ka patlaban deklarācijā nav noteikta saistība norādīt ziņas par tādiem radiniekiem kā </w:t>
                  </w:r>
                  <w:r w:rsidRPr="00070B85">
                    <w:rPr>
                      <w:rFonts w:ascii="Times New Roman" w:eastAsia="Times New Roman" w:hAnsi="Times New Roman" w:cs="Times New Roman"/>
                      <w:sz w:val="26"/>
                      <w:szCs w:val="26"/>
                      <w:u w:val="single"/>
                      <w:lang w:eastAsia="lv-LV"/>
                    </w:rPr>
                    <w:t xml:space="preserve">pusmāsa un pusbrālis </w:t>
                  </w:r>
                  <w:r w:rsidRPr="00070B85">
                    <w:rPr>
                      <w:rFonts w:ascii="Times New Roman" w:eastAsia="Times New Roman" w:hAnsi="Times New Roman" w:cs="Times New Roman"/>
                      <w:sz w:val="26"/>
                      <w:szCs w:val="26"/>
                      <w:lang w:eastAsia="lv-LV"/>
                    </w:rPr>
                    <w:t>(radiniekiem sānu līnijā; līdzīgi kā brāļiem un māsām), ir konstatējams, ka amatpersonas un institūcijas, kuras saskaņā ar Likumu pārbauda deklarācijas, no to satura nevar gūt priekšstatu par nenorādīto (neidentificēto) visu radinieku sānu līnijā iespējamo ietekmi uz valsts amatpersonas darbību un tās pieņemtajiem lēmumiem. Korupcijas novēršanas un apkarošanas birojs, pildot vienu no savām normatīvajos aktos noteiktajām funkcijām interešu konflikta novēršanas jomā un pārbaudot, vai deklarācijās norādītās ziņas neliecina par valsts amatpersonai noteikto ierobežojumu un aizliegumu neievērošanu, secina, ka atklātības nolūkos 24.panta pirmās daļas 1.punkts jeb deklarācijas sadaļā pie informācijas par valsts amatpersonas radiniekiem būtu iekļaujama arī informācija par pusbrāļiem un pusmāsām.</w:t>
                  </w:r>
                </w:p>
                <w:p w:rsidR="00070B85" w:rsidRPr="00070B85" w:rsidRDefault="00070B85" w:rsidP="00070B85">
                  <w:pPr>
                    <w:spacing w:after="0" w:line="240" w:lineRule="auto"/>
                    <w:rPr>
                      <w:rFonts w:ascii="Times New Roman" w:eastAsia="Times New Roman" w:hAnsi="Times New Roman" w:cs="Times New Roman"/>
                      <w:b/>
                      <w:sz w:val="26"/>
                      <w:szCs w:val="26"/>
                      <w:lang w:eastAsia="lv-LV"/>
                    </w:rPr>
                  </w:pPr>
                </w:p>
                <w:p w:rsidR="00070B85" w:rsidRPr="00070B85" w:rsidRDefault="00070B85" w:rsidP="00070B85">
                  <w:pPr>
                    <w:spacing w:after="0" w:line="240" w:lineRule="auto"/>
                    <w:jc w:val="center"/>
                    <w:rPr>
                      <w:rFonts w:ascii="Times New Roman" w:eastAsia="Times New Roman" w:hAnsi="Times New Roman" w:cs="Times New Roman"/>
                      <w:b/>
                      <w:sz w:val="26"/>
                      <w:szCs w:val="26"/>
                      <w:lang w:eastAsia="lv-LV"/>
                    </w:rPr>
                  </w:pPr>
                  <w:r w:rsidRPr="00070B85">
                    <w:rPr>
                      <w:rFonts w:ascii="Times New Roman" w:eastAsia="Times New Roman" w:hAnsi="Times New Roman" w:cs="Times New Roman"/>
                      <w:b/>
                      <w:sz w:val="26"/>
                      <w:szCs w:val="26"/>
                      <w:lang w:eastAsia="lv-LV"/>
                    </w:rPr>
                    <w:t xml:space="preserve">5. Administratīvo aktu, </w:t>
                  </w:r>
                  <w:r w:rsidRPr="00070B85">
                    <w:rPr>
                      <w:rFonts w:ascii="Times New Roman" w:eastAsia="Calibri" w:hAnsi="Times New Roman" w:cs="Times New Roman"/>
                      <w:b/>
                      <w:sz w:val="26"/>
                      <w:szCs w:val="26"/>
                    </w:rPr>
                    <w:t>kas ir individuālie tiesību akti,</w:t>
                  </w:r>
                  <w:r w:rsidRPr="00070B85">
                    <w:rPr>
                      <w:rFonts w:ascii="Times New Roman" w:eastAsia="Times New Roman" w:hAnsi="Times New Roman" w:cs="Times New Roman"/>
                      <w:b/>
                      <w:sz w:val="26"/>
                      <w:szCs w:val="26"/>
                      <w:lang w:eastAsia="lv-LV"/>
                    </w:rPr>
                    <w:t xml:space="preserve"> izdošanas ierobežojumu attiecināšana uz Saeimas deputātiem un paziņošanas pienākuma noteikšana;</w:t>
                  </w:r>
                  <w:r w:rsidR="003F2981">
                    <w:rPr>
                      <w:rFonts w:ascii="Times New Roman" w:eastAsia="Times New Roman" w:hAnsi="Times New Roman" w:cs="Times New Roman"/>
                      <w:b/>
                      <w:sz w:val="26"/>
                      <w:szCs w:val="26"/>
                      <w:lang w:eastAsia="lv-LV"/>
                    </w:rPr>
                    <w:t xml:space="preserve"> </w:t>
                  </w:r>
                  <w:r w:rsidRPr="00070B85">
                    <w:rPr>
                      <w:rFonts w:ascii="Times New Roman" w:eastAsia="Times New Roman" w:hAnsi="Times New Roman" w:cs="Times New Roman"/>
                      <w:b/>
                      <w:sz w:val="26"/>
                      <w:szCs w:val="26"/>
                      <w:lang w:eastAsia="lv-LV"/>
                    </w:rPr>
                    <w:t>un</w:t>
                  </w:r>
                </w:p>
                <w:p w:rsidR="00070B85" w:rsidRDefault="004F4151" w:rsidP="00705D24">
                  <w:pPr>
                    <w:spacing w:after="0" w:line="240" w:lineRule="auto"/>
                    <w:jc w:val="center"/>
                    <w:rPr>
                      <w:rFonts w:ascii="Times New Roman" w:eastAsia="Calibri" w:hAnsi="Times New Roman" w:cs="Times New Roman"/>
                      <w:b/>
                      <w:sz w:val="26"/>
                      <w:szCs w:val="26"/>
                    </w:rPr>
                  </w:pPr>
                  <w:r>
                    <w:rPr>
                      <w:rFonts w:ascii="Times New Roman" w:eastAsia="Times New Roman" w:hAnsi="Times New Roman" w:cs="Times New Roman"/>
                      <w:b/>
                      <w:sz w:val="26"/>
                      <w:szCs w:val="26"/>
                      <w:lang w:eastAsia="lv-LV"/>
                    </w:rPr>
                    <w:t>ā</w:t>
                  </w:r>
                  <w:r w:rsidR="00070B85" w:rsidRPr="00070B85">
                    <w:rPr>
                      <w:rFonts w:ascii="Times New Roman" w:eastAsia="Times New Roman" w:hAnsi="Times New Roman" w:cs="Times New Roman"/>
                      <w:b/>
                      <w:sz w:val="26"/>
                      <w:szCs w:val="26"/>
                      <w:lang w:eastAsia="lv-LV"/>
                    </w:rPr>
                    <w:t xml:space="preserve">rēja normatīvā akta </w:t>
                  </w:r>
                  <w:r w:rsidR="00070B85" w:rsidRPr="00070B85">
                    <w:rPr>
                      <w:rFonts w:ascii="Times New Roman" w:eastAsia="Calibri" w:hAnsi="Times New Roman" w:cs="Times New Roman"/>
                      <w:b/>
                      <w:sz w:val="26"/>
                      <w:szCs w:val="26"/>
                    </w:rPr>
                    <w:t>par sabiedrības vajadzībām nepieciešamā nekustamā īpašuma piespiedu atsavināšanu pieņ</w:t>
                  </w:r>
                  <w:r w:rsidR="00973642">
                    <w:rPr>
                      <w:rFonts w:ascii="Times New Roman" w:eastAsia="Calibri" w:hAnsi="Times New Roman" w:cs="Times New Roman"/>
                      <w:b/>
                      <w:sz w:val="26"/>
                      <w:szCs w:val="26"/>
                    </w:rPr>
                    <w:t>emšanas ierobežojuma noteikšana</w:t>
                  </w:r>
                </w:p>
                <w:p w:rsidR="00661FD5" w:rsidRPr="00070B85" w:rsidRDefault="00661FD5" w:rsidP="00705D24">
                  <w:pPr>
                    <w:spacing w:after="0" w:line="240" w:lineRule="auto"/>
                    <w:jc w:val="center"/>
                    <w:rPr>
                      <w:rFonts w:ascii="Times New Roman" w:eastAsia="Times New Roman" w:hAnsi="Times New Roman" w:cs="Times New Roman"/>
                      <w:b/>
                      <w:sz w:val="26"/>
                      <w:szCs w:val="26"/>
                      <w:lang w:eastAsia="lv-LV"/>
                    </w:rPr>
                  </w:pP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eastAsia="Times New Roman" w:hAnsi="Times New Roman" w:cs="Times New Roman"/>
                      <w:b/>
                      <w:sz w:val="26"/>
                      <w:szCs w:val="26"/>
                      <w:lang w:eastAsia="lv-LV"/>
                    </w:rPr>
                    <w:t xml:space="preserve">GRECO </w:t>
                  </w:r>
                  <w:r w:rsidRPr="00705D24">
                    <w:rPr>
                      <w:rFonts w:ascii="Times New Roman" w:eastAsia="Times New Roman" w:hAnsi="Times New Roman" w:cs="Times New Roman"/>
                      <w:sz w:val="26"/>
                      <w:szCs w:val="26"/>
                      <w:lang w:eastAsia="lv-LV"/>
                    </w:rPr>
                    <w:t>(</w:t>
                  </w:r>
                  <w:r w:rsidRPr="00705D24">
                    <w:rPr>
                      <w:rFonts w:ascii="Times New Roman" w:hAnsi="Times New Roman" w:cs="Times New Roman"/>
                      <w:sz w:val="26"/>
                      <w:szCs w:val="26"/>
                    </w:rPr>
                    <w:t>Eiropas Padomes Pretkorupcijas starpvalstu grupas</w:t>
                  </w:r>
                  <w:r w:rsidRPr="00705D24">
                    <w:rPr>
                      <w:rFonts w:ascii="Times New Roman" w:eastAsia="Times New Roman" w:hAnsi="Times New Roman" w:cs="Times New Roman"/>
                      <w:sz w:val="26"/>
                      <w:szCs w:val="26"/>
                      <w:lang w:eastAsia="lv-LV"/>
                    </w:rPr>
                    <w:t>)</w:t>
                  </w:r>
                  <w:r w:rsidRPr="00070B85">
                    <w:rPr>
                      <w:rFonts w:ascii="Times New Roman" w:eastAsia="Times New Roman" w:hAnsi="Times New Roman" w:cs="Times New Roman"/>
                      <w:sz w:val="26"/>
                      <w:szCs w:val="26"/>
                      <w:lang w:eastAsia="lv-LV"/>
                    </w:rPr>
                    <w:t>, turpmāk – GRECO,</w:t>
                  </w:r>
                  <w:r w:rsidR="004F148E">
                    <w:rPr>
                      <w:rFonts w:ascii="Times New Roman" w:eastAsia="Times New Roman" w:hAnsi="Times New Roman" w:cs="Times New Roman"/>
                      <w:sz w:val="26"/>
                      <w:szCs w:val="26"/>
                      <w:lang w:eastAsia="lv-LV"/>
                    </w:rPr>
                    <w:t xml:space="preserve"> </w:t>
                  </w:r>
                  <w:r w:rsidRPr="00070B85">
                    <w:rPr>
                      <w:rFonts w:ascii="Times New Roman" w:eastAsia="Times New Roman" w:hAnsi="Times New Roman" w:cs="Times New Roman"/>
                      <w:sz w:val="26"/>
                      <w:szCs w:val="26"/>
                      <w:lang w:eastAsia="lv-LV"/>
                    </w:rPr>
                    <w:t>IV novērtēšanas kārtas ziņojuma</w:t>
                  </w:r>
                  <w:r w:rsidRPr="00070B85">
                    <w:rPr>
                      <w:rFonts w:ascii="Times New Roman" w:eastAsia="Times New Roman" w:hAnsi="Times New Roman" w:cs="Times New Roman"/>
                      <w:sz w:val="26"/>
                      <w:szCs w:val="26"/>
                      <w:vertAlign w:val="superscript"/>
                      <w:lang w:eastAsia="lv-LV"/>
                    </w:rPr>
                    <w:footnoteReference w:id="11"/>
                  </w:r>
                  <w:r w:rsidRPr="00070B85">
                    <w:rPr>
                      <w:rFonts w:ascii="Times New Roman" w:eastAsia="Times New Roman" w:hAnsi="Times New Roman" w:cs="Times New Roman"/>
                      <w:sz w:val="26"/>
                      <w:szCs w:val="26"/>
                      <w:lang w:eastAsia="lv-LV"/>
                    </w:rPr>
                    <w:t xml:space="preserve"> 40. un 63.punktā norādīts, ka Latvijā nav noteikta kārtība, kādā Saeimas deputāti paziņo par personisko un mantisko ieinteresētību amata pienākumu izpildē. GRECO vērš uzmanību, ka </w:t>
                  </w:r>
                  <w:r w:rsidRPr="00070B85">
                    <w:rPr>
                      <w:rFonts w:ascii="Times New Roman" w:hAnsi="Times New Roman" w:cs="Times New Roman"/>
                      <w:sz w:val="26"/>
                      <w:szCs w:val="26"/>
                    </w:rPr>
                    <w:t xml:space="preserve">atsevišķi Likuma nosacījumi uz Saeimas deputātiem nav attiecināmi (piem., noteikumi par informēšanu par atrašanos interešu konflikta situācijā vai par amata savienošanu atbilstoši Likuma 21. un 8.pantam; noteikumi par aizliegumu pieņemt lēmumus, kuros valsts amatpersona, tās radinieki vai darījumu partneri ir personiski vai mantiski ieinteresēti saskaņā ar Likuma 11.pantu un ievērojot šā panta piektajā un sestajā daļā paredzētos izņēmumus). Vienlaikus GRECO norāda, ka, lai </w:t>
                  </w:r>
                  <w:r w:rsidRPr="00070B85">
                    <w:rPr>
                      <w:rFonts w:ascii="Times New Roman" w:hAnsi="Times New Roman" w:cs="Times New Roman"/>
                      <w:sz w:val="26"/>
                      <w:szCs w:val="26"/>
                    </w:rPr>
                    <w:lastRenderedPageBreak/>
                    <w:t>arī Likumā ir norādīta vispārēja kārtība un procedūra, kā ziņot par interešu konfliktu, tomēr šādas procedūras nav ieviestas Saeimas praksē. Minētā situācija izveidojusies tādēļ, ka Likuma vispārējā kārtība paredz ziņošanu augstāk stāvošai amatpersonai, savukārt Saeimas deputāti ir neatkarīgi un nav hierarhiski nevienam pakļauti. Būtībā Likums skaidri norāda, ka Saeimas prezidijs vai Saeimas priekšsēdētājs nevar tikt uzskatīts par “iestādes vadītāju”, augstākstāvošu valsts amatpersonu vai institūciju Likuma izpratnē. Savukārt ziņošana Korupcijas novēršanas un apkarošanas birojam ir iespējama tikai attiecībā uz citiem Saeimas deputātiem, kā arī par aizdomām par likumu pārkāpumiem, bet ne attiecībā uz sevi. Šā iemesla dēļ GRECO iesaka noteikt pienākumu Saeimas deputātiem pirms lēmuma pieņemšanas, kas var radīt interešu konfliktu, aizdomas par šāda konflikta pastāvēšanu, šaubas par Saeimas deputāta objektivitāti un neitralitāti, paziņot par atteikšanos piedalīties lēmuma pieņemšanā.</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 xml:space="preserve">Tomēr pirms ieviest minēto rekomendāciju, visupirms būtu identificējams jautājumu (lēmumu) loks, attiecībā uz kuru būtu noteikts pienākums Saeimas deputātiem sevi pašatstatīt, jo šobrīd Likuma 11.panta piektā un sestā daļa nosaka izņēmumus attiecībā uz administratīvo aktu izdošanas ierobežojumiem, ārējo normatīvo aktu un politisko lēmumu pieņemšanu, sava atalgojuma noteikšanu vai sevis iecelšanu, ievēlēšanu vai apstiprināšanu amatā. Lai pēc iespējas mazāk ierobežotu Saeimas deputātu kā likumdevēja pamatfunkciju izpildi un to konstitucionālo tiesību īstenošanu, Korupcijas novēršanas un apkarošanas birojs rosina vispirms pašatstatīšanās mehānismu ieviest attiecībā uz </w:t>
                  </w:r>
                  <w:r w:rsidRPr="00070B85">
                    <w:rPr>
                      <w:rFonts w:ascii="Times New Roman" w:eastAsia="Calibri" w:hAnsi="Times New Roman" w:cs="Times New Roman"/>
                      <w:sz w:val="26"/>
                      <w:szCs w:val="26"/>
                    </w:rPr>
                    <w:t xml:space="preserve">administratīvo aktu, kas ir individuālie tiesību akti, </w:t>
                  </w:r>
                  <w:r w:rsidRPr="00070B85">
                    <w:rPr>
                      <w:rFonts w:ascii="Times New Roman" w:hAnsi="Times New Roman" w:cs="Times New Roman"/>
                      <w:sz w:val="26"/>
                      <w:szCs w:val="26"/>
                    </w:rPr>
                    <w:t xml:space="preserve">izdošanu, ja attiecīgi šī valsts amatpersona, tās radinieki vai darījumu partneri ir personiski vai mantiski ieinteresēti. Tādējādi turpmāk minētai valsts amatpersonu grupai tiks atstāta iespēja (tiesība) piedalīties vispārēja administratīvā akta izdošanā, kurā subjektu loks nav tieši identificējams. Savukārt, ņemot vērā, ka administratīvajos aktos, kas ir individuālie tiesību akti, ir iespējams tieši un nepārprotami identificēt personas, kas ir šī tiesību akta subjekti, Saeimas deputāti, uzzinot par konkrētā administratīvā akta subjektu, kas ir viņi paši, viņu radinieki vai darījumu partneri, varēs nekavējoties sevi atstatīt. Šāda ierobežojuma noteikšana pamatojas ar vispārēju Likuma mērķi, t.i., nepieļaut valsts amatpersonas nonākšanu situācijā, kurā tai jāpieņem lēmums vai jāpiedalās lēmuma pieņemšanā, kas ietekmē vai var ietekmēt šīs valsts amatpersonas, tās radinieku vai darījumu partneru </w:t>
                  </w:r>
                  <w:r w:rsidRPr="00070B85">
                    <w:rPr>
                      <w:rFonts w:ascii="Times New Roman" w:hAnsi="Times New Roman" w:cs="Times New Roman"/>
                      <w:sz w:val="26"/>
                      <w:szCs w:val="26"/>
                    </w:rPr>
                    <w:lastRenderedPageBreak/>
                    <w:t>personiskās vai mantiskās intereses.</w:t>
                  </w:r>
                </w:p>
                <w:p w:rsidR="00070B85" w:rsidRPr="00070B85" w:rsidRDefault="00070B85" w:rsidP="00070B85">
                  <w:pPr>
                    <w:spacing w:after="0" w:line="240" w:lineRule="auto"/>
                    <w:rPr>
                      <w:rFonts w:ascii="Times New Roman" w:eastAsia="Calibri" w:hAnsi="Times New Roman" w:cs="Times New Roman"/>
                      <w:sz w:val="26"/>
                      <w:szCs w:val="26"/>
                    </w:rPr>
                  </w:pPr>
                  <w:r w:rsidRPr="00070B85">
                    <w:rPr>
                      <w:rFonts w:ascii="Times New Roman" w:hAnsi="Times New Roman" w:cs="Times New Roman"/>
                      <w:sz w:val="26"/>
                      <w:szCs w:val="26"/>
                    </w:rPr>
                    <w:t xml:space="preserve">Lai sasniegtu Likuma mērķi un veicinātu Likumā noteikto interešu konflikta novēršanas mehānismu īstenošanu praksē, likumprojekts papildus paredz arī vispārēju ziņošanas kārtību, proti, nosakot, ka </w:t>
                  </w:r>
                  <w:r w:rsidRPr="00070B85">
                    <w:rPr>
                      <w:rFonts w:ascii="Times New Roman" w:eastAsia="Calibri" w:hAnsi="Times New Roman" w:cs="Times New Roman"/>
                      <w:sz w:val="26"/>
                      <w:szCs w:val="26"/>
                    </w:rPr>
                    <w:t>Saeimas deputāti nepiedalās administratīvo aktu, kas ir individuālie tiesību akti, sagatavošanā un izdošanā un paziņo par personisko vai mantisko ieinteresētību attiecīgajai Saeimas komisijai un Saeimas prezidijam. Tomēr detalizētāka procesuāla kārtība vispārēja paziņošanas pienākuma izpildei, tostarp paziņošanas veids (piem., mutvārdos, ko ieprotokolē vai atspoguļo stenogrammā vai rakstveidā iesniedz pats deputāts) būtu nosakāms Saeimas kārtības rullī kā speciālajā normatīvajā aktā.</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eastAsia="Calibri" w:hAnsi="Times New Roman" w:cs="Times New Roman"/>
                      <w:sz w:val="26"/>
                      <w:szCs w:val="26"/>
                    </w:rPr>
                    <w:t>Ievērojot analoģiju, likumprojekts attiecina administratīvo aktu, kas ir individuālie tiesību akti, izdošanas ierobežojumu arī uz Ministru kabineta locekļiem, kuriem jau šobrīd ir noteikta ziņošanas kārtība jeb rīcības pienākums lēmumu pieņemšanas procesā gadījumos, ja tas nevar piedalīties lēmuma pieņemšanā. Proti, Ministru kabineta iekārtas likuma 30.panta trešā daļa nosaka, ka, j</w:t>
                  </w:r>
                  <w:r w:rsidRPr="00070B85">
                    <w:rPr>
                      <w:rFonts w:ascii="Times New Roman" w:hAnsi="Times New Roman" w:cs="Times New Roman"/>
                      <w:sz w:val="26"/>
                      <w:szCs w:val="26"/>
                    </w:rPr>
                    <w:t>a Ministru kabineta loceklis normatīvajos aktos noteikto ierobežojumu dēļ, kā arī ētisku vai citu apsvērumu dēļ atsakās piedalīties lēmuma pieņemšanā, viņš par to paziņo pirms lēmuma pieņemšanas un ne vēlāk kā nākamajā dienā pēc Ministru kabineta sēdes iesniedz rakstveida motivāciju, kas tiek pievienota sēdes protokolam.</w:t>
                  </w:r>
                </w:p>
                <w:p w:rsidR="00070B85" w:rsidRPr="00070B85" w:rsidRDefault="00070B85" w:rsidP="00070B85">
                  <w:pPr>
                    <w:spacing w:after="0" w:line="240" w:lineRule="auto"/>
                    <w:rPr>
                      <w:rFonts w:ascii="Times New Roman" w:eastAsia="Calibri" w:hAnsi="Times New Roman" w:cs="Times New Roman"/>
                      <w:sz w:val="26"/>
                      <w:szCs w:val="26"/>
                    </w:rPr>
                  </w:pPr>
                  <w:r w:rsidRPr="00070B85">
                    <w:rPr>
                      <w:rFonts w:ascii="Times New Roman" w:hAnsi="Times New Roman" w:cs="Times New Roman"/>
                      <w:sz w:val="26"/>
                      <w:szCs w:val="26"/>
                    </w:rPr>
                    <w:t xml:space="preserve">Otrs likumprojektā paredzētais izņēmums ir liegums (ierobežojums) Saeimas deputātam piedalīties ārējo normatīvo aktu, konkrētāk, likumu pieņemšanā par </w:t>
                  </w:r>
                  <w:r w:rsidRPr="00070B85">
                    <w:rPr>
                      <w:rFonts w:ascii="Times New Roman" w:eastAsia="Calibri" w:hAnsi="Times New Roman" w:cs="Times New Roman"/>
                      <w:sz w:val="26"/>
                      <w:szCs w:val="26"/>
                    </w:rPr>
                    <w:t xml:space="preserve">sabiedrības vajadzībām nepieciešamā nekustamā īpašuma, kas ir šī Saeimas deputāta, tā radinieku vai darījumu partneru īpašums, piespiedu atsavināšanu, tajā skaitā dažādu valstiski nozīmīgu projektu (piem., </w:t>
                  </w:r>
                  <w:proofErr w:type="spellStart"/>
                  <w:r w:rsidRPr="00070B85">
                    <w:rPr>
                      <w:rFonts w:ascii="Times New Roman" w:eastAsia="Calibri" w:hAnsi="Times New Roman" w:cs="Times New Roman"/>
                      <w:i/>
                      <w:sz w:val="26"/>
                      <w:szCs w:val="26"/>
                    </w:rPr>
                    <w:t>Rail</w:t>
                  </w:r>
                  <w:proofErr w:type="spellEnd"/>
                  <w:r w:rsidR="004F148E">
                    <w:rPr>
                      <w:rFonts w:ascii="Times New Roman" w:eastAsia="Calibri" w:hAnsi="Times New Roman" w:cs="Times New Roman"/>
                      <w:i/>
                      <w:sz w:val="26"/>
                      <w:szCs w:val="26"/>
                    </w:rPr>
                    <w:t xml:space="preserve"> </w:t>
                  </w:r>
                  <w:proofErr w:type="spellStart"/>
                  <w:r w:rsidRPr="00070B85">
                    <w:rPr>
                      <w:rFonts w:ascii="Times New Roman" w:eastAsia="Calibri" w:hAnsi="Times New Roman" w:cs="Times New Roman"/>
                      <w:i/>
                      <w:sz w:val="26"/>
                      <w:szCs w:val="26"/>
                    </w:rPr>
                    <w:t>Baltic</w:t>
                  </w:r>
                  <w:proofErr w:type="spellEnd"/>
                  <w:r w:rsidRPr="00070B85">
                    <w:rPr>
                      <w:rFonts w:ascii="Times New Roman" w:eastAsia="Calibri" w:hAnsi="Times New Roman" w:cs="Times New Roman"/>
                      <w:sz w:val="26"/>
                      <w:szCs w:val="26"/>
                    </w:rPr>
                    <w:t xml:space="preserve"> u.c.) īstenošanai</w:t>
                  </w:r>
                  <w:r w:rsidRPr="00070B85">
                    <w:rPr>
                      <w:rFonts w:ascii="Times New Roman" w:hAnsi="Times New Roman" w:cs="Times New Roman"/>
                      <w:sz w:val="26"/>
                      <w:szCs w:val="26"/>
                    </w:rPr>
                    <w:t>. Arī šajos gadījumos līdzīgi kā administratīvo aktu, kas ir individuālie tiesību akti, gadījumā ir iespējams tieši un nepārprotami identificēt personas, kuras ir attiecīgā likumprojekta subjekti un kuru mantiskā interese (Saeimas deputāta, tā radinieku vai darījumu partneru) tiek skarta, t.i., kurām personām piespiedu kārtā sabiedrības vajadzībām pret atlīdzību īpašums tiks atsavināts un attiecīgi nodarīti kompensējamie zaudējumi. Tamdēļ Korupcijas novēršanas un apkarošanas biroja ieskatā minēto likumprojektu izskatīšanas un pieņemšanas stadijās ir sagaidāma Saeimas deputāta sevis pašatstatīšana atbildīgajā komisijā un balsošanas nepieļaujamība Saeimas sēdēs.</w:t>
                  </w:r>
                </w:p>
                <w:p w:rsidR="00070B85" w:rsidRPr="00070B85" w:rsidRDefault="00070B85" w:rsidP="00070B85">
                  <w:pPr>
                    <w:spacing w:after="0" w:line="240" w:lineRule="auto"/>
                    <w:rPr>
                      <w:rFonts w:ascii="Times New Roman" w:eastAsia="Times New Roman" w:hAnsi="Times New Roman" w:cs="Times New Roman"/>
                      <w:b/>
                      <w:sz w:val="26"/>
                      <w:szCs w:val="26"/>
                      <w:lang w:eastAsia="lv-LV"/>
                    </w:rPr>
                  </w:pPr>
                </w:p>
                <w:p w:rsidR="00070B85" w:rsidRDefault="00070B85" w:rsidP="00070B85">
                  <w:pPr>
                    <w:spacing w:after="0" w:line="240" w:lineRule="auto"/>
                    <w:jc w:val="center"/>
                    <w:rPr>
                      <w:rFonts w:ascii="Times New Roman" w:eastAsia="Times New Roman" w:hAnsi="Times New Roman" w:cs="Times New Roman"/>
                      <w:b/>
                      <w:sz w:val="26"/>
                      <w:szCs w:val="26"/>
                      <w:lang w:eastAsia="lv-LV"/>
                    </w:rPr>
                  </w:pPr>
                  <w:r w:rsidRPr="00070B85">
                    <w:rPr>
                      <w:rFonts w:ascii="Times New Roman" w:eastAsia="Times New Roman" w:hAnsi="Times New Roman" w:cs="Times New Roman"/>
                      <w:b/>
                      <w:sz w:val="26"/>
                      <w:szCs w:val="26"/>
                      <w:lang w:eastAsia="lv-LV"/>
                    </w:rPr>
                    <w:lastRenderedPageBreak/>
                    <w:t>6. SAB direktora pienākums iesniegt deklarācijas</w:t>
                  </w:r>
                </w:p>
                <w:p w:rsidR="00973642" w:rsidRPr="00070B85" w:rsidRDefault="00973642" w:rsidP="00070B85">
                  <w:pPr>
                    <w:spacing w:after="0" w:line="240" w:lineRule="auto"/>
                    <w:jc w:val="center"/>
                    <w:rPr>
                      <w:rFonts w:ascii="Times New Roman" w:eastAsia="Times New Roman" w:hAnsi="Times New Roman" w:cs="Times New Roman"/>
                      <w:b/>
                      <w:sz w:val="26"/>
                      <w:szCs w:val="26"/>
                      <w:lang w:eastAsia="lv-LV"/>
                    </w:rPr>
                  </w:pP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Šobrīd Likuma 23.panta otrā un trešā daļa skaidri nosaka valsts amatpersonu deklarāciju (turpmāk – deklarācija) iesniegšanas kārtību visām valsts amatpersonām (arī valsts drošības iestādēs nodarbinātajām amatpersonām), izņemot Satversmes aizsardzības biroja direktoru, attiecībā uz kuru nav noteikta iestāde vai persona, kurai Satversmes aizsardzības biroja direktoram būtu pienākums iesniegt deklarācijas. Tādējādi veidojas situācija, ka vienai no valstī atbildīgajām amatpersonām nacionālās drošības un aizsardzības (tajā skaitā pielaides valsts noslēpumam izsniegšanas) jautājumos netiek piemērots pilnvērtīgs pārbaudes mehānisms interešu konflikta novēršanas jomā.</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Saskaņā ar Satversmes aizsardzības biroja likuma 1.panta pirmo daļu Satversmes aizsardzības birojs ir Ministru kabineta pārraudzībā esoša valsts drošības iestāde. Savukārt atbilstoši Likuma 8.</w:t>
                  </w:r>
                  <w:r w:rsidRPr="00070B85">
                    <w:rPr>
                      <w:rFonts w:ascii="Times New Roman" w:eastAsia="Times New Roman" w:hAnsi="Times New Roman" w:cs="Times New Roman"/>
                      <w:sz w:val="26"/>
                      <w:szCs w:val="26"/>
                      <w:vertAlign w:val="superscript"/>
                      <w:lang w:eastAsia="lv-LV"/>
                    </w:rPr>
                    <w:t>1</w:t>
                  </w:r>
                  <w:r w:rsidRPr="00070B85">
                    <w:rPr>
                      <w:rFonts w:ascii="Times New Roman" w:eastAsia="Times New Roman" w:hAnsi="Times New Roman" w:cs="Times New Roman"/>
                      <w:sz w:val="26"/>
                      <w:szCs w:val="26"/>
                      <w:lang w:eastAsia="lv-LV"/>
                    </w:rPr>
                    <w:t>panta vienpadsmitajā daļā noteiktajam, amata savienošanas atļaujas Satversmes aizsardzības biroja direktoram izsniedz Ministru prezidents. Tādējādi secināms, ka jau šobrīd, lai novērstu Satversmes aizsardzības biroja direktora nonākšanu interešu konflikta situācijā, Ministru prezidents īsteno atsevišķus pasākumus attiecībā uz speciālo valsts amatpersonas amata savienošanas ierobežojumu jomu, izdodot atbilstošu administratīvo aktu. Ievērojot analoģiju, Korupcijas novēršanas un apkarošanas biroja ieskatā pamatoti būtu noteikt, ka Satversmes aizsardzības biroja direktors deklarācijas iesniedz Ministru prezidentam vai viņa pilnvarotai personai, t.i., kādai no personām, kas ir izpildvaras jeb izpildu resora sastāvdaļa.</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Likuma 23.panta pirmajā daļā ir noteikti četri deklarāciju veidi: 1) deklarācija, kuru iesniedz, stājoties amatā, 2) kārtējā gada deklarācija; 3) deklarācija, kuru iesniedz, beidzot pildīt amata pienākumus, un 4) deklarācija, kuru iesniedz pēc tam, kad amata pienākumu pildīšana ir izbeigta. Ņemot vērā faktisko situāciju, ka šā brīža Satversmes aizsardzības biroja direktoram, kuru Saeima iecēla amatā 2013.gada 14.martā, nav bijis noteikts pienākums iesniegt nedz deklarāciju, kuru iesniedz, stājoties amatā, nedz attiecīgi - kārtējo gada deklarāciju, ir risināms jautājums par konkrēta datuma (laika), uz kuru fiksējams minētās personas mantiskais stāvoklis, noteikšana. Šā iemesla dēļ papildus likumprojektā ir iekļauts atbilstošs pārejas noteikumu punkts, nosakot konkrētu datumu, no kura ir skaitāms Satversmes aizsardzības biroja direktora pienākums iesniegt valsts amatpersonas deklarāciju, kuru </w:t>
                  </w:r>
                  <w:r w:rsidRPr="00070B85">
                    <w:rPr>
                      <w:rFonts w:ascii="Times New Roman" w:eastAsia="Times New Roman" w:hAnsi="Times New Roman" w:cs="Times New Roman"/>
                      <w:sz w:val="26"/>
                      <w:szCs w:val="26"/>
                      <w:lang w:eastAsia="lv-LV"/>
                    </w:rPr>
                    <w:lastRenderedPageBreak/>
                    <w:t>iesniedz, stājoties amatā. Piedāvātais risinājums ir atzīstams par piemērotāko, ievērojot apstākli, ka normas, kas rada personai papildu ierobežojumu, attiecināšana ar atpakaļejošu spēku nebūtu pieļaujama un pārkāptu tiesiskās paļāvības principu. Kaut arī minētās deklarācijas nosaukums (“deklarācija, kuru iesniedz, stājoties amatā”) nebūs atbilstošs faktiskai situācijai, proti, persona jau būs nostrādājusi Satversmes aizsardzības biroja direktora amatā vairākus gadus, nedeklarējot savu mantisko stāvokli, tomēr ir secināms, ka no visiem deklarāciju veidiem, “deklarācija, kuru iesniedz, stājoties amatā”, ir sasniedzamajam mērķim visatbilstošākā.</w:t>
                  </w:r>
                </w:p>
                <w:p w:rsidR="00070B85" w:rsidRPr="00070B85" w:rsidRDefault="00070B85" w:rsidP="00070B85">
                  <w:pPr>
                    <w:spacing w:after="0" w:line="240" w:lineRule="auto"/>
                    <w:rPr>
                      <w:rFonts w:ascii="Times New Roman" w:hAnsi="Times New Roman" w:cs="Times New Roman"/>
                      <w:b/>
                      <w:sz w:val="26"/>
                      <w:szCs w:val="26"/>
                    </w:rPr>
                  </w:pPr>
                </w:p>
                <w:p w:rsidR="00070B85" w:rsidRDefault="00070B85" w:rsidP="00070B85">
                  <w:pPr>
                    <w:spacing w:after="0" w:line="240" w:lineRule="auto"/>
                    <w:jc w:val="center"/>
                    <w:rPr>
                      <w:rFonts w:ascii="Times New Roman" w:hAnsi="Times New Roman" w:cs="Times New Roman"/>
                      <w:b/>
                      <w:sz w:val="26"/>
                      <w:szCs w:val="26"/>
                    </w:rPr>
                  </w:pPr>
                  <w:r w:rsidRPr="00070B85">
                    <w:rPr>
                      <w:rFonts w:ascii="Times New Roman" w:hAnsi="Times New Roman" w:cs="Times New Roman"/>
                      <w:b/>
                      <w:sz w:val="26"/>
                      <w:szCs w:val="26"/>
                    </w:rPr>
                    <w:t>7. Komercdarbības ierobežojumi valsts amatpersonai, kura veikusi izmeklēšanas funkcijas</w:t>
                  </w:r>
                </w:p>
                <w:p w:rsidR="00973642" w:rsidRPr="00070B85" w:rsidRDefault="00973642" w:rsidP="00070B85">
                  <w:pPr>
                    <w:spacing w:after="0" w:line="240" w:lineRule="auto"/>
                    <w:jc w:val="center"/>
                    <w:rPr>
                      <w:rFonts w:ascii="Times New Roman" w:hAnsi="Times New Roman" w:cs="Times New Roman"/>
                      <w:b/>
                      <w:sz w:val="26"/>
                      <w:szCs w:val="26"/>
                    </w:rPr>
                  </w:pP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Patlaban Likuma 10.panta septītā daļa nosaka valsts amatpersonai noteiktus komercdarbības ierobežojumus divus gadus pēc tam, kad tā veikusi uzraudzības, kontroles vai sodīšanas funkcijas. Savukārt minētie ierobežojumi nav attiecināmi uz valsts amatpersonām, kuras saskaņā ar normatīvajiem aktiem ir veikušas izmeklēšanas funkcijas. Šāda situācija rada iespēju amatpersonai, kura veic kriminālprocesu, iegūt komersanta mantu (tostarp finanšu līdzekļus), kā arī kļūt par komercsabiedrības dalībnieku, akcionāru, biedru vai ieņemt komercsabiedrībā amatus, attiecībā uz kuru šī valsts amatpersona veikusi izmeklēšanas funkcijas. Izmeklēšana ir pirmstiesas kriminālprocesa posms ar mērķi veikt izmeklēšanas darbības, kas</w:t>
                  </w:r>
                  <w:r w:rsidR="003F2981">
                    <w:rPr>
                      <w:rFonts w:ascii="Times New Roman" w:hAnsi="Times New Roman" w:cs="Times New Roman"/>
                      <w:sz w:val="26"/>
                      <w:szCs w:val="26"/>
                    </w:rPr>
                    <w:t xml:space="preserve"> </w:t>
                  </w:r>
                  <w:r w:rsidRPr="00070B85">
                    <w:rPr>
                      <w:rFonts w:ascii="Times New Roman" w:hAnsi="Times New Roman" w:cs="Times New Roman"/>
                      <w:sz w:val="26"/>
                      <w:szCs w:val="26"/>
                    </w:rPr>
                    <w:t>vērstas uz ziņu iegūšanu vai jau iegūto ziņu pārbaudi konkrētajā kriminālprocesā. Ja valsts amatpersonai būs atļauts veikt izmeklēšanas darbības, piem., tādas kā kratīšana, un vienlaikus uzreiz pēc šo darbību veikšanas pieņemt no attiecīgās personas (komersanta) mantu, tad šādas darbības radīs šaubas par objektīvu kriminālprocesa norisi, kas ir viens no kriminālprocesa pamatprincipiem (sk. Kriminālprocesa likuma 16.pantu). Lai nodrošinātu visām kriminālprocesā iesaistītajām personām tiesības uz objektīvu kriminālprocesa norisi un krimināltiesisko attiecību taisnīgu noregulējumu, būtu nosakāms terminēts komercdarbības ierobežojums arī visām tām valsts amatpersonām, kuras veikušas izmeklēšanas funkcijas.</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p>
                <w:p w:rsidR="00070B85" w:rsidRDefault="00070B85" w:rsidP="00070B85">
                  <w:pPr>
                    <w:spacing w:after="0" w:line="240" w:lineRule="auto"/>
                    <w:jc w:val="center"/>
                    <w:rPr>
                      <w:rFonts w:ascii="Times New Roman" w:hAnsi="Times New Roman" w:cs="Times New Roman"/>
                      <w:b/>
                      <w:sz w:val="26"/>
                      <w:szCs w:val="26"/>
                    </w:rPr>
                  </w:pPr>
                  <w:r w:rsidRPr="00070B85">
                    <w:rPr>
                      <w:rFonts w:ascii="Times New Roman" w:hAnsi="Times New Roman" w:cs="Times New Roman"/>
                      <w:b/>
                      <w:sz w:val="26"/>
                      <w:szCs w:val="26"/>
                    </w:rPr>
                    <w:t>8. Valsts amatpersonas pienākumu paplašināšana un precizēšana</w:t>
                  </w:r>
                </w:p>
                <w:p w:rsidR="00973642" w:rsidRPr="00070B85" w:rsidRDefault="00973642" w:rsidP="00070B85">
                  <w:pPr>
                    <w:spacing w:after="0" w:line="240" w:lineRule="auto"/>
                    <w:jc w:val="center"/>
                    <w:rPr>
                      <w:rFonts w:ascii="Times New Roman" w:hAnsi="Times New Roman" w:cs="Times New Roman"/>
                      <w:b/>
                      <w:sz w:val="26"/>
                      <w:szCs w:val="26"/>
                    </w:rPr>
                  </w:pP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 xml:space="preserve">Šobrīd Likuma 20.panta pirmā daļa paredz publiskas </w:t>
                  </w:r>
                  <w:r w:rsidRPr="00070B85">
                    <w:rPr>
                      <w:rFonts w:ascii="Times New Roman" w:hAnsi="Times New Roman" w:cs="Times New Roman"/>
                      <w:sz w:val="26"/>
                      <w:szCs w:val="26"/>
                    </w:rPr>
                    <w:lastRenderedPageBreak/>
                    <w:t>personas institūcijas vadītājam vispārēju pienākumu atbildoši savai kompetencei nepieļaut, lai šajā institūcijā strādājošās valsts amatpersonas nonāktu interešu konflikta situācijā un šādā situācijā īstenotu valsts amatpersonas amata pilnvaras. Proti, Likums nosaka zināmu preventīvu pasākumu īstenošanas pienākumu iestādē, lai izslēgtu personu nonākšanu interešu konflikta situācijā. Lai veicinātu šī pienākuma pilnvērtīgu izpildi no institūcijas vadītāja puses, būtu jāprecizē valsts amatpersonas pienākumi un rīcība, nosakot papildu gadījumus jau Likuma 21.panta pirmajā daļā minētajiem un paredzot konkrētu termiņu, kādā valsts amatpersonai rakstveidā jāinformē publiskas personas institūcija par:</w:t>
                  </w:r>
                </w:p>
                <w:p w:rsidR="00070B85" w:rsidRPr="00070B85" w:rsidRDefault="00070B85" w:rsidP="00070B85">
                  <w:pPr>
                    <w:numPr>
                      <w:ilvl w:val="0"/>
                      <w:numId w:val="5"/>
                    </w:numPr>
                    <w:spacing w:after="0" w:line="240" w:lineRule="auto"/>
                    <w:ind w:left="469" w:hanging="426"/>
                    <w:contextualSpacing/>
                    <w:rPr>
                      <w:rFonts w:ascii="Times New Roman" w:hAnsi="Times New Roman" w:cs="Times New Roman"/>
                      <w:sz w:val="26"/>
                      <w:szCs w:val="26"/>
                    </w:rPr>
                  </w:pPr>
                  <w:r w:rsidRPr="00070B85">
                    <w:rPr>
                      <w:rFonts w:ascii="Times New Roman" w:hAnsi="Times New Roman" w:cs="Times New Roman"/>
                      <w:sz w:val="26"/>
                      <w:szCs w:val="26"/>
                    </w:rPr>
                    <w:t>savu un savu radinieku tiesiskajām un mantiskajām attiecībām ar publiskas personas institūciju, kurā valsts amatpersona ir nodarināta, piem., par no attiecīgās publiskas personas institūciju saņemtajiem publiskajiem iepirkumiem, sabiedrisko pakalpojumu sniedzēju iepirkumiem vai koncesijām, finanšu līdzekļiem un garantētiem kredītiem, ja tos saņem komercsabiedrība, kuru dalībnieks, akcionārs, biedrs, pārraudzības, kontroles vai izpildinstitūcijas loceklis ir šī valsts amatpersona vai tās radinieks</w:t>
                  </w:r>
                  <w:r w:rsidRPr="00070B85">
                    <w:rPr>
                      <w:rFonts w:ascii="Times New Roman" w:eastAsia="Times New Roman" w:hAnsi="Times New Roman" w:cs="Times New Roman"/>
                      <w:sz w:val="26"/>
                      <w:szCs w:val="26"/>
                      <w:lang w:eastAsia="lv-LV"/>
                    </w:rPr>
                    <w:t>;</w:t>
                  </w:r>
                </w:p>
                <w:p w:rsidR="00070B85" w:rsidRPr="00070B85" w:rsidRDefault="00070B85" w:rsidP="00070B85">
                  <w:pPr>
                    <w:numPr>
                      <w:ilvl w:val="0"/>
                      <w:numId w:val="5"/>
                    </w:numPr>
                    <w:spacing w:after="0" w:line="240" w:lineRule="auto"/>
                    <w:ind w:left="469" w:hanging="426"/>
                    <w:contextualSpacing/>
                    <w:rPr>
                      <w:rFonts w:ascii="Times New Roman" w:hAnsi="Times New Roman" w:cs="Times New Roman"/>
                      <w:sz w:val="26"/>
                      <w:szCs w:val="26"/>
                    </w:rPr>
                  </w:pPr>
                  <w:r w:rsidRPr="00070B85">
                    <w:rPr>
                      <w:rFonts w:ascii="Times New Roman" w:hAnsi="Times New Roman" w:cs="Times New Roman"/>
                      <w:sz w:val="26"/>
                      <w:szCs w:val="26"/>
                    </w:rPr>
                    <w:t xml:space="preserve">to, ka pati valsts amatpersona vai tās radinieks ir individuālais komersants, kas </w:t>
                  </w:r>
                  <w:r w:rsidRPr="00070B85">
                    <w:rPr>
                      <w:rFonts w:ascii="Times New Roman" w:eastAsia="Calibri" w:hAnsi="Times New Roman" w:cs="Times New Roman"/>
                      <w:sz w:val="26"/>
                      <w:szCs w:val="26"/>
                    </w:rPr>
                    <w:t>darbojas jomā, kuru uzrauga vai kontrolē attiecīgā publiskās personas institūcija;</w:t>
                  </w:r>
                </w:p>
                <w:p w:rsidR="00070B85" w:rsidRPr="00070B85" w:rsidRDefault="00070B85" w:rsidP="00070B85">
                  <w:pPr>
                    <w:numPr>
                      <w:ilvl w:val="0"/>
                      <w:numId w:val="5"/>
                    </w:numPr>
                    <w:spacing w:after="0" w:line="240" w:lineRule="auto"/>
                    <w:ind w:left="469" w:hanging="426"/>
                    <w:contextualSpacing/>
                    <w:rPr>
                      <w:rFonts w:ascii="Times New Roman" w:hAnsi="Times New Roman" w:cs="Times New Roman"/>
                      <w:sz w:val="26"/>
                      <w:szCs w:val="26"/>
                    </w:rPr>
                  </w:pPr>
                  <w:r w:rsidRPr="00070B85">
                    <w:rPr>
                      <w:rFonts w:ascii="Times New Roman" w:hAnsi="Times New Roman" w:cs="Times New Roman"/>
                      <w:sz w:val="26"/>
                      <w:szCs w:val="26"/>
                    </w:rPr>
                    <w:t xml:space="preserve">komercsabiedrībām, kuru dalībnieks, akcionārs, biedrs, pārraudzības, kontroles vai izpildinstitūcijas loceklis ir šī valsts amatpersona vai tās radinieks, un kuras </w:t>
                  </w:r>
                  <w:r w:rsidRPr="00070B85">
                    <w:rPr>
                      <w:rFonts w:ascii="Times New Roman" w:eastAsia="Calibri" w:hAnsi="Times New Roman" w:cs="Times New Roman"/>
                      <w:sz w:val="26"/>
                      <w:szCs w:val="26"/>
                    </w:rPr>
                    <w:t>darbojas jomā, kuru uzrauga vai kontrolē attiecīgā publiskās personas institūcija;</w:t>
                  </w:r>
                </w:p>
                <w:p w:rsidR="00070B85" w:rsidRPr="00070B85" w:rsidRDefault="00070B85" w:rsidP="00070B85">
                  <w:pPr>
                    <w:numPr>
                      <w:ilvl w:val="0"/>
                      <w:numId w:val="5"/>
                    </w:numPr>
                    <w:spacing w:after="0" w:line="240" w:lineRule="auto"/>
                    <w:ind w:left="469" w:hanging="426"/>
                    <w:contextualSpacing/>
                    <w:rPr>
                      <w:rFonts w:ascii="Times New Roman" w:hAnsi="Times New Roman" w:cs="Times New Roman"/>
                      <w:sz w:val="26"/>
                      <w:szCs w:val="26"/>
                    </w:rPr>
                  </w:pPr>
                  <w:r w:rsidRPr="00070B85">
                    <w:rPr>
                      <w:rFonts w:ascii="Times New Roman" w:eastAsia="Calibri" w:hAnsi="Times New Roman" w:cs="Times New Roman"/>
                      <w:sz w:val="26"/>
                      <w:szCs w:val="26"/>
                    </w:rPr>
                    <w:t>biedrībām un nodibinājumiem, kuras pārvaldes institūcijas loceklis vai biedrs ir valsts amatpersona vai tās radinieks, un kura saņem attiecīgās publiskās personas institūcijas finanšu līdzekļus;</w:t>
                  </w:r>
                </w:p>
                <w:p w:rsidR="00070B85" w:rsidRPr="00070B85" w:rsidRDefault="00070B85" w:rsidP="00070B85">
                  <w:pPr>
                    <w:numPr>
                      <w:ilvl w:val="0"/>
                      <w:numId w:val="5"/>
                    </w:numPr>
                    <w:spacing w:after="0" w:line="240" w:lineRule="auto"/>
                    <w:ind w:left="469" w:hanging="426"/>
                    <w:contextualSpacing/>
                    <w:rPr>
                      <w:rFonts w:ascii="Times New Roman" w:hAnsi="Times New Roman" w:cs="Times New Roman"/>
                      <w:sz w:val="26"/>
                      <w:szCs w:val="26"/>
                    </w:rPr>
                  </w:pPr>
                  <w:r w:rsidRPr="00070B85">
                    <w:rPr>
                      <w:rFonts w:ascii="Times New Roman" w:eastAsia="Calibri" w:hAnsi="Times New Roman" w:cs="Times New Roman"/>
                      <w:sz w:val="26"/>
                      <w:szCs w:val="26"/>
                    </w:rPr>
                    <w:t>par radiniekiem, kuri strādā attiecīgās valsts amatpersonas tiešā vai netiešā pakļautībā vai arī augstākā iestādē, kuras padotībā ir iestāde, kurā valsts amatpersona pilda pienākumus.</w:t>
                  </w:r>
                </w:p>
                <w:p w:rsidR="00070B85" w:rsidRPr="00070B85" w:rsidRDefault="00070B85" w:rsidP="00070B85">
                  <w:pPr>
                    <w:spacing w:after="0" w:line="240" w:lineRule="auto"/>
                    <w:ind w:left="43"/>
                    <w:rPr>
                      <w:rFonts w:ascii="Times New Roman" w:hAnsi="Times New Roman" w:cs="Times New Roman"/>
                      <w:sz w:val="26"/>
                      <w:szCs w:val="26"/>
                    </w:rPr>
                  </w:pPr>
                  <w:r w:rsidRPr="00070B85">
                    <w:rPr>
                      <w:rFonts w:ascii="Times New Roman" w:hAnsi="Times New Roman" w:cs="Times New Roman"/>
                      <w:sz w:val="26"/>
                      <w:szCs w:val="26"/>
                    </w:rPr>
                    <w:t xml:space="preserve">Visai iepriekš uzskaitītai informācijai būtu jābūt publiskas personas institūcijas vadītāja rīcībā, lai tas būtu informēts par valsts amatpersonas saistībām un savlaicīgi varētu novērst valsts amatpersonas nonākšanu interešu konflikta situācijā. Piem., gadījumos, kad valsts amatpersona atklāta konkursa ietvaros būs saņēmusi publisko iepirkumu (t.i., izlietojusi savas Likuma 10.pantā minētās tiesības), nebūtu </w:t>
                  </w:r>
                  <w:r w:rsidRPr="00070B85">
                    <w:rPr>
                      <w:rFonts w:ascii="Times New Roman" w:hAnsi="Times New Roman" w:cs="Times New Roman"/>
                      <w:sz w:val="26"/>
                      <w:szCs w:val="26"/>
                    </w:rPr>
                    <w:lastRenderedPageBreak/>
                    <w:t xml:space="preserve">pieļaujams noslēgtā iepirkuma līguma izpildes uzraudzību vai kontroli uzticēt šai pašai valsts amatpersonai (piem., pilnvarot parakstīt preču vai pakalpojumu pieņemšanas – nodošanas aktu). Tāpat </w:t>
                  </w:r>
                  <w:r w:rsidRPr="00070B85">
                    <w:rPr>
                      <w:rFonts w:ascii="Times New Roman" w:eastAsia="Times New Roman" w:hAnsi="Times New Roman" w:cs="Times New Roman"/>
                      <w:sz w:val="26"/>
                      <w:szCs w:val="26"/>
                      <w:lang w:eastAsia="lv-LV"/>
                    </w:rPr>
                    <w:t xml:space="preserve">Likuma 21.panta pirmās daļas 1.punkta a) </w:t>
                  </w:r>
                  <w:proofErr w:type="spellStart"/>
                  <w:r w:rsidRPr="00070B85">
                    <w:rPr>
                      <w:rFonts w:ascii="Times New Roman" w:eastAsia="Times New Roman" w:hAnsi="Times New Roman" w:cs="Times New Roman"/>
                      <w:sz w:val="26"/>
                      <w:szCs w:val="26"/>
                      <w:lang w:eastAsia="lv-LV"/>
                    </w:rPr>
                    <w:t>apakšp</w:t>
                  </w:r>
                  <w:proofErr w:type="spellEnd"/>
                  <w:r w:rsidRPr="00070B85">
                    <w:rPr>
                      <w:rFonts w:ascii="Times New Roman" w:eastAsia="Times New Roman" w:hAnsi="Times New Roman" w:cs="Times New Roman"/>
                      <w:sz w:val="26"/>
                      <w:szCs w:val="26"/>
                      <w:lang w:eastAsia="lv-LV"/>
                    </w:rPr>
                    <w:t xml:space="preserve">. un 2.punkta a) </w:t>
                  </w:r>
                  <w:proofErr w:type="spellStart"/>
                  <w:r w:rsidRPr="00070B85">
                    <w:rPr>
                      <w:rFonts w:ascii="Times New Roman" w:eastAsia="Times New Roman" w:hAnsi="Times New Roman" w:cs="Times New Roman"/>
                      <w:sz w:val="26"/>
                      <w:szCs w:val="26"/>
                      <w:lang w:eastAsia="lv-LV"/>
                    </w:rPr>
                    <w:t>apakšp</w:t>
                  </w:r>
                  <w:proofErr w:type="spellEnd"/>
                  <w:r w:rsidRPr="00070B85">
                    <w:rPr>
                      <w:rFonts w:ascii="Times New Roman" w:eastAsia="Times New Roman" w:hAnsi="Times New Roman" w:cs="Times New Roman"/>
                      <w:sz w:val="26"/>
                      <w:szCs w:val="26"/>
                      <w:lang w:eastAsia="lv-LV"/>
                    </w:rPr>
                    <w:t xml:space="preserve">. minēto informāciju iestādes vadītājs varēs izmantot, veidojot iepirkuma komisiju, proti, tās sastāvā neiekļaujot valsts amatpersonu, ja iepirkuma priekšmets būs saistīts ar jomu, kurā specializējas valsts amatpersonas vai tās radinieka komercsabiedrība. Tātad, saņemot šo informāciju, publikas personas institūcijas vadītājs jau preventīvi varēs novērst valsts amatpersonas nonākšanu interešu konflikta situācijā. Šo iemeslu dēļ Korupcijas novēršanas un apkarošanas birojs ir izvēlēsies atšķirīgu pieeju, salīdzinot ar spēkā esošo regulējumu, un nosaka pienākumu iesniegt 21.panta pirmās daļas 1.punkta a) </w:t>
                  </w:r>
                  <w:proofErr w:type="spellStart"/>
                  <w:r w:rsidRPr="00070B85">
                    <w:rPr>
                      <w:rFonts w:ascii="Times New Roman" w:eastAsia="Times New Roman" w:hAnsi="Times New Roman" w:cs="Times New Roman"/>
                      <w:sz w:val="26"/>
                      <w:szCs w:val="26"/>
                      <w:lang w:eastAsia="lv-LV"/>
                    </w:rPr>
                    <w:t>apakšp</w:t>
                  </w:r>
                  <w:proofErr w:type="spellEnd"/>
                  <w:r w:rsidRPr="00070B85">
                    <w:rPr>
                      <w:rFonts w:ascii="Times New Roman" w:eastAsia="Times New Roman" w:hAnsi="Times New Roman" w:cs="Times New Roman"/>
                      <w:sz w:val="26"/>
                      <w:szCs w:val="26"/>
                      <w:lang w:eastAsia="lv-LV"/>
                    </w:rPr>
                    <w:t xml:space="preserve">. un 2.punkta a) </w:t>
                  </w:r>
                  <w:proofErr w:type="spellStart"/>
                  <w:r w:rsidRPr="00070B85">
                    <w:rPr>
                      <w:rFonts w:ascii="Times New Roman" w:eastAsia="Times New Roman" w:hAnsi="Times New Roman" w:cs="Times New Roman"/>
                      <w:sz w:val="26"/>
                      <w:szCs w:val="26"/>
                      <w:lang w:eastAsia="lv-LV"/>
                    </w:rPr>
                    <w:t>apakšp</w:t>
                  </w:r>
                  <w:proofErr w:type="spellEnd"/>
                  <w:r w:rsidRPr="00070B85">
                    <w:rPr>
                      <w:rFonts w:ascii="Times New Roman" w:eastAsia="Times New Roman" w:hAnsi="Times New Roman" w:cs="Times New Roman"/>
                      <w:sz w:val="26"/>
                      <w:szCs w:val="26"/>
                      <w:lang w:eastAsia="lv-LV"/>
                    </w:rPr>
                    <w:t xml:space="preserve">. minēto informāciju, pat ja </w:t>
                  </w:r>
                  <w:r w:rsidRPr="00070B85">
                    <w:rPr>
                      <w:rFonts w:ascii="Times New Roman" w:hAnsi="Times New Roman" w:cs="Times New Roman"/>
                      <w:sz w:val="26"/>
                      <w:szCs w:val="26"/>
                    </w:rPr>
                    <w:t>publiskais iepirkums, partnerības iepirkums, sabiedrisko pakalpojumu sniedzēju iepirkums vai koncesija, publiskas personas finanšu līdzekļi vai valsts vai pašvaldības garantēti kredīti ir piešķirti atklāta konkursa ietvaros.</w:t>
                  </w:r>
                </w:p>
                <w:p w:rsidR="00070B85" w:rsidRPr="00070B85" w:rsidRDefault="00070B85" w:rsidP="00070B85">
                  <w:pPr>
                    <w:spacing w:after="0" w:line="240" w:lineRule="auto"/>
                    <w:ind w:left="43"/>
                    <w:rPr>
                      <w:rFonts w:ascii="Times New Roman" w:hAnsi="Times New Roman" w:cs="Times New Roman"/>
                      <w:sz w:val="26"/>
                      <w:szCs w:val="26"/>
                    </w:rPr>
                  </w:pPr>
                </w:p>
                <w:p w:rsidR="00070B85" w:rsidRPr="00070B85" w:rsidRDefault="00070B85" w:rsidP="00070B85">
                  <w:pPr>
                    <w:spacing w:after="0" w:line="240" w:lineRule="auto"/>
                    <w:ind w:left="43"/>
                    <w:rPr>
                      <w:rFonts w:ascii="Times New Roman" w:hAnsi="Times New Roman" w:cs="Times New Roman"/>
                      <w:sz w:val="26"/>
                      <w:szCs w:val="26"/>
                    </w:rPr>
                  </w:pPr>
                  <w:r w:rsidRPr="00070B85">
                    <w:rPr>
                      <w:rFonts w:ascii="Times New Roman" w:hAnsi="Times New Roman" w:cs="Times New Roman"/>
                      <w:sz w:val="26"/>
                      <w:szCs w:val="26"/>
                    </w:rPr>
                    <w:t xml:space="preserve">Pēc savas būtības visa 21.panta pirmajā daļā minētā informācija </w:t>
                  </w:r>
                  <w:r w:rsidRPr="00070B85">
                    <w:rPr>
                      <w:rFonts w:ascii="Times New Roman" w:eastAsia="Times New Roman" w:hAnsi="Times New Roman" w:cs="Times New Roman"/>
                      <w:sz w:val="26"/>
                      <w:szCs w:val="26"/>
                      <w:lang w:eastAsia="lv-LV"/>
                    </w:rPr>
                    <w:t xml:space="preserve">ir nepieciešama preventīvo pasākumu īstenošanai iestādē jeb iekšējās kontroles sistēmas korupcijas un interešu konflikta riska novēršanai nodrošināšanai (tās ieviešana paredzēta Korupcijas novēršanas un apkarošanas pamatnostādņu 2015.-2020.gadam 3.3.uzdevumā). Proti, publiskas personas institūcija (tajā skaitā valsts amatpersonas tiešais vadītājs), reaģējot uz saņemto informāciju, veic atbilstošas darbības, piem., </w:t>
                  </w:r>
                  <w:r w:rsidRPr="00070B85">
                    <w:rPr>
                      <w:rFonts w:ascii="Times New Roman" w:hAnsi="Times New Roman" w:cs="Times New Roman"/>
                      <w:sz w:val="26"/>
                      <w:szCs w:val="26"/>
                    </w:rPr>
                    <w:t xml:space="preserve">pilnvarojot citu valsts amatpersonu veikt konkrētā uzdevuma izpildi vai veicot pašas valsts amatpersonu rotāciju (ja iespējams). Savukārt </w:t>
                  </w:r>
                  <w:r w:rsidRPr="00070B85">
                    <w:rPr>
                      <w:rFonts w:ascii="Times New Roman" w:eastAsia="Times New Roman" w:hAnsi="Times New Roman" w:cs="Times New Roman"/>
                      <w:sz w:val="26"/>
                      <w:szCs w:val="26"/>
                      <w:lang w:eastAsia="lv-LV"/>
                    </w:rPr>
                    <w:t>21.panta trešā daļa ir iecerēta kā papildu interešu konflikta novēršanas mehānisms tiem gadījumiem, kad sākotnējie preventīvie pasākumi nav bijuši efektīvi. Tādējādi atšķirība starp 21.panta pirmās un trešās daļas informēšanas pienākumu izpaužas tādējādi, ka</w:t>
                  </w:r>
                  <w:r w:rsidR="003F2981">
                    <w:rPr>
                      <w:rFonts w:ascii="Times New Roman" w:eastAsia="Times New Roman" w:hAnsi="Times New Roman" w:cs="Times New Roman"/>
                      <w:sz w:val="26"/>
                      <w:szCs w:val="26"/>
                      <w:lang w:eastAsia="lv-LV"/>
                    </w:rPr>
                    <w:t xml:space="preserve"> </w:t>
                  </w:r>
                  <w:r w:rsidRPr="00070B85">
                    <w:rPr>
                      <w:rFonts w:ascii="Times New Roman" w:eastAsia="Times New Roman" w:hAnsi="Times New Roman" w:cs="Times New Roman"/>
                      <w:sz w:val="26"/>
                      <w:szCs w:val="26"/>
                      <w:lang w:eastAsia="lv-LV"/>
                    </w:rPr>
                    <w:t>valsts amatpersonas 21.panta trešā daļā minētais pienākums var neiestāties, ja publiskas personas institūcija jau sākotnēji (preventīvi) būs novērsusi valsts amatpersonas nonākšanu šādā situācijā.</w:t>
                  </w:r>
                </w:p>
                <w:p w:rsidR="00070B85" w:rsidRPr="00070B85" w:rsidRDefault="00070B85" w:rsidP="00070B85">
                  <w:pPr>
                    <w:spacing w:after="0" w:line="240" w:lineRule="auto"/>
                    <w:ind w:left="43"/>
                    <w:rPr>
                      <w:rFonts w:ascii="Times New Roman" w:hAnsi="Times New Roman" w:cs="Times New Roman"/>
                      <w:bCs/>
                      <w:sz w:val="26"/>
                      <w:szCs w:val="26"/>
                    </w:rPr>
                  </w:pPr>
                  <w:r w:rsidRPr="00070B85">
                    <w:rPr>
                      <w:rFonts w:ascii="Times New Roman" w:eastAsia="Times New Roman" w:hAnsi="Times New Roman" w:cs="Times New Roman"/>
                      <w:sz w:val="26"/>
                      <w:szCs w:val="26"/>
                      <w:lang w:eastAsia="lv-LV"/>
                    </w:rPr>
                    <w:t xml:space="preserve">Papildus ir norādāms, ka, ja valsts amatpersona labprātīgi neīstenos savu pašatstatīšanās jeb </w:t>
                  </w:r>
                  <w:r w:rsidRPr="00070B85">
                    <w:rPr>
                      <w:rFonts w:ascii="Times New Roman" w:hAnsi="Times New Roman" w:cs="Times New Roman"/>
                      <w:bCs/>
                      <w:sz w:val="26"/>
                      <w:szCs w:val="26"/>
                    </w:rPr>
                    <w:t>paziņošanas par atrašanos interešu konflikta situācijā</w:t>
                  </w:r>
                  <w:r w:rsidRPr="00070B85">
                    <w:rPr>
                      <w:rFonts w:ascii="Times New Roman" w:eastAsia="Times New Roman" w:hAnsi="Times New Roman" w:cs="Times New Roman"/>
                      <w:sz w:val="26"/>
                      <w:szCs w:val="26"/>
                      <w:lang w:eastAsia="lv-LV"/>
                    </w:rPr>
                    <w:t xml:space="preserve"> pienākumu, kas iekļauts 21.panta trešajā daļā, tad tāpat kā līdz šim tai var iestāties administratīvā atbildība saskaņā ar Latvijas administratīvo </w:t>
                  </w:r>
                  <w:r w:rsidRPr="00070B85">
                    <w:rPr>
                      <w:rFonts w:ascii="Times New Roman" w:eastAsia="Times New Roman" w:hAnsi="Times New Roman" w:cs="Times New Roman"/>
                      <w:sz w:val="26"/>
                      <w:szCs w:val="26"/>
                      <w:lang w:eastAsia="lv-LV"/>
                    </w:rPr>
                    <w:lastRenderedPageBreak/>
                    <w:t>pārkāpumu kodeksa 166.</w:t>
                  </w:r>
                  <w:r w:rsidRPr="00070B85">
                    <w:rPr>
                      <w:rFonts w:ascii="Times New Roman" w:eastAsia="Times New Roman" w:hAnsi="Times New Roman" w:cs="Times New Roman"/>
                      <w:sz w:val="26"/>
                      <w:szCs w:val="26"/>
                      <w:vertAlign w:val="superscript"/>
                      <w:lang w:eastAsia="lv-LV"/>
                    </w:rPr>
                    <w:t>29</w:t>
                  </w:r>
                  <w:r w:rsidRPr="00070B85">
                    <w:rPr>
                      <w:rFonts w:ascii="Times New Roman" w:eastAsia="Times New Roman" w:hAnsi="Times New Roman" w:cs="Times New Roman"/>
                      <w:sz w:val="26"/>
                      <w:szCs w:val="26"/>
                      <w:lang w:eastAsia="lv-LV"/>
                    </w:rPr>
                    <w:t>pantu</w:t>
                  </w:r>
                  <w:r w:rsidRPr="00070B85">
                    <w:rPr>
                      <w:rFonts w:ascii="Times New Roman" w:hAnsi="Times New Roman" w:cs="Times New Roman"/>
                      <w:bCs/>
                      <w:sz w:val="26"/>
                      <w:szCs w:val="26"/>
                    </w:rPr>
                    <w:t>.</w:t>
                  </w:r>
                </w:p>
                <w:p w:rsidR="00070B85" w:rsidRPr="00070B85" w:rsidRDefault="00070B85" w:rsidP="00070B85">
                  <w:pPr>
                    <w:spacing w:after="0" w:line="240" w:lineRule="auto"/>
                    <w:ind w:left="43"/>
                    <w:rPr>
                      <w:rFonts w:ascii="Times New Roman" w:hAnsi="Times New Roman" w:cs="Times New Roman"/>
                      <w:sz w:val="26"/>
                      <w:szCs w:val="26"/>
                    </w:rPr>
                  </w:pPr>
                </w:p>
                <w:p w:rsidR="00070B85" w:rsidRPr="00070B85" w:rsidRDefault="00070B85" w:rsidP="00070B85">
                  <w:pPr>
                    <w:spacing w:after="0" w:line="240" w:lineRule="auto"/>
                    <w:ind w:left="43"/>
                    <w:rPr>
                      <w:rFonts w:ascii="Times New Roman" w:hAnsi="Times New Roman" w:cs="Times New Roman"/>
                      <w:sz w:val="26"/>
                      <w:szCs w:val="26"/>
                    </w:rPr>
                  </w:pPr>
                  <w:r w:rsidRPr="00070B85">
                    <w:rPr>
                      <w:rFonts w:ascii="Times New Roman" w:hAnsi="Times New Roman" w:cs="Times New Roman"/>
                      <w:sz w:val="26"/>
                      <w:szCs w:val="26"/>
                    </w:rPr>
                    <w:t xml:space="preserve">Likuma 21.panta pirmās daļas apakšpunktos minētā informācija ir iesniedzama divos gadījumos: a) valsts amatpersonai stājoties amatā un b) </w:t>
                  </w:r>
                  <w:r w:rsidRPr="00070B85">
                    <w:rPr>
                      <w:rFonts w:ascii="Times New Roman" w:eastAsia="Calibri" w:hAnsi="Times New Roman" w:cs="Times New Roman"/>
                      <w:sz w:val="26"/>
                      <w:szCs w:val="26"/>
                    </w:rPr>
                    <w:t>gadījumos, kad kādi no panta pirmajā daļā minētajiem tiesiskajiem un faktiskajiem apstākļiem iestājas personai, pildot valsts amatpersonas pienākumus. Tiklīdz valsts amatpersonas statusā notiek kādas izmaiņas vai tā ir uzzinājusi vai tai vajadzēja uzzināt par šādu izmaiņu iestāšanos radiniekiem, tā likumprojektā noteiktajā termiņā rakstveidā iesniedz informāciju augstākai valsts amatpersonai vai koleģiālai institūcijai. Attiecīgi augstāka valsts amatpersona (piem., valsts amatpersonas tiešais vadītājs) saņemto informāciju iesniedz iestādes vadītājam iekšējā normatīvajā aktā noteiktajā kārtībā, lai iestādes vadītājs varētu pienācīgi izpildīt savu Likuma 20.panta pirmajā daļā noteikto pienākumu</w:t>
                  </w:r>
                  <w:r w:rsidRPr="00070B85">
                    <w:rPr>
                      <w:rFonts w:ascii="Times New Roman" w:hAnsi="Times New Roman" w:cs="Times New Roman"/>
                      <w:sz w:val="26"/>
                      <w:szCs w:val="26"/>
                    </w:rPr>
                    <w:t>, t.i., nepieļaut, lai šajā institūcijā strādājošās valsts amatpersonas nonāktu interešu konflikta situācijā un šādā situācijā īstenotu valsts amatpersonas amata pilnvaras. Iestādes vadītājs, interešu konflikta novēršanas pasākumu noteikšanai, minēto informāciju nodod tālāk amatpersonai vai struktūrvienībai, kas atbild par iekšējās kontroles sistēmas ieviešanu un uzturēšanu, kā arī minēto informāciju nodod pievienošanai personas lietā.</w:t>
                  </w:r>
                </w:p>
                <w:p w:rsidR="00070B85" w:rsidRPr="00070B85" w:rsidRDefault="00070B85" w:rsidP="00070B85">
                  <w:pPr>
                    <w:spacing w:after="0" w:line="240" w:lineRule="auto"/>
                    <w:ind w:left="43"/>
                    <w:rPr>
                      <w:rFonts w:ascii="Times New Roman" w:hAnsi="Times New Roman" w:cs="Times New Roman"/>
                      <w:sz w:val="26"/>
                      <w:szCs w:val="26"/>
                    </w:rPr>
                  </w:pPr>
                </w:p>
                <w:p w:rsidR="00070B85" w:rsidRPr="00070B85" w:rsidRDefault="00070B85" w:rsidP="00070B85">
                  <w:pPr>
                    <w:spacing w:after="0" w:line="240" w:lineRule="auto"/>
                    <w:ind w:left="43"/>
                    <w:rPr>
                      <w:rFonts w:ascii="Times New Roman" w:hAnsi="Times New Roman" w:cs="Times New Roman"/>
                      <w:sz w:val="26"/>
                      <w:szCs w:val="26"/>
                    </w:rPr>
                  </w:pPr>
                  <w:r w:rsidRPr="00070B85">
                    <w:rPr>
                      <w:rFonts w:ascii="Times New Roman" w:hAnsi="Times New Roman" w:cs="Times New Roman"/>
                      <w:sz w:val="26"/>
                      <w:szCs w:val="26"/>
                    </w:rPr>
                    <w:t>Nosakot Likuma 21.panta pirmajā daļā termiņu – piecas darba dienas – informācijas, kas ir valsts amatpersonas rīcībā, iesniegšanai, ir ņemts vērā iesniedzamās informācijas raksturs, proti, ka iestāde ir jāinformē tikai par fakta iestāšanos bez apliecinošo dokumentu pievienošanas, tādējādi neradot valsts amatpersonai būtisku administratīvo slogu. Piem., ja valsts amatpersona kļūst par kapitālsabiedrības dalībnieku, tā sagatavo iesniegumu (ziņojumu) brīvā vai iestādes noteiktā formā, norādot kapitālsabiedrības nosaukumu, reģistrācijas numuru, 21.panta pirmās daļas 1.punta a) vai b) apakšpunktā minēto informāciju un datumu, ar kuru notikušas izmaiņas valsts amatpersonas tiesiskajā statusā. Izvēlētais piecu darba dienu termiņš ir valsts amatpersonai labvēlīgāks par šobrīd spēkā esošajā Likuma 21.panta pirmajā daļā nenoteikto ģenerālklauzulu “</w:t>
                  </w:r>
                  <w:r w:rsidRPr="00070B85">
                    <w:rPr>
                      <w:rFonts w:ascii="Times New Roman" w:hAnsi="Times New Roman" w:cs="Times New Roman"/>
                      <w:i/>
                      <w:sz w:val="26"/>
                      <w:szCs w:val="26"/>
                    </w:rPr>
                    <w:t>nekavējoties</w:t>
                  </w:r>
                  <w:r w:rsidRPr="00070B85">
                    <w:rPr>
                      <w:rFonts w:ascii="Times New Roman" w:hAnsi="Times New Roman" w:cs="Times New Roman"/>
                      <w:sz w:val="26"/>
                      <w:szCs w:val="26"/>
                    </w:rPr>
                    <w:t>”, kas ir interpretējama kā tūlītēja un neatliekama rīcība.</w:t>
                  </w:r>
                </w:p>
                <w:p w:rsidR="00070B85" w:rsidRPr="00070B85" w:rsidRDefault="00070B85" w:rsidP="00070B85">
                  <w:pPr>
                    <w:spacing w:after="0" w:line="240" w:lineRule="auto"/>
                    <w:ind w:left="43"/>
                    <w:rPr>
                      <w:rFonts w:ascii="Times New Roman" w:hAnsi="Times New Roman" w:cs="Times New Roman"/>
                      <w:sz w:val="26"/>
                      <w:szCs w:val="26"/>
                    </w:rPr>
                  </w:pP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 xml:space="preserve">OECD </w:t>
                  </w:r>
                  <w:r w:rsidRPr="00070B85">
                    <w:rPr>
                      <w:rFonts w:ascii="Times New Roman" w:eastAsia="Times New Roman" w:hAnsi="Times New Roman" w:cs="Times New Roman"/>
                      <w:bCs/>
                      <w:color w:val="000000"/>
                      <w:sz w:val="26"/>
                      <w:szCs w:val="26"/>
                      <w:lang w:bidi="ml-IN"/>
                    </w:rPr>
                    <w:t xml:space="preserve">Kukuļošanas apkarošanas starptautiskajos biznesa </w:t>
                  </w:r>
                  <w:r w:rsidRPr="00070B85">
                    <w:rPr>
                      <w:rFonts w:ascii="Times New Roman" w:eastAsia="Times New Roman" w:hAnsi="Times New Roman" w:cs="Times New Roman"/>
                      <w:bCs/>
                      <w:color w:val="000000"/>
                      <w:sz w:val="26"/>
                      <w:szCs w:val="26"/>
                      <w:lang w:bidi="ml-IN"/>
                    </w:rPr>
                    <w:lastRenderedPageBreak/>
                    <w:t>darījumos darba grupas 2.fāzes Latvijas novērtējuma ziņojumā</w:t>
                  </w:r>
                  <w:r w:rsidRPr="00070B85">
                    <w:rPr>
                      <w:rFonts w:ascii="Times New Roman" w:eastAsia="Times New Roman" w:hAnsi="Times New Roman" w:cs="Times New Roman"/>
                      <w:bCs/>
                      <w:color w:val="000000"/>
                      <w:sz w:val="26"/>
                      <w:szCs w:val="26"/>
                      <w:vertAlign w:val="superscript"/>
                      <w:lang w:bidi="ml-IN"/>
                    </w:rPr>
                    <w:footnoteReference w:id="12"/>
                  </w:r>
                  <w:r w:rsidRPr="00070B85">
                    <w:rPr>
                      <w:rFonts w:ascii="Times New Roman" w:eastAsia="Times New Roman" w:hAnsi="Times New Roman" w:cs="Times New Roman"/>
                      <w:bCs/>
                      <w:color w:val="000000"/>
                      <w:sz w:val="26"/>
                      <w:szCs w:val="26"/>
                      <w:lang w:bidi="ml-IN"/>
                    </w:rPr>
                    <w:t xml:space="preserve"> (14.-15.lpp.) norādīts, ka Latvijas normatīvajā regulējumā nav noteikts vispārējs pienākums valsts amatpersonām ziņot </w:t>
                  </w:r>
                  <w:r w:rsidRPr="00070B85">
                    <w:rPr>
                      <w:rFonts w:ascii="Times New Roman" w:hAnsi="Times New Roman" w:cs="Times New Roman"/>
                      <w:sz w:val="26"/>
                      <w:szCs w:val="26"/>
                    </w:rPr>
                    <w:t xml:space="preserve">tiesībsargājošām iestādēm par aizdomām par ārvalstu amatpersonu kukuļošanu starptautiskos darījumos, kas radušās, veicot savus dienesta pienākumus (2009.gada Rekomendācija III un </w:t>
                  </w:r>
                  <w:proofErr w:type="spellStart"/>
                  <w:r w:rsidRPr="00070B85">
                    <w:rPr>
                      <w:rFonts w:ascii="Times New Roman" w:hAnsi="Times New Roman" w:cs="Times New Roman"/>
                      <w:sz w:val="26"/>
                      <w:szCs w:val="26"/>
                    </w:rPr>
                    <w:t>IX(i</w:t>
                  </w:r>
                  <w:proofErr w:type="spellEnd"/>
                  <w:r w:rsidRPr="00070B85">
                    <w:rPr>
                      <w:rFonts w:ascii="Times New Roman" w:hAnsi="Times New Roman" w:cs="Times New Roman"/>
                      <w:sz w:val="26"/>
                      <w:szCs w:val="26"/>
                    </w:rPr>
                    <w:t xml:space="preserve">)). Šobrīd Krimināllikuma 315.pants paredz kriminālatbildību par neziņošanu, ja ir zināms, ka tiek gatavots vai izdarīts smags vai sevišķi smags noziegums. Šī noziedzīga nodarījuma subjekts ir ikviena fiziska persona, kas līdz nozieguma izdarīšanas dienai ir sasniegusi 14 gadu vecumu. “Atbildība saskaņā ar minēto pantu iestājas gadījumā, ja personai </w:t>
                  </w:r>
                  <w:r w:rsidRPr="00070B85">
                    <w:rPr>
                      <w:rFonts w:ascii="Times New Roman" w:hAnsi="Times New Roman" w:cs="Times New Roman"/>
                      <w:sz w:val="26"/>
                      <w:szCs w:val="26"/>
                      <w:u w:val="single"/>
                    </w:rPr>
                    <w:t>ir zināmi faktiskie apstākļi</w:t>
                  </w:r>
                  <w:r w:rsidRPr="00070B85">
                    <w:rPr>
                      <w:rFonts w:ascii="Times New Roman" w:hAnsi="Times New Roman" w:cs="Times New Roman"/>
                      <w:sz w:val="26"/>
                      <w:szCs w:val="26"/>
                    </w:rPr>
                    <w:t>, kas liecina par to, ka tiek gatavots vai jau ir izdarīts smags vai sevišķi smags noziegums</w:t>
                  </w:r>
                  <w:r w:rsidRPr="00070B85">
                    <w:rPr>
                      <w:rFonts w:ascii="Times New Roman" w:hAnsi="Times New Roman" w:cs="Times New Roman"/>
                      <w:sz w:val="26"/>
                      <w:szCs w:val="26"/>
                      <w:vertAlign w:val="superscript"/>
                    </w:rPr>
                    <w:footnoteReference w:id="13"/>
                  </w:r>
                  <w:r w:rsidRPr="00070B85">
                    <w:rPr>
                      <w:rFonts w:ascii="Times New Roman" w:hAnsi="Times New Roman" w:cs="Times New Roman"/>
                      <w:sz w:val="26"/>
                      <w:szCs w:val="26"/>
                    </w:rPr>
                    <w:t>”, proti, personai ir jābūt informētai par smagu vai sevišķi smagu noziegumu, un personas aizdomas vien nebūs pietiekams pamats, lai to sauktu pie kriminālatbildības. Savukārt OECD rekomendācija ir vērsta tieši uz valsts amatpersonas pienākuma noteikšanu ziņot tiesībsargājošajām iestādēm par personas subjektīvām aizdomām jeb iespējamiem korupcijas gadījumiem, ar mērķi veicināt noziegumu (mazāk smags, smags, sevišķi smags) un arī kriminālpārkāpumu atklāšanu un novēršanu. Tamdēļ, lai ieviestu minēto rekomendāciju, būtu papildināms Likums, nosakot vispārēju</w:t>
                  </w:r>
                  <w:r w:rsidRPr="00070B85">
                    <w:rPr>
                      <w:rFonts w:ascii="Times New Roman" w:eastAsia="Times New Roman" w:hAnsi="Times New Roman" w:cs="Times New Roman"/>
                      <w:sz w:val="26"/>
                      <w:szCs w:val="26"/>
                      <w:lang w:eastAsia="lv-LV"/>
                    </w:rPr>
                    <w:t xml:space="preserve"> valsts amatpersonām pienākumu ziņot Korupcijas novēršanas un apkaršanas birojam visos tajos gadījumos, kad minēto personu rīcībā ir nonākusi informācija, kas pirmšķietami norāda uz </w:t>
                  </w:r>
                  <w:proofErr w:type="spellStart"/>
                  <w:r w:rsidRPr="00070B85">
                    <w:rPr>
                      <w:rFonts w:ascii="Times New Roman" w:eastAsia="Times New Roman" w:hAnsi="Times New Roman" w:cs="Times New Roman"/>
                      <w:sz w:val="26"/>
                      <w:szCs w:val="26"/>
                      <w:lang w:eastAsia="lv-LV"/>
                    </w:rPr>
                    <w:t>koruptīvu</w:t>
                  </w:r>
                  <w:proofErr w:type="spellEnd"/>
                  <w:r w:rsidRPr="00070B85">
                    <w:rPr>
                      <w:rFonts w:ascii="Times New Roman" w:eastAsia="Times New Roman" w:hAnsi="Times New Roman" w:cs="Times New Roman"/>
                      <w:sz w:val="26"/>
                      <w:szCs w:val="26"/>
                      <w:lang w:eastAsia="lv-LV"/>
                    </w:rPr>
                    <w:t xml:space="preserve"> noziedzīgu nodarījumu izdarīšanu. Sagatavotā Likuma 21.panta atbilstošās daļas redakcija paredz divas iespējas valsts amatpersonai ziņot par iespējamiem korupcijas gadījumiem, t.i., institūcijas vadītājam vai Korupcijas novēršanas un apkarošanas birojam. Pirmajā gadījumā, tūlītēji reaģējot, tieši institūcijas vadītājam pastāv lielāka iespēja novērst plānotu noziedzīgu nodarījumu (tai skaitā iecerētu valsts amatpersonas kukuļošanu) ar tam pieejamiem instrumentiem, piem., nekavējoties uzticot konkrētā uzdevuma vai pienākuma izpildi citai valsts amatpersonai un attiecīgi par saņemto informāciju papildus ziņojot arī Korupcijas novēršanas un apkarošanas birojam (sk. iecerēto Likuma 20.panta grozījumu, ar kuru noteikts institūcijas vadītāja papildu (ziņošanas) pienākums). Savukārt attiecībā uz valsts </w:t>
                  </w:r>
                  <w:r w:rsidRPr="00070B85">
                    <w:rPr>
                      <w:rFonts w:ascii="Times New Roman" w:eastAsia="Times New Roman" w:hAnsi="Times New Roman" w:cs="Times New Roman"/>
                      <w:sz w:val="26"/>
                      <w:szCs w:val="26"/>
                      <w:lang w:eastAsia="lv-LV"/>
                    </w:rPr>
                    <w:lastRenderedPageBreak/>
                    <w:t xml:space="preserve">drošības iestādē strādājošajām valsts amatpersonām ir paredzēts vēl viens subjekts, kuru var informēt, rodoties aizdomām par iespējamām koruptīvām darbībām, t.i., ģenerālprokuroru. Ģenerālprokurora kā tiesu varai piederīgas personas iekļaušana subjektu lokā pamatojas ar diviem apsvērumiem: 1) </w:t>
                  </w:r>
                  <w:r w:rsidRPr="00070B85">
                    <w:rPr>
                      <w:rFonts w:ascii="Times New Roman" w:eastAsia="Times New Roman" w:hAnsi="Times New Roman" w:cs="Times New Roman"/>
                      <w:sz w:val="26"/>
                      <w:szCs w:val="26"/>
                    </w:rPr>
                    <w:t xml:space="preserve">saskaņā ar Prokuratūras likuma 2. panta 1.punktu un 12.pantu tieši </w:t>
                  </w:r>
                  <w:r w:rsidRPr="00070B85">
                    <w:rPr>
                      <w:rFonts w:ascii="Times New Roman" w:hAnsi="Times New Roman" w:cs="Times New Roman"/>
                      <w:sz w:val="26"/>
                      <w:szCs w:val="26"/>
                    </w:rPr>
                    <w:t>prokuratūra uzrauga pirmstiesas izmeklēšanas un operatīvās darbības, valsts drošības iestāžu izlūkošanas un pretizlūkošanas procesu un valsts noslēpuma aizsardzības sistēmas atbilstību likumiem; 2) jau šobrīd prokuratūras uzdevumos ietilpst pienākums reaģēt uz likuma pārkāpumu un likumā noteiktajā kārtībā izdarīt pārbaudi, ja informācijā ir ziņas par noziegumu.</w:t>
                  </w:r>
                </w:p>
                <w:p w:rsidR="00070B85" w:rsidRPr="00070B85" w:rsidRDefault="00070B85" w:rsidP="00070B85">
                  <w:pPr>
                    <w:spacing w:after="0" w:line="240" w:lineRule="auto"/>
                    <w:rPr>
                      <w:rFonts w:ascii="Times New Roman" w:hAnsi="Times New Roman" w:cs="Times New Roman"/>
                      <w:sz w:val="26"/>
                      <w:szCs w:val="26"/>
                    </w:rPr>
                  </w:pP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Ar ieplānotajiem grozījumiem Likumā tiek svītrots tā  21.</w:t>
                  </w:r>
                  <w:r w:rsidRPr="00070B85">
                    <w:rPr>
                      <w:rFonts w:ascii="Times New Roman" w:hAnsi="Times New Roman" w:cs="Times New Roman"/>
                      <w:sz w:val="26"/>
                      <w:szCs w:val="26"/>
                      <w:vertAlign w:val="superscript"/>
                    </w:rPr>
                    <w:t>1</w:t>
                  </w:r>
                  <w:r w:rsidRPr="00070B85">
                    <w:rPr>
                      <w:rFonts w:ascii="Times New Roman" w:hAnsi="Times New Roman" w:cs="Times New Roman"/>
                      <w:sz w:val="26"/>
                      <w:szCs w:val="26"/>
                    </w:rPr>
                    <w:t>pants, apvienojot divus līdzīgus pienākumus vienā tiesību normā, t.i., valsts amatpersonas pienākumu ziņot par interešu konflikta situācijām un pienākumu ziņot par iespējamiem korupcijas, tai skaitā ārvalstu amatpersonu kukuļošanas gadījumiem.</w:t>
                  </w:r>
                </w:p>
                <w:p w:rsidR="00070B85" w:rsidRPr="00070B85" w:rsidRDefault="00070B85" w:rsidP="00070B85">
                  <w:pPr>
                    <w:spacing w:after="0" w:line="240" w:lineRule="auto"/>
                    <w:rPr>
                      <w:rFonts w:ascii="Times New Roman" w:hAnsi="Times New Roman" w:cs="Times New Roman"/>
                      <w:sz w:val="26"/>
                      <w:szCs w:val="26"/>
                    </w:rPr>
                  </w:pPr>
                </w:p>
                <w:p w:rsidR="00070B85" w:rsidRDefault="00070B85" w:rsidP="00070B85">
                  <w:pPr>
                    <w:spacing w:after="0" w:line="240" w:lineRule="auto"/>
                    <w:jc w:val="center"/>
                    <w:rPr>
                      <w:rFonts w:ascii="Times New Roman" w:hAnsi="Times New Roman" w:cs="Times New Roman"/>
                      <w:b/>
                      <w:sz w:val="26"/>
                      <w:szCs w:val="26"/>
                    </w:rPr>
                  </w:pPr>
                  <w:r w:rsidRPr="00070B85">
                    <w:rPr>
                      <w:rFonts w:ascii="Times New Roman" w:hAnsi="Times New Roman" w:cs="Times New Roman"/>
                      <w:b/>
                      <w:sz w:val="26"/>
                      <w:szCs w:val="26"/>
                    </w:rPr>
                    <w:t>9. Noziedzīgi iegūtu līdzekļu legalizācijas novēršanas dienesta tiesības iepazīties ar publiski nepieejamās deklarācijas daļas informāciju</w:t>
                  </w:r>
                </w:p>
                <w:p w:rsidR="00973642" w:rsidRPr="00070B85" w:rsidRDefault="00973642" w:rsidP="00070B85">
                  <w:pPr>
                    <w:spacing w:after="0" w:line="240" w:lineRule="auto"/>
                    <w:jc w:val="center"/>
                    <w:rPr>
                      <w:rFonts w:ascii="Times New Roman" w:eastAsia="Times New Roman" w:hAnsi="Times New Roman" w:cs="Times New Roman"/>
                      <w:b/>
                      <w:sz w:val="26"/>
                      <w:szCs w:val="26"/>
                      <w:lang w:eastAsia="lv-LV"/>
                    </w:rPr>
                  </w:pP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eastAsia="Times New Roman" w:hAnsi="Times New Roman" w:cs="Times New Roman"/>
                      <w:sz w:val="26"/>
                      <w:szCs w:val="26"/>
                      <w:lang w:eastAsia="lv-LV"/>
                    </w:rPr>
                    <w:t xml:space="preserve">Likuma 26.panta piektās daļas spēkā esošā redakcija izsmeļoši nosaka valsts amatpersonu un institūciju, kurām </w:t>
                  </w:r>
                  <w:r w:rsidRPr="00070B85">
                    <w:rPr>
                      <w:rFonts w:ascii="Times New Roman" w:hAnsi="Times New Roman" w:cs="Times New Roman"/>
                      <w:sz w:val="26"/>
                      <w:szCs w:val="26"/>
                    </w:rPr>
                    <w:t xml:space="preserve">atbilstoši savai kompetencei </w:t>
                  </w:r>
                  <w:r w:rsidRPr="00070B85">
                    <w:rPr>
                      <w:rFonts w:ascii="Times New Roman" w:eastAsia="Times New Roman" w:hAnsi="Times New Roman" w:cs="Times New Roman"/>
                      <w:sz w:val="26"/>
                      <w:szCs w:val="26"/>
                      <w:lang w:eastAsia="lv-LV"/>
                    </w:rPr>
                    <w:t xml:space="preserve">ir tiesības iepazīties ar valsts amatpersonu deklarāciju publiski nepieejamās daļas informāciju, loku. Proti, tās ir </w:t>
                  </w:r>
                  <w:r w:rsidRPr="00070B85">
                    <w:rPr>
                      <w:rFonts w:ascii="Times New Roman" w:eastAsia="Times New Roman" w:hAnsi="Times New Roman" w:cs="Times New Roman"/>
                      <w:sz w:val="26"/>
                      <w:szCs w:val="26"/>
                      <w:u w:val="single"/>
                      <w:lang w:eastAsia="lv-LV"/>
                    </w:rPr>
                    <w:t xml:space="preserve">tikai </w:t>
                  </w:r>
                  <w:r w:rsidRPr="00070B85">
                    <w:rPr>
                      <w:rFonts w:ascii="Times New Roman" w:hAnsi="Times New Roman" w:cs="Times New Roman"/>
                      <w:sz w:val="26"/>
                      <w:szCs w:val="26"/>
                    </w:rPr>
                    <w:t xml:space="preserve">valsts amatpersonas un institūcijas, kuras saskaņā ar Likumu pārbauda deklarāciju saturu (t.i., Valsts ieņēmumu dienests, Satversmes aizsardzības birojs, Ministru prezidents vai viņa pilnvarota persona, Korupcijas novēršanas un apkarošanas birojs), kā arī Likumā noteiktajos gadījumos – prokurors un izziņas vai valsts drošības iestādes. Saskaņā ar Kriminālprocesa likuma pārejas noteikumu 9.punktu līdz normatīvo aktu redakciju pakāpeniskai precizēšanai ar terminu „izziņas iestāde” ir saprotams termins „izmeklēšanas iestāde”, kurā saskaņā ar Kriminālprocesa likuma 386.pantu ietilpst Valsts policija, Drošības policija, Finanšu policija, Militārā policija, Ieslodzījuma vietu pārvalde, Korupcijas novēršanas un apkarošanas birojs, muitas iestādes, Valsts robežsardze, tālbraucienos esošu jūras kuģu kapteiņi, ārvalsts teritorijā esošas Latvijas Nacionālo bruņoto spēku vienības komandieris. Vienlaikus Valsts drošības iestāžu likuma 11.panta pirmā daļa nosaka valsts drošības iestāžu kopumu, </w:t>
                  </w:r>
                  <w:r w:rsidRPr="00070B85">
                    <w:rPr>
                      <w:rFonts w:ascii="Times New Roman" w:hAnsi="Times New Roman" w:cs="Times New Roman"/>
                      <w:sz w:val="26"/>
                      <w:szCs w:val="26"/>
                    </w:rPr>
                    <w:lastRenderedPageBreak/>
                    <w:t>kuru veido Satversmes aizsardzības birojs, Militārās izlūkošanas un drošības dienests un Drošības policija.</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Tādējādi, lai īstenotu deklarācijas iesniedzēju, to radinieku un citu deklarācijā minēto personu datu aizsardzību, kā arī publiski nepieejamās deklarācijas daļas informācijas izmantošanu vienīgi normatīvajos aktos noteikto funkciju un uzdevumu izpildei, Likuma 26.panta piektajā daļā minēto amatpersonu un iestāžu uzskaitījums ir ierobežots (tas ir izsmeļošs).</w:t>
                  </w:r>
                </w:p>
                <w:p w:rsid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Nodrošinot publiski nepieejamās deklarācijas daļas informācijas izpaušanu iepriekš minētajiem subjektiem, Valsts ieņēmumu dienests ir konstatējis pamatotu nepieciešamību šo informāciju atklāt vēl vienai Likumā neminētai valsts institūcijai, proti, Noziedzīgi iegūtu līdzekļu legalizācijas novēršanas dienestam (turpmāk – Kontroles dienests). Kontroles dienests, kas darbojas prokuratūras pārraudzībā, veic neparastu un aizdomīgu darījumu kontroli,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 No vienas puses Noziedzīgi iegūtu līdzekļu legalizācijas un terorisma finansēšanas novēršanas likuma 54.panta pirmais teikums nosaka valsts un pašvaldību institūciju vispārēju sadarbības pienākumu, t.i., sniegt Kontroles dienestam tā funkciju veikšanai pieprasīto informāciju. No otras puses, Valsts ieņēmumu dienestam, atklājot deklarācijas publiski nepieejamās daļas informāciju, ir saistoša speciālā tiesību norma (t.i., Likuma 26.panta piektā daļa) attiecībā uz subjektu loku, kuram šāda veida informācija ir pieejama (atklājama). Lai saskaņotu Likuma regulējumu ar Noziedzīgi iegūtu līdzekļu legalizācijas un terorisma finansēšanas novēršanas likumā Kontroles dienestam piešķirtajām tiesībām pieprasīt un saņemt tā pamatfunkciju izpildei nepieciešamo informāciju, ir sagatavota atbilstoša Likuma 26.panta piektās daļas redakcija.</w:t>
                  </w:r>
                </w:p>
                <w:p w:rsidR="00C30683" w:rsidRDefault="00C30683" w:rsidP="00070B85">
                  <w:pPr>
                    <w:spacing w:after="0" w:line="240" w:lineRule="auto"/>
                    <w:rPr>
                      <w:rFonts w:ascii="Times New Roman" w:hAnsi="Times New Roman" w:cs="Times New Roman"/>
                      <w:sz w:val="26"/>
                      <w:szCs w:val="26"/>
                    </w:rPr>
                  </w:pPr>
                </w:p>
                <w:p w:rsidR="007465C6" w:rsidRDefault="00C30683" w:rsidP="00402F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10. </w:t>
                  </w:r>
                  <w:r w:rsidR="003107AA">
                    <w:rPr>
                      <w:rFonts w:ascii="Times New Roman" w:hAnsi="Times New Roman" w:cs="Times New Roman"/>
                      <w:b/>
                      <w:sz w:val="26"/>
                      <w:szCs w:val="26"/>
                    </w:rPr>
                    <w:t>Valsts amatpersonu, kuras nodarbinātas drošības un citās tiesībsargājošās iestādēs, deklarāciju un valsts amatpersonu sarakstu iesniegšanas kārtības precizēšana</w:t>
                  </w:r>
                </w:p>
                <w:p w:rsidR="00973642" w:rsidRPr="00402F91" w:rsidRDefault="00973642" w:rsidP="00402F91">
                  <w:pPr>
                    <w:spacing w:after="0" w:line="240" w:lineRule="auto"/>
                    <w:jc w:val="center"/>
                    <w:rPr>
                      <w:rFonts w:ascii="Times New Roman" w:hAnsi="Times New Roman" w:cs="Times New Roman"/>
                      <w:b/>
                      <w:sz w:val="26"/>
                      <w:szCs w:val="26"/>
                    </w:rPr>
                  </w:pPr>
                </w:p>
                <w:p w:rsidR="00CA2A57" w:rsidRPr="00101715" w:rsidRDefault="001176C3" w:rsidP="007465C6">
                  <w:pPr>
                    <w:spacing w:after="0" w:line="240" w:lineRule="auto"/>
                    <w:rPr>
                      <w:rFonts w:ascii="Times New Roman" w:eastAsia="Calibri" w:hAnsi="Times New Roman" w:cs="Times New Roman"/>
                      <w:sz w:val="26"/>
                      <w:szCs w:val="26"/>
                    </w:rPr>
                  </w:pPr>
                  <w:r w:rsidRPr="001176C3">
                    <w:rPr>
                      <w:rFonts w:ascii="Times New Roman" w:hAnsi="Times New Roman" w:cs="Times New Roman"/>
                      <w:sz w:val="26"/>
                      <w:szCs w:val="26"/>
                      <w:lang w:eastAsia="lv-LV"/>
                    </w:rPr>
                    <w:t xml:space="preserve">Valsts ieņēmumu dienests atbilstoši </w:t>
                  </w:r>
                  <w:r>
                    <w:rPr>
                      <w:rFonts w:ascii="Times New Roman" w:hAnsi="Times New Roman" w:cs="Times New Roman"/>
                      <w:sz w:val="26"/>
                      <w:szCs w:val="26"/>
                      <w:lang w:eastAsia="lv-LV"/>
                    </w:rPr>
                    <w:t>L</w:t>
                  </w:r>
                  <w:r w:rsidRPr="001176C3">
                    <w:rPr>
                      <w:rFonts w:ascii="Times New Roman" w:hAnsi="Times New Roman" w:cs="Times New Roman"/>
                      <w:sz w:val="26"/>
                      <w:szCs w:val="26"/>
                      <w:lang w:eastAsia="lv-LV"/>
                    </w:rPr>
                    <w:t xml:space="preserve">ikuma </w:t>
                  </w:r>
                  <w:hyperlink r:id="rId9" w:anchor="p23" w:tgtFrame="_blank" w:history="1">
                    <w:r w:rsidRPr="00402F91">
                      <w:rPr>
                        <w:rStyle w:val="Hyperlink"/>
                        <w:rFonts w:ascii="Times New Roman" w:hAnsi="Times New Roman" w:cs="Times New Roman"/>
                        <w:color w:val="auto"/>
                        <w:sz w:val="26"/>
                        <w:szCs w:val="26"/>
                        <w:u w:val="none"/>
                        <w:lang w:eastAsia="lv-LV"/>
                      </w:rPr>
                      <w:t>28.pant</w:t>
                    </w:r>
                  </w:hyperlink>
                  <w:r w:rsidRPr="00402F91">
                    <w:rPr>
                      <w:rFonts w:ascii="Times New Roman" w:hAnsi="Times New Roman" w:cs="Times New Roman"/>
                      <w:sz w:val="26"/>
                      <w:szCs w:val="26"/>
                      <w:lang w:eastAsia="lv-LV"/>
                    </w:rPr>
                    <w:t xml:space="preserve">ā </w:t>
                  </w:r>
                  <w:r w:rsidRPr="001176C3">
                    <w:rPr>
                      <w:rFonts w:ascii="Times New Roman" w:hAnsi="Times New Roman" w:cs="Times New Roman"/>
                      <w:sz w:val="26"/>
                      <w:szCs w:val="26"/>
                      <w:lang w:eastAsia="lv-LV"/>
                    </w:rPr>
                    <w:t xml:space="preserve">noteiktajai kompetencei, nodrošinot valsts amatpersonu iesniegto deklarāciju un publiskas personas institūcijas vadītāju iesniegto valsts amatpersonu sarakstu pārbaudes, ir </w:t>
                  </w:r>
                  <w:r w:rsidRPr="001176C3">
                    <w:rPr>
                      <w:rFonts w:ascii="Times New Roman" w:hAnsi="Times New Roman" w:cs="Times New Roman"/>
                      <w:sz w:val="26"/>
                      <w:szCs w:val="26"/>
                      <w:lang w:eastAsia="lv-LV"/>
                    </w:rPr>
                    <w:lastRenderedPageBreak/>
                    <w:t>konstatējis, ka attiecībā uz tām valsts amatpersonām, par kurām informāciju aizsargā likuma “Par valsts noslēpumu” regulējums, ir nepieciešams precizēt normatīvajos aktos noteikto valsts amatpersonas deklarāciju un valsts amatpersonu sarakstu (saraksta grozījumu) iesniegšanas kārtību.</w:t>
                  </w:r>
                  <w:r>
                    <w:rPr>
                      <w:rFonts w:ascii="Times New Roman" w:hAnsi="Times New Roman" w:cs="Times New Roman"/>
                      <w:sz w:val="26"/>
                      <w:szCs w:val="26"/>
                      <w:lang w:eastAsia="lv-LV"/>
                    </w:rPr>
                    <w:t xml:space="preserve"> </w:t>
                  </w:r>
                  <w:r w:rsidRPr="001176C3">
                    <w:rPr>
                      <w:rFonts w:ascii="Times New Roman" w:hAnsi="Times New Roman" w:cs="Times New Roman"/>
                      <w:sz w:val="26"/>
                      <w:szCs w:val="26"/>
                      <w:lang w:eastAsia="lv-LV"/>
                    </w:rPr>
                    <w:t>Proti</w:t>
                  </w:r>
                  <w:r w:rsidRPr="00101715">
                    <w:rPr>
                      <w:rFonts w:ascii="Times New Roman" w:hAnsi="Times New Roman" w:cs="Times New Roman"/>
                      <w:sz w:val="26"/>
                      <w:szCs w:val="26"/>
                      <w:lang w:eastAsia="lv-LV"/>
                    </w:rPr>
                    <w:t xml:space="preserve">, </w:t>
                  </w:r>
                  <w:r w:rsidR="00CA2A57" w:rsidRPr="00101715">
                    <w:rPr>
                      <w:rFonts w:ascii="Times New Roman" w:eastAsia="Calibri" w:hAnsi="Times New Roman" w:cs="Times New Roman"/>
                      <w:sz w:val="26"/>
                      <w:szCs w:val="26"/>
                    </w:rPr>
                    <w:t xml:space="preserve">šobrīd Likuma 20.panta piektā daļa nosaka, ka publiskas personas institūcijas vadītājam valsts amatpersonu saraksti un to grozījumi ir jāiesniedz tikai Valsts ieņēmumu dienestam, izmantojot elektronisko deklarēšanas sistēmu. </w:t>
                  </w:r>
                </w:p>
                <w:p w:rsidR="00CA2A57" w:rsidRPr="00101715" w:rsidRDefault="00CA2A57" w:rsidP="00CA2A57">
                  <w:pPr>
                    <w:spacing w:after="0" w:line="240" w:lineRule="auto"/>
                    <w:rPr>
                      <w:rFonts w:ascii="Times New Roman" w:eastAsia="Calibri" w:hAnsi="Times New Roman" w:cs="Times New Roman"/>
                      <w:sz w:val="26"/>
                      <w:szCs w:val="26"/>
                    </w:rPr>
                  </w:pPr>
                  <w:r w:rsidRPr="00101715">
                    <w:rPr>
                      <w:rFonts w:ascii="Times New Roman" w:eastAsia="Calibri" w:hAnsi="Times New Roman" w:cs="Times New Roman"/>
                      <w:sz w:val="26"/>
                      <w:szCs w:val="26"/>
                    </w:rPr>
                    <w:t>Minēto tiesību normu nav iespējams attiecināt uz valsts drošības iestāžu un citu iestāžu valsts amatpersonām, kurām piemēro likumā “Par valsts noslēpumu” noteiktās valsts nos</w:t>
                  </w:r>
                  <w:r w:rsidR="00272F86" w:rsidRPr="00101715">
                    <w:rPr>
                      <w:rFonts w:ascii="Times New Roman" w:eastAsia="Calibri" w:hAnsi="Times New Roman" w:cs="Times New Roman"/>
                      <w:sz w:val="26"/>
                      <w:szCs w:val="26"/>
                    </w:rPr>
                    <w:t>lēpuma aizsardzības prasības.</w:t>
                  </w:r>
                </w:p>
                <w:p w:rsidR="00272F86" w:rsidRPr="00101715" w:rsidRDefault="00272F86" w:rsidP="00CA2A57">
                  <w:pPr>
                    <w:spacing w:after="0" w:line="240" w:lineRule="auto"/>
                    <w:rPr>
                      <w:rFonts w:ascii="Times New Roman" w:eastAsia="Calibri" w:hAnsi="Times New Roman" w:cs="Times New Roman"/>
                      <w:sz w:val="26"/>
                      <w:szCs w:val="26"/>
                    </w:rPr>
                  </w:pPr>
                </w:p>
                <w:p w:rsidR="00CA2A57" w:rsidRPr="00101715" w:rsidRDefault="00CA2A57" w:rsidP="00CA2A57">
                  <w:pPr>
                    <w:spacing w:after="0" w:line="240" w:lineRule="auto"/>
                    <w:rPr>
                      <w:rFonts w:ascii="Times New Roman" w:eastAsia="Calibri" w:hAnsi="Times New Roman" w:cs="Times New Roman"/>
                      <w:sz w:val="26"/>
                      <w:szCs w:val="26"/>
                    </w:rPr>
                  </w:pPr>
                  <w:r w:rsidRPr="00101715">
                    <w:rPr>
                      <w:rFonts w:ascii="Times New Roman" w:eastAsia="Calibri" w:hAnsi="Times New Roman" w:cs="Times New Roman"/>
                      <w:sz w:val="26"/>
                      <w:szCs w:val="26"/>
                    </w:rPr>
                    <w:t>Likuma 23.panta trešajā daļā valsts drošības iestādēs strādājošajām valsts amatpersonām ir noteikts pienākums valsts amatpersonas deklarācijas iesniegt Satversmes aizsardzības</w:t>
                  </w:r>
                  <w:r w:rsidR="00791E6B" w:rsidRPr="00101715">
                    <w:rPr>
                      <w:rFonts w:ascii="Times New Roman" w:eastAsia="Calibri" w:hAnsi="Times New Roman" w:cs="Times New Roman"/>
                      <w:sz w:val="26"/>
                      <w:szCs w:val="26"/>
                    </w:rPr>
                    <w:t xml:space="preserve"> biroja direktoram, bet, tai pat laikā</w:t>
                  </w:r>
                  <w:r w:rsidRPr="00101715">
                    <w:rPr>
                      <w:rFonts w:ascii="Times New Roman" w:eastAsia="Calibri" w:hAnsi="Times New Roman" w:cs="Times New Roman"/>
                      <w:sz w:val="26"/>
                      <w:szCs w:val="26"/>
                    </w:rPr>
                    <w:t xml:space="preserve"> Likumā nav iekļauts regulējums, kas nosaka pienākumu valsts drošības iestāžu vadītājiem vai viņu pilnvarotajām personām Satversmes aizsardzības biroja direktoram iesniegt valsts amatpersonu sarakstus un to grozījumus. Tieši valsts amatpersonu saraksti tiek izmantoti par pamatu, lai noteiktu to personu loku, kuriem ir jāiesniedz valsts amatpersonu deklarācijas.</w:t>
                  </w:r>
                </w:p>
                <w:p w:rsidR="00373A86" w:rsidRPr="00101715" w:rsidRDefault="00373A86" w:rsidP="00CA2A57">
                  <w:pPr>
                    <w:spacing w:after="0" w:line="240" w:lineRule="auto"/>
                    <w:rPr>
                      <w:rFonts w:ascii="Times New Roman" w:eastAsia="Calibri" w:hAnsi="Times New Roman" w:cs="Times New Roman"/>
                      <w:sz w:val="26"/>
                      <w:szCs w:val="26"/>
                    </w:rPr>
                  </w:pPr>
                </w:p>
                <w:p w:rsidR="00CA2A57" w:rsidRPr="00101715" w:rsidRDefault="00CA2A57" w:rsidP="00CA2A57">
                  <w:pPr>
                    <w:spacing w:after="0" w:line="240" w:lineRule="auto"/>
                    <w:rPr>
                      <w:rFonts w:ascii="Times New Roman" w:eastAsia="Calibri" w:hAnsi="Times New Roman" w:cs="Times New Roman"/>
                      <w:sz w:val="26"/>
                      <w:szCs w:val="26"/>
                    </w:rPr>
                  </w:pPr>
                  <w:r w:rsidRPr="00101715">
                    <w:rPr>
                      <w:rFonts w:ascii="Times New Roman" w:eastAsia="Calibri" w:hAnsi="Times New Roman" w:cs="Times New Roman"/>
                      <w:sz w:val="26"/>
                      <w:szCs w:val="26"/>
                    </w:rPr>
                    <w:t>Tāpat spēkā esošajā Likuma redakcijā būtu precizējama iesniegšanas kārtība arī citu iestāžu (izņemot valsts drošības iestādes), kurām piemēro likumā “Par valsts noslēpumu” noteiktās valsts noslēpuma aizsardzības prasības, valsts amatpersonu sarakstiem, saraksta grozījumiem, kā arī valsts amatpersonu deklarācijām. Proti, nosakot pienākumu šo iestāžu vadītājiem vai viņu pilnvarotajām personām, kā arī šajās iestādēs strādājošajām valsts amatpersonām (izņemot valsts drošības iestāžu vadītājus un valsts amatpersonas), valsts amatpersonu sarakstus, sarakstu grozījumus, kā arī valsts amatpersonas deklarācijas iesniegt Valsts ieņēmumu dienesta specializētajā struktūrvienībā, ievērojot likumā “Par valsts noslēpumu” noteiktās valsts no</w:t>
                  </w:r>
                  <w:r w:rsidR="00373A86" w:rsidRPr="00101715">
                    <w:rPr>
                      <w:rFonts w:ascii="Times New Roman" w:eastAsia="Calibri" w:hAnsi="Times New Roman" w:cs="Times New Roman"/>
                      <w:sz w:val="26"/>
                      <w:szCs w:val="26"/>
                    </w:rPr>
                    <w:t>slēpuma aizsardzības prasības. </w:t>
                  </w:r>
                </w:p>
                <w:p w:rsidR="00373A86" w:rsidRPr="00101715" w:rsidRDefault="00373A86" w:rsidP="00CA2A57">
                  <w:pPr>
                    <w:spacing w:after="0" w:line="240" w:lineRule="auto"/>
                    <w:rPr>
                      <w:rFonts w:ascii="Times New Roman" w:eastAsia="Calibri" w:hAnsi="Times New Roman" w:cs="Times New Roman"/>
                      <w:sz w:val="26"/>
                      <w:szCs w:val="26"/>
                    </w:rPr>
                  </w:pPr>
                </w:p>
                <w:p w:rsidR="00CA2A57" w:rsidRPr="00101715" w:rsidRDefault="00CA2A57" w:rsidP="00CA2A57">
                  <w:pPr>
                    <w:spacing w:after="0" w:line="240" w:lineRule="auto"/>
                    <w:rPr>
                      <w:rFonts w:ascii="Times New Roman" w:eastAsia="Calibri" w:hAnsi="Times New Roman" w:cs="Times New Roman"/>
                      <w:sz w:val="26"/>
                      <w:szCs w:val="26"/>
                    </w:rPr>
                  </w:pPr>
                  <w:r w:rsidRPr="00101715">
                    <w:rPr>
                      <w:rFonts w:ascii="Times New Roman" w:eastAsia="Calibri" w:hAnsi="Times New Roman" w:cs="Times New Roman"/>
                      <w:sz w:val="26"/>
                      <w:szCs w:val="26"/>
                    </w:rPr>
                    <w:t xml:space="preserve">Likumprojekts paredz arī noteikt izņēmumu attiecībā uz valsts amatpersonu deklarāciju iesniegšanas kārtību gadījumos, kad mainīta informācijas par valsts amatpersonas ieņemamo amatu aizsardzības pakāpe (no vispārpieejamas informācijas uz informāciju, kas </w:t>
                  </w:r>
                  <w:r w:rsidRPr="00101715">
                    <w:rPr>
                      <w:rFonts w:ascii="Times New Roman" w:eastAsia="Calibri" w:hAnsi="Times New Roman" w:cs="Times New Roman"/>
                      <w:sz w:val="26"/>
                      <w:szCs w:val="26"/>
                    </w:rPr>
                    <w:lastRenderedPageBreak/>
                    <w:t>aizsargājama saskaņā ar likumu “Par valsts noslēpumu”, un otrādi) vai arī valsts amatpersona no vienas iestādes (par kuru informācija nav klasificēta) pārcelta vai pieņemta darbā kādā no valsts drošības iestādēm (klasific</w:t>
                  </w:r>
                  <w:r w:rsidR="002E7A22" w:rsidRPr="00101715">
                    <w:rPr>
                      <w:rFonts w:ascii="Times New Roman" w:eastAsia="Calibri" w:hAnsi="Times New Roman" w:cs="Times New Roman"/>
                      <w:sz w:val="26"/>
                      <w:szCs w:val="26"/>
                    </w:rPr>
                    <w:t xml:space="preserve">ēta informācija). Piemēram, ja </w:t>
                  </w:r>
                  <w:r w:rsidRPr="00101715">
                    <w:rPr>
                      <w:rFonts w:ascii="Times New Roman" w:eastAsia="Calibri" w:hAnsi="Times New Roman" w:cs="Times New Roman"/>
                      <w:sz w:val="26"/>
                      <w:szCs w:val="26"/>
                    </w:rPr>
                    <w:t>Korupcijas novēršanas un apkarošanas biroja Juridiskās nodaļas galvenais speciālists (informācija nav klasificēta) pārcelts Korupcijas novēršanas un apkarošanas biroja</w:t>
                  </w:r>
                  <w:r w:rsidR="002E7A22" w:rsidRPr="00101715">
                    <w:rPr>
                      <w:rFonts w:ascii="Times New Roman" w:eastAsia="Calibri" w:hAnsi="Times New Roman" w:cs="Times New Roman"/>
                      <w:sz w:val="26"/>
                      <w:szCs w:val="26"/>
                    </w:rPr>
                    <w:t xml:space="preserve"> </w:t>
                  </w:r>
                  <w:r w:rsidRPr="00101715">
                    <w:rPr>
                      <w:rFonts w:ascii="Times New Roman" w:eastAsia="Calibri" w:hAnsi="Times New Roman" w:cs="Times New Roman"/>
                      <w:sz w:val="26"/>
                      <w:szCs w:val="26"/>
                    </w:rPr>
                    <w:t>Operatīvo izstrāžu daļas galvenā speciālista amatā</w:t>
                  </w:r>
                  <w:r w:rsidR="00E20C39" w:rsidRPr="00101715">
                    <w:rPr>
                      <w:rFonts w:ascii="Times New Roman" w:eastAsia="Calibri" w:hAnsi="Times New Roman" w:cs="Times New Roman"/>
                      <w:strike/>
                      <w:sz w:val="26"/>
                      <w:szCs w:val="26"/>
                    </w:rPr>
                    <w:t xml:space="preserve"> </w:t>
                  </w:r>
                  <w:r w:rsidRPr="00101715">
                    <w:rPr>
                      <w:rFonts w:ascii="Times New Roman" w:eastAsia="Calibri" w:hAnsi="Times New Roman" w:cs="Times New Roman"/>
                      <w:sz w:val="26"/>
                      <w:szCs w:val="26"/>
                    </w:rPr>
                    <w:t>(klasificēta informācija) vai arī Valsts policijas inspektors  (informācija nav klasificēta) pārcelts Drošības policijas inspektora amatā (klasificēta informācija), tad valsts amatpersonai ir jāiesniedz gan valsts amatpersonas deklarācija, kuru iesniedz, beidzot pildīt valsts amatpersonas amata pienākumus, gan deklarācija, kuru iesniedz, stājoties amatā. Viena no tām tiks iesniegta Valsts ieņēmumu dienesta elektroniskajā deklarēšanas sistēmā, bet otra tiks iesniegta Satversmes aizsardzības birojā vai Valsts ieņēmumu dienesta specializētajā struktūrvienībā, ievērojot likumā “Par valsts noslēpumu” noteiktās valsts noslēpuma aizsardzības prasības.</w:t>
                  </w:r>
                </w:p>
                <w:p w:rsidR="001176C3" w:rsidRPr="00101715" w:rsidRDefault="00CA2A57" w:rsidP="001176C3">
                  <w:pPr>
                    <w:spacing w:after="0" w:line="240" w:lineRule="auto"/>
                    <w:rPr>
                      <w:rFonts w:ascii="Times New Roman" w:hAnsi="Times New Roman" w:cs="Times New Roman"/>
                      <w:sz w:val="26"/>
                      <w:szCs w:val="26"/>
                      <w:lang w:eastAsia="lv-LV"/>
                    </w:rPr>
                  </w:pPr>
                  <w:r w:rsidRPr="00101715">
                    <w:rPr>
                      <w:rFonts w:ascii="Times New Roman" w:eastAsia="Calibri" w:hAnsi="Times New Roman" w:cs="Times New Roman"/>
                      <w:sz w:val="26"/>
                      <w:szCs w:val="26"/>
                    </w:rPr>
                    <w:t>Grozījumi spēkā esošajā Likuma redakcijā ir nepieciešami, jo nepilnības apgrūtina tiesību normu korektu piemērošanu un skaidrojumu sniegšanu valsts drošības iestādēs un citās iestādēs strādājošajām valsts amatpersonām, par kurām informācija aizsargāta saskaņā ar likumu “Par valsts noslēpumu”.</w:t>
                  </w:r>
                </w:p>
                <w:p w:rsidR="00070B85" w:rsidRPr="00101715" w:rsidRDefault="00070B85" w:rsidP="00070B85">
                  <w:pPr>
                    <w:spacing w:after="0" w:line="240" w:lineRule="auto"/>
                    <w:rPr>
                      <w:rFonts w:ascii="Times New Roman" w:hAnsi="Times New Roman" w:cs="Times New Roman"/>
                      <w:sz w:val="26"/>
                      <w:szCs w:val="26"/>
                    </w:rPr>
                  </w:pPr>
                </w:p>
                <w:p w:rsidR="00070B85" w:rsidRDefault="00070B85" w:rsidP="00070B85">
                  <w:pPr>
                    <w:spacing w:after="0" w:line="240" w:lineRule="auto"/>
                    <w:jc w:val="center"/>
                    <w:rPr>
                      <w:rFonts w:ascii="Times New Roman" w:hAnsi="Times New Roman" w:cs="Times New Roman"/>
                      <w:b/>
                      <w:sz w:val="26"/>
                      <w:szCs w:val="26"/>
                    </w:rPr>
                  </w:pPr>
                  <w:r w:rsidRPr="00070B85">
                    <w:rPr>
                      <w:rFonts w:ascii="Times New Roman" w:hAnsi="Times New Roman" w:cs="Times New Roman"/>
                      <w:b/>
                      <w:sz w:val="26"/>
                      <w:szCs w:val="26"/>
                    </w:rPr>
                    <w:t>1</w:t>
                  </w:r>
                  <w:r w:rsidR="00C30683">
                    <w:rPr>
                      <w:rFonts w:ascii="Times New Roman" w:hAnsi="Times New Roman" w:cs="Times New Roman"/>
                      <w:b/>
                      <w:sz w:val="26"/>
                      <w:szCs w:val="26"/>
                    </w:rPr>
                    <w:t>1</w:t>
                  </w:r>
                  <w:r w:rsidRPr="00070B85">
                    <w:rPr>
                      <w:rFonts w:ascii="Times New Roman" w:hAnsi="Times New Roman" w:cs="Times New Roman"/>
                      <w:b/>
                      <w:sz w:val="26"/>
                      <w:szCs w:val="26"/>
                    </w:rPr>
                    <w:t>. Tehniski labojumi</w:t>
                  </w:r>
                </w:p>
                <w:p w:rsidR="00CE6E7E" w:rsidRPr="00070B85" w:rsidRDefault="00CE6E7E" w:rsidP="00070B85">
                  <w:pPr>
                    <w:spacing w:after="0" w:line="240" w:lineRule="auto"/>
                    <w:jc w:val="center"/>
                    <w:rPr>
                      <w:rFonts w:ascii="Times New Roman" w:hAnsi="Times New Roman" w:cs="Times New Roman"/>
                      <w:b/>
                      <w:sz w:val="26"/>
                      <w:szCs w:val="26"/>
                    </w:rPr>
                  </w:pP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2005.gada 1.oktobrī, stājoties spēkā Kriminālprocesa likumam, likumdevējs atteicās no terminu „izziņas iestāde” un „izziņas izdarītājs” lietojuma, kas bija raksturīgs padomju tiesību sistēmas terminoloģijai, tostarp Latvijas Kriminālprocesa kodeksam, un noteica, ka ir veicami redakcionāli grozījumi normatīvajos aktos (likumos), aizstājot iepriekš minētos terminus ar vārdiem „izmeklēšanas iestāde” un „izmeklētājs”.</w:t>
                  </w:r>
                </w:p>
                <w:p w:rsidR="00070B85" w:rsidRPr="00070B85" w:rsidRDefault="00070B85" w:rsidP="00070B85">
                  <w:pPr>
                    <w:spacing w:after="0" w:line="240" w:lineRule="auto"/>
                    <w:rPr>
                      <w:rFonts w:ascii="Times New Roman" w:eastAsia="Calibri" w:hAnsi="Times New Roman" w:cs="Times New Roman"/>
                      <w:sz w:val="26"/>
                      <w:szCs w:val="26"/>
                    </w:rPr>
                  </w:pPr>
                  <w:r w:rsidRPr="00070B85">
                    <w:rPr>
                      <w:rFonts w:ascii="Times New Roman" w:hAnsi="Times New Roman" w:cs="Times New Roman"/>
                      <w:sz w:val="26"/>
                      <w:szCs w:val="26"/>
                    </w:rPr>
                    <w:t>Patlaban visā Likuma tekstā (piem., 4.panta otrās daļas 2.punktā, 11., 12.pantā, 13.</w:t>
                  </w:r>
                  <w:r w:rsidRPr="00070B85">
                    <w:rPr>
                      <w:rFonts w:ascii="Times New Roman" w:hAnsi="Times New Roman" w:cs="Times New Roman"/>
                      <w:sz w:val="26"/>
                      <w:szCs w:val="26"/>
                      <w:vertAlign w:val="superscript"/>
                    </w:rPr>
                    <w:t xml:space="preserve">2 </w:t>
                  </w:r>
                  <w:r w:rsidRPr="00070B85">
                    <w:rPr>
                      <w:rFonts w:ascii="Times New Roman" w:hAnsi="Times New Roman" w:cs="Times New Roman"/>
                      <w:sz w:val="26"/>
                      <w:szCs w:val="26"/>
                    </w:rPr>
                    <w:t>panta pirmajā un otrajā daļā) joprojām ir saglabājies termins „izziņas funkcija”, kas gramatiski neatbilst citos normatīvajos aktos lietotajam terminam, proti, „izmeklēšanas funkcijai”, kas atrodama, piem., Latvijas Administratīvo pārkāpumu kodeksa 175.</w:t>
                  </w:r>
                  <w:r w:rsidRPr="00070B85">
                    <w:rPr>
                      <w:rFonts w:ascii="Times New Roman" w:hAnsi="Times New Roman" w:cs="Times New Roman"/>
                      <w:sz w:val="26"/>
                      <w:szCs w:val="26"/>
                      <w:vertAlign w:val="superscript"/>
                    </w:rPr>
                    <w:t xml:space="preserve">2 </w:t>
                  </w:r>
                  <w:r w:rsidRPr="00070B85">
                    <w:rPr>
                      <w:rFonts w:ascii="Times New Roman" w:hAnsi="Times New Roman" w:cs="Times New Roman"/>
                      <w:sz w:val="26"/>
                      <w:szCs w:val="26"/>
                    </w:rPr>
                    <w:t xml:space="preserve">pantā. Ievērojot apstākli, ka „izziņas funkcija” pēc būtības ir tā pati „izmeklēšanas funkcija”, ir sagatavota likumprojekta normas redakcija, kas paredz visā Likuma tekstā aizstāt </w:t>
                  </w:r>
                  <w:r w:rsidRPr="00070B85">
                    <w:rPr>
                      <w:rFonts w:ascii="Times New Roman" w:eastAsia="Calibri" w:hAnsi="Times New Roman" w:cs="Times New Roman"/>
                      <w:sz w:val="26"/>
                      <w:szCs w:val="26"/>
                    </w:rPr>
                    <w:t>vārdu „izziņas” ar vārdu „izmeklēšanas”.</w:t>
                  </w:r>
                </w:p>
              </w:tc>
            </w:tr>
            <w:tr w:rsidR="00070B85" w:rsidRPr="00070B85" w:rsidTr="00BC059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lastRenderedPageBreak/>
                    <w:t>3.</w:t>
                  </w:r>
                </w:p>
              </w:tc>
              <w:tc>
                <w:tcPr>
                  <w:tcW w:w="1271"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Projekta izstrādē iesaistītās institūcijas</w:t>
                  </w:r>
                </w:p>
              </w:tc>
              <w:tc>
                <w:tcPr>
                  <w:tcW w:w="3410" w:type="pct"/>
                  <w:tcBorders>
                    <w:top w:val="outset" w:sz="6" w:space="0" w:color="auto"/>
                    <w:left w:val="outset" w:sz="6" w:space="0" w:color="auto"/>
                    <w:bottom w:val="outset" w:sz="6" w:space="0" w:color="auto"/>
                    <w:right w:val="outset" w:sz="6" w:space="0" w:color="auto"/>
                  </w:tcBorders>
                  <w:hideMark/>
                </w:tcPr>
                <w:p w:rsidR="00070B85" w:rsidRPr="00070B85" w:rsidRDefault="00070B85" w:rsidP="00BE256D">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Korupcijas novēršanas un apkarošanas birojs, Valsts kanceleja</w:t>
                  </w:r>
                  <w:r w:rsidR="00C30683">
                    <w:rPr>
                      <w:rFonts w:ascii="Times New Roman" w:eastAsia="Times New Roman" w:hAnsi="Times New Roman" w:cs="Times New Roman"/>
                      <w:sz w:val="26"/>
                      <w:szCs w:val="26"/>
                      <w:lang w:eastAsia="lv-LV"/>
                    </w:rPr>
                    <w:t>, Finanšu ministrija jautājumā par dokumentu iesniegšanas kārtību attiecībā uz valsts drošības iestāžu un citu tiesībaizsardzības iestāžu iesniedzamajiem valsts amatpersonu sarakstiem un šajās iestādēs nodarbināto valsts amatpersonu iesniedzamajām valsts amatpersonu deklarācijām</w:t>
                  </w:r>
                  <w:r w:rsidRPr="00070B85">
                    <w:rPr>
                      <w:rFonts w:ascii="Times New Roman" w:eastAsia="Times New Roman" w:hAnsi="Times New Roman" w:cs="Times New Roman"/>
                      <w:sz w:val="26"/>
                      <w:szCs w:val="26"/>
                      <w:lang w:eastAsia="lv-LV"/>
                    </w:rPr>
                    <w:t>.</w:t>
                  </w:r>
                  <w:r w:rsidR="00CA2A57">
                    <w:rPr>
                      <w:rFonts w:ascii="Times New Roman" w:eastAsia="Times New Roman" w:hAnsi="Times New Roman" w:cs="Times New Roman"/>
                      <w:sz w:val="26"/>
                      <w:szCs w:val="26"/>
                      <w:lang w:eastAsia="lv-LV"/>
                    </w:rPr>
                    <w:t xml:space="preserve"> Ārlietu ministrija </w:t>
                  </w:r>
                  <w:r w:rsidR="00BE256D">
                    <w:rPr>
                      <w:rFonts w:ascii="Times New Roman" w:eastAsia="Times New Roman" w:hAnsi="Times New Roman" w:cs="Times New Roman"/>
                      <w:sz w:val="26"/>
                      <w:szCs w:val="26"/>
                      <w:lang w:eastAsia="lv-LV"/>
                    </w:rPr>
                    <w:t>par izņēmuma piemērošanu ziedojuma tiesiskā regulējum</w:t>
                  </w:r>
                  <w:r w:rsidR="00B923CB">
                    <w:rPr>
                      <w:rFonts w:ascii="Times New Roman" w:eastAsia="Times New Roman" w:hAnsi="Times New Roman" w:cs="Times New Roman"/>
                      <w:sz w:val="26"/>
                      <w:szCs w:val="26"/>
                      <w:lang w:eastAsia="lv-LV"/>
                    </w:rPr>
                    <w:t>ā</w:t>
                  </w:r>
                  <w:r w:rsidR="00BE256D">
                    <w:rPr>
                      <w:rFonts w:ascii="Times New Roman" w:eastAsia="Times New Roman" w:hAnsi="Times New Roman" w:cs="Times New Roman"/>
                      <w:sz w:val="26"/>
                      <w:szCs w:val="26"/>
                      <w:lang w:eastAsia="lv-LV"/>
                    </w:rPr>
                    <w:t xml:space="preserve"> Latvijas Republikas diplomātiskajām un konsulā</w:t>
                  </w:r>
                  <w:r w:rsidR="00B923CB">
                    <w:rPr>
                      <w:rFonts w:ascii="Times New Roman" w:eastAsia="Times New Roman" w:hAnsi="Times New Roman" w:cs="Times New Roman"/>
                      <w:sz w:val="26"/>
                      <w:szCs w:val="26"/>
                      <w:lang w:eastAsia="lv-LV"/>
                    </w:rPr>
                    <w:t>rajām pārstāvniecībām ārvalstīs</w:t>
                  </w:r>
                  <w:r w:rsidR="00BE256D">
                    <w:rPr>
                      <w:rFonts w:ascii="Times New Roman" w:eastAsia="Times New Roman" w:hAnsi="Times New Roman" w:cs="Times New Roman"/>
                      <w:sz w:val="26"/>
                      <w:szCs w:val="26"/>
                      <w:lang w:eastAsia="lv-LV"/>
                    </w:rPr>
                    <w:t>.</w:t>
                  </w:r>
                </w:p>
              </w:tc>
            </w:tr>
            <w:tr w:rsidR="00070B85" w:rsidRPr="00070B85" w:rsidTr="00BC0598">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4.</w:t>
                  </w:r>
                </w:p>
              </w:tc>
              <w:tc>
                <w:tcPr>
                  <w:tcW w:w="1271"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Cita informācija</w:t>
                  </w:r>
                </w:p>
              </w:tc>
              <w:tc>
                <w:tcPr>
                  <w:tcW w:w="3410"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Nav.</w:t>
                  </w:r>
                </w:p>
              </w:tc>
            </w:tr>
          </w:tbl>
          <w:p w:rsidR="00070B85" w:rsidRPr="00070B85" w:rsidRDefault="00070B85" w:rsidP="00070B85">
            <w:pPr>
              <w:spacing w:after="0" w:line="240" w:lineRule="auto"/>
              <w:rPr>
                <w:rFonts w:ascii="Times New Roman" w:eastAsia="Times New Roman" w:hAnsi="Times New Roman" w:cs="Times New Roman"/>
                <w:sz w:val="26"/>
                <w:szCs w:val="26"/>
                <w:lang w:eastAsia="lv-LV"/>
              </w:rPr>
            </w:pPr>
          </w:p>
          <w:tbl>
            <w:tblPr>
              <w:tblW w:w="923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0"/>
              <w:gridCol w:w="2333"/>
              <w:gridCol w:w="6417"/>
            </w:tblGrid>
            <w:tr w:rsidR="00070B85" w:rsidRPr="00070B85" w:rsidTr="00BC0598">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70B85" w:rsidRPr="00070B85" w:rsidRDefault="00070B85" w:rsidP="00070B85">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070B85">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70B85" w:rsidRPr="00070B85" w:rsidTr="00BC0598">
              <w:trPr>
                <w:trHeight w:val="465"/>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1.</w:t>
                  </w:r>
                </w:p>
              </w:tc>
              <w:tc>
                <w:tcPr>
                  <w:tcW w:w="12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Sabiedrības mērķgrupas, kuras tiesiskais regulējums ietekmē vai varētu ietekmēt</w:t>
                  </w:r>
                </w:p>
              </w:tc>
              <w:tc>
                <w:tcPr>
                  <w:tcW w:w="34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Valsts amatpersonas, to radinieki, Satversmes aizsardzības biroja direktors, ziedotāji – fiziskas un juridiskas personas un personu apvienības, privātpersonas, pret kurām turpinās tiesvedības, kurā viena no lietas pusēm ir valsts.</w:t>
                  </w:r>
                </w:p>
              </w:tc>
            </w:tr>
            <w:tr w:rsidR="00070B85" w:rsidRPr="00070B85" w:rsidTr="00BC0598">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2.</w:t>
                  </w:r>
                </w:p>
              </w:tc>
              <w:tc>
                <w:tcPr>
                  <w:tcW w:w="12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Tiesiskā regulējuma ietekme uz tautsaimniecību un administratīvo slogu</w:t>
                  </w:r>
                </w:p>
              </w:tc>
              <w:tc>
                <w:tcPr>
                  <w:tcW w:w="34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Ietekme uz tautsaimniecību netiek prognozēta.</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Papildu pienākums (administratīvais slogs) rodas Satversmes aizsardzības biroja direktoram, iesniedzot valsts amatpersonas deklarācijas Ministru prezidentam vai viņa pilnvarotajai personai.</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Tāpat, nosakot papildu ziņu iesniegšanas pienākumu, rodas neliels administratīvais slogs valsts amatpersonām, iesniedzot publiskas personas institūcijas vadītājam Likuma 21.panta pirmajā, otrajā un trešajā daļā minēto informāciju.</w:t>
                  </w:r>
                </w:p>
              </w:tc>
            </w:tr>
            <w:tr w:rsidR="00070B85" w:rsidRPr="00070B85" w:rsidTr="00BC0598">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3.</w:t>
                  </w:r>
                </w:p>
              </w:tc>
              <w:tc>
                <w:tcPr>
                  <w:tcW w:w="12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Administratīvo izmaksu monetārs novērtējums</w:t>
                  </w:r>
                </w:p>
              </w:tc>
              <w:tc>
                <w:tcPr>
                  <w:tcW w:w="34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zh-TW"/>
                    </w:rPr>
                    <w:t>Likumprojektā ietvertajam tiesiskajam regulējumam nav ietekmes uz administratīvajām izmaksām.</w:t>
                  </w:r>
                </w:p>
              </w:tc>
            </w:tr>
            <w:tr w:rsidR="00070B85" w:rsidRPr="00070B85" w:rsidTr="00BC0598">
              <w:trPr>
                <w:trHeight w:val="345"/>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4.</w:t>
                  </w:r>
                </w:p>
              </w:tc>
              <w:tc>
                <w:tcPr>
                  <w:tcW w:w="12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Cita informācija</w:t>
                  </w:r>
                </w:p>
              </w:tc>
              <w:tc>
                <w:tcPr>
                  <w:tcW w:w="34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36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Nav.</w:t>
                  </w:r>
                </w:p>
              </w:tc>
            </w:tr>
          </w:tbl>
          <w:p w:rsidR="00070B85" w:rsidRPr="00070B85" w:rsidRDefault="00070B85" w:rsidP="00070B85">
            <w:pPr>
              <w:spacing w:after="0" w:line="240" w:lineRule="auto"/>
              <w:rPr>
                <w:rFonts w:ascii="Times New Roman" w:eastAsia="Times New Roman" w:hAnsi="Times New Roman" w:cs="Times New Roman"/>
                <w:sz w:val="26"/>
                <w:szCs w:val="26"/>
                <w:lang w:eastAsia="lv-LV"/>
              </w:rPr>
            </w:pPr>
          </w:p>
          <w:tbl>
            <w:tblPr>
              <w:tblW w:w="932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8"/>
              <w:gridCol w:w="1763"/>
              <w:gridCol w:w="7156"/>
            </w:tblGrid>
            <w:tr w:rsidR="00070B85" w:rsidRPr="00070B85" w:rsidTr="00BC0598">
              <w:trPr>
                <w:trHeight w:val="42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70B85" w:rsidRPr="00070B85" w:rsidRDefault="00070B85" w:rsidP="00070B85">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070B85">
                    <w:rPr>
                      <w:rFonts w:ascii="Times New Roman" w:eastAsia="Times New Roman" w:hAnsi="Times New Roman" w:cs="Times New Roman"/>
                      <w:b/>
                      <w:bCs/>
                      <w:sz w:val="26"/>
                      <w:szCs w:val="26"/>
                      <w:lang w:eastAsia="lv-LV"/>
                    </w:rPr>
                    <w:t>VI. Sabiedrības līdzdalība un komunikācijas aktivitātes</w:t>
                  </w:r>
                </w:p>
              </w:tc>
            </w:tr>
            <w:tr w:rsidR="00070B85" w:rsidRPr="00070B85" w:rsidTr="00BC0598">
              <w:trPr>
                <w:trHeight w:val="540"/>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1.</w:t>
                  </w:r>
                </w:p>
              </w:tc>
              <w:tc>
                <w:tcPr>
                  <w:tcW w:w="9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Plānotās sabiedrības līdzdalības un komunikācijas aktivitātes saistībā ar projektu</w:t>
                  </w:r>
                </w:p>
              </w:tc>
              <w:tc>
                <w:tcPr>
                  <w:tcW w:w="380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sz w:val="26"/>
                      <w:szCs w:val="26"/>
                      <w:lang w:eastAsia="lv-LV"/>
                    </w:rPr>
                  </w:pPr>
                  <w:r w:rsidRPr="00070B85">
                    <w:rPr>
                      <w:rFonts w:ascii="Times New Roman" w:eastAsia="Times New Roman" w:hAnsi="Times New Roman"/>
                      <w:sz w:val="26"/>
                      <w:szCs w:val="26"/>
                      <w:lang w:eastAsia="lv-LV"/>
                    </w:rPr>
                    <w:t>Paziņojums par sabiedrības līdzdalības iespējām publicēts 201</w:t>
                  </w:r>
                  <w:r w:rsidR="00A76240">
                    <w:rPr>
                      <w:rFonts w:ascii="Times New Roman" w:eastAsia="Times New Roman" w:hAnsi="Times New Roman"/>
                      <w:sz w:val="26"/>
                      <w:szCs w:val="26"/>
                      <w:lang w:eastAsia="lv-LV"/>
                    </w:rPr>
                    <w:t>6.gada 30.maijā Biroja tīmekļv</w:t>
                  </w:r>
                  <w:r w:rsidRPr="00070B85">
                    <w:rPr>
                      <w:rFonts w:ascii="Times New Roman" w:eastAsia="Times New Roman" w:hAnsi="Times New Roman"/>
                      <w:sz w:val="26"/>
                      <w:szCs w:val="26"/>
                      <w:lang w:eastAsia="lv-LV"/>
                    </w:rPr>
                    <w:t>ietnē  sadaļā „Tiesību akti” (apakšsadaļā „Tiesību aktu projekti”; atrodams šeit:</w:t>
                  </w:r>
                </w:p>
                <w:p w:rsidR="00070B85" w:rsidRPr="00070B85" w:rsidRDefault="009E3ACE" w:rsidP="00070B85">
                  <w:pPr>
                    <w:spacing w:after="0" w:line="240" w:lineRule="auto"/>
                    <w:rPr>
                      <w:rFonts w:ascii="Times New Roman" w:eastAsia="Times New Roman" w:hAnsi="Times New Roman"/>
                      <w:sz w:val="26"/>
                      <w:szCs w:val="26"/>
                      <w:lang w:eastAsia="lv-LV"/>
                    </w:rPr>
                  </w:pPr>
                  <w:hyperlink r:id="rId10" w:history="1">
                    <w:r w:rsidR="00070B85" w:rsidRPr="00070B85">
                      <w:rPr>
                        <w:rFonts w:ascii="Times New Roman" w:eastAsia="Times New Roman" w:hAnsi="Times New Roman"/>
                        <w:color w:val="0000FF" w:themeColor="hyperlink"/>
                        <w:sz w:val="26"/>
                        <w:szCs w:val="26"/>
                        <w:u w:val="single"/>
                        <w:lang w:eastAsia="lv-LV"/>
                      </w:rPr>
                      <w:t>http://www.knab.gov.lv/lv/legislations/projects/article.php?id=512893</w:t>
                    </w:r>
                  </w:hyperlink>
                  <w:r w:rsidR="00070B85" w:rsidRPr="00070B85">
                    <w:rPr>
                      <w:rFonts w:ascii="Times New Roman" w:eastAsia="Times New Roman" w:hAnsi="Times New Roman"/>
                      <w:sz w:val="26"/>
                      <w:szCs w:val="26"/>
                      <w:lang w:eastAsia="lv-LV"/>
                    </w:rPr>
                    <w:t xml:space="preserve"> ).</w:t>
                  </w:r>
                </w:p>
                <w:p w:rsidR="00070B85" w:rsidRPr="00070B85" w:rsidRDefault="00070B85" w:rsidP="00070B85">
                  <w:pPr>
                    <w:tabs>
                      <w:tab w:val="left" w:pos="2625"/>
                    </w:tabs>
                    <w:spacing w:after="0" w:line="240" w:lineRule="auto"/>
                    <w:rPr>
                      <w:rFonts w:ascii="Times New Roman" w:eastAsia="Times New Roman" w:hAnsi="Times New Roman"/>
                      <w:sz w:val="26"/>
                      <w:szCs w:val="26"/>
                      <w:lang w:eastAsia="lv-LV"/>
                    </w:rPr>
                  </w:pPr>
                  <w:r w:rsidRPr="00070B85">
                    <w:rPr>
                      <w:rFonts w:ascii="Times New Roman" w:eastAsia="Times New Roman" w:hAnsi="Times New Roman"/>
                      <w:sz w:val="26"/>
                      <w:szCs w:val="26"/>
                      <w:lang w:eastAsia="lv-LV"/>
                    </w:rPr>
                    <w:tab/>
                  </w:r>
                </w:p>
                <w:p w:rsidR="00070B85" w:rsidRPr="00070B85" w:rsidRDefault="00070B85" w:rsidP="00070B85">
                  <w:pPr>
                    <w:spacing w:after="0" w:line="240" w:lineRule="auto"/>
                    <w:rPr>
                      <w:rFonts w:ascii="Times New Roman" w:eastAsia="Times New Roman" w:hAnsi="Times New Roman"/>
                      <w:sz w:val="24"/>
                      <w:szCs w:val="24"/>
                      <w:lang w:eastAsia="lv-LV"/>
                    </w:rPr>
                  </w:pPr>
                  <w:r w:rsidRPr="00070B85">
                    <w:rPr>
                      <w:rFonts w:ascii="Times New Roman" w:eastAsia="Times New Roman" w:hAnsi="Times New Roman"/>
                      <w:sz w:val="26"/>
                      <w:szCs w:val="26"/>
                      <w:lang w:eastAsia="lv-LV"/>
                    </w:rPr>
                    <w:t xml:space="preserve">Saskaņā ar </w:t>
                  </w:r>
                  <w:r w:rsidRPr="00070B85">
                    <w:rPr>
                      <w:rFonts w:ascii="Times New Roman" w:eastAsia="Times New Roman" w:hAnsi="Times New Roman" w:cs="Times New Roman"/>
                      <w:sz w:val="26"/>
                      <w:szCs w:val="26"/>
                      <w:lang w:eastAsia="lv-LV"/>
                    </w:rPr>
                    <w:t>Ministru kabineta 2009.gada 25.augusta noteikumu Nr.970 „Sabiedrības līdzdalības kārtība attīstības plānošanas procesā” 7.4.</w:t>
                  </w:r>
                  <w:r w:rsidRPr="00070B85">
                    <w:rPr>
                      <w:rFonts w:ascii="Times New Roman" w:eastAsia="Times New Roman" w:hAnsi="Times New Roman" w:cs="Times New Roman"/>
                      <w:sz w:val="26"/>
                      <w:szCs w:val="26"/>
                      <w:vertAlign w:val="superscript"/>
                      <w:lang w:eastAsia="lv-LV"/>
                    </w:rPr>
                    <w:t>1</w:t>
                  </w:r>
                  <w:r w:rsidRPr="00070B85">
                    <w:rPr>
                      <w:rFonts w:ascii="Times New Roman" w:eastAsia="Times New Roman" w:hAnsi="Times New Roman" w:cs="Times New Roman"/>
                      <w:sz w:val="26"/>
                      <w:szCs w:val="26"/>
                      <w:lang w:eastAsia="lv-LV"/>
                    </w:rPr>
                    <w:t xml:space="preserve">apakšpunktu un 13.punktu sabiedrības pārstāvju </w:t>
                  </w:r>
                  <w:r w:rsidRPr="00070B85">
                    <w:rPr>
                      <w:rFonts w:ascii="Times New Roman" w:eastAsia="Times New Roman" w:hAnsi="Times New Roman"/>
                      <w:sz w:val="26"/>
                      <w:szCs w:val="26"/>
                      <w:lang w:eastAsia="lv-LV"/>
                    </w:rPr>
                    <w:t xml:space="preserve">rakstveida viedokļus bija lūgts sniegt </w:t>
                  </w:r>
                  <w:r w:rsidRPr="00070B85">
                    <w:rPr>
                      <w:rFonts w:ascii="Times New Roman" w:eastAsia="Times New Roman" w:hAnsi="Times New Roman" w:cs="Times New Roman"/>
                      <w:sz w:val="26"/>
                      <w:szCs w:val="26"/>
                      <w:lang w:eastAsia="lv-LV"/>
                    </w:rPr>
                    <w:t>līdz 2016.gada 13.jūnijam</w:t>
                  </w:r>
                  <w:r w:rsidRPr="00070B85">
                    <w:rPr>
                      <w:rFonts w:ascii="Times New Roman" w:eastAsia="Times New Roman" w:hAnsi="Times New Roman" w:cs="Times New Roman"/>
                      <w:i/>
                      <w:sz w:val="26"/>
                      <w:szCs w:val="26"/>
                      <w:lang w:eastAsia="lv-LV"/>
                    </w:rPr>
                    <w:t xml:space="preserve"> </w:t>
                  </w:r>
                  <w:r w:rsidRPr="00070B85">
                    <w:rPr>
                      <w:rFonts w:ascii="Times New Roman" w:eastAsia="Times New Roman" w:hAnsi="Times New Roman" w:cs="Times New Roman"/>
                      <w:i/>
                      <w:sz w:val="26"/>
                      <w:szCs w:val="26"/>
                      <w:lang w:eastAsia="lv-LV"/>
                    </w:rPr>
                    <w:lastRenderedPageBreak/>
                    <w:t>(divu nedēļu laikā no ievietošanas Korupcijas novēršana</w:t>
                  </w:r>
                  <w:r w:rsidR="00A76240">
                    <w:rPr>
                      <w:rFonts w:ascii="Times New Roman" w:eastAsia="Times New Roman" w:hAnsi="Times New Roman" w:cs="Times New Roman"/>
                      <w:i/>
                      <w:sz w:val="26"/>
                      <w:szCs w:val="26"/>
                      <w:lang w:eastAsia="lv-LV"/>
                    </w:rPr>
                    <w:t>s un apkarošanas biroja tīmekļ</w:t>
                  </w:r>
                  <w:r w:rsidRPr="00070B85">
                    <w:rPr>
                      <w:rFonts w:ascii="Times New Roman" w:eastAsia="Times New Roman" w:hAnsi="Times New Roman" w:cs="Times New Roman"/>
                      <w:i/>
                      <w:sz w:val="26"/>
                      <w:szCs w:val="26"/>
                      <w:lang w:eastAsia="lv-LV"/>
                    </w:rPr>
                    <w:t>vietnē)</w:t>
                  </w:r>
                  <w:r w:rsidRPr="00070B85">
                    <w:rPr>
                      <w:rFonts w:ascii="Times New Roman" w:eastAsia="Times New Roman" w:hAnsi="Times New Roman"/>
                      <w:sz w:val="26"/>
                      <w:szCs w:val="26"/>
                      <w:lang w:eastAsia="lv-LV"/>
                    </w:rPr>
                    <w:t>.</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Likumprojekts un tā anotācija pēc izsludināšanas Valsts sekretāru sanāksmē ir publiski pieejam</w:t>
                  </w:r>
                  <w:r w:rsidR="00A76240">
                    <w:rPr>
                      <w:rFonts w:ascii="Times New Roman" w:eastAsia="Times New Roman" w:hAnsi="Times New Roman" w:cs="Times New Roman"/>
                      <w:sz w:val="26"/>
                      <w:szCs w:val="26"/>
                      <w:lang w:eastAsia="lv-LV"/>
                    </w:rPr>
                    <w:t>a arī Ministru kabineta tīmekļ</w:t>
                  </w:r>
                  <w:r w:rsidRPr="00070B85">
                    <w:rPr>
                      <w:rFonts w:ascii="Times New Roman" w:eastAsia="Times New Roman" w:hAnsi="Times New Roman" w:cs="Times New Roman"/>
                      <w:sz w:val="26"/>
                      <w:szCs w:val="26"/>
                      <w:lang w:eastAsia="lv-LV"/>
                    </w:rPr>
                    <w:t>vietnē sadāļā „Tiesību aktu projekti”.</w:t>
                  </w:r>
                </w:p>
              </w:tc>
            </w:tr>
            <w:tr w:rsidR="00070B85" w:rsidRPr="00070B85" w:rsidTr="00BC0598">
              <w:trPr>
                <w:trHeight w:val="330"/>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lastRenderedPageBreak/>
                    <w:t>2.</w:t>
                  </w:r>
                </w:p>
              </w:tc>
              <w:tc>
                <w:tcPr>
                  <w:tcW w:w="9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Sabiedrības līdzdalība projekta izstrādē</w:t>
                  </w:r>
                </w:p>
              </w:tc>
              <w:tc>
                <w:tcPr>
                  <w:tcW w:w="380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Nav.</w:t>
                  </w:r>
                </w:p>
              </w:tc>
            </w:tr>
            <w:tr w:rsidR="00070B85" w:rsidRPr="00070B85" w:rsidTr="00BC0598">
              <w:trPr>
                <w:trHeight w:val="465"/>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3.</w:t>
                  </w:r>
                </w:p>
              </w:tc>
              <w:tc>
                <w:tcPr>
                  <w:tcW w:w="9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Sabiedrības līdzdalības rezultāti</w:t>
                  </w:r>
                </w:p>
              </w:tc>
              <w:tc>
                <w:tcPr>
                  <w:tcW w:w="380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Līdz likumprojekta iesniegšanai Valsts sekretāru sanāksmē rakstveida viedokļi (iebildumi vai priekšlikumi) nav saņemti.</w:t>
                  </w:r>
                </w:p>
              </w:tc>
            </w:tr>
            <w:tr w:rsidR="00070B85" w:rsidRPr="00070B85" w:rsidTr="00BC0598">
              <w:trPr>
                <w:trHeight w:val="465"/>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4.</w:t>
                  </w:r>
                </w:p>
              </w:tc>
              <w:tc>
                <w:tcPr>
                  <w:tcW w:w="9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Cita informācija</w:t>
                  </w:r>
                </w:p>
              </w:tc>
              <w:tc>
                <w:tcPr>
                  <w:tcW w:w="380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Nav.</w:t>
                  </w:r>
                </w:p>
              </w:tc>
            </w:tr>
          </w:tbl>
          <w:p w:rsidR="00070B85" w:rsidRPr="00070B85" w:rsidRDefault="00070B85" w:rsidP="00070B85">
            <w:pPr>
              <w:spacing w:after="0" w:line="240" w:lineRule="auto"/>
              <w:rPr>
                <w:rFonts w:ascii="Times New Roman" w:eastAsia="Times New Roman" w:hAnsi="Times New Roman" w:cs="Times New Roman"/>
                <w:sz w:val="26"/>
                <w:szCs w:val="26"/>
                <w:lang w:eastAsia="lv-LV"/>
              </w:rPr>
            </w:pPr>
          </w:p>
          <w:tbl>
            <w:tblPr>
              <w:tblW w:w="4939"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9"/>
              <w:gridCol w:w="2280"/>
              <w:gridCol w:w="6402"/>
            </w:tblGrid>
            <w:tr w:rsidR="00070B85" w:rsidRPr="00070B85" w:rsidTr="00BC0598">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70B85" w:rsidRPr="00070B85" w:rsidRDefault="00070B85" w:rsidP="00070B85">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070B85">
                    <w:rPr>
                      <w:rFonts w:ascii="Times New Roman" w:eastAsia="Times New Roman" w:hAnsi="Times New Roman" w:cs="Times New Roman"/>
                      <w:b/>
                      <w:bCs/>
                      <w:sz w:val="26"/>
                      <w:szCs w:val="26"/>
                      <w:lang w:eastAsia="lv-LV"/>
                    </w:rPr>
                    <w:t>VII. Tiesību akta projekta izpildes nodrošināšana un tās ietekme uz institūcijām</w:t>
                  </w:r>
                </w:p>
              </w:tc>
            </w:tr>
            <w:tr w:rsidR="00070B85" w:rsidRPr="00070B85" w:rsidTr="00BC0598">
              <w:trPr>
                <w:trHeight w:val="420"/>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1.</w:t>
                  </w:r>
                </w:p>
              </w:tc>
              <w:tc>
                <w:tcPr>
                  <w:tcW w:w="12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Projekta izpildē iesaistītās institūcijas</w:t>
                  </w:r>
                </w:p>
              </w:tc>
              <w:tc>
                <w:tcPr>
                  <w:tcW w:w="34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1E0721">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Korupcijas novēršanas un apkarošanas birojs daļā par interešu konflikta novēršanas jautājumiem valsts amatpersonu darbībā, kā arī daļā par </w:t>
                  </w:r>
                  <w:proofErr w:type="spellStart"/>
                  <w:r w:rsidRPr="00070B85">
                    <w:rPr>
                      <w:rFonts w:ascii="Times New Roman" w:eastAsia="Times New Roman" w:hAnsi="Times New Roman" w:cs="Times New Roman"/>
                      <w:sz w:val="26"/>
                      <w:szCs w:val="26"/>
                      <w:lang w:eastAsia="lv-LV"/>
                    </w:rPr>
                    <w:t>koruptīvu</w:t>
                  </w:r>
                  <w:proofErr w:type="spellEnd"/>
                  <w:r w:rsidRPr="00070B85">
                    <w:rPr>
                      <w:rFonts w:ascii="Times New Roman" w:eastAsia="Times New Roman" w:hAnsi="Times New Roman" w:cs="Times New Roman"/>
                      <w:sz w:val="26"/>
                      <w:szCs w:val="26"/>
                      <w:lang w:eastAsia="lv-LV"/>
                    </w:rPr>
                    <w:t xml:space="preserve"> noziedzīgu nodarījumu apkarošanu.</w:t>
                  </w:r>
                  <w:r w:rsidR="004C36EB">
                    <w:rPr>
                      <w:rFonts w:ascii="Times New Roman" w:eastAsia="Times New Roman" w:hAnsi="Times New Roman" w:cs="Times New Roman"/>
                      <w:sz w:val="26"/>
                      <w:szCs w:val="26"/>
                      <w:lang w:eastAsia="lv-LV"/>
                    </w:rPr>
                    <w:t xml:space="preserve"> </w:t>
                  </w:r>
                  <w:r w:rsidR="001E0721">
                    <w:rPr>
                      <w:rFonts w:ascii="Times New Roman" w:eastAsia="Times New Roman" w:hAnsi="Times New Roman" w:cs="Times New Roman"/>
                      <w:sz w:val="26"/>
                      <w:szCs w:val="26"/>
                      <w:lang w:eastAsia="lv-LV"/>
                    </w:rPr>
                    <w:t>Nozares ministrija</w:t>
                  </w:r>
                  <w:r w:rsidR="00753E61">
                    <w:rPr>
                      <w:rFonts w:ascii="Times New Roman" w:eastAsia="Times New Roman" w:hAnsi="Times New Roman" w:cs="Times New Roman"/>
                      <w:sz w:val="26"/>
                      <w:szCs w:val="26"/>
                      <w:lang w:eastAsia="lv-LV"/>
                    </w:rPr>
                    <w:t>s</w:t>
                  </w:r>
                  <w:r w:rsidR="001E0721">
                    <w:rPr>
                      <w:rFonts w:ascii="Times New Roman" w:eastAsia="Times New Roman" w:hAnsi="Times New Roman" w:cs="Times New Roman"/>
                      <w:sz w:val="26"/>
                      <w:szCs w:val="26"/>
                      <w:lang w:eastAsia="lv-LV"/>
                    </w:rPr>
                    <w:t xml:space="preserve"> </w:t>
                  </w:r>
                  <w:r w:rsidR="004C36EB">
                    <w:rPr>
                      <w:rFonts w:ascii="Times New Roman" w:eastAsia="Times New Roman" w:hAnsi="Times New Roman" w:cs="Times New Roman"/>
                      <w:sz w:val="26"/>
                      <w:szCs w:val="26"/>
                      <w:lang w:eastAsia="lv-LV"/>
                    </w:rPr>
                    <w:t xml:space="preserve">kā </w:t>
                  </w:r>
                  <w:r w:rsidR="004C36EB">
                    <w:rPr>
                      <w:rFonts w:ascii="Times New Roman" w:hAnsi="Times New Roman" w:cs="Times New Roman"/>
                      <w:sz w:val="26"/>
                      <w:szCs w:val="26"/>
                    </w:rPr>
                    <w:t>publiskas personas institūcija</w:t>
                  </w:r>
                  <w:r w:rsidR="00753E61">
                    <w:rPr>
                      <w:rFonts w:ascii="Times New Roman" w:hAnsi="Times New Roman" w:cs="Times New Roman"/>
                      <w:sz w:val="26"/>
                      <w:szCs w:val="26"/>
                    </w:rPr>
                    <w:t>s</w:t>
                  </w:r>
                  <w:r w:rsidR="00DD5136">
                    <w:rPr>
                      <w:rFonts w:ascii="Times New Roman" w:hAnsi="Times New Roman" w:cs="Times New Roman"/>
                      <w:sz w:val="26"/>
                      <w:szCs w:val="26"/>
                    </w:rPr>
                    <w:t>, kuras</w:t>
                  </w:r>
                  <w:r w:rsidR="004C36EB" w:rsidRPr="004C36EB">
                    <w:rPr>
                      <w:rFonts w:ascii="Times New Roman" w:hAnsi="Times New Roman" w:cs="Times New Roman"/>
                      <w:sz w:val="26"/>
                      <w:szCs w:val="26"/>
                    </w:rPr>
                    <w:t xml:space="preserve"> </w:t>
                  </w:r>
                  <w:r w:rsidR="001E0721">
                    <w:rPr>
                      <w:rFonts w:ascii="Times New Roman" w:hAnsi="Times New Roman" w:cs="Times New Roman"/>
                      <w:sz w:val="26"/>
                      <w:szCs w:val="26"/>
                    </w:rPr>
                    <w:t>varētu veikt</w:t>
                  </w:r>
                  <w:r w:rsidR="001E0721" w:rsidRPr="004C36EB">
                    <w:rPr>
                      <w:rFonts w:ascii="Times New Roman" w:hAnsi="Times New Roman" w:cs="Times New Roman"/>
                      <w:sz w:val="26"/>
                      <w:szCs w:val="26"/>
                    </w:rPr>
                    <w:t xml:space="preserve"> </w:t>
                  </w:r>
                  <w:r w:rsidR="004C36EB" w:rsidRPr="004C36EB">
                    <w:rPr>
                      <w:rFonts w:ascii="Times New Roman" w:hAnsi="Times New Roman" w:cs="Times New Roman"/>
                      <w:sz w:val="26"/>
                      <w:szCs w:val="26"/>
                    </w:rPr>
                    <w:t>saņemtā ziedojuma izmantošanas uzraudzību un kontroli</w:t>
                  </w:r>
                  <w:r w:rsidR="004C36EB">
                    <w:rPr>
                      <w:rFonts w:ascii="Times New Roman" w:hAnsi="Times New Roman" w:cs="Times New Roman"/>
                      <w:sz w:val="26"/>
                      <w:szCs w:val="26"/>
                    </w:rPr>
                    <w:t xml:space="preserve"> 14.panta se</w:t>
                  </w:r>
                  <w:r w:rsidR="001E0721">
                    <w:rPr>
                      <w:rFonts w:ascii="Times New Roman" w:hAnsi="Times New Roman" w:cs="Times New Roman"/>
                      <w:sz w:val="26"/>
                      <w:szCs w:val="26"/>
                    </w:rPr>
                    <w:t>stajā</w:t>
                  </w:r>
                  <w:r w:rsidR="004C36EB">
                    <w:rPr>
                      <w:rFonts w:ascii="Times New Roman" w:hAnsi="Times New Roman" w:cs="Times New Roman"/>
                      <w:sz w:val="26"/>
                      <w:szCs w:val="26"/>
                    </w:rPr>
                    <w:t xml:space="preserve"> daļā noteiktajos gadījumos,</w:t>
                  </w:r>
                  <w:r w:rsidRPr="00070B85">
                    <w:rPr>
                      <w:rFonts w:ascii="Times New Roman" w:eastAsia="Times New Roman" w:hAnsi="Times New Roman" w:cs="Times New Roman"/>
                      <w:sz w:val="26"/>
                      <w:szCs w:val="26"/>
                      <w:lang w:eastAsia="lv-LV"/>
                    </w:rPr>
                    <w:t xml:space="preserve"> Finanšu ministrijas padotībā esoša tiešās pārvaldes iestāde – Valsts ieņēmumu dienests –</w:t>
                  </w:r>
                  <w:r w:rsidR="00D40919">
                    <w:rPr>
                      <w:rFonts w:ascii="Times New Roman" w:eastAsia="Times New Roman" w:hAnsi="Times New Roman" w:cs="Times New Roman"/>
                      <w:sz w:val="26"/>
                      <w:szCs w:val="26"/>
                      <w:lang w:eastAsia="lv-LV"/>
                    </w:rPr>
                    <w:t>, Satversmes aizsardzības birojs</w:t>
                  </w:r>
                  <w:r w:rsidRPr="00070B85">
                    <w:rPr>
                      <w:rFonts w:ascii="Times New Roman" w:eastAsia="Times New Roman" w:hAnsi="Times New Roman" w:cs="Times New Roman"/>
                      <w:sz w:val="26"/>
                      <w:szCs w:val="26"/>
                      <w:lang w:eastAsia="lv-LV"/>
                    </w:rPr>
                    <w:t xml:space="preserve"> un Ministru prezidents vai viņa pilnvarota persona daļā par valsts amatpersonas deklarāciju aizpildīšanas un iesniegšanas kārtības ievērošanu.</w:t>
                  </w:r>
                </w:p>
              </w:tc>
            </w:tr>
            <w:tr w:rsidR="00070B85" w:rsidRPr="00070B85" w:rsidTr="00BC0598">
              <w:trPr>
                <w:trHeight w:val="450"/>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2.</w:t>
                  </w:r>
                </w:p>
              </w:tc>
              <w:tc>
                <w:tcPr>
                  <w:tcW w:w="12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Projekta izpildes ietekme uz pārvaldes funkcijām un institucionālo struktūru</w:t>
                  </w:r>
                </w:p>
                <w:p w:rsidR="00070B85" w:rsidRPr="00070B85" w:rsidRDefault="00070B85" w:rsidP="00070B85">
                  <w:pPr>
                    <w:spacing w:before="100" w:beforeAutospacing="1" w:after="100" w:afterAutospacing="1"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34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color w:val="000000" w:themeColor="text1"/>
                      <w:sz w:val="26"/>
                      <w:szCs w:val="26"/>
                      <w:lang w:eastAsia="zh-TW"/>
                    </w:rPr>
                  </w:pPr>
                  <w:r w:rsidRPr="00070B85">
                    <w:rPr>
                      <w:rFonts w:ascii="Times New Roman" w:eastAsia="Times New Roman" w:hAnsi="Times New Roman" w:cs="Times New Roman"/>
                      <w:sz w:val="26"/>
                      <w:szCs w:val="26"/>
                      <w:lang w:eastAsia="zh-TW"/>
                    </w:rPr>
                    <w:t>Likumprojekta izpilde neietekmēs pārvaldes funkcijas vai institucionālo struktūru.</w:t>
                  </w:r>
                </w:p>
                <w:p w:rsidR="00070B85" w:rsidRPr="00070B85" w:rsidRDefault="00070B85" w:rsidP="00070B85">
                  <w:pPr>
                    <w:spacing w:after="0" w:line="240" w:lineRule="auto"/>
                    <w:rPr>
                      <w:rFonts w:ascii="Dutch TL" w:eastAsia="Times New Roman" w:hAnsi="Dutch TL" w:cs="Times New Roman"/>
                      <w:color w:val="000000" w:themeColor="text1"/>
                      <w:sz w:val="26"/>
                      <w:szCs w:val="26"/>
                      <w:lang w:eastAsia="zh-TW"/>
                    </w:rPr>
                  </w:pPr>
                </w:p>
                <w:p w:rsidR="00070B85" w:rsidRPr="00070B85" w:rsidRDefault="00070B85" w:rsidP="00070B85">
                  <w:pPr>
                    <w:spacing w:after="0" w:line="240" w:lineRule="auto"/>
                    <w:rPr>
                      <w:rFonts w:ascii="Times New Roman" w:eastAsia="Times New Roman" w:hAnsi="Times New Roman" w:cs="Times New Roman"/>
                      <w:sz w:val="26"/>
                      <w:szCs w:val="26"/>
                      <w:lang w:eastAsia="zh-TW"/>
                    </w:rPr>
                  </w:pPr>
                </w:p>
                <w:p w:rsidR="00070B85" w:rsidRPr="00070B85" w:rsidRDefault="00070B85" w:rsidP="00070B85">
                  <w:pPr>
                    <w:spacing w:after="0" w:line="240" w:lineRule="auto"/>
                    <w:rPr>
                      <w:rFonts w:ascii="Times New Roman" w:eastAsia="Times New Roman" w:hAnsi="Times New Roman" w:cs="Times New Roman"/>
                      <w:sz w:val="26"/>
                      <w:szCs w:val="26"/>
                      <w:lang w:eastAsia="zh-TW"/>
                    </w:rPr>
                  </w:pPr>
                </w:p>
                <w:p w:rsidR="00070B85" w:rsidRPr="00070B85" w:rsidRDefault="00070B85" w:rsidP="00070B85">
                  <w:pPr>
                    <w:spacing w:after="0" w:line="240" w:lineRule="auto"/>
                    <w:rPr>
                      <w:rFonts w:ascii="Times New Roman" w:eastAsia="Times New Roman" w:hAnsi="Times New Roman" w:cs="Times New Roman"/>
                      <w:sz w:val="26"/>
                      <w:szCs w:val="26"/>
                      <w:lang w:eastAsia="zh-TW"/>
                    </w:rPr>
                  </w:pPr>
                </w:p>
                <w:p w:rsidR="00070B85" w:rsidRPr="00070B85" w:rsidRDefault="00070B85" w:rsidP="00070B85">
                  <w:pPr>
                    <w:spacing w:after="0" w:line="240" w:lineRule="auto"/>
                    <w:rPr>
                      <w:rFonts w:ascii="Times New Roman" w:eastAsia="Times New Roman" w:hAnsi="Times New Roman" w:cs="Times New Roman"/>
                      <w:sz w:val="26"/>
                      <w:szCs w:val="26"/>
                      <w:lang w:eastAsia="zh-TW"/>
                    </w:rPr>
                  </w:pPr>
                </w:p>
                <w:p w:rsidR="00070B85" w:rsidRPr="00070B85" w:rsidRDefault="00070B85" w:rsidP="00070B85">
                  <w:pPr>
                    <w:spacing w:after="0" w:line="240" w:lineRule="auto"/>
                    <w:rPr>
                      <w:rFonts w:ascii="Times New Roman" w:eastAsia="Times New Roman" w:hAnsi="Times New Roman" w:cs="Times New Roman"/>
                      <w:sz w:val="26"/>
                      <w:szCs w:val="26"/>
                      <w:lang w:eastAsia="zh-TW"/>
                    </w:rPr>
                  </w:pPr>
                  <w:r w:rsidRPr="00070B85">
                    <w:rPr>
                      <w:rFonts w:ascii="Times New Roman" w:eastAsia="Times New Roman" w:hAnsi="Times New Roman" w:cs="Times New Roman"/>
                      <w:sz w:val="26"/>
                      <w:szCs w:val="26"/>
                      <w:lang w:eastAsia="zh-TW"/>
                    </w:rPr>
                    <w:t>Saistībā ar likumprojekta izpildi nav nepieciešams veidot jaunas institūcijas, likvidēt vai reorganizēt esošās.</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zh-TW"/>
                    </w:rPr>
                    <w:t>Likumprojekta izpilde neietekmēs institūcijai pieejamos cilvēkresursus.</w:t>
                  </w:r>
                </w:p>
              </w:tc>
            </w:tr>
            <w:tr w:rsidR="00070B85" w:rsidRPr="00070B85" w:rsidTr="00BC0598">
              <w:trPr>
                <w:trHeight w:val="390"/>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lastRenderedPageBreak/>
                    <w:t>3.</w:t>
                  </w:r>
                </w:p>
              </w:tc>
              <w:tc>
                <w:tcPr>
                  <w:tcW w:w="12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Cita informācija</w:t>
                  </w:r>
                </w:p>
              </w:tc>
              <w:tc>
                <w:tcPr>
                  <w:tcW w:w="34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Nav.</w:t>
                  </w:r>
                </w:p>
              </w:tc>
            </w:tr>
          </w:tbl>
          <w:p w:rsidR="00BE2262" w:rsidRDefault="00BE2262" w:rsidP="00BE2262">
            <w:pPr>
              <w:spacing w:after="0" w:line="240" w:lineRule="auto"/>
              <w:rPr>
                <w:rFonts w:ascii="Times New Roman" w:eastAsia="Times New Roman" w:hAnsi="Times New Roman" w:cs="Times New Roman"/>
                <w:i/>
                <w:sz w:val="26"/>
                <w:szCs w:val="26"/>
                <w:lang w:eastAsia="lv-LV"/>
              </w:rPr>
            </w:pPr>
          </w:p>
          <w:p w:rsidR="00070B85" w:rsidRPr="00070B85" w:rsidRDefault="00070B85" w:rsidP="00BE2262">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i/>
                <w:sz w:val="26"/>
                <w:szCs w:val="26"/>
                <w:lang w:eastAsia="lv-LV"/>
              </w:rPr>
              <w:t>Anotācijas III, IV un V sadaļa – projekts šīs jomas neskar.</w:t>
            </w:r>
          </w:p>
          <w:p w:rsidR="00070B85" w:rsidRPr="00070B85" w:rsidRDefault="00070B85" w:rsidP="00070B85">
            <w:pPr>
              <w:shd w:val="clear" w:color="auto" w:fill="FFFFFF"/>
              <w:tabs>
                <w:tab w:val="left" w:pos="7020"/>
              </w:tabs>
              <w:spacing w:after="0" w:line="324" w:lineRule="exact"/>
              <w:ind w:firstLine="720"/>
              <w:rPr>
                <w:rFonts w:ascii="Times New Roman" w:eastAsia="Times New Roman" w:hAnsi="Times New Roman" w:cs="Times New Roman"/>
                <w:sz w:val="26"/>
                <w:szCs w:val="26"/>
                <w:lang w:eastAsia="zh-TW"/>
              </w:rPr>
            </w:pPr>
          </w:p>
          <w:p w:rsidR="00070B85" w:rsidRPr="00070B85" w:rsidRDefault="00070B85" w:rsidP="00070B85">
            <w:pPr>
              <w:shd w:val="clear" w:color="auto" w:fill="FFFFFF"/>
              <w:tabs>
                <w:tab w:val="left" w:pos="7020"/>
              </w:tabs>
              <w:spacing w:after="0" w:line="324" w:lineRule="exact"/>
              <w:ind w:firstLine="720"/>
              <w:rPr>
                <w:rFonts w:ascii="Times New Roman" w:eastAsia="Times New Roman" w:hAnsi="Times New Roman" w:cs="Times New Roman"/>
                <w:sz w:val="26"/>
                <w:szCs w:val="26"/>
                <w:lang w:eastAsia="zh-TW"/>
              </w:rPr>
            </w:pPr>
          </w:p>
          <w:p w:rsidR="00772A6D" w:rsidRPr="00772A6D" w:rsidRDefault="00772A6D" w:rsidP="00BE2262">
            <w:pPr>
              <w:pStyle w:val="naisf"/>
              <w:tabs>
                <w:tab w:val="left" w:pos="6804"/>
              </w:tabs>
              <w:spacing w:before="0" w:after="0"/>
              <w:ind w:firstLine="709"/>
              <w:rPr>
                <w:sz w:val="26"/>
                <w:szCs w:val="26"/>
              </w:rPr>
            </w:pPr>
            <w:r w:rsidRPr="00772A6D">
              <w:rPr>
                <w:sz w:val="26"/>
                <w:szCs w:val="26"/>
              </w:rPr>
              <w:t>Iesniedzējs: Ministru prezidents</w:t>
            </w:r>
            <w:r w:rsidRPr="00772A6D">
              <w:rPr>
                <w:sz w:val="26"/>
                <w:szCs w:val="26"/>
              </w:rPr>
              <w:tab/>
              <w:t xml:space="preserve">Māris </w:t>
            </w:r>
            <w:proofErr w:type="spellStart"/>
            <w:r w:rsidRPr="00772A6D">
              <w:rPr>
                <w:sz w:val="26"/>
                <w:szCs w:val="26"/>
              </w:rPr>
              <w:t>Kučinskis</w:t>
            </w:r>
            <w:proofErr w:type="spellEnd"/>
          </w:p>
          <w:p w:rsidR="00070B85" w:rsidRPr="00772A6D" w:rsidRDefault="00070B85" w:rsidP="004B6A55">
            <w:pPr>
              <w:shd w:val="clear" w:color="auto" w:fill="FFFFFF"/>
              <w:tabs>
                <w:tab w:val="left" w:pos="7740"/>
              </w:tabs>
              <w:spacing w:after="0" w:line="324" w:lineRule="exact"/>
              <w:ind w:firstLine="709"/>
              <w:rPr>
                <w:rFonts w:ascii="Times New Roman" w:eastAsia="Times New Roman" w:hAnsi="Times New Roman" w:cs="Times New Roman"/>
                <w:sz w:val="26"/>
                <w:szCs w:val="26"/>
                <w:lang w:eastAsia="zh-TW"/>
              </w:rPr>
            </w:pPr>
          </w:p>
          <w:p w:rsidR="00070B85" w:rsidRPr="00772A6D" w:rsidRDefault="00070B85" w:rsidP="00070B85">
            <w:pPr>
              <w:shd w:val="clear" w:color="auto" w:fill="FFFFFF"/>
              <w:tabs>
                <w:tab w:val="left" w:pos="7020"/>
                <w:tab w:val="left" w:pos="7740"/>
              </w:tabs>
              <w:spacing w:after="0" w:line="324" w:lineRule="exact"/>
              <w:ind w:firstLine="720"/>
              <w:rPr>
                <w:rFonts w:ascii="Times New Roman" w:eastAsia="Times New Roman" w:hAnsi="Times New Roman" w:cs="Times New Roman"/>
                <w:sz w:val="26"/>
                <w:szCs w:val="26"/>
                <w:lang w:eastAsia="zh-TW"/>
              </w:rPr>
            </w:pPr>
          </w:p>
          <w:p w:rsidR="00070B85" w:rsidRPr="00772A6D" w:rsidRDefault="00CD0DFC" w:rsidP="00070B85">
            <w:pPr>
              <w:shd w:val="clear" w:color="auto" w:fill="FFFFFF"/>
              <w:tabs>
                <w:tab w:val="left" w:pos="7020"/>
                <w:tab w:val="left" w:pos="7740"/>
              </w:tabs>
              <w:spacing w:after="0" w:line="324" w:lineRule="exact"/>
              <w:ind w:firstLine="720"/>
              <w:rPr>
                <w:rFonts w:ascii="Times New Roman" w:eastAsia="Times New Roman" w:hAnsi="Times New Roman" w:cs="Times New Roman"/>
                <w:sz w:val="26"/>
                <w:szCs w:val="26"/>
                <w:lang w:eastAsia="zh-TW"/>
              </w:rPr>
            </w:pPr>
            <w:r>
              <w:rPr>
                <w:rFonts w:ascii="Times New Roman" w:eastAsia="Times New Roman" w:hAnsi="Times New Roman" w:cs="Times New Roman"/>
                <w:sz w:val="26"/>
                <w:szCs w:val="26"/>
                <w:lang w:eastAsia="zh-TW"/>
              </w:rPr>
              <w:t>Vi</w:t>
            </w:r>
            <w:r w:rsidR="00070B85" w:rsidRPr="00772A6D">
              <w:rPr>
                <w:rFonts w:ascii="Times New Roman" w:eastAsia="Times New Roman" w:hAnsi="Times New Roman" w:cs="Times New Roman"/>
                <w:sz w:val="26"/>
                <w:szCs w:val="26"/>
                <w:lang w:eastAsia="zh-TW"/>
              </w:rPr>
              <w:t>zē: Korupcijas novēršanas un</w:t>
            </w:r>
          </w:p>
          <w:p w:rsidR="00070B85" w:rsidRPr="00772A6D" w:rsidRDefault="00070B85" w:rsidP="00772A6D">
            <w:pPr>
              <w:shd w:val="clear" w:color="auto" w:fill="FFFFFF"/>
              <w:tabs>
                <w:tab w:val="left" w:pos="6804"/>
                <w:tab w:val="left" w:pos="7740"/>
              </w:tabs>
              <w:spacing w:after="0" w:line="324" w:lineRule="exact"/>
              <w:ind w:firstLine="720"/>
              <w:rPr>
                <w:rFonts w:ascii="Times New Roman" w:eastAsia="Times New Roman" w:hAnsi="Times New Roman" w:cs="Times New Roman"/>
                <w:sz w:val="26"/>
                <w:szCs w:val="26"/>
                <w:lang w:eastAsia="zh-TW"/>
              </w:rPr>
            </w:pPr>
            <w:r w:rsidRPr="00772A6D">
              <w:rPr>
                <w:rFonts w:ascii="Times New Roman" w:eastAsia="Times New Roman" w:hAnsi="Times New Roman" w:cs="Times New Roman"/>
                <w:sz w:val="26"/>
                <w:szCs w:val="26"/>
                <w:lang w:eastAsia="zh-TW"/>
              </w:rPr>
              <w:t>apkarošanas biroja priekšniek</w:t>
            </w:r>
            <w:r w:rsidR="00A76240">
              <w:rPr>
                <w:rFonts w:ascii="Times New Roman" w:eastAsia="Times New Roman" w:hAnsi="Times New Roman" w:cs="Times New Roman"/>
                <w:sz w:val="26"/>
                <w:szCs w:val="26"/>
                <w:lang w:eastAsia="zh-TW"/>
              </w:rPr>
              <w:t xml:space="preserve">a </w:t>
            </w:r>
            <w:proofErr w:type="spellStart"/>
            <w:r w:rsidR="00A76240">
              <w:rPr>
                <w:rFonts w:ascii="Times New Roman" w:eastAsia="Times New Roman" w:hAnsi="Times New Roman" w:cs="Times New Roman"/>
                <w:sz w:val="26"/>
                <w:szCs w:val="26"/>
                <w:lang w:eastAsia="zh-TW"/>
              </w:rPr>
              <w:t>p.i</w:t>
            </w:r>
            <w:proofErr w:type="spellEnd"/>
            <w:r w:rsidR="00A76240">
              <w:rPr>
                <w:rFonts w:ascii="Times New Roman" w:eastAsia="Times New Roman" w:hAnsi="Times New Roman" w:cs="Times New Roman"/>
                <w:sz w:val="26"/>
                <w:szCs w:val="26"/>
                <w:lang w:eastAsia="zh-TW"/>
              </w:rPr>
              <w:t>.</w:t>
            </w:r>
            <w:r w:rsidR="00564389">
              <w:rPr>
                <w:rFonts w:ascii="Times New Roman" w:eastAsia="Times New Roman" w:hAnsi="Times New Roman" w:cs="Times New Roman"/>
                <w:sz w:val="26"/>
                <w:szCs w:val="26"/>
                <w:lang w:eastAsia="zh-TW"/>
              </w:rPr>
              <w:t xml:space="preserve"> </w:t>
            </w:r>
            <w:r w:rsidRPr="00772A6D">
              <w:rPr>
                <w:rFonts w:ascii="Times New Roman" w:eastAsia="Times New Roman" w:hAnsi="Times New Roman" w:cs="Times New Roman"/>
                <w:sz w:val="26"/>
                <w:szCs w:val="26"/>
                <w:lang w:eastAsia="zh-TW"/>
              </w:rPr>
              <w:tab/>
            </w:r>
            <w:r w:rsidR="00A76240">
              <w:rPr>
                <w:rFonts w:ascii="Times New Roman" w:eastAsia="Times New Roman" w:hAnsi="Times New Roman" w:cs="Times New Roman"/>
                <w:sz w:val="26"/>
                <w:szCs w:val="26"/>
                <w:lang w:eastAsia="zh-TW"/>
              </w:rPr>
              <w:t>Jānis Roze</w:t>
            </w:r>
          </w:p>
          <w:p w:rsidR="00070B85" w:rsidRPr="00772A6D" w:rsidRDefault="00070B85" w:rsidP="00070B85">
            <w:pPr>
              <w:spacing w:after="0" w:line="240" w:lineRule="auto"/>
              <w:rPr>
                <w:rFonts w:ascii="Times New Roman" w:eastAsia="Times New Roman" w:hAnsi="Times New Roman" w:cs="Times New Roman"/>
                <w:sz w:val="26"/>
                <w:szCs w:val="26"/>
                <w:lang w:eastAsia="zh-TW"/>
              </w:rPr>
            </w:pPr>
          </w:p>
          <w:p w:rsidR="00070B85" w:rsidRPr="00772A6D" w:rsidRDefault="00070B85" w:rsidP="00070B85">
            <w:pPr>
              <w:tabs>
                <w:tab w:val="left" w:pos="6525"/>
              </w:tabs>
              <w:spacing w:after="0" w:line="240" w:lineRule="auto"/>
              <w:jc w:val="both"/>
              <w:rPr>
                <w:rFonts w:ascii="Times New Roman" w:eastAsia="Calibri" w:hAnsi="Times New Roman" w:cs="Times New Roman"/>
                <w:sz w:val="26"/>
                <w:szCs w:val="26"/>
              </w:rPr>
            </w:pPr>
          </w:p>
          <w:p w:rsidR="00070B85" w:rsidRPr="00772A6D" w:rsidRDefault="00070B85" w:rsidP="00070B85">
            <w:pPr>
              <w:tabs>
                <w:tab w:val="left" w:pos="6525"/>
              </w:tabs>
              <w:spacing w:after="0" w:line="240" w:lineRule="auto"/>
              <w:jc w:val="both"/>
              <w:rPr>
                <w:rFonts w:ascii="Times New Roman" w:eastAsia="Calibri" w:hAnsi="Times New Roman" w:cs="Times New Roman"/>
                <w:sz w:val="26"/>
                <w:szCs w:val="26"/>
              </w:rPr>
            </w:pPr>
          </w:p>
          <w:p w:rsidR="00070B85" w:rsidRPr="00772A6D" w:rsidRDefault="00070B85" w:rsidP="00070B85">
            <w:pPr>
              <w:tabs>
                <w:tab w:val="left" w:pos="6525"/>
              </w:tabs>
              <w:spacing w:after="0" w:line="240" w:lineRule="auto"/>
              <w:jc w:val="both"/>
              <w:rPr>
                <w:rFonts w:ascii="Times New Roman" w:eastAsia="Calibri" w:hAnsi="Times New Roman" w:cs="Times New Roman"/>
                <w:sz w:val="26"/>
                <w:szCs w:val="26"/>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bookmarkStart w:id="0" w:name="_GoBack"/>
            <w:bookmarkEnd w:id="0"/>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CD0DFC" w:rsidRDefault="00CD0DFC" w:rsidP="00070B85">
            <w:pPr>
              <w:tabs>
                <w:tab w:val="left" w:pos="6525"/>
              </w:tabs>
              <w:spacing w:after="0" w:line="240" w:lineRule="auto"/>
              <w:jc w:val="both"/>
              <w:rPr>
                <w:rFonts w:ascii="Times New Roman" w:eastAsia="Calibri" w:hAnsi="Times New Roman" w:cs="Times New Roman"/>
                <w:sz w:val="20"/>
                <w:szCs w:val="20"/>
              </w:rPr>
            </w:pPr>
          </w:p>
          <w:p w:rsidR="00070B85" w:rsidRPr="00070B85" w:rsidRDefault="000E3ECD" w:rsidP="00070B85">
            <w:pPr>
              <w:tabs>
                <w:tab w:val="left" w:pos="6525"/>
              </w:tabs>
              <w:spacing w:after="0" w:line="240" w:lineRule="auto"/>
              <w:jc w:val="both"/>
              <w:rPr>
                <w:rFonts w:ascii="Times New Roman" w:eastAsia="Calibri" w:hAnsi="Times New Roman" w:cs="Times New Roman"/>
                <w:sz w:val="20"/>
                <w:szCs w:val="20"/>
              </w:rPr>
            </w:pPr>
            <w:r w:rsidRPr="00070B85">
              <w:rPr>
                <w:rFonts w:ascii="Times New Roman" w:eastAsia="Calibri" w:hAnsi="Times New Roman" w:cs="Times New Roman"/>
                <w:sz w:val="20"/>
                <w:szCs w:val="20"/>
              </w:rPr>
              <w:fldChar w:fldCharType="begin"/>
            </w:r>
            <w:r w:rsidR="00070B85" w:rsidRPr="00070B85">
              <w:rPr>
                <w:rFonts w:ascii="Times New Roman" w:eastAsia="Calibri" w:hAnsi="Times New Roman" w:cs="Times New Roman"/>
                <w:sz w:val="20"/>
                <w:szCs w:val="20"/>
              </w:rPr>
              <w:instrText xml:space="preserve"> TIME \@ "yyyy.MM.dd. H:mm" </w:instrText>
            </w:r>
            <w:r w:rsidRPr="00070B85">
              <w:rPr>
                <w:rFonts w:ascii="Times New Roman" w:eastAsia="Calibri" w:hAnsi="Times New Roman" w:cs="Times New Roman"/>
                <w:sz w:val="20"/>
                <w:szCs w:val="20"/>
              </w:rPr>
              <w:fldChar w:fldCharType="separate"/>
            </w:r>
            <w:r w:rsidR="00CD0DFC">
              <w:rPr>
                <w:rFonts w:ascii="Times New Roman" w:eastAsia="Calibri" w:hAnsi="Times New Roman" w:cs="Times New Roman"/>
                <w:noProof/>
                <w:sz w:val="20"/>
                <w:szCs w:val="20"/>
              </w:rPr>
              <w:t>2018.07.30. 16:12</w:t>
            </w:r>
            <w:r w:rsidRPr="00070B85">
              <w:rPr>
                <w:rFonts w:ascii="Times New Roman" w:eastAsia="Calibri" w:hAnsi="Times New Roman" w:cs="Times New Roman"/>
                <w:sz w:val="20"/>
                <w:szCs w:val="20"/>
              </w:rPr>
              <w:fldChar w:fldCharType="end"/>
            </w:r>
            <w:r w:rsidR="00070B85" w:rsidRPr="00070B85">
              <w:rPr>
                <w:rFonts w:ascii="Times New Roman" w:eastAsia="Calibri" w:hAnsi="Times New Roman" w:cs="Times New Roman"/>
                <w:sz w:val="20"/>
                <w:szCs w:val="20"/>
              </w:rPr>
              <w:tab/>
            </w:r>
          </w:p>
          <w:p w:rsidR="00070B85" w:rsidRPr="00070B85" w:rsidRDefault="00A76240" w:rsidP="00070B8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8 3</w:t>
            </w:r>
            <w:r w:rsidR="0022688B">
              <w:rPr>
                <w:rFonts w:ascii="Times New Roman" w:eastAsia="Calibri" w:hAnsi="Times New Roman" w:cs="Times New Roman"/>
                <w:sz w:val="20"/>
                <w:szCs w:val="20"/>
              </w:rPr>
              <w:t>88</w:t>
            </w:r>
          </w:p>
          <w:p w:rsidR="00070B85" w:rsidRPr="00070B85" w:rsidRDefault="00070B85" w:rsidP="00070B85">
            <w:pPr>
              <w:spacing w:after="0" w:line="240" w:lineRule="auto"/>
              <w:jc w:val="both"/>
              <w:rPr>
                <w:rFonts w:ascii="Times New Roman" w:eastAsia="Calibri" w:hAnsi="Times New Roman" w:cs="Times New Roman"/>
                <w:sz w:val="20"/>
                <w:szCs w:val="20"/>
              </w:rPr>
            </w:pPr>
            <w:proofErr w:type="spellStart"/>
            <w:r w:rsidRPr="00070B85">
              <w:rPr>
                <w:rFonts w:ascii="Times New Roman" w:eastAsia="Calibri" w:hAnsi="Times New Roman" w:cs="Times New Roman"/>
                <w:sz w:val="20"/>
                <w:szCs w:val="20"/>
              </w:rPr>
              <w:t>A.Aļošina</w:t>
            </w:r>
            <w:proofErr w:type="spellEnd"/>
          </w:p>
          <w:p w:rsidR="00070B85" w:rsidRPr="00070B85" w:rsidRDefault="00070B85" w:rsidP="00070B85">
            <w:pPr>
              <w:spacing w:after="0" w:line="240" w:lineRule="auto"/>
              <w:jc w:val="both"/>
              <w:rPr>
                <w:rFonts w:ascii="Times New Roman" w:eastAsia="Calibri" w:hAnsi="Times New Roman" w:cs="Times New Roman"/>
                <w:sz w:val="20"/>
                <w:szCs w:val="20"/>
              </w:rPr>
            </w:pPr>
            <w:r w:rsidRPr="00070B85">
              <w:rPr>
                <w:rFonts w:ascii="Times New Roman" w:eastAsia="Calibri" w:hAnsi="Times New Roman" w:cs="Times New Roman"/>
                <w:sz w:val="20"/>
                <w:szCs w:val="20"/>
              </w:rPr>
              <w:t>67797258, anna.alosina@knab.gov.lv</w:t>
            </w:r>
          </w:p>
          <w:p w:rsidR="00070B85" w:rsidRPr="00070B85" w:rsidRDefault="00070B85" w:rsidP="00070B85">
            <w:pPr>
              <w:spacing w:after="0" w:line="240" w:lineRule="auto"/>
              <w:jc w:val="center"/>
              <w:rPr>
                <w:rFonts w:ascii="Times New Roman" w:eastAsia="Times New Roman" w:hAnsi="Times New Roman" w:cs="Times New Roman"/>
                <w:sz w:val="26"/>
                <w:szCs w:val="26"/>
                <w:lang w:eastAsia="lv-LV"/>
              </w:rPr>
            </w:pPr>
          </w:p>
        </w:tc>
        <w:tc>
          <w:tcPr>
            <w:tcW w:w="450" w:type="dxa"/>
            <w:vAlign w:val="center"/>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p>
        </w:tc>
      </w:tr>
    </w:tbl>
    <w:p w:rsidR="00852BBE" w:rsidRDefault="00852BBE"/>
    <w:sectPr w:rsidR="00852BBE" w:rsidSect="00976C05">
      <w:headerReference w:type="default" r:id="rId11"/>
      <w:footerReference w:type="default" r:id="rId12"/>
      <w:footerReference w:type="first" r:id="rId13"/>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CE" w:rsidRDefault="009E3ACE" w:rsidP="00070B85">
      <w:pPr>
        <w:spacing w:after="0" w:line="240" w:lineRule="auto"/>
      </w:pPr>
      <w:r>
        <w:separator/>
      </w:r>
    </w:p>
  </w:endnote>
  <w:endnote w:type="continuationSeparator" w:id="0">
    <w:p w:rsidR="009E3ACE" w:rsidRDefault="009E3ACE" w:rsidP="0007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00000048" w:usb2="00000000" w:usb3="00000000" w:csb0="00000097"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98" w:rsidRPr="003A2ADA" w:rsidRDefault="003F2981" w:rsidP="00BC0598">
    <w:pPr>
      <w:tabs>
        <w:tab w:val="center" w:pos="4680"/>
        <w:tab w:val="right" w:pos="9360"/>
      </w:tabs>
      <w:spacing w:after="0" w:line="240" w:lineRule="auto"/>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rPr>
      <w:t>KNABanot_</w:t>
    </w:r>
    <w:r w:rsidR="00446848">
      <w:rPr>
        <w:rFonts w:ascii="Times New Roman" w:eastAsia="Times New Roman" w:hAnsi="Times New Roman" w:cs="Times New Roman"/>
        <w:sz w:val="20"/>
        <w:szCs w:val="20"/>
      </w:rPr>
      <w:t>30</w:t>
    </w:r>
    <w:r w:rsidR="00BC0598">
      <w:rPr>
        <w:rFonts w:ascii="Times New Roman" w:eastAsia="Times New Roman" w:hAnsi="Times New Roman" w:cs="Times New Roman"/>
        <w:sz w:val="20"/>
        <w:szCs w:val="20"/>
      </w:rPr>
      <w:t>0</w:t>
    </w:r>
    <w:r w:rsidR="00DF425E">
      <w:rPr>
        <w:rFonts w:ascii="Times New Roman" w:eastAsia="Times New Roman" w:hAnsi="Times New Roman" w:cs="Times New Roman"/>
        <w:sz w:val="20"/>
        <w:szCs w:val="20"/>
      </w:rPr>
      <w:t>7</w:t>
    </w:r>
    <w:r w:rsidR="00BC0598">
      <w:rPr>
        <w:rFonts w:ascii="Times New Roman" w:eastAsia="Times New Roman" w:hAnsi="Times New Roman" w:cs="Times New Roman"/>
        <w:sz w:val="20"/>
        <w:szCs w:val="20"/>
      </w:rPr>
      <w:t>18_IKNVAD; Likumprojekta „Grozījumi likumā „Par interešu konflikta novēršanu valsts amatpersonu darbībā””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C5" w:rsidRDefault="00446848">
    <w:pPr>
      <w:pStyle w:val="Footer"/>
    </w:pPr>
    <w:r>
      <w:rPr>
        <w:rFonts w:ascii="Times New Roman" w:eastAsia="Times New Roman" w:hAnsi="Times New Roman" w:cs="Times New Roman"/>
        <w:sz w:val="20"/>
        <w:szCs w:val="20"/>
      </w:rPr>
      <w:t>KNABanot_30</w:t>
    </w:r>
    <w:r w:rsidR="00D44294">
      <w:rPr>
        <w:rFonts w:ascii="Times New Roman" w:eastAsia="Times New Roman" w:hAnsi="Times New Roman" w:cs="Times New Roman"/>
        <w:sz w:val="20"/>
        <w:szCs w:val="20"/>
      </w:rPr>
      <w:t>07</w:t>
    </w:r>
    <w:r w:rsidR="00E765C5">
      <w:rPr>
        <w:rFonts w:ascii="Times New Roman" w:eastAsia="Times New Roman" w:hAnsi="Times New Roman" w:cs="Times New Roman"/>
        <w:sz w:val="20"/>
        <w:szCs w:val="20"/>
      </w:rPr>
      <w:t>18_IKNVAD; Likumprojekta „Grozījumi likumā „Par interešu konflikta novēršanu valsts amatpersonu darbībā””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CE" w:rsidRDefault="009E3ACE" w:rsidP="00070B85">
      <w:pPr>
        <w:spacing w:after="0" w:line="240" w:lineRule="auto"/>
      </w:pPr>
      <w:r>
        <w:separator/>
      </w:r>
    </w:p>
  </w:footnote>
  <w:footnote w:type="continuationSeparator" w:id="0">
    <w:p w:rsidR="009E3ACE" w:rsidRDefault="009E3ACE" w:rsidP="00070B85">
      <w:pPr>
        <w:spacing w:after="0" w:line="240" w:lineRule="auto"/>
      </w:pPr>
      <w:r>
        <w:continuationSeparator/>
      </w:r>
    </w:p>
  </w:footnote>
  <w:footnote w:id="1">
    <w:p w:rsidR="00BC0598" w:rsidRDefault="00BC0598" w:rsidP="00DC32EE">
      <w:pPr>
        <w:pStyle w:val="FootnoteText"/>
      </w:pPr>
      <w:r w:rsidRPr="00F4026F">
        <w:rPr>
          <w:rStyle w:val="FootnoteReference"/>
          <w:rFonts w:ascii="Times New Roman" w:hAnsi="Times New Roman" w:cs="Times New Roman"/>
        </w:rPr>
        <w:footnoteRef/>
      </w:r>
      <w:r w:rsidRPr="00F4026F">
        <w:rPr>
          <w:rFonts w:ascii="Times New Roman" w:hAnsi="Times New Roman" w:cs="Times New Roman"/>
        </w:rPr>
        <w:t xml:space="preserve"> </w:t>
      </w:r>
      <w:proofErr w:type="spellStart"/>
      <w:r w:rsidRPr="00F4026F">
        <w:rPr>
          <w:rFonts w:ascii="Times New Roman" w:hAnsi="Times New Roman" w:cs="Times New Roman"/>
        </w:rPr>
        <w:t>Sk.</w:t>
      </w:r>
      <w:r>
        <w:rPr>
          <w:rFonts w:ascii="Times New Roman" w:hAnsi="Times New Roman" w:cs="Times New Roman"/>
        </w:rPr>
        <w:t>Latvijas</w:t>
      </w:r>
      <w:proofErr w:type="spellEnd"/>
      <w:r>
        <w:rPr>
          <w:rFonts w:ascii="Times New Roman" w:hAnsi="Times New Roman" w:cs="Times New Roman"/>
        </w:rPr>
        <w:t xml:space="preserve"> Republikas A</w:t>
      </w:r>
      <w:r w:rsidRPr="005C1ECD">
        <w:rPr>
          <w:rFonts w:ascii="Times New Roman" w:hAnsi="Times New Roman" w:cs="Times New Roman"/>
        </w:rPr>
        <w:t>ugstākās tiesas</w:t>
      </w:r>
      <w:r>
        <w:rPr>
          <w:rFonts w:ascii="Times New Roman" w:hAnsi="Times New Roman" w:cs="Times New Roman"/>
        </w:rPr>
        <w:t xml:space="preserve"> 2009.gada 30.janvāra lēmuma lietā SKA-104/2009 14.punktu</w:t>
      </w:r>
    </w:p>
  </w:footnote>
  <w:footnote w:id="2">
    <w:p w:rsidR="00BC0598" w:rsidRPr="00BA36B7" w:rsidRDefault="00BC0598" w:rsidP="00BA36B7">
      <w:pPr>
        <w:pStyle w:val="FootnoteText"/>
        <w:rPr>
          <w:rFonts w:ascii="Times New Roman" w:hAnsi="Times New Roman" w:cs="Times New Roman"/>
        </w:rPr>
      </w:pPr>
      <w:r w:rsidRPr="00BA36B7">
        <w:rPr>
          <w:rStyle w:val="FootnoteReference"/>
          <w:rFonts w:ascii="Times New Roman" w:hAnsi="Times New Roman" w:cs="Times New Roman"/>
        </w:rPr>
        <w:footnoteRef/>
      </w:r>
      <w:r w:rsidRPr="00BA36B7">
        <w:rPr>
          <w:rFonts w:ascii="Times New Roman" w:hAnsi="Times New Roman" w:cs="Times New Roman"/>
        </w:rPr>
        <w:t xml:space="preserve"> Sk.</w:t>
      </w:r>
      <w:r>
        <w:rPr>
          <w:rFonts w:ascii="Times New Roman" w:hAnsi="Times New Roman" w:cs="Times New Roman"/>
        </w:rPr>
        <w:t xml:space="preserve"> Latvijas Republikas Augstākās tiesas 2012.gada 29.maija sprieduma lielā SKA-77/2012 6.punktu</w:t>
      </w:r>
    </w:p>
  </w:footnote>
  <w:footnote w:id="3">
    <w:p w:rsidR="00BC0598" w:rsidRPr="005C1ECD" w:rsidRDefault="00BC0598" w:rsidP="00DC32EE">
      <w:pPr>
        <w:pStyle w:val="FootnoteText"/>
        <w:rPr>
          <w:rFonts w:ascii="Times New Roman" w:hAnsi="Times New Roman" w:cs="Times New Roman"/>
        </w:rPr>
      </w:pPr>
      <w:r w:rsidRPr="005C1ECD">
        <w:rPr>
          <w:rStyle w:val="FootnoteReference"/>
          <w:rFonts w:ascii="Times New Roman" w:hAnsi="Times New Roman" w:cs="Times New Roman"/>
        </w:rPr>
        <w:footnoteRef/>
      </w:r>
      <w:r>
        <w:rPr>
          <w:rFonts w:ascii="Times New Roman" w:hAnsi="Times New Roman" w:cs="Times New Roman"/>
        </w:rPr>
        <w:t xml:space="preserve">Sandis </w:t>
      </w:r>
      <w:proofErr w:type="spellStart"/>
      <w:r w:rsidRPr="005C1ECD">
        <w:rPr>
          <w:rFonts w:ascii="Times New Roman" w:hAnsi="Times New Roman" w:cs="Times New Roman"/>
        </w:rPr>
        <w:t>Bērtaitis</w:t>
      </w:r>
      <w:proofErr w:type="spellEnd"/>
      <w:r>
        <w:rPr>
          <w:rFonts w:ascii="Times New Roman" w:hAnsi="Times New Roman" w:cs="Times New Roman"/>
        </w:rPr>
        <w:t>,</w:t>
      </w:r>
      <w:r w:rsidR="00834EC5">
        <w:rPr>
          <w:rFonts w:ascii="Times New Roman" w:hAnsi="Times New Roman" w:cs="Times New Roman"/>
        </w:rPr>
        <w:t xml:space="preserve"> </w:t>
      </w:r>
      <w:r>
        <w:rPr>
          <w:rFonts w:ascii="Times New Roman" w:hAnsi="Times New Roman" w:cs="Times New Roman"/>
        </w:rPr>
        <w:t>Artūrs</w:t>
      </w:r>
      <w:r w:rsidR="0007751D">
        <w:rPr>
          <w:rFonts w:ascii="Times New Roman" w:hAnsi="Times New Roman" w:cs="Times New Roman"/>
        </w:rPr>
        <w:t xml:space="preserve"> </w:t>
      </w:r>
      <w:proofErr w:type="spellStart"/>
      <w:r>
        <w:rPr>
          <w:rFonts w:ascii="Times New Roman" w:hAnsi="Times New Roman" w:cs="Times New Roman"/>
        </w:rPr>
        <w:t>Caics</w:t>
      </w:r>
      <w:proofErr w:type="spellEnd"/>
      <w:r>
        <w:rPr>
          <w:rFonts w:ascii="Times New Roman" w:hAnsi="Times New Roman" w:cs="Times New Roman"/>
        </w:rPr>
        <w:t>. Enerģijas ražošanas atbalsta sistēmas tiesiskie aspekti. Jurista Vārds, 08.07.2014., Nr.26</w:t>
      </w:r>
    </w:p>
  </w:footnote>
  <w:footnote w:id="4">
    <w:p w:rsidR="00BC0598" w:rsidRPr="00F87786" w:rsidRDefault="00BC0598">
      <w:pPr>
        <w:pStyle w:val="FootnoteText"/>
        <w:rPr>
          <w:rFonts w:ascii="Times New Roman" w:hAnsi="Times New Roman" w:cs="Times New Roman"/>
        </w:rPr>
      </w:pPr>
      <w:r w:rsidRPr="00F87786">
        <w:rPr>
          <w:rStyle w:val="FootnoteReference"/>
          <w:rFonts w:ascii="Times New Roman" w:hAnsi="Times New Roman" w:cs="Times New Roman"/>
        </w:rPr>
        <w:footnoteRef/>
      </w:r>
      <w:r w:rsidR="00266DBF">
        <w:rPr>
          <w:rFonts w:ascii="Times New Roman" w:hAnsi="Times New Roman" w:cs="Times New Roman"/>
        </w:rPr>
        <w:t xml:space="preserve"> </w:t>
      </w:r>
      <w:r>
        <w:rPr>
          <w:rFonts w:ascii="Times New Roman" w:hAnsi="Times New Roman" w:cs="Times New Roman"/>
        </w:rPr>
        <w:t xml:space="preserve">Edvīns </w:t>
      </w:r>
      <w:proofErr w:type="spellStart"/>
      <w:r>
        <w:rPr>
          <w:rFonts w:ascii="Times New Roman" w:hAnsi="Times New Roman" w:cs="Times New Roman"/>
        </w:rPr>
        <w:t>Danovskis</w:t>
      </w:r>
      <w:proofErr w:type="spellEnd"/>
      <w:r>
        <w:rPr>
          <w:rFonts w:ascii="Times New Roman" w:hAnsi="Times New Roman" w:cs="Times New Roman"/>
        </w:rPr>
        <w:t>. Publisko un privāto tiesību dalījuma nozīme un piemērošanas problēmas Latvijā. Rīga: Latvijas Vēstnesis, 101.lpp.</w:t>
      </w:r>
    </w:p>
  </w:footnote>
  <w:footnote w:id="5">
    <w:p w:rsidR="00BC0598" w:rsidRPr="003328EE" w:rsidRDefault="00BC0598">
      <w:pPr>
        <w:pStyle w:val="FootnoteText"/>
        <w:rPr>
          <w:rFonts w:ascii="Times New Roman" w:hAnsi="Times New Roman" w:cs="Times New Roman"/>
        </w:rPr>
      </w:pPr>
      <w:r w:rsidRPr="003328EE">
        <w:rPr>
          <w:rStyle w:val="FootnoteReference"/>
          <w:rFonts w:ascii="Times New Roman" w:hAnsi="Times New Roman" w:cs="Times New Roman"/>
        </w:rPr>
        <w:footnoteRef/>
      </w:r>
      <w:r w:rsidRPr="003328EE">
        <w:rPr>
          <w:rFonts w:ascii="Times New Roman" w:hAnsi="Times New Roman" w:cs="Times New Roman"/>
        </w:rPr>
        <w:t xml:space="preserve"> Turpat, 101., 102.lpp.</w:t>
      </w:r>
    </w:p>
  </w:footnote>
  <w:footnote w:id="6">
    <w:p w:rsidR="00222F7D" w:rsidRPr="00222F7D" w:rsidRDefault="00222F7D">
      <w:pPr>
        <w:pStyle w:val="FootnoteText"/>
        <w:rPr>
          <w:rFonts w:ascii="Times New Roman" w:hAnsi="Times New Roman" w:cs="Times New Roman"/>
        </w:rPr>
      </w:pPr>
      <w:r w:rsidRPr="00222F7D">
        <w:rPr>
          <w:rStyle w:val="FootnoteReference"/>
          <w:rFonts w:ascii="Times New Roman" w:hAnsi="Times New Roman" w:cs="Times New Roman"/>
        </w:rPr>
        <w:footnoteRef/>
      </w:r>
      <w:r w:rsidRPr="00222F7D">
        <w:rPr>
          <w:rFonts w:ascii="Times New Roman" w:hAnsi="Times New Roman" w:cs="Times New Roman"/>
        </w:rPr>
        <w:t xml:space="preserve"> Ministru kabineta 2009.gada 7.aprīļa noteikumi nr.300 “Ministru kabineta kārtības rullis”</w:t>
      </w:r>
    </w:p>
  </w:footnote>
  <w:footnote w:id="7">
    <w:p w:rsidR="00BC0598" w:rsidRDefault="00BC0598" w:rsidP="00070B85">
      <w:pPr>
        <w:pStyle w:val="FootnoteText"/>
      </w:pPr>
      <w:r>
        <w:rPr>
          <w:rStyle w:val="FootnoteReference"/>
        </w:rPr>
        <w:footnoteRef/>
      </w:r>
      <w:r w:rsidRPr="00224E82">
        <w:rPr>
          <w:rFonts w:ascii="Times New Roman" w:hAnsi="Times New Roman" w:cs="Times New Roman"/>
          <w:lang w:val="en-US"/>
        </w:rPr>
        <w:t xml:space="preserve"> Post-public employment:</w:t>
      </w:r>
      <w:r>
        <w:rPr>
          <w:rFonts w:ascii="Times New Roman" w:hAnsi="Times New Roman" w:cs="Times New Roman"/>
          <w:lang w:val="en-US"/>
        </w:rPr>
        <w:t xml:space="preserve"> Good practices for preventing conflict of interest © OECD, Paris, 2010 </w:t>
      </w:r>
      <w:r w:rsidRPr="003D4DD5">
        <w:rPr>
          <w:rFonts w:ascii="Times New Roman" w:hAnsi="Times New Roman" w:cs="Times New Roman"/>
        </w:rPr>
        <w:t xml:space="preserve">(sk. </w:t>
      </w:r>
      <w:proofErr w:type="gramStart"/>
      <w:r w:rsidRPr="003D4DD5">
        <w:rPr>
          <w:rFonts w:ascii="Times New Roman" w:hAnsi="Times New Roman" w:cs="Times New Roman"/>
        </w:rPr>
        <w:t>29.,</w:t>
      </w:r>
      <w:proofErr w:type="gramEnd"/>
      <w:r w:rsidRPr="003D4DD5">
        <w:rPr>
          <w:rFonts w:ascii="Times New Roman" w:hAnsi="Times New Roman" w:cs="Times New Roman"/>
        </w:rPr>
        <w:t xml:space="preserve"> 30.lpp.)</w:t>
      </w:r>
    </w:p>
  </w:footnote>
  <w:footnote w:id="8">
    <w:p w:rsidR="00BC0598" w:rsidRPr="0053326B" w:rsidRDefault="00BC0598" w:rsidP="00070B85">
      <w:pPr>
        <w:pStyle w:val="FootnoteText"/>
        <w:rPr>
          <w:rFonts w:ascii="Times New Roman" w:hAnsi="Times New Roman" w:cs="Times New Roman"/>
        </w:rPr>
      </w:pPr>
      <w:r>
        <w:rPr>
          <w:rStyle w:val="FootnoteReference"/>
        </w:rPr>
        <w:footnoteRef/>
      </w:r>
      <w:hyperlink r:id="rId1" w:history="1">
        <w:r w:rsidRPr="00E72944">
          <w:rPr>
            <w:rStyle w:val="Hyperlink"/>
            <w:rFonts w:ascii="Times New Roman" w:hAnsi="Times New Roman" w:cs="Times New Roman"/>
          </w:rPr>
          <w:t>http://www.oecd-ilibrary.org/docserver/download/4215081ec033.pdf?expires=1459423390&amp;id=id&amp;accname=guest&amp;checksum=67851295F7BDF8DC50A258099D403B37</w:t>
        </w:r>
      </w:hyperlink>
    </w:p>
  </w:footnote>
  <w:footnote w:id="9">
    <w:p w:rsidR="00BC0598" w:rsidRPr="00323B9E" w:rsidRDefault="00BC0598" w:rsidP="00070B85">
      <w:pPr>
        <w:pStyle w:val="FootnoteText"/>
        <w:rPr>
          <w:rFonts w:ascii="Times New Roman" w:hAnsi="Times New Roman" w:cs="Times New Roman"/>
        </w:rPr>
      </w:pPr>
      <w:r w:rsidRPr="00323B9E">
        <w:rPr>
          <w:rStyle w:val="FootnoteReference"/>
          <w:rFonts w:ascii="Times New Roman" w:hAnsi="Times New Roman" w:cs="Times New Roman"/>
        </w:rPr>
        <w:footnoteRef/>
      </w:r>
      <w:r w:rsidRPr="00323B9E">
        <w:rPr>
          <w:rFonts w:ascii="Times New Roman" w:hAnsi="Times New Roman" w:cs="Times New Roman"/>
        </w:rPr>
        <w:t xml:space="preserve"> Turpat</w:t>
      </w:r>
      <w:r>
        <w:rPr>
          <w:rFonts w:ascii="Times New Roman" w:hAnsi="Times New Roman" w:cs="Times New Roman"/>
        </w:rPr>
        <w:t>.</w:t>
      </w:r>
    </w:p>
  </w:footnote>
  <w:footnote w:id="10">
    <w:p w:rsidR="00BC0598" w:rsidRPr="00165099" w:rsidRDefault="00BC0598" w:rsidP="00070B85">
      <w:pPr>
        <w:pStyle w:val="FootnoteText"/>
        <w:rPr>
          <w:rFonts w:ascii="Times New Roman" w:hAnsi="Times New Roman" w:cs="Times New Roman"/>
        </w:rPr>
      </w:pPr>
      <w:r w:rsidRPr="00165099">
        <w:rPr>
          <w:rStyle w:val="FootnoteReference"/>
          <w:rFonts w:ascii="Times New Roman" w:hAnsi="Times New Roman" w:cs="Times New Roman"/>
        </w:rPr>
        <w:footnoteRef/>
      </w:r>
      <w:r>
        <w:rPr>
          <w:rFonts w:ascii="Times New Roman" w:hAnsi="Times New Roman" w:cs="Times New Roman"/>
        </w:rPr>
        <w:t xml:space="preserve">Vidējais svērtais lietu izskatīšanas ilgums (mēnešos) rajonu (pilsētu) tiesās 2015.gadā: civillietās – 8.6 mēneši, krimināllietās – 5.5 mēneši, administratīvajās lietās – 7.3 mēneši. Vidējais svērtais lietu izskatīšanas ilgums (mēnešos) apelācijas instancē (apgabaltiesās)  2015.gadā: civillietās – 3.2 mēneši, krimināllietās – 3.2 mēneši, administratīvajās lietās – 12.7 mēneši. Vidējais svērtais lietu izskatīšanas ilgums (mēnešos) augstākajā tiesā kasācijas kārtībā 2015.gadā: civillietās – 15 mēneši, krimināllietās – 1.3 mēneši, administratīvajās lietās – 3.3 mēneši (izmantotie resursi: Tieslietu ministrijas prezentācija “Lietu izskatīšanas termiņi (2013. - 2015)” Saeimas juridiskās komisijas Tiesu politikas apakškomisijas 2016.gada 16.februāra sēdē un </w:t>
      </w:r>
      <w:hyperlink r:id="rId2" w:history="1">
        <w:r w:rsidRPr="004D2850">
          <w:rPr>
            <w:rStyle w:val="Hyperlink"/>
            <w:rFonts w:ascii="Times New Roman" w:hAnsi="Times New Roman" w:cs="Times New Roman"/>
          </w:rPr>
          <w:t>http://at.gov.lv/files/uploads/files/4_Tiesvediba/Statistika/2015/Kopsavilkums_2015_statistika.jpg</w:t>
        </w:r>
      </w:hyperlink>
      <w:r>
        <w:rPr>
          <w:rFonts w:ascii="Times New Roman" w:hAnsi="Times New Roman" w:cs="Times New Roman"/>
        </w:rPr>
        <w:t>) Korupcijas novēršanas un apkarošanas birojs vērš uzmanību, ka statistikas dati par lietu izskatīšanas vidējo svērto ilgumu katrā instancē ir aprēķināts no lietas saņemšanas līdz lietas izskatīšanai katrā atsevišķā tiesā, proti, tajā nav iekļauti aprēķini par procesuālajiem termiņiem pārsūdzības dokumentu sagatavošanai un iesniegšanai, kas attiecīgi pagarina kopējo lietu izskatīšanas laiku. Tāpat Augstākās tiesas norādītajos datos ietilpst lietu kategorijas, kuras skata paātrinātā kārtībā (piem., prasības, kas izriet no darba tiesiskajā attiecībām, prasības par uzturlīdzekļu piedziņu utt.). Statistikas dati par lietu izskatīšanas vidējo svērto ilgumu 2016. un 2017.gadā publiski nav pieejami.</w:t>
      </w:r>
    </w:p>
  </w:footnote>
  <w:footnote w:id="11">
    <w:p w:rsidR="00BC0598" w:rsidRDefault="00BC0598" w:rsidP="00070B85">
      <w:pPr>
        <w:pStyle w:val="FootnoteText"/>
      </w:pPr>
      <w:r w:rsidRPr="00347733">
        <w:rPr>
          <w:rStyle w:val="FootnoteReference"/>
          <w:rFonts w:ascii="Times New Roman" w:hAnsi="Times New Roman" w:cs="Times New Roman"/>
        </w:rPr>
        <w:footnoteRef/>
      </w:r>
      <w:r w:rsidRPr="00347733">
        <w:rPr>
          <w:rFonts w:ascii="Times New Roman" w:hAnsi="Times New Roman" w:cs="Times New Roman"/>
        </w:rPr>
        <w:t xml:space="preserve"> Pieņemts GRECO 58.plenārsēdē (Strasbūra, 2012.gada 3.-7.decembris); atrodams šeit:</w:t>
      </w:r>
      <w:r w:rsidRPr="006C7D01">
        <w:rPr>
          <w:rFonts w:ascii="Times New Roman" w:hAnsi="Times New Roman" w:cs="Times New Roman"/>
        </w:rPr>
        <w:t>http://www.coe.int/t/dghl/monitoring/greco/evaluations/round4/Eval%20IV/GrecoEval4(2012)3_Latvia_LV.pdf</w:t>
      </w:r>
    </w:p>
  </w:footnote>
  <w:footnote w:id="12">
    <w:p w:rsidR="00BC0598" w:rsidRPr="00C209B6" w:rsidRDefault="00BC0598" w:rsidP="00070B85">
      <w:pPr>
        <w:pStyle w:val="FootnoteText"/>
        <w:rPr>
          <w:rFonts w:ascii="Times New Roman" w:hAnsi="Times New Roman" w:cs="Times New Roman"/>
        </w:rPr>
      </w:pPr>
      <w:r w:rsidRPr="00C209B6">
        <w:rPr>
          <w:rStyle w:val="FootnoteReference"/>
          <w:rFonts w:ascii="Times New Roman" w:hAnsi="Times New Roman" w:cs="Times New Roman"/>
        </w:rPr>
        <w:footnoteRef/>
      </w:r>
      <w:r w:rsidRPr="00C209B6">
        <w:rPr>
          <w:rFonts w:ascii="Times New Roman" w:hAnsi="Times New Roman" w:cs="Times New Roman"/>
        </w:rPr>
        <w:t xml:space="preserve"> http://www.oecd.org/daf/anti-bribery/Latvia-Phase-2-Report-ENG.pdf</w:t>
      </w:r>
    </w:p>
  </w:footnote>
  <w:footnote w:id="13">
    <w:p w:rsidR="00BC0598" w:rsidRPr="00181BDF" w:rsidRDefault="00BC0598" w:rsidP="00070B85">
      <w:pPr>
        <w:pStyle w:val="FootnoteText"/>
        <w:rPr>
          <w:rFonts w:ascii="Times New Roman" w:hAnsi="Times New Roman" w:cs="Times New Roman"/>
        </w:rPr>
      </w:pPr>
      <w:r w:rsidRPr="00181BDF">
        <w:rPr>
          <w:rStyle w:val="FootnoteReference"/>
          <w:rFonts w:ascii="Times New Roman" w:hAnsi="Times New Roman" w:cs="Times New Roman"/>
        </w:rPr>
        <w:footnoteRef/>
      </w:r>
      <w:r>
        <w:rPr>
          <w:rFonts w:ascii="Times New Roman" w:hAnsi="Times New Roman" w:cs="Times New Roman"/>
        </w:rPr>
        <w:t xml:space="preserve">Krimināllikuma komentāri. Trešā daļa (XVIII-XXV nodaļa). U.Krastiņš, </w:t>
      </w:r>
      <w:proofErr w:type="spellStart"/>
      <w:r>
        <w:rPr>
          <w:rFonts w:ascii="Times New Roman" w:hAnsi="Times New Roman" w:cs="Times New Roman"/>
        </w:rPr>
        <w:t>V.Liholaja</w:t>
      </w:r>
      <w:proofErr w:type="spellEnd"/>
      <w:r>
        <w:rPr>
          <w:rFonts w:ascii="Times New Roman" w:hAnsi="Times New Roman" w:cs="Times New Roman"/>
        </w:rPr>
        <w:t xml:space="preserve">, </w:t>
      </w:r>
      <w:proofErr w:type="spellStart"/>
      <w:r>
        <w:rPr>
          <w:rFonts w:ascii="Times New Roman" w:hAnsi="Times New Roman" w:cs="Times New Roman"/>
        </w:rPr>
        <w:t>D.Hamkova</w:t>
      </w:r>
      <w:proofErr w:type="spellEnd"/>
      <w:r>
        <w:rPr>
          <w:rFonts w:ascii="Times New Roman" w:hAnsi="Times New Roman" w:cs="Times New Roman"/>
        </w:rPr>
        <w:t xml:space="preserve"> – Rīga: Tiesu namu aģentūra, 2016, 562.lpp.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278575"/>
      <w:docPartObj>
        <w:docPartGallery w:val="Page Numbers (Top of Page)"/>
        <w:docPartUnique/>
      </w:docPartObj>
    </w:sdtPr>
    <w:sdtEndPr>
      <w:rPr>
        <w:rFonts w:ascii="Times New Roman" w:hAnsi="Times New Roman" w:cs="Times New Roman"/>
        <w:noProof/>
        <w:sz w:val="26"/>
        <w:szCs w:val="26"/>
      </w:rPr>
    </w:sdtEndPr>
    <w:sdtContent>
      <w:p w:rsidR="00BC0598" w:rsidRPr="00300EC4" w:rsidRDefault="00BC0598">
        <w:pPr>
          <w:pStyle w:val="Header"/>
          <w:jc w:val="center"/>
          <w:rPr>
            <w:rFonts w:ascii="Times New Roman" w:hAnsi="Times New Roman" w:cs="Times New Roman"/>
            <w:sz w:val="26"/>
            <w:szCs w:val="26"/>
          </w:rPr>
        </w:pPr>
        <w:r w:rsidRPr="00300EC4">
          <w:rPr>
            <w:rFonts w:ascii="Times New Roman" w:hAnsi="Times New Roman" w:cs="Times New Roman"/>
            <w:sz w:val="26"/>
            <w:szCs w:val="26"/>
          </w:rPr>
          <w:fldChar w:fldCharType="begin"/>
        </w:r>
        <w:r w:rsidRPr="00300EC4">
          <w:rPr>
            <w:rFonts w:ascii="Times New Roman" w:hAnsi="Times New Roman" w:cs="Times New Roman"/>
            <w:sz w:val="26"/>
            <w:szCs w:val="26"/>
          </w:rPr>
          <w:instrText xml:space="preserve"> PAGE   \* MERGEFORMAT </w:instrText>
        </w:r>
        <w:r w:rsidRPr="00300EC4">
          <w:rPr>
            <w:rFonts w:ascii="Times New Roman" w:hAnsi="Times New Roman" w:cs="Times New Roman"/>
            <w:sz w:val="26"/>
            <w:szCs w:val="26"/>
          </w:rPr>
          <w:fldChar w:fldCharType="separate"/>
        </w:r>
        <w:r w:rsidR="00CD0DFC">
          <w:rPr>
            <w:rFonts w:ascii="Times New Roman" w:hAnsi="Times New Roman" w:cs="Times New Roman"/>
            <w:noProof/>
            <w:sz w:val="26"/>
            <w:szCs w:val="26"/>
          </w:rPr>
          <w:t>29</w:t>
        </w:r>
        <w:r w:rsidRPr="00300EC4">
          <w:rPr>
            <w:rFonts w:ascii="Times New Roman" w:hAnsi="Times New Roman" w:cs="Times New Roman"/>
            <w:noProof/>
            <w:sz w:val="26"/>
            <w:szCs w:val="26"/>
          </w:rPr>
          <w:fldChar w:fldCharType="end"/>
        </w:r>
      </w:p>
    </w:sdtContent>
  </w:sdt>
  <w:p w:rsidR="00BC0598" w:rsidRDefault="00BC0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54C6"/>
    <w:multiLevelType w:val="hybridMultilevel"/>
    <w:tmpl w:val="7C3C6FC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3E6CA2"/>
    <w:multiLevelType w:val="hybridMultilevel"/>
    <w:tmpl w:val="9E86217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4EC52AC"/>
    <w:multiLevelType w:val="hybridMultilevel"/>
    <w:tmpl w:val="E57C82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58C7040"/>
    <w:multiLevelType w:val="hybridMultilevel"/>
    <w:tmpl w:val="54B884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99F44AD"/>
    <w:multiLevelType w:val="hybridMultilevel"/>
    <w:tmpl w:val="19DC596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7B822A0"/>
    <w:multiLevelType w:val="hybridMultilevel"/>
    <w:tmpl w:val="26DE9D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85"/>
    <w:rsid w:val="00007C9E"/>
    <w:rsid w:val="000103DA"/>
    <w:rsid w:val="000165F1"/>
    <w:rsid w:val="00021B19"/>
    <w:rsid w:val="00022686"/>
    <w:rsid w:val="0002283E"/>
    <w:rsid w:val="00022BB6"/>
    <w:rsid w:val="000236CD"/>
    <w:rsid w:val="000354CC"/>
    <w:rsid w:val="00037C74"/>
    <w:rsid w:val="00043EB5"/>
    <w:rsid w:val="000474CC"/>
    <w:rsid w:val="000502CA"/>
    <w:rsid w:val="000506D4"/>
    <w:rsid w:val="00053AB5"/>
    <w:rsid w:val="00054999"/>
    <w:rsid w:val="00056E46"/>
    <w:rsid w:val="00060ED7"/>
    <w:rsid w:val="000624AA"/>
    <w:rsid w:val="00070B85"/>
    <w:rsid w:val="00070DC3"/>
    <w:rsid w:val="00074513"/>
    <w:rsid w:val="00076344"/>
    <w:rsid w:val="0007751D"/>
    <w:rsid w:val="000820D9"/>
    <w:rsid w:val="00082383"/>
    <w:rsid w:val="00092A9C"/>
    <w:rsid w:val="00096B65"/>
    <w:rsid w:val="000A4C55"/>
    <w:rsid w:val="000B4433"/>
    <w:rsid w:val="000C1A75"/>
    <w:rsid w:val="000C509E"/>
    <w:rsid w:val="000C60E5"/>
    <w:rsid w:val="000C71F7"/>
    <w:rsid w:val="000E0F93"/>
    <w:rsid w:val="000E3ECD"/>
    <w:rsid w:val="000E6BD7"/>
    <w:rsid w:val="000F31A5"/>
    <w:rsid w:val="000F3286"/>
    <w:rsid w:val="000F763C"/>
    <w:rsid w:val="00101715"/>
    <w:rsid w:val="00114BB2"/>
    <w:rsid w:val="001176C3"/>
    <w:rsid w:val="00121862"/>
    <w:rsid w:val="00152D87"/>
    <w:rsid w:val="00154EB2"/>
    <w:rsid w:val="001555EE"/>
    <w:rsid w:val="00161D5C"/>
    <w:rsid w:val="00171237"/>
    <w:rsid w:val="0018166F"/>
    <w:rsid w:val="00182188"/>
    <w:rsid w:val="00183D67"/>
    <w:rsid w:val="00192313"/>
    <w:rsid w:val="00194D5C"/>
    <w:rsid w:val="00195916"/>
    <w:rsid w:val="001A4A41"/>
    <w:rsid w:val="001B0826"/>
    <w:rsid w:val="001B29C1"/>
    <w:rsid w:val="001C02D6"/>
    <w:rsid w:val="001C032A"/>
    <w:rsid w:val="001C04C6"/>
    <w:rsid w:val="001C13E2"/>
    <w:rsid w:val="001C217B"/>
    <w:rsid w:val="001D281E"/>
    <w:rsid w:val="001E0721"/>
    <w:rsid w:val="001E2516"/>
    <w:rsid w:val="001E5B91"/>
    <w:rsid w:val="001F3644"/>
    <w:rsid w:val="001F36BF"/>
    <w:rsid w:val="001F6EE3"/>
    <w:rsid w:val="001F70CF"/>
    <w:rsid w:val="001F7EE6"/>
    <w:rsid w:val="00201AF0"/>
    <w:rsid w:val="00210CDF"/>
    <w:rsid w:val="00211B8B"/>
    <w:rsid w:val="002200B9"/>
    <w:rsid w:val="00222F7D"/>
    <w:rsid w:val="002265F5"/>
    <w:rsid w:val="0022688B"/>
    <w:rsid w:val="00227727"/>
    <w:rsid w:val="002378C9"/>
    <w:rsid w:val="002429B0"/>
    <w:rsid w:val="00260C32"/>
    <w:rsid w:val="00266110"/>
    <w:rsid w:val="00266DBF"/>
    <w:rsid w:val="0027078D"/>
    <w:rsid w:val="00272F86"/>
    <w:rsid w:val="00275ACA"/>
    <w:rsid w:val="0028090B"/>
    <w:rsid w:val="0028726B"/>
    <w:rsid w:val="00295582"/>
    <w:rsid w:val="00297238"/>
    <w:rsid w:val="002A087E"/>
    <w:rsid w:val="002A1729"/>
    <w:rsid w:val="002A64BE"/>
    <w:rsid w:val="002A7632"/>
    <w:rsid w:val="002B5098"/>
    <w:rsid w:val="002C69B5"/>
    <w:rsid w:val="002C6E63"/>
    <w:rsid w:val="002C7044"/>
    <w:rsid w:val="002D0DEB"/>
    <w:rsid w:val="002D1E38"/>
    <w:rsid w:val="002D3FE8"/>
    <w:rsid w:val="002E180C"/>
    <w:rsid w:val="002E6A0B"/>
    <w:rsid w:val="002E7A22"/>
    <w:rsid w:val="002F01BB"/>
    <w:rsid w:val="002F038A"/>
    <w:rsid w:val="002F162D"/>
    <w:rsid w:val="002F2ADD"/>
    <w:rsid w:val="002F4845"/>
    <w:rsid w:val="002F725C"/>
    <w:rsid w:val="003106A4"/>
    <w:rsid w:val="003107AA"/>
    <w:rsid w:val="0031082D"/>
    <w:rsid w:val="0031151D"/>
    <w:rsid w:val="00312CCF"/>
    <w:rsid w:val="00313E83"/>
    <w:rsid w:val="003305B7"/>
    <w:rsid w:val="00331F4F"/>
    <w:rsid w:val="003328EE"/>
    <w:rsid w:val="00334AB9"/>
    <w:rsid w:val="00344627"/>
    <w:rsid w:val="00346022"/>
    <w:rsid w:val="003542F9"/>
    <w:rsid w:val="00355E1C"/>
    <w:rsid w:val="003616C2"/>
    <w:rsid w:val="00361EAB"/>
    <w:rsid w:val="003632CB"/>
    <w:rsid w:val="00365F1B"/>
    <w:rsid w:val="00365FB2"/>
    <w:rsid w:val="00366450"/>
    <w:rsid w:val="00367A12"/>
    <w:rsid w:val="00367AEF"/>
    <w:rsid w:val="00371F9F"/>
    <w:rsid w:val="00373A86"/>
    <w:rsid w:val="00375AC3"/>
    <w:rsid w:val="00380F17"/>
    <w:rsid w:val="00381B60"/>
    <w:rsid w:val="00384058"/>
    <w:rsid w:val="003959B2"/>
    <w:rsid w:val="003A08C2"/>
    <w:rsid w:val="003A553B"/>
    <w:rsid w:val="003B4A7C"/>
    <w:rsid w:val="003C13B0"/>
    <w:rsid w:val="003C1552"/>
    <w:rsid w:val="003C4A1A"/>
    <w:rsid w:val="003C5FFC"/>
    <w:rsid w:val="003C6826"/>
    <w:rsid w:val="003C726D"/>
    <w:rsid w:val="003C76BE"/>
    <w:rsid w:val="003D0914"/>
    <w:rsid w:val="003D27A9"/>
    <w:rsid w:val="003D5912"/>
    <w:rsid w:val="003D6921"/>
    <w:rsid w:val="003E5C9F"/>
    <w:rsid w:val="003F2981"/>
    <w:rsid w:val="003F5BBB"/>
    <w:rsid w:val="003F6E9E"/>
    <w:rsid w:val="00402F91"/>
    <w:rsid w:val="004057D5"/>
    <w:rsid w:val="00421B06"/>
    <w:rsid w:val="0042210B"/>
    <w:rsid w:val="00425564"/>
    <w:rsid w:val="00431FED"/>
    <w:rsid w:val="0043279E"/>
    <w:rsid w:val="00433C68"/>
    <w:rsid w:val="00442509"/>
    <w:rsid w:val="004466A9"/>
    <w:rsid w:val="00446848"/>
    <w:rsid w:val="00453072"/>
    <w:rsid w:val="004539F7"/>
    <w:rsid w:val="00460A4F"/>
    <w:rsid w:val="004628CA"/>
    <w:rsid w:val="00476F89"/>
    <w:rsid w:val="004776BB"/>
    <w:rsid w:val="004823BB"/>
    <w:rsid w:val="00484316"/>
    <w:rsid w:val="00485BC1"/>
    <w:rsid w:val="00492181"/>
    <w:rsid w:val="004958A3"/>
    <w:rsid w:val="00495F8F"/>
    <w:rsid w:val="004A251C"/>
    <w:rsid w:val="004A2694"/>
    <w:rsid w:val="004B1819"/>
    <w:rsid w:val="004B6A55"/>
    <w:rsid w:val="004C36EB"/>
    <w:rsid w:val="004D4F5C"/>
    <w:rsid w:val="004E4AA6"/>
    <w:rsid w:val="004E5EE1"/>
    <w:rsid w:val="004E66E8"/>
    <w:rsid w:val="004E76B8"/>
    <w:rsid w:val="004F148E"/>
    <w:rsid w:val="004F386B"/>
    <w:rsid w:val="004F4151"/>
    <w:rsid w:val="004F4855"/>
    <w:rsid w:val="004F797B"/>
    <w:rsid w:val="00511215"/>
    <w:rsid w:val="00511D7B"/>
    <w:rsid w:val="00516544"/>
    <w:rsid w:val="00517CB1"/>
    <w:rsid w:val="00525DDF"/>
    <w:rsid w:val="005359E1"/>
    <w:rsid w:val="00537A28"/>
    <w:rsid w:val="00542056"/>
    <w:rsid w:val="0054226D"/>
    <w:rsid w:val="005504BC"/>
    <w:rsid w:val="0055204C"/>
    <w:rsid w:val="00561457"/>
    <w:rsid w:val="00561761"/>
    <w:rsid w:val="00561AA9"/>
    <w:rsid w:val="00564389"/>
    <w:rsid w:val="00564C63"/>
    <w:rsid w:val="005706C3"/>
    <w:rsid w:val="0057396F"/>
    <w:rsid w:val="00574A37"/>
    <w:rsid w:val="00576622"/>
    <w:rsid w:val="005828E6"/>
    <w:rsid w:val="00586694"/>
    <w:rsid w:val="005950C2"/>
    <w:rsid w:val="0059522B"/>
    <w:rsid w:val="005954BC"/>
    <w:rsid w:val="005A4D5C"/>
    <w:rsid w:val="005A6282"/>
    <w:rsid w:val="005A7209"/>
    <w:rsid w:val="005B5B28"/>
    <w:rsid w:val="005B663D"/>
    <w:rsid w:val="005C0AFB"/>
    <w:rsid w:val="005C0F79"/>
    <w:rsid w:val="005C1ECD"/>
    <w:rsid w:val="005C2CEE"/>
    <w:rsid w:val="005C333A"/>
    <w:rsid w:val="005E15D3"/>
    <w:rsid w:val="005E1BC6"/>
    <w:rsid w:val="005E4D39"/>
    <w:rsid w:val="005F0202"/>
    <w:rsid w:val="00600317"/>
    <w:rsid w:val="00600326"/>
    <w:rsid w:val="00601DD1"/>
    <w:rsid w:val="006040B1"/>
    <w:rsid w:val="00604158"/>
    <w:rsid w:val="00604B9F"/>
    <w:rsid w:val="00606E5A"/>
    <w:rsid w:val="006253D0"/>
    <w:rsid w:val="00642BBB"/>
    <w:rsid w:val="00650007"/>
    <w:rsid w:val="00661089"/>
    <w:rsid w:val="00661FD5"/>
    <w:rsid w:val="006667EE"/>
    <w:rsid w:val="0067029D"/>
    <w:rsid w:val="00674CC7"/>
    <w:rsid w:val="00677164"/>
    <w:rsid w:val="00677F1C"/>
    <w:rsid w:val="00683670"/>
    <w:rsid w:val="00684360"/>
    <w:rsid w:val="00690BA9"/>
    <w:rsid w:val="00692D8B"/>
    <w:rsid w:val="006A1FF2"/>
    <w:rsid w:val="006A2841"/>
    <w:rsid w:val="006A728D"/>
    <w:rsid w:val="006A7AD9"/>
    <w:rsid w:val="006B5AB4"/>
    <w:rsid w:val="006B66D8"/>
    <w:rsid w:val="006B70CC"/>
    <w:rsid w:val="006C1393"/>
    <w:rsid w:val="006C21A9"/>
    <w:rsid w:val="006C4E22"/>
    <w:rsid w:val="006C5742"/>
    <w:rsid w:val="006C6D17"/>
    <w:rsid w:val="006D17F8"/>
    <w:rsid w:val="006D390D"/>
    <w:rsid w:val="006D505A"/>
    <w:rsid w:val="006E7A07"/>
    <w:rsid w:val="006F073D"/>
    <w:rsid w:val="006F1AC8"/>
    <w:rsid w:val="006F4885"/>
    <w:rsid w:val="006F4D3E"/>
    <w:rsid w:val="00704D5A"/>
    <w:rsid w:val="007054AB"/>
    <w:rsid w:val="00705B21"/>
    <w:rsid w:val="00705D24"/>
    <w:rsid w:val="00705D87"/>
    <w:rsid w:val="007073E6"/>
    <w:rsid w:val="00707F17"/>
    <w:rsid w:val="00713FF1"/>
    <w:rsid w:val="00714F99"/>
    <w:rsid w:val="0071790B"/>
    <w:rsid w:val="007207FD"/>
    <w:rsid w:val="00720965"/>
    <w:rsid w:val="00721173"/>
    <w:rsid w:val="00721DCA"/>
    <w:rsid w:val="00734493"/>
    <w:rsid w:val="00736CB2"/>
    <w:rsid w:val="007402D1"/>
    <w:rsid w:val="007465C6"/>
    <w:rsid w:val="00746ABE"/>
    <w:rsid w:val="00753E61"/>
    <w:rsid w:val="00764520"/>
    <w:rsid w:val="00764F13"/>
    <w:rsid w:val="00765B8A"/>
    <w:rsid w:val="00771400"/>
    <w:rsid w:val="00772A6D"/>
    <w:rsid w:val="007766CE"/>
    <w:rsid w:val="00777770"/>
    <w:rsid w:val="007777DC"/>
    <w:rsid w:val="00780278"/>
    <w:rsid w:val="00780955"/>
    <w:rsid w:val="00784833"/>
    <w:rsid w:val="00786753"/>
    <w:rsid w:val="007913C1"/>
    <w:rsid w:val="00791E6B"/>
    <w:rsid w:val="007955A4"/>
    <w:rsid w:val="007A121F"/>
    <w:rsid w:val="007A13B7"/>
    <w:rsid w:val="007A2266"/>
    <w:rsid w:val="007A3247"/>
    <w:rsid w:val="007A5758"/>
    <w:rsid w:val="007B7B12"/>
    <w:rsid w:val="007C00C1"/>
    <w:rsid w:val="007C05AD"/>
    <w:rsid w:val="007C2E6A"/>
    <w:rsid w:val="007C425B"/>
    <w:rsid w:val="007C4A7F"/>
    <w:rsid w:val="007C6D41"/>
    <w:rsid w:val="007D2407"/>
    <w:rsid w:val="007E2527"/>
    <w:rsid w:val="007E2E0D"/>
    <w:rsid w:val="007E5688"/>
    <w:rsid w:val="007F698E"/>
    <w:rsid w:val="00800276"/>
    <w:rsid w:val="008014D6"/>
    <w:rsid w:val="00804B85"/>
    <w:rsid w:val="0080575D"/>
    <w:rsid w:val="00806CBA"/>
    <w:rsid w:val="008133A0"/>
    <w:rsid w:val="00814006"/>
    <w:rsid w:val="008158F8"/>
    <w:rsid w:val="00815A75"/>
    <w:rsid w:val="00825676"/>
    <w:rsid w:val="0083127B"/>
    <w:rsid w:val="00834EC5"/>
    <w:rsid w:val="008363B0"/>
    <w:rsid w:val="00844557"/>
    <w:rsid w:val="00852BBE"/>
    <w:rsid w:val="008535F3"/>
    <w:rsid w:val="00856B9B"/>
    <w:rsid w:val="008702F6"/>
    <w:rsid w:val="008731BB"/>
    <w:rsid w:val="00875707"/>
    <w:rsid w:val="0088253E"/>
    <w:rsid w:val="008825C0"/>
    <w:rsid w:val="00883F5F"/>
    <w:rsid w:val="008854EA"/>
    <w:rsid w:val="0089735D"/>
    <w:rsid w:val="008A2C83"/>
    <w:rsid w:val="008A7937"/>
    <w:rsid w:val="008B0E3C"/>
    <w:rsid w:val="008B577D"/>
    <w:rsid w:val="008C38CE"/>
    <w:rsid w:val="008C5948"/>
    <w:rsid w:val="008C68E1"/>
    <w:rsid w:val="008D6336"/>
    <w:rsid w:val="008E4AE9"/>
    <w:rsid w:val="008F100D"/>
    <w:rsid w:val="008F1E9C"/>
    <w:rsid w:val="008F79B4"/>
    <w:rsid w:val="009045D7"/>
    <w:rsid w:val="009139D9"/>
    <w:rsid w:val="009144AF"/>
    <w:rsid w:val="0091583F"/>
    <w:rsid w:val="00916B77"/>
    <w:rsid w:val="0092004B"/>
    <w:rsid w:val="00922E68"/>
    <w:rsid w:val="00922FAA"/>
    <w:rsid w:val="00926437"/>
    <w:rsid w:val="00931571"/>
    <w:rsid w:val="00940CC7"/>
    <w:rsid w:val="00951EFA"/>
    <w:rsid w:val="00953C76"/>
    <w:rsid w:val="00955D3F"/>
    <w:rsid w:val="0095746D"/>
    <w:rsid w:val="00967AF2"/>
    <w:rsid w:val="00973642"/>
    <w:rsid w:val="00974FCF"/>
    <w:rsid w:val="009765A7"/>
    <w:rsid w:val="00976C05"/>
    <w:rsid w:val="00985284"/>
    <w:rsid w:val="009905A7"/>
    <w:rsid w:val="009949C4"/>
    <w:rsid w:val="009A498B"/>
    <w:rsid w:val="009B0464"/>
    <w:rsid w:val="009B0ED9"/>
    <w:rsid w:val="009B2CBB"/>
    <w:rsid w:val="009C2AF5"/>
    <w:rsid w:val="009C5550"/>
    <w:rsid w:val="009E1391"/>
    <w:rsid w:val="009E3ACE"/>
    <w:rsid w:val="009F6D00"/>
    <w:rsid w:val="00A03C82"/>
    <w:rsid w:val="00A04084"/>
    <w:rsid w:val="00A04181"/>
    <w:rsid w:val="00A04562"/>
    <w:rsid w:val="00A05006"/>
    <w:rsid w:val="00A125E9"/>
    <w:rsid w:val="00A12883"/>
    <w:rsid w:val="00A1561B"/>
    <w:rsid w:val="00A20733"/>
    <w:rsid w:val="00A23BA4"/>
    <w:rsid w:val="00A364BE"/>
    <w:rsid w:val="00A37AB2"/>
    <w:rsid w:val="00A53632"/>
    <w:rsid w:val="00A57E04"/>
    <w:rsid w:val="00A610DA"/>
    <w:rsid w:val="00A61AD2"/>
    <w:rsid w:val="00A61E3A"/>
    <w:rsid w:val="00A70D91"/>
    <w:rsid w:val="00A73DDA"/>
    <w:rsid w:val="00A74D6D"/>
    <w:rsid w:val="00A76240"/>
    <w:rsid w:val="00A802B0"/>
    <w:rsid w:val="00A85065"/>
    <w:rsid w:val="00A9135D"/>
    <w:rsid w:val="00A92B44"/>
    <w:rsid w:val="00A9528C"/>
    <w:rsid w:val="00A96356"/>
    <w:rsid w:val="00AA215F"/>
    <w:rsid w:val="00AB23AA"/>
    <w:rsid w:val="00AB3923"/>
    <w:rsid w:val="00AC7F13"/>
    <w:rsid w:val="00AD1EDA"/>
    <w:rsid w:val="00AD2D8E"/>
    <w:rsid w:val="00AE329C"/>
    <w:rsid w:val="00AE4099"/>
    <w:rsid w:val="00AF22A2"/>
    <w:rsid w:val="00AF411E"/>
    <w:rsid w:val="00AF68F7"/>
    <w:rsid w:val="00B0330A"/>
    <w:rsid w:val="00B058D9"/>
    <w:rsid w:val="00B24AB0"/>
    <w:rsid w:val="00B319ED"/>
    <w:rsid w:val="00B320F7"/>
    <w:rsid w:val="00B3298D"/>
    <w:rsid w:val="00B40EDE"/>
    <w:rsid w:val="00B44142"/>
    <w:rsid w:val="00B44F44"/>
    <w:rsid w:val="00B5435B"/>
    <w:rsid w:val="00B5651A"/>
    <w:rsid w:val="00B70EDB"/>
    <w:rsid w:val="00B8558D"/>
    <w:rsid w:val="00B8618B"/>
    <w:rsid w:val="00B905E6"/>
    <w:rsid w:val="00B91706"/>
    <w:rsid w:val="00B923CB"/>
    <w:rsid w:val="00B93504"/>
    <w:rsid w:val="00B9375F"/>
    <w:rsid w:val="00BA055A"/>
    <w:rsid w:val="00BA36B7"/>
    <w:rsid w:val="00BA392C"/>
    <w:rsid w:val="00BB1C51"/>
    <w:rsid w:val="00BB5756"/>
    <w:rsid w:val="00BC0598"/>
    <w:rsid w:val="00BD1106"/>
    <w:rsid w:val="00BD14EB"/>
    <w:rsid w:val="00BD2BA3"/>
    <w:rsid w:val="00BD43FF"/>
    <w:rsid w:val="00BD5858"/>
    <w:rsid w:val="00BD760A"/>
    <w:rsid w:val="00BE2262"/>
    <w:rsid w:val="00BE256D"/>
    <w:rsid w:val="00BE7026"/>
    <w:rsid w:val="00BF7514"/>
    <w:rsid w:val="00C010F6"/>
    <w:rsid w:val="00C07982"/>
    <w:rsid w:val="00C17319"/>
    <w:rsid w:val="00C272AC"/>
    <w:rsid w:val="00C2735B"/>
    <w:rsid w:val="00C30683"/>
    <w:rsid w:val="00C323D1"/>
    <w:rsid w:val="00C41F07"/>
    <w:rsid w:val="00C4329A"/>
    <w:rsid w:val="00C45176"/>
    <w:rsid w:val="00C45DA8"/>
    <w:rsid w:val="00C553EB"/>
    <w:rsid w:val="00C611CF"/>
    <w:rsid w:val="00C61A29"/>
    <w:rsid w:val="00C630E7"/>
    <w:rsid w:val="00C63DB7"/>
    <w:rsid w:val="00C64C28"/>
    <w:rsid w:val="00C65CA8"/>
    <w:rsid w:val="00C66524"/>
    <w:rsid w:val="00C75962"/>
    <w:rsid w:val="00C75F3E"/>
    <w:rsid w:val="00C813D9"/>
    <w:rsid w:val="00C84A13"/>
    <w:rsid w:val="00C90714"/>
    <w:rsid w:val="00C91690"/>
    <w:rsid w:val="00C9257F"/>
    <w:rsid w:val="00C94A12"/>
    <w:rsid w:val="00CA1B1D"/>
    <w:rsid w:val="00CA2A57"/>
    <w:rsid w:val="00CA4C4A"/>
    <w:rsid w:val="00CC52AD"/>
    <w:rsid w:val="00CC5AAA"/>
    <w:rsid w:val="00CD0DFC"/>
    <w:rsid w:val="00CD220D"/>
    <w:rsid w:val="00CD3219"/>
    <w:rsid w:val="00CE68C7"/>
    <w:rsid w:val="00CE6DD8"/>
    <w:rsid w:val="00CE6E7E"/>
    <w:rsid w:val="00CF05CF"/>
    <w:rsid w:val="00CF09C7"/>
    <w:rsid w:val="00CF4CD9"/>
    <w:rsid w:val="00CF4DD1"/>
    <w:rsid w:val="00D001B6"/>
    <w:rsid w:val="00D07916"/>
    <w:rsid w:val="00D155A9"/>
    <w:rsid w:val="00D2666F"/>
    <w:rsid w:val="00D30296"/>
    <w:rsid w:val="00D34409"/>
    <w:rsid w:val="00D35CCA"/>
    <w:rsid w:val="00D40919"/>
    <w:rsid w:val="00D41BC0"/>
    <w:rsid w:val="00D44294"/>
    <w:rsid w:val="00D504A0"/>
    <w:rsid w:val="00D53F29"/>
    <w:rsid w:val="00D75BB6"/>
    <w:rsid w:val="00D80410"/>
    <w:rsid w:val="00D80E67"/>
    <w:rsid w:val="00D84FA5"/>
    <w:rsid w:val="00D90B63"/>
    <w:rsid w:val="00D9645F"/>
    <w:rsid w:val="00DA46C6"/>
    <w:rsid w:val="00DB084E"/>
    <w:rsid w:val="00DB6290"/>
    <w:rsid w:val="00DB7B3F"/>
    <w:rsid w:val="00DC32EE"/>
    <w:rsid w:val="00DC6887"/>
    <w:rsid w:val="00DD5136"/>
    <w:rsid w:val="00DD7A91"/>
    <w:rsid w:val="00DE1F8A"/>
    <w:rsid w:val="00DE23F3"/>
    <w:rsid w:val="00DE734A"/>
    <w:rsid w:val="00DF3B42"/>
    <w:rsid w:val="00DF425E"/>
    <w:rsid w:val="00DF4B7B"/>
    <w:rsid w:val="00DF63E0"/>
    <w:rsid w:val="00E003F9"/>
    <w:rsid w:val="00E01355"/>
    <w:rsid w:val="00E0577F"/>
    <w:rsid w:val="00E05BAD"/>
    <w:rsid w:val="00E06054"/>
    <w:rsid w:val="00E10AD5"/>
    <w:rsid w:val="00E1608F"/>
    <w:rsid w:val="00E1669F"/>
    <w:rsid w:val="00E20C39"/>
    <w:rsid w:val="00E20ED7"/>
    <w:rsid w:val="00E246A3"/>
    <w:rsid w:val="00E27C36"/>
    <w:rsid w:val="00E303B8"/>
    <w:rsid w:val="00E31245"/>
    <w:rsid w:val="00E31A79"/>
    <w:rsid w:val="00E32CF7"/>
    <w:rsid w:val="00E341CA"/>
    <w:rsid w:val="00E35062"/>
    <w:rsid w:val="00E40DAA"/>
    <w:rsid w:val="00E41AA7"/>
    <w:rsid w:val="00E4259B"/>
    <w:rsid w:val="00E43AA7"/>
    <w:rsid w:val="00E47345"/>
    <w:rsid w:val="00E53627"/>
    <w:rsid w:val="00E54784"/>
    <w:rsid w:val="00E57A5C"/>
    <w:rsid w:val="00E673F2"/>
    <w:rsid w:val="00E71134"/>
    <w:rsid w:val="00E75D99"/>
    <w:rsid w:val="00E765C5"/>
    <w:rsid w:val="00E818BB"/>
    <w:rsid w:val="00E85AD3"/>
    <w:rsid w:val="00E9482E"/>
    <w:rsid w:val="00EB1583"/>
    <w:rsid w:val="00EC00D3"/>
    <w:rsid w:val="00EC34C5"/>
    <w:rsid w:val="00ED07F4"/>
    <w:rsid w:val="00EE3636"/>
    <w:rsid w:val="00EE5148"/>
    <w:rsid w:val="00EF5C4A"/>
    <w:rsid w:val="00F043A4"/>
    <w:rsid w:val="00F062EF"/>
    <w:rsid w:val="00F12BF2"/>
    <w:rsid w:val="00F20560"/>
    <w:rsid w:val="00F23AF4"/>
    <w:rsid w:val="00F3449A"/>
    <w:rsid w:val="00F344FA"/>
    <w:rsid w:val="00F36814"/>
    <w:rsid w:val="00F37D3F"/>
    <w:rsid w:val="00F4026F"/>
    <w:rsid w:val="00F43FA6"/>
    <w:rsid w:val="00F44D85"/>
    <w:rsid w:val="00F45F70"/>
    <w:rsid w:val="00F527C0"/>
    <w:rsid w:val="00F53629"/>
    <w:rsid w:val="00F6415F"/>
    <w:rsid w:val="00F722B6"/>
    <w:rsid w:val="00F730F6"/>
    <w:rsid w:val="00F731C3"/>
    <w:rsid w:val="00F81B5A"/>
    <w:rsid w:val="00F81E72"/>
    <w:rsid w:val="00F842B2"/>
    <w:rsid w:val="00F862B6"/>
    <w:rsid w:val="00F87786"/>
    <w:rsid w:val="00F92E3E"/>
    <w:rsid w:val="00F9502F"/>
    <w:rsid w:val="00FA2CC9"/>
    <w:rsid w:val="00FB1BF6"/>
    <w:rsid w:val="00FC4DA0"/>
    <w:rsid w:val="00FD349E"/>
    <w:rsid w:val="00FD574B"/>
    <w:rsid w:val="00FE28C7"/>
    <w:rsid w:val="00FF3FD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85"/>
    <w:pPr>
      <w:ind w:left="720"/>
      <w:contextualSpacing/>
    </w:pPr>
  </w:style>
  <w:style w:type="character" w:styleId="Hyperlink">
    <w:name w:val="Hyperlink"/>
    <w:basedOn w:val="DefaultParagraphFont"/>
    <w:uiPriority w:val="99"/>
    <w:unhideWhenUsed/>
    <w:rsid w:val="00070B85"/>
    <w:rPr>
      <w:color w:val="0000FF" w:themeColor="hyperlink"/>
      <w:u w:val="single"/>
    </w:rPr>
  </w:style>
  <w:style w:type="paragraph" w:styleId="Header">
    <w:name w:val="header"/>
    <w:basedOn w:val="Normal"/>
    <w:link w:val="HeaderChar"/>
    <w:uiPriority w:val="99"/>
    <w:unhideWhenUsed/>
    <w:rsid w:val="00070B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0B85"/>
  </w:style>
  <w:style w:type="paragraph" w:styleId="Footer">
    <w:name w:val="footer"/>
    <w:basedOn w:val="Normal"/>
    <w:link w:val="FooterChar"/>
    <w:uiPriority w:val="99"/>
    <w:unhideWhenUsed/>
    <w:rsid w:val="00070B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0B85"/>
  </w:style>
  <w:style w:type="paragraph" w:styleId="EndnoteText">
    <w:name w:val="endnote text"/>
    <w:basedOn w:val="Normal"/>
    <w:link w:val="EndnoteTextChar"/>
    <w:uiPriority w:val="99"/>
    <w:semiHidden/>
    <w:unhideWhenUsed/>
    <w:rsid w:val="00070B85"/>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070B85"/>
    <w:rPr>
      <w:rFonts w:cs="Times New Roman"/>
      <w:sz w:val="20"/>
      <w:szCs w:val="20"/>
    </w:rPr>
  </w:style>
  <w:style w:type="character" w:styleId="EndnoteReference">
    <w:name w:val="endnote reference"/>
    <w:basedOn w:val="DefaultParagraphFont"/>
    <w:uiPriority w:val="99"/>
    <w:semiHidden/>
    <w:unhideWhenUsed/>
    <w:rsid w:val="00070B85"/>
    <w:rPr>
      <w:vertAlign w:val="superscript"/>
    </w:rPr>
  </w:style>
  <w:style w:type="paragraph" w:styleId="FootnoteText">
    <w:name w:val="footnote text"/>
    <w:basedOn w:val="Normal"/>
    <w:link w:val="FootnoteTextChar"/>
    <w:uiPriority w:val="99"/>
    <w:semiHidden/>
    <w:unhideWhenUsed/>
    <w:rsid w:val="00070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B85"/>
    <w:rPr>
      <w:sz w:val="20"/>
      <w:szCs w:val="20"/>
    </w:rPr>
  </w:style>
  <w:style w:type="character" w:styleId="FootnoteReference">
    <w:name w:val="footnote reference"/>
    <w:basedOn w:val="DefaultParagraphFont"/>
    <w:uiPriority w:val="99"/>
    <w:semiHidden/>
    <w:unhideWhenUsed/>
    <w:rsid w:val="00070B85"/>
    <w:rPr>
      <w:vertAlign w:val="superscript"/>
    </w:rPr>
  </w:style>
  <w:style w:type="paragraph" w:styleId="BalloonText">
    <w:name w:val="Balloon Text"/>
    <w:basedOn w:val="Normal"/>
    <w:link w:val="BalloonTextChar"/>
    <w:uiPriority w:val="99"/>
    <w:semiHidden/>
    <w:unhideWhenUsed/>
    <w:rsid w:val="00070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85"/>
    <w:rPr>
      <w:rFonts w:ascii="Tahoma" w:hAnsi="Tahoma" w:cs="Tahoma"/>
      <w:sz w:val="16"/>
      <w:szCs w:val="16"/>
    </w:rPr>
  </w:style>
  <w:style w:type="paragraph" w:styleId="Revision">
    <w:name w:val="Revision"/>
    <w:hidden/>
    <w:uiPriority w:val="99"/>
    <w:semiHidden/>
    <w:rsid w:val="00070B85"/>
    <w:pPr>
      <w:spacing w:after="0" w:line="240" w:lineRule="auto"/>
    </w:pPr>
  </w:style>
  <w:style w:type="character" w:styleId="CommentReference">
    <w:name w:val="annotation reference"/>
    <w:basedOn w:val="DefaultParagraphFont"/>
    <w:uiPriority w:val="99"/>
    <w:semiHidden/>
    <w:unhideWhenUsed/>
    <w:rsid w:val="002378C9"/>
    <w:rPr>
      <w:sz w:val="16"/>
      <w:szCs w:val="16"/>
    </w:rPr>
  </w:style>
  <w:style w:type="paragraph" w:styleId="CommentText">
    <w:name w:val="annotation text"/>
    <w:basedOn w:val="Normal"/>
    <w:link w:val="CommentTextChar"/>
    <w:uiPriority w:val="99"/>
    <w:semiHidden/>
    <w:unhideWhenUsed/>
    <w:rsid w:val="002378C9"/>
    <w:pPr>
      <w:spacing w:line="240" w:lineRule="auto"/>
    </w:pPr>
    <w:rPr>
      <w:sz w:val="20"/>
      <w:szCs w:val="20"/>
    </w:rPr>
  </w:style>
  <w:style w:type="character" w:customStyle="1" w:styleId="CommentTextChar">
    <w:name w:val="Comment Text Char"/>
    <w:basedOn w:val="DefaultParagraphFont"/>
    <w:link w:val="CommentText"/>
    <w:uiPriority w:val="99"/>
    <w:semiHidden/>
    <w:rsid w:val="002378C9"/>
    <w:rPr>
      <w:sz w:val="20"/>
      <w:szCs w:val="20"/>
    </w:rPr>
  </w:style>
  <w:style w:type="character" w:customStyle="1" w:styleId="st">
    <w:name w:val="st"/>
    <w:basedOn w:val="DefaultParagraphFont"/>
    <w:rsid w:val="005C2CEE"/>
  </w:style>
  <w:style w:type="character" w:styleId="Emphasis">
    <w:name w:val="Emphasis"/>
    <w:basedOn w:val="DefaultParagraphFont"/>
    <w:uiPriority w:val="20"/>
    <w:qFormat/>
    <w:rsid w:val="005C2CEE"/>
    <w:rPr>
      <w:i/>
      <w:iCs/>
    </w:rPr>
  </w:style>
  <w:style w:type="paragraph" w:customStyle="1" w:styleId="naisf">
    <w:name w:val="naisf"/>
    <w:basedOn w:val="Normal"/>
    <w:uiPriority w:val="99"/>
    <w:rsid w:val="00772A6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20C39"/>
    <w:rPr>
      <w:b/>
      <w:bCs/>
    </w:rPr>
  </w:style>
  <w:style w:type="character" w:customStyle="1" w:styleId="CommentSubjectChar">
    <w:name w:val="Comment Subject Char"/>
    <w:basedOn w:val="CommentTextChar"/>
    <w:link w:val="CommentSubject"/>
    <w:uiPriority w:val="99"/>
    <w:semiHidden/>
    <w:rsid w:val="00E20C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85"/>
    <w:pPr>
      <w:ind w:left="720"/>
      <w:contextualSpacing/>
    </w:pPr>
  </w:style>
  <w:style w:type="character" w:styleId="Hyperlink">
    <w:name w:val="Hyperlink"/>
    <w:basedOn w:val="DefaultParagraphFont"/>
    <w:uiPriority w:val="99"/>
    <w:unhideWhenUsed/>
    <w:rsid w:val="00070B85"/>
    <w:rPr>
      <w:color w:val="0000FF" w:themeColor="hyperlink"/>
      <w:u w:val="single"/>
    </w:rPr>
  </w:style>
  <w:style w:type="paragraph" w:styleId="Header">
    <w:name w:val="header"/>
    <w:basedOn w:val="Normal"/>
    <w:link w:val="HeaderChar"/>
    <w:uiPriority w:val="99"/>
    <w:unhideWhenUsed/>
    <w:rsid w:val="00070B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0B85"/>
  </w:style>
  <w:style w:type="paragraph" w:styleId="Footer">
    <w:name w:val="footer"/>
    <w:basedOn w:val="Normal"/>
    <w:link w:val="FooterChar"/>
    <w:uiPriority w:val="99"/>
    <w:unhideWhenUsed/>
    <w:rsid w:val="00070B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0B85"/>
  </w:style>
  <w:style w:type="paragraph" w:styleId="EndnoteText">
    <w:name w:val="endnote text"/>
    <w:basedOn w:val="Normal"/>
    <w:link w:val="EndnoteTextChar"/>
    <w:uiPriority w:val="99"/>
    <w:semiHidden/>
    <w:unhideWhenUsed/>
    <w:rsid w:val="00070B85"/>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070B85"/>
    <w:rPr>
      <w:rFonts w:cs="Times New Roman"/>
      <w:sz w:val="20"/>
      <w:szCs w:val="20"/>
    </w:rPr>
  </w:style>
  <w:style w:type="character" w:styleId="EndnoteReference">
    <w:name w:val="endnote reference"/>
    <w:basedOn w:val="DefaultParagraphFont"/>
    <w:uiPriority w:val="99"/>
    <w:semiHidden/>
    <w:unhideWhenUsed/>
    <w:rsid w:val="00070B85"/>
    <w:rPr>
      <w:vertAlign w:val="superscript"/>
    </w:rPr>
  </w:style>
  <w:style w:type="paragraph" w:styleId="FootnoteText">
    <w:name w:val="footnote text"/>
    <w:basedOn w:val="Normal"/>
    <w:link w:val="FootnoteTextChar"/>
    <w:uiPriority w:val="99"/>
    <w:semiHidden/>
    <w:unhideWhenUsed/>
    <w:rsid w:val="00070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B85"/>
    <w:rPr>
      <w:sz w:val="20"/>
      <w:szCs w:val="20"/>
    </w:rPr>
  </w:style>
  <w:style w:type="character" w:styleId="FootnoteReference">
    <w:name w:val="footnote reference"/>
    <w:basedOn w:val="DefaultParagraphFont"/>
    <w:uiPriority w:val="99"/>
    <w:semiHidden/>
    <w:unhideWhenUsed/>
    <w:rsid w:val="00070B85"/>
    <w:rPr>
      <w:vertAlign w:val="superscript"/>
    </w:rPr>
  </w:style>
  <w:style w:type="paragraph" w:styleId="BalloonText">
    <w:name w:val="Balloon Text"/>
    <w:basedOn w:val="Normal"/>
    <w:link w:val="BalloonTextChar"/>
    <w:uiPriority w:val="99"/>
    <w:semiHidden/>
    <w:unhideWhenUsed/>
    <w:rsid w:val="00070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85"/>
    <w:rPr>
      <w:rFonts w:ascii="Tahoma" w:hAnsi="Tahoma" w:cs="Tahoma"/>
      <w:sz w:val="16"/>
      <w:szCs w:val="16"/>
    </w:rPr>
  </w:style>
  <w:style w:type="paragraph" w:styleId="Revision">
    <w:name w:val="Revision"/>
    <w:hidden/>
    <w:uiPriority w:val="99"/>
    <w:semiHidden/>
    <w:rsid w:val="00070B85"/>
    <w:pPr>
      <w:spacing w:after="0" w:line="240" w:lineRule="auto"/>
    </w:pPr>
  </w:style>
  <w:style w:type="character" w:styleId="CommentReference">
    <w:name w:val="annotation reference"/>
    <w:basedOn w:val="DefaultParagraphFont"/>
    <w:uiPriority w:val="99"/>
    <w:semiHidden/>
    <w:unhideWhenUsed/>
    <w:rsid w:val="002378C9"/>
    <w:rPr>
      <w:sz w:val="16"/>
      <w:szCs w:val="16"/>
    </w:rPr>
  </w:style>
  <w:style w:type="paragraph" w:styleId="CommentText">
    <w:name w:val="annotation text"/>
    <w:basedOn w:val="Normal"/>
    <w:link w:val="CommentTextChar"/>
    <w:uiPriority w:val="99"/>
    <w:semiHidden/>
    <w:unhideWhenUsed/>
    <w:rsid w:val="002378C9"/>
    <w:pPr>
      <w:spacing w:line="240" w:lineRule="auto"/>
    </w:pPr>
    <w:rPr>
      <w:sz w:val="20"/>
      <w:szCs w:val="20"/>
    </w:rPr>
  </w:style>
  <w:style w:type="character" w:customStyle="1" w:styleId="CommentTextChar">
    <w:name w:val="Comment Text Char"/>
    <w:basedOn w:val="DefaultParagraphFont"/>
    <w:link w:val="CommentText"/>
    <w:uiPriority w:val="99"/>
    <w:semiHidden/>
    <w:rsid w:val="002378C9"/>
    <w:rPr>
      <w:sz w:val="20"/>
      <w:szCs w:val="20"/>
    </w:rPr>
  </w:style>
  <w:style w:type="character" w:customStyle="1" w:styleId="st">
    <w:name w:val="st"/>
    <w:basedOn w:val="DefaultParagraphFont"/>
    <w:rsid w:val="005C2CEE"/>
  </w:style>
  <w:style w:type="character" w:styleId="Emphasis">
    <w:name w:val="Emphasis"/>
    <w:basedOn w:val="DefaultParagraphFont"/>
    <w:uiPriority w:val="20"/>
    <w:qFormat/>
    <w:rsid w:val="005C2CEE"/>
    <w:rPr>
      <w:i/>
      <w:iCs/>
    </w:rPr>
  </w:style>
  <w:style w:type="paragraph" w:customStyle="1" w:styleId="naisf">
    <w:name w:val="naisf"/>
    <w:basedOn w:val="Normal"/>
    <w:uiPriority w:val="99"/>
    <w:rsid w:val="00772A6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20C39"/>
    <w:rPr>
      <w:b/>
      <w:bCs/>
    </w:rPr>
  </w:style>
  <w:style w:type="character" w:customStyle="1" w:styleId="CommentSubjectChar">
    <w:name w:val="Comment Subject Char"/>
    <w:basedOn w:val="CommentTextChar"/>
    <w:link w:val="CommentSubject"/>
    <w:uiPriority w:val="99"/>
    <w:semiHidden/>
    <w:rsid w:val="00E20C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nab.gov.lv/lv/legislations/projects/article.php?id=512893" TargetMode="External"/><Relationship Id="rId4" Type="http://schemas.microsoft.com/office/2007/relationships/stylesWithEffects" Target="stylesWithEffects.xml"/><Relationship Id="rId9" Type="http://schemas.openxmlformats.org/officeDocument/2006/relationships/hyperlink" Target="https://likumi.lv/doc.php?id=6191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t.gov.lv/files/uploads/files/4_Tiesvediba/Statistika/2015/Kopsavilkums_2015_statistika.jpg" TargetMode="External"/><Relationship Id="rId1" Type="http://schemas.openxmlformats.org/officeDocument/2006/relationships/hyperlink" Target="http://www.oecd-ilibrary.org/docserver/download/4215081ec033.pdf?expires=1459423390&amp;id=id&amp;accname=guest&amp;checksum=67851295F7BDF8DC50A258099D403B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4B4E-C6D6-4FDE-AC8B-C772D804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29</Pages>
  <Words>42636</Words>
  <Characters>24304</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66807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Aļošina</dc:creator>
  <cp:lastModifiedBy>Anna Aļošina</cp:lastModifiedBy>
  <cp:revision>429</cp:revision>
  <cp:lastPrinted>2018-07-06T11:36:00Z</cp:lastPrinted>
  <dcterms:created xsi:type="dcterms:W3CDTF">2018-01-16T07:17:00Z</dcterms:created>
  <dcterms:modified xsi:type="dcterms:W3CDTF">2018-07-30T13:12:00Z</dcterms:modified>
</cp:coreProperties>
</file>