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9" w:rsidRPr="007E5424" w:rsidRDefault="00E46C98" w:rsidP="0045170F">
      <w:pPr>
        <w:ind w:firstLine="709"/>
        <w:jc w:val="right"/>
        <w:rPr>
          <w:sz w:val="28"/>
        </w:rPr>
      </w:pPr>
      <w:r>
        <w:rPr>
          <w:sz w:val="28"/>
        </w:rPr>
        <w:t>1</w:t>
      </w:r>
      <w:r w:rsidR="00B47208">
        <w:rPr>
          <w:sz w:val="28"/>
        </w:rPr>
        <w:t>4</w:t>
      </w:r>
      <w:r w:rsidR="006434A1">
        <w:rPr>
          <w:sz w:val="28"/>
        </w:rPr>
        <w:t>. p</w:t>
      </w:r>
      <w:r w:rsidRPr="007E5424">
        <w:rPr>
          <w:sz w:val="28"/>
        </w:rPr>
        <w:t>ielikums</w:t>
      </w:r>
    </w:p>
    <w:p w:rsidR="00F91129" w:rsidRPr="007E5424" w:rsidRDefault="00E46C98" w:rsidP="0045170F">
      <w:pPr>
        <w:ind w:firstLine="709"/>
        <w:jc w:val="right"/>
        <w:rPr>
          <w:sz w:val="28"/>
        </w:rPr>
      </w:pPr>
      <w:r w:rsidRPr="007E5424">
        <w:rPr>
          <w:sz w:val="28"/>
        </w:rPr>
        <w:t>Ministru kabineta</w:t>
      </w:r>
    </w:p>
    <w:p w:rsidR="0045170F" w:rsidRPr="00CD757F" w:rsidRDefault="00E46C98" w:rsidP="0045170F">
      <w:pPr>
        <w:jc w:val="right"/>
        <w:rPr>
          <w:sz w:val="28"/>
          <w:szCs w:val="22"/>
        </w:rPr>
      </w:pPr>
      <w:r w:rsidRPr="00CD757F">
        <w:rPr>
          <w:sz w:val="28"/>
          <w:szCs w:val="22"/>
        </w:rPr>
        <w:t>201</w:t>
      </w:r>
      <w:r w:rsidR="005622C8">
        <w:rPr>
          <w:sz w:val="28"/>
          <w:szCs w:val="22"/>
        </w:rPr>
        <w:t>8</w:t>
      </w:r>
      <w:r w:rsidRPr="00CD757F">
        <w:rPr>
          <w:sz w:val="28"/>
          <w:szCs w:val="22"/>
        </w:rPr>
        <w:t xml:space="preserve">. gada </w:t>
      </w:r>
      <w:r w:rsidR="00B47208">
        <w:rPr>
          <w:sz w:val="28"/>
          <w:szCs w:val="22"/>
        </w:rPr>
        <w:t>___</w:t>
      </w:r>
      <w:r w:rsidR="006434A1">
        <w:rPr>
          <w:sz w:val="28"/>
          <w:szCs w:val="28"/>
        </w:rPr>
        <w:t>.</w:t>
      </w:r>
      <w:r w:rsidR="005622C8">
        <w:rPr>
          <w:sz w:val="28"/>
          <w:szCs w:val="28"/>
        </w:rPr>
        <w:t>_____</w:t>
      </w:r>
    </w:p>
    <w:p w:rsidR="0045170F" w:rsidRPr="0045170F" w:rsidRDefault="00B47208" w:rsidP="0045170F">
      <w:pPr>
        <w:jc w:val="right"/>
        <w:rPr>
          <w:sz w:val="28"/>
          <w:szCs w:val="28"/>
        </w:rPr>
      </w:pPr>
      <w:r>
        <w:rPr>
          <w:sz w:val="28"/>
          <w:szCs w:val="28"/>
        </w:rPr>
        <w:t>noteikumiem Nr.___</w:t>
      </w:r>
      <w:r w:rsidR="006434A1">
        <w:rPr>
          <w:sz w:val="28"/>
          <w:szCs w:val="28"/>
        </w:rPr>
        <w:t> </w:t>
      </w:r>
    </w:p>
    <w:p w:rsidR="00B4615C" w:rsidRPr="00C01298" w:rsidRDefault="00B4615C" w:rsidP="0045170F">
      <w:pPr>
        <w:ind w:firstLine="720"/>
        <w:jc w:val="center"/>
        <w:rPr>
          <w:sz w:val="28"/>
          <w:szCs w:val="28"/>
        </w:rPr>
      </w:pPr>
    </w:p>
    <w:p w:rsidR="003D17FD" w:rsidRPr="003D17FD" w:rsidRDefault="00E46C98" w:rsidP="003D17FD">
      <w:pPr>
        <w:ind w:firstLine="720"/>
        <w:jc w:val="center"/>
        <w:rPr>
          <w:b/>
          <w:bCs/>
          <w:sz w:val="28"/>
          <w:szCs w:val="28"/>
          <w:lang w:eastAsia="en-US"/>
        </w:rPr>
      </w:pPr>
      <w:r w:rsidRPr="003D17FD">
        <w:rPr>
          <w:b/>
          <w:bCs/>
          <w:sz w:val="28"/>
          <w:szCs w:val="28"/>
          <w:lang w:eastAsia="en-US"/>
        </w:rPr>
        <w:t>Ģimenes ārsta gada darbības novērtēšanas un maksājuma sadales metodika</w:t>
      </w:r>
    </w:p>
    <w:p w:rsidR="00F91129" w:rsidRDefault="00F91129" w:rsidP="0045170F">
      <w:pPr>
        <w:ind w:firstLine="720"/>
        <w:jc w:val="center"/>
        <w:rPr>
          <w:sz w:val="28"/>
          <w:szCs w:val="28"/>
          <w:lang w:eastAsia="en-US"/>
        </w:rPr>
      </w:pPr>
    </w:p>
    <w:p w:rsidR="003D17FD" w:rsidRPr="003D17FD" w:rsidRDefault="00E46C98" w:rsidP="003D17FD">
      <w:pPr>
        <w:pStyle w:val="Parasts1"/>
        <w:tabs>
          <w:tab w:val="left" w:pos="6521"/>
        </w:tabs>
        <w:ind w:firstLine="709"/>
        <w:rPr>
          <w:bCs/>
          <w:sz w:val="28"/>
        </w:rPr>
      </w:pPr>
      <w:r w:rsidRPr="003D17FD">
        <w:rPr>
          <w:bCs/>
          <w:sz w:val="28"/>
        </w:rPr>
        <w:t>1. Ģimenes ārstam nosaka gada darbības rādītājus šādās jomās:</w:t>
      </w:r>
    </w:p>
    <w:p w:rsidR="003D17FD" w:rsidRPr="003D17FD" w:rsidRDefault="00E46C98" w:rsidP="003D17FD">
      <w:pPr>
        <w:pStyle w:val="Parasts1"/>
        <w:tabs>
          <w:tab w:val="left" w:pos="6521"/>
        </w:tabs>
        <w:ind w:firstLine="709"/>
        <w:rPr>
          <w:bCs/>
          <w:sz w:val="28"/>
        </w:rPr>
      </w:pPr>
      <w:r w:rsidRPr="003D17FD">
        <w:rPr>
          <w:bCs/>
          <w:sz w:val="28"/>
        </w:rPr>
        <w:t>1.1. veselības pārbaudes un profilakse:</w:t>
      </w:r>
    </w:p>
    <w:p w:rsidR="003D17FD" w:rsidRPr="003D17FD" w:rsidRDefault="00E46C98" w:rsidP="003D17FD">
      <w:pPr>
        <w:pStyle w:val="Parasts1"/>
        <w:tabs>
          <w:tab w:val="left" w:pos="6521"/>
        </w:tabs>
        <w:ind w:firstLine="709"/>
        <w:rPr>
          <w:bCs/>
          <w:sz w:val="28"/>
        </w:rPr>
      </w:pPr>
      <w:r w:rsidRPr="003D17FD">
        <w:rPr>
          <w:bCs/>
          <w:sz w:val="28"/>
        </w:rPr>
        <w:t>1.1.1. no jauna reģistrēta pacienta veselības stāvokļa novērtēšana;</w:t>
      </w:r>
    </w:p>
    <w:p w:rsidR="003D17FD" w:rsidRPr="003D17FD" w:rsidRDefault="00E46C98" w:rsidP="003D17FD">
      <w:pPr>
        <w:pStyle w:val="Parasts1"/>
        <w:tabs>
          <w:tab w:val="left" w:pos="6521"/>
        </w:tabs>
        <w:ind w:firstLine="709"/>
        <w:rPr>
          <w:bCs/>
          <w:sz w:val="28"/>
        </w:rPr>
      </w:pPr>
      <w:r w:rsidRPr="003D17FD">
        <w:rPr>
          <w:bCs/>
          <w:sz w:val="28"/>
        </w:rPr>
        <w:t>1.1.2. bērnu vakcinācijas aptvere;</w:t>
      </w:r>
    </w:p>
    <w:p w:rsidR="003D17FD" w:rsidRPr="003D17FD" w:rsidRDefault="00E46C98" w:rsidP="003D17FD">
      <w:pPr>
        <w:pStyle w:val="Parasts1"/>
        <w:tabs>
          <w:tab w:val="left" w:pos="6521"/>
        </w:tabs>
        <w:ind w:firstLine="709"/>
        <w:rPr>
          <w:bCs/>
          <w:sz w:val="28"/>
        </w:rPr>
      </w:pPr>
      <w:r w:rsidRPr="003D17FD">
        <w:rPr>
          <w:bCs/>
          <w:sz w:val="28"/>
        </w:rPr>
        <w:t>1.1.3. veikto slēpto asiņu testu aptvere pie ģimenes ārsta reģistrētajiem pacientiem;</w:t>
      </w:r>
    </w:p>
    <w:p w:rsidR="003D17FD" w:rsidRPr="003D17FD" w:rsidRDefault="00E46C98" w:rsidP="003D17FD">
      <w:pPr>
        <w:pStyle w:val="Parasts1"/>
        <w:tabs>
          <w:tab w:val="left" w:pos="6521"/>
        </w:tabs>
        <w:ind w:firstLine="709"/>
        <w:rPr>
          <w:bCs/>
          <w:sz w:val="28"/>
        </w:rPr>
      </w:pPr>
      <w:r w:rsidRPr="003D17FD">
        <w:rPr>
          <w:bCs/>
          <w:sz w:val="28"/>
        </w:rPr>
        <w:t>1.2. pacientu ar hroniskām saslimšanām aprūpe:</w:t>
      </w:r>
    </w:p>
    <w:p w:rsidR="003D17FD" w:rsidRPr="003D17FD" w:rsidRDefault="00E46C98" w:rsidP="003D17FD">
      <w:pPr>
        <w:pStyle w:val="Parasts1"/>
        <w:tabs>
          <w:tab w:val="left" w:pos="6521"/>
        </w:tabs>
        <w:ind w:firstLine="709"/>
        <w:rPr>
          <w:bCs/>
          <w:sz w:val="28"/>
        </w:rPr>
      </w:pPr>
      <w:r w:rsidRPr="003D17FD">
        <w:rPr>
          <w:bCs/>
          <w:sz w:val="28"/>
        </w:rPr>
        <w:t>1.2.1. cukura diabēta pacientu aprūpe:</w:t>
      </w:r>
    </w:p>
    <w:p w:rsidR="003D17FD" w:rsidRPr="003D17FD" w:rsidRDefault="00E46C98" w:rsidP="003D17FD">
      <w:pPr>
        <w:pStyle w:val="Parasts1"/>
        <w:tabs>
          <w:tab w:val="left" w:pos="6521"/>
        </w:tabs>
        <w:ind w:firstLine="709"/>
        <w:rPr>
          <w:bCs/>
          <w:sz w:val="28"/>
        </w:rPr>
      </w:pPr>
      <w:r w:rsidRPr="003D17FD">
        <w:rPr>
          <w:bCs/>
          <w:sz w:val="28"/>
        </w:rPr>
        <w:t xml:space="preserve">1.2.1.1. </w:t>
      </w:r>
      <w:proofErr w:type="spellStart"/>
      <w:r w:rsidRPr="003D17FD">
        <w:rPr>
          <w:bCs/>
          <w:sz w:val="28"/>
        </w:rPr>
        <w:t>glikohemoglobīna</w:t>
      </w:r>
      <w:proofErr w:type="spellEnd"/>
      <w:r w:rsidRPr="003D17FD">
        <w:rPr>
          <w:bCs/>
          <w:sz w:val="28"/>
        </w:rPr>
        <w:t xml:space="preserve"> mērījumi 2. tipa cukura diabēta pacientiem;</w:t>
      </w:r>
    </w:p>
    <w:p w:rsidR="003D17FD" w:rsidRPr="003D17FD" w:rsidRDefault="00E46C98" w:rsidP="003D17FD">
      <w:pPr>
        <w:pStyle w:val="Parasts1"/>
        <w:tabs>
          <w:tab w:val="left" w:pos="6521"/>
        </w:tabs>
        <w:ind w:firstLine="709"/>
        <w:rPr>
          <w:bCs/>
          <w:sz w:val="28"/>
        </w:rPr>
      </w:pPr>
      <w:r w:rsidRPr="003D17FD">
        <w:rPr>
          <w:bCs/>
          <w:sz w:val="28"/>
        </w:rPr>
        <w:t xml:space="preserve">1.2.1.2. </w:t>
      </w:r>
      <w:proofErr w:type="spellStart"/>
      <w:r w:rsidRPr="003D17FD">
        <w:rPr>
          <w:bCs/>
          <w:sz w:val="28"/>
        </w:rPr>
        <w:t>mikroalbuminūrijas</w:t>
      </w:r>
      <w:proofErr w:type="spellEnd"/>
      <w:r w:rsidRPr="003D17FD">
        <w:rPr>
          <w:bCs/>
          <w:sz w:val="28"/>
        </w:rPr>
        <w:t xml:space="preserve"> noteikšana kvantitatīvi 2. tipa cukura diabēta pacientiem;</w:t>
      </w:r>
    </w:p>
    <w:p w:rsidR="003D17FD" w:rsidRPr="003D17FD" w:rsidRDefault="00E46C98" w:rsidP="003D17FD">
      <w:pPr>
        <w:pStyle w:val="Parasts1"/>
        <w:tabs>
          <w:tab w:val="left" w:pos="6521"/>
        </w:tabs>
        <w:ind w:firstLine="709"/>
        <w:rPr>
          <w:bCs/>
          <w:sz w:val="28"/>
        </w:rPr>
      </w:pPr>
      <w:r w:rsidRPr="003D17FD">
        <w:rPr>
          <w:bCs/>
          <w:sz w:val="28"/>
        </w:rPr>
        <w:t>1.2.2. pacientu ar arteriālo hipertensiju un pacientu ar koronāro sirds slimību aprūpe – ZBL holesterīna noteikšana;</w:t>
      </w:r>
    </w:p>
    <w:p w:rsidR="003D17FD" w:rsidRPr="003D17FD" w:rsidRDefault="00E46C98" w:rsidP="003D17FD">
      <w:pPr>
        <w:pStyle w:val="Parasts1"/>
        <w:tabs>
          <w:tab w:val="left" w:pos="6521"/>
        </w:tabs>
        <w:ind w:firstLine="709"/>
        <w:rPr>
          <w:bCs/>
          <w:sz w:val="28"/>
        </w:rPr>
      </w:pPr>
      <w:r w:rsidRPr="003D17FD">
        <w:rPr>
          <w:bCs/>
          <w:sz w:val="28"/>
        </w:rPr>
        <w:t>1.2.3. pacientu ar bronhiālo astmu aprūpe – izelpas maksimuma plūsmas mērīšana bronhiālās astmas pacientiem;</w:t>
      </w:r>
    </w:p>
    <w:p w:rsidR="003D17FD" w:rsidRPr="003D17FD" w:rsidRDefault="00E46C98" w:rsidP="003D17FD">
      <w:pPr>
        <w:pStyle w:val="Parasts1"/>
        <w:tabs>
          <w:tab w:val="left" w:pos="6521"/>
        </w:tabs>
        <w:ind w:firstLine="709"/>
        <w:rPr>
          <w:bCs/>
          <w:sz w:val="28"/>
        </w:rPr>
      </w:pPr>
      <w:r w:rsidRPr="003D17FD">
        <w:rPr>
          <w:bCs/>
          <w:sz w:val="28"/>
        </w:rPr>
        <w:t>1.3. ģimenes ārstu veikto manipulāciju un papildu pakalpojumu daudzveidība.</w:t>
      </w:r>
    </w:p>
    <w:p w:rsidR="003D17FD" w:rsidRPr="003D17FD" w:rsidRDefault="003D17FD" w:rsidP="003D17FD">
      <w:pPr>
        <w:pStyle w:val="Parasts1"/>
        <w:tabs>
          <w:tab w:val="left" w:pos="6521"/>
        </w:tabs>
        <w:ind w:firstLine="709"/>
        <w:rPr>
          <w:bCs/>
          <w:sz w:val="28"/>
        </w:rPr>
      </w:pPr>
    </w:p>
    <w:p w:rsidR="003D17FD" w:rsidRPr="003D17FD" w:rsidRDefault="00E46C98" w:rsidP="003D17FD">
      <w:pPr>
        <w:pStyle w:val="Parasts1"/>
        <w:tabs>
          <w:tab w:val="left" w:pos="6521"/>
        </w:tabs>
        <w:ind w:firstLine="709"/>
        <w:rPr>
          <w:bCs/>
          <w:sz w:val="28"/>
        </w:rPr>
      </w:pPr>
      <w:r w:rsidRPr="003D17FD">
        <w:rPr>
          <w:bCs/>
          <w:sz w:val="28"/>
        </w:rPr>
        <w:t>2. Gada darbības rādītāju vērtēšanas kritēriji ir šādi:</w:t>
      </w:r>
    </w:p>
    <w:p w:rsidR="002B04A9" w:rsidRDefault="002B04A9" w:rsidP="0045170F">
      <w:pPr>
        <w:pStyle w:val="Parasts1"/>
        <w:tabs>
          <w:tab w:val="left" w:pos="6521"/>
        </w:tabs>
        <w:ind w:firstLine="709"/>
        <w:rPr>
          <w:sz w:val="28"/>
          <w:szCs w:val="28"/>
        </w:rPr>
      </w:pPr>
    </w:p>
    <w:tbl>
      <w:tblPr>
        <w:tblStyle w:val="TableGrid1"/>
        <w:tblW w:w="5000" w:type="pct"/>
        <w:tblCellMar>
          <w:left w:w="72" w:type="dxa"/>
          <w:right w:w="72" w:type="dxa"/>
        </w:tblCellMar>
        <w:tblLook w:val="04A0" w:firstRow="1" w:lastRow="0" w:firstColumn="1" w:lastColumn="0" w:noHBand="0" w:noVBand="1"/>
      </w:tblPr>
      <w:tblGrid>
        <w:gridCol w:w="545"/>
        <w:gridCol w:w="1444"/>
        <w:gridCol w:w="2038"/>
        <w:gridCol w:w="2189"/>
        <w:gridCol w:w="1445"/>
        <w:gridCol w:w="1400"/>
      </w:tblGrid>
      <w:tr w:rsidR="00840419" w:rsidTr="00710385">
        <w:tc>
          <w:tcPr>
            <w:tcW w:w="313" w:type="pct"/>
            <w:hideMark/>
          </w:tcPr>
          <w:p w:rsidR="003D17FD" w:rsidRPr="003D17FD" w:rsidRDefault="00E46C98" w:rsidP="003D17FD">
            <w:pPr>
              <w:jc w:val="center"/>
            </w:pPr>
            <w:r w:rsidRPr="003D17FD">
              <w:t>Nr.</w:t>
            </w:r>
            <w:r>
              <w:br/>
            </w:r>
            <w:r w:rsidRPr="003D17FD">
              <w:t>p. k.</w:t>
            </w:r>
          </w:p>
        </w:tc>
        <w:tc>
          <w:tcPr>
            <w:tcW w:w="809" w:type="pct"/>
            <w:hideMark/>
          </w:tcPr>
          <w:p w:rsidR="003D17FD" w:rsidRPr="003D17FD" w:rsidRDefault="00E46C98" w:rsidP="003D17FD">
            <w:pPr>
              <w:jc w:val="center"/>
            </w:pPr>
            <w:r w:rsidRPr="003D17FD">
              <w:t>Kvalitātes kritērijs</w:t>
            </w:r>
          </w:p>
        </w:tc>
        <w:tc>
          <w:tcPr>
            <w:tcW w:w="1065" w:type="pct"/>
            <w:hideMark/>
          </w:tcPr>
          <w:p w:rsidR="003D17FD" w:rsidRPr="003D17FD" w:rsidRDefault="00E46C98" w:rsidP="003D17FD">
            <w:pPr>
              <w:jc w:val="center"/>
            </w:pPr>
            <w:r w:rsidRPr="003D17FD">
              <w:t>Kritērija definējums</w:t>
            </w:r>
          </w:p>
        </w:tc>
        <w:tc>
          <w:tcPr>
            <w:tcW w:w="1220" w:type="pct"/>
            <w:hideMark/>
          </w:tcPr>
          <w:p w:rsidR="003D17FD" w:rsidRPr="003D17FD" w:rsidRDefault="00E46C98" w:rsidP="003D17FD">
            <w:pPr>
              <w:jc w:val="center"/>
            </w:pPr>
            <w:r w:rsidRPr="003D17FD">
              <w:t>Izpildes nosacījumi</w:t>
            </w:r>
          </w:p>
        </w:tc>
        <w:tc>
          <w:tcPr>
            <w:tcW w:w="809" w:type="pct"/>
            <w:hideMark/>
          </w:tcPr>
          <w:p w:rsidR="003D17FD" w:rsidRPr="003D17FD" w:rsidRDefault="00E46C98" w:rsidP="003D17FD">
            <w:pPr>
              <w:jc w:val="center"/>
            </w:pPr>
            <w:r w:rsidRPr="003D17FD">
              <w:t>Robežvērtība</w:t>
            </w:r>
          </w:p>
        </w:tc>
        <w:tc>
          <w:tcPr>
            <w:tcW w:w="784" w:type="pct"/>
            <w:hideMark/>
          </w:tcPr>
          <w:p w:rsidR="003D17FD" w:rsidRPr="003D17FD" w:rsidRDefault="00E46C98" w:rsidP="003D17FD">
            <w:pPr>
              <w:jc w:val="center"/>
            </w:pPr>
            <w:r w:rsidRPr="003D17FD">
              <w:t>Nozīmīguma vērtējums, %</w:t>
            </w:r>
          </w:p>
        </w:tc>
      </w:tr>
      <w:tr w:rsidR="00840419" w:rsidTr="00710385">
        <w:tc>
          <w:tcPr>
            <w:tcW w:w="313" w:type="pct"/>
            <w:vMerge w:val="restart"/>
            <w:hideMark/>
          </w:tcPr>
          <w:p w:rsidR="003D17FD" w:rsidRPr="003D17FD" w:rsidRDefault="00E46C98" w:rsidP="003D17FD">
            <w:r w:rsidRPr="003D17FD">
              <w:t>2.1.</w:t>
            </w:r>
          </w:p>
        </w:tc>
        <w:tc>
          <w:tcPr>
            <w:tcW w:w="809" w:type="pct"/>
            <w:vMerge w:val="restart"/>
            <w:hideMark/>
          </w:tcPr>
          <w:p w:rsidR="003D17FD" w:rsidRPr="003D17FD" w:rsidRDefault="00E46C98" w:rsidP="003D17FD">
            <w:r w:rsidRPr="003D17FD">
              <w:t>Veselības pārbaudes un profilakse</w:t>
            </w:r>
          </w:p>
        </w:tc>
        <w:tc>
          <w:tcPr>
            <w:tcW w:w="1065" w:type="pct"/>
            <w:hideMark/>
          </w:tcPr>
          <w:p w:rsidR="003D17FD" w:rsidRPr="003D17FD" w:rsidRDefault="00E46C98" w:rsidP="003D17FD">
            <w:r w:rsidRPr="003D17FD">
              <w:t>No jauna reģistrēta pacienta veselības stāvokļa novērtēšana</w:t>
            </w:r>
          </w:p>
        </w:tc>
        <w:tc>
          <w:tcPr>
            <w:tcW w:w="1220" w:type="pct"/>
            <w:hideMark/>
          </w:tcPr>
          <w:p w:rsidR="003D17FD" w:rsidRPr="003D17FD" w:rsidRDefault="00E46C98" w:rsidP="003D17FD">
            <w:r w:rsidRPr="003D17FD">
              <w:t>Ģimenes ārsts ir novērtējis no jauna reģistrētu pacientu triju mēnešu laikā, kopš pacients reģistrēts pie ģimenes ārsta, vai 10 dienu laikā pirms pacienta reģistrācijas viņam ir veikta apskate un veselības stāvokļa novērtējums</w:t>
            </w:r>
          </w:p>
        </w:tc>
        <w:tc>
          <w:tcPr>
            <w:tcW w:w="809" w:type="pct"/>
            <w:hideMark/>
          </w:tcPr>
          <w:p w:rsidR="003D17FD" w:rsidRPr="003D17FD" w:rsidRDefault="00E46C98" w:rsidP="003D17FD">
            <w:pPr>
              <w:jc w:val="center"/>
            </w:pPr>
            <w:r w:rsidRPr="003D17FD">
              <w:t>75–90 %</w:t>
            </w:r>
          </w:p>
        </w:tc>
        <w:tc>
          <w:tcPr>
            <w:tcW w:w="784" w:type="pct"/>
            <w:hideMark/>
          </w:tcPr>
          <w:p w:rsidR="003D17FD" w:rsidRPr="003D17FD" w:rsidRDefault="00E46C98" w:rsidP="003D17FD">
            <w:pPr>
              <w:jc w:val="center"/>
            </w:pPr>
            <w:r w:rsidRPr="003D17FD">
              <w:t>10</w:t>
            </w:r>
          </w:p>
        </w:tc>
      </w:tr>
      <w:tr w:rsidR="00840419" w:rsidTr="00710385">
        <w:tc>
          <w:tcPr>
            <w:tcW w:w="313" w:type="pct"/>
            <w:vMerge/>
            <w:hideMark/>
          </w:tcPr>
          <w:p w:rsidR="003D17FD" w:rsidRPr="003D17FD" w:rsidRDefault="003D17FD" w:rsidP="003D17FD"/>
        </w:tc>
        <w:tc>
          <w:tcPr>
            <w:tcW w:w="809" w:type="pct"/>
            <w:vMerge/>
            <w:hideMark/>
          </w:tcPr>
          <w:p w:rsidR="003D17FD" w:rsidRPr="003D17FD" w:rsidRDefault="003D17FD" w:rsidP="003D17FD"/>
        </w:tc>
        <w:tc>
          <w:tcPr>
            <w:tcW w:w="1065" w:type="pct"/>
            <w:hideMark/>
          </w:tcPr>
          <w:p w:rsidR="003D17FD" w:rsidRPr="003D17FD" w:rsidRDefault="00E46C98" w:rsidP="003D17FD">
            <w:r w:rsidRPr="003D17FD">
              <w:t>Bērnu vakcinācijas aptvere</w:t>
            </w:r>
          </w:p>
        </w:tc>
        <w:tc>
          <w:tcPr>
            <w:tcW w:w="1220" w:type="pct"/>
            <w:hideMark/>
          </w:tcPr>
          <w:p w:rsidR="003D17FD" w:rsidRPr="003D17FD" w:rsidRDefault="00E46C98" w:rsidP="003D17FD">
            <w:r w:rsidRPr="003D17FD">
              <w:t xml:space="preserve">1. Divus gadus veci bērni saskaņā ar </w:t>
            </w:r>
            <w:r w:rsidRPr="003D17FD">
              <w:lastRenderedPageBreak/>
              <w:t xml:space="preserve">vakcinācijas kalendāru ir vakcinēti pret difteriju, stinguma krampjiem, poliomielītu, garo klepu, b tipa </w:t>
            </w:r>
            <w:proofErr w:type="spellStart"/>
            <w:r w:rsidRPr="003D17FD">
              <w:rPr>
                <w:i/>
                <w:iCs/>
              </w:rPr>
              <w:t>Haemophilus</w:t>
            </w:r>
            <w:proofErr w:type="spellEnd"/>
            <w:r w:rsidRPr="003D17FD">
              <w:rPr>
                <w:i/>
                <w:iCs/>
              </w:rPr>
              <w:t xml:space="preserve"> </w:t>
            </w:r>
            <w:proofErr w:type="spellStart"/>
            <w:r w:rsidRPr="003D17FD">
              <w:rPr>
                <w:i/>
                <w:iCs/>
              </w:rPr>
              <w:t>influenzae</w:t>
            </w:r>
            <w:proofErr w:type="spellEnd"/>
            <w:r w:rsidRPr="003D17FD">
              <w:t xml:space="preserve"> infekciju un B hepatītu. </w:t>
            </w:r>
          </w:p>
          <w:p w:rsidR="003D17FD" w:rsidRPr="003D17FD" w:rsidRDefault="00E46C98" w:rsidP="003D17FD">
            <w:r w:rsidRPr="003D17FD">
              <w:t>2. Aprēķinot vakcinācijas aptveri, izslēdz gadījumus, ja vakcinācija nav veikta kontrindikāciju, pacienta vai vecāku atteikuma dēļ. Šādos gadījumos ambulatorā pacienta talonā norāda diagnozi Z28.0–Z28.8</w:t>
            </w:r>
          </w:p>
        </w:tc>
        <w:tc>
          <w:tcPr>
            <w:tcW w:w="809" w:type="pct"/>
            <w:hideMark/>
          </w:tcPr>
          <w:p w:rsidR="003D17FD" w:rsidRPr="003D17FD" w:rsidRDefault="00E46C98" w:rsidP="003D17FD">
            <w:pPr>
              <w:jc w:val="center"/>
            </w:pPr>
            <w:r w:rsidRPr="003D17FD">
              <w:lastRenderedPageBreak/>
              <w:t>92–98 %</w:t>
            </w:r>
          </w:p>
        </w:tc>
        <w:tc>
          <w:tcPr>
            <w:tcW w:w="784" w:type="pct"/>
            <w:hideMark/>
          </w:tcPr>
          <w:p w:rsidR="003D17FD" w:rsidRPr="003D17FD" w:rsidRDefault="00E46C98" w:rsidP="003D17FD">
            <w:pPr>
              <w:jc w:val="center"/>
            </w:pPr>
            <w:r w:rsidRPr="003D17FD">
              <w:t>15</w:t>
            </w:r>
          </w:p>
        </w:tc>
      </w:tr>
      <w:tr w:rsidR="00840419" w:rsidTr="00710385">
        <w:tc>
          <w:tcPr>
            <w:tcW w:w="313" w:type="pct"/>
            <w:vMerge/>
            <w:hideMark/>
          </w:tcPr>
          <w:p w:rsidR="003D17FD" w:rsidRPr="003D17FD" w:rsidRDefault="003D17FD" w:rsidP="003D17FD"/>
        </w:tc>
        <w:tc>
          <w:tcPr>
            <w:tcW w:w="809" w:type="pct"/>
            <w:vMerge/>
            <w:hideMark/>
          </w:tcPr>
          <w:p w:rsidR="003D17FD" w:rsidRPr="003D17FD" w:rsidRDefault="003D17FD" w:rsidP="003D17FD"/>
        </w:tc>
        <w:tc>
          <w:tcPr>
            <w:tcW w:w="1065" w:type="pct"/>
            <w:hideMark/>
          </w:tcPr>
          <w:p w:rsidR="003D17FD" w:rsidRPr="003D17FD" w:rsidRDefault="00E46C98" w:rsidP="003D17FD">
            <w:r w:rsidRPr="003D17FD">
              <w:t>Pacientiem vecumā no 50 līdz 74 gadiem veikts slēpto asiņu tests</w:t>
            </w:r>
          </w:p>
        </w:tc>
        <w:tc>
          <w:tcPr>
            <w:tcW w:w="1220" w:type="pct"/>
            <w:hideMark/>
          </w:tcPr>
          <w:p w:rsidR="003D17FD" w:rsidRPr="003D17FD" w:rsidRDefault="00E46C98" w:rsidP="003D17FD">
            <w:r w:rsidRPr="003D17FD">
              <w:t xml:space="preserve">1. Aptveres rādītāju aprēķina, slēpto asiņu izmeklējumu skaitu, kas veikts pacientiem, kuri vērtēšanas periodā ir reģistrēti pie ģimenes ārsta un ir vecumā no 50 līdz 74 gadiem, attiecinot pret vērtēšanas periodā praksē reģistrēto pacientu skaitu, kas ir vecumā no 50 līdz 74 gadiem. </w:t>
            </w:r>
          </w:p>
          <w:p w:rsidR="003D17FD" w:rsidRPr="003D17FD" w:rsidRDefault="00E46C98" w:rsidP="003D17FD">
            <w:r w:rsidRPr="003D17FD">
              <w:t>2. Izmeklējums veikts vismaz 11 % praksē reģistrēto mērķa grupas pacientu</w:t>
            </w:r>
          </w:p>
        </w:tc>
        <w:tc>
          <w:tcPr>
            <w:tcW w:w="809" w:type="pct"/>
            <w:hideMark/>
          </w:tcPr>
          <w:p w:rsidR="003D17FD" w:rsidRPr="003D17FD" w:rsidRDefault="00E46C98" w:rsidP="003D17FD">
            <w:pPr>
              <w:jc w:val="center"/>
            </w:pPr>
            <w:r w:rsidRPr="003D17FD">
              <w:t>11–25 %</w:t>
            </w:r>
          </w:p>
        </w:tc>
        <w:tc>
          <w:tcPr>
            <w:tcW w:w="784" w:type="pct"/>
            <w:hideMark/>
          </w:tcPr>
          <w:p w:rsidR="003D17FD" w:rsidRPr="003D17FD" w:rsidRDefault="00E46C98" w:rsidP="003D17FD">
            <w:pPr>
              <w:jc w:val="center"/>
            </w:pPr>
            <w:r w:rsidRPr="003D17FD">
              <w:t>15</w:t>
            </w:r>
          </w:p>
        </w:tc>
      </w:tr>
      <w:tr w:rsidR="00840419" w:rsidTr="00710385">
        <w:tc>
          <w:tcPr>
            <w:tcW w:w="313" w:type="pct"/>
            <w:vMerge w:val="restart"/>
            <w:hideMark/>
          </w:tcPr>
          <w:p w:rsidR="003D17FD" w:rsidRPr="003D17FD" w:rsidRDefault="00E46C98" w:rsidP="003D17FD">
            <w:r w:rsidRPr="003D17FD">
              <w:t>2.2.</w:t>
            </w:r>
          </w:p>
        </w:tc>
        <w:tc>
          <w:tcPr>
            <w:tcW w:w="809" w:type="pct"/>
            <w:vMerge w:val="restart"/>
            <w:hideMark/>
          </w:tcPr>
          <w:p w:rsidR="003D17FD" w:rsidRPr="003D17FD" w:rsidRDefault="00E46C98" w:rsidP="003D17FD">
            <w:r w:rsidRPr="003D17FD">
              <w:t>Pacientu ar hroniskām saslimšanām aprūpe</w:t>
            </w:r>
          </w:p>
        </w:tc>
        <w:tc>
          <w:tcPr>
            <w:tcW w:w="1065" w:type="pct"/>
            <w:hideMark/>
          </w:tcPr>
          <w:p w:rsidR="003D17FD" w:rsidRPr="003D17FD" w:rsidRDefault="00E46C98" w:rsidP="003D17FD">
            <w:r w:rsidRPr="003D17FD">
              <w:t xml:space="preserve">Cukura diabēta pacientu uzraudzība, veicot </w:t>
            </w:r>
            <w:proofErr w:type="spellStart"/>
            <w:r w:rsidRPr="003D17FD">
              <w:t>glikohemoglobīna</w:t>
            </w:r>
            <w:proofErr w:type="spellEnd"/>
            <w:r w:rsidRPr="003D17FD">
              <w:t xml:space="preserve"> (</w:t>
            </w:r>
            <w:proofErr w:type="spellStart"/>
            <w:r w:rsidRPr="003D17FD">
              <w:t>glikētā</w:t>
            </w:r>
            <w:proofErr w:type="spellEnd"/>
            <w:r w:rsidRPr="003D17FD">
              <w:t xml:space="preserve"> </w:t>
            </w:r>
            <w:proofErr w:type="spellStart"/>
            <w:r w:rsidRPr="003D17FD">
              <w:t>Hb</w:t>
            </w:r>
            <w:proofErr w:type="spellEnd"/>
            <w:r w:rsidRPr="003D17FD">
              <w:t>) mērījumus 2. tipa cukura diabēta slimniekiem</w:t>
            </w:r>
          </w:p>
        </w:tc>
        <w:tc>
          <w:tcPr>
            <w:tcW w:w="1220" w:type="pct"/>
            <w:hideMark/>
          </w:tcPr>
          <w:p w:rsidR="003D17FD" w:rsidRPr="003D17FD" w:rsidRDefault="00E46C98" w:rsidP="003D17FD">
            <w:r w:rsidRPr="003D17FD">
              <w:t xml:space="preserve">1. Diagnoze noteikta iepriekšējos gados. </w:t>
            </w:r>
          </w:p>
          <w:p w:rsidR="003D17FD" w:rsidRPr="003D17FD" w:rsidRDefault="00E46C98" w:rsidP="003D17FD">
            <w:r w:rsidRPr="003D17FD">
              <w:t>2. Pacients reģistrēts pie viena un tā paša ģimenes ārsta visa vērtēšanas perioda laikā.</w:t>
            </w:r>
          </w:p>
          <w:p w:rsidR="003D17FD" w:rsidRPr="003D17FD" w:rsidRDefault="00E46C98" w:rsidP="003D17FD">
            <w:r w:rsidRPr="003D17FD">
              <w:t xml:space="preserve">3. Vismaz 55 % pie ģimenes ārsta reģistrēto 2. tipa cukura diabēta pacientu ir noteikts </w:t>
            </w:r>
            <w:proofErr w:type="spellStart"/>
            <w:r w:rsidRPr="003D17FD">
              <w:t>glikohemoglobīns</w:t>
            </w:r>
            <w:proofErr w:type="spellEnd"/>
            <w:r w:rsidRPr="003D17FD">
              <w:t xml:space="preserve"> (</w:t>
            </w:r>
            <w:proofErr w:type="spellStart"/>
            <w:r w:rsidRPr="003D17FD">
              <w:t>glikētais</w:t>
            </w:r>
            <w:proofErr w:type="spellEnd"/>
            <w:r w:rsidRPr="003D17FD">
              <w:t xml:space="preserve"> </w:t>
            </w:r>
            <w:proofErr w:type="spellStart"/>
            <w:r w:rsidRPr="003D17FD">
              <w:t>Hb</w:t>
            </w:r>
            <w:proofErr w:type="spellEnd"/>
            <w:r w:rsidRPr="003D17FD">
              <w:t>).</w:t>
            </w:r>
          </w:p>
          <w:p w:rsidR="003D17FD" w:rsidRPr="003D17FD" w:rsidRDefault="00E46C98" w:rsidP="003D17FD">
            <w:r w:rsidRPr="003D17FD">
              <w:t xml:space="preserve">4. Aptveres rādītāju aprēķina, attiecinot pacientu skaitu, kuriem vismaz viens mērījums ir zemāks par 7,5 %, pret pacientu skaitu, kas atbilst šā </w:t>
            </w:r>
            <w:bookmarkStart w:id="0" w:name="_GoBack"/>
            <w:r w:rsidRPr="003D17FD">
              <w:t>punkt</w:t>
            </w:r>
            <w:bookmarkEnd w:id="0"/>
            <w:r w:rsidRPr="003D17FD">
              <w:t>a trešajam nosacījumam.</w:t>
            </w:r>
          </w:p>
          <w:p w:rsidR="003D17FD" w:rsidRPr="003D17FD" w:rsidRDefault="00E46C98" w:rsidP="003D17FD">
            <w:r w:rsidRPr="003D17FD">
              <w:t>5. Aprēķinātais aptveres rādītājs ir vismaz 60 %</w:t>
            </w:r>
          </w:p>
        </w:tc>
        <w:tc>
          <w:tcPr>
            <w:tcW w:w="809" w:type="pct"/>
            <w:hideMark/>
          </w:tcPr>
          <w:p w:rsidR="003D17FD" w:rsidRPr="003D17FD" w:rsidRDefault="00E46C98" w:rsidP="003D17FD">
            <w:pPr>
              <w:jc w:val="center"/>
            </w:pPr>
            <w:r w:rsidRPr="003D17FD">
              <w:t>55–90 %</w:t>
            </w:r>
          </w:p>
          <w:p w:rsidR="003D17FD" w:rsidRPr="003D17FD" w:rsidRDefault="00E46C98" w:rsidP="003D17FD">
            <w:pPr>
              <w:jc w:val="center"/>
            </w:pPr>
            <w:r w:rsidRPr="003D17FD">
              <w:t>60–80 %</w:t>
            </w:r>
          </w:p>
        </w:tc>
        <w:tc>
          <w:tcPr>
            <w:tcW w:w="784" w:type="pct"/>
            <w:hideMark/>
          </w:tcPr>
          <w:p w:rsidR="003D17FD" w:rsidRPr="003D17FD" w:rsidRDefault="00E46C98" w:rsidP="003D17FD">
            <w:pPr>
              <w:jc w:val="center"/>
            </w:pPr>
            <w:r w:rsidRPr="003D17FD">
              <w:t>15</w:t>
            </w:r>
          </w:p>
        </w:tc>
      </w:tr>
      <w:tr w:rsidR="00840419" w:rsidTr="00710385">
        <w:tc>
          <w:tcPr>
            <w:tcW w:w="313" w:type="pct"/>
            <w:vMerge/>
            <w:hideMark/>
          </w:tcPr>
          <w:p w:rsidR="003D17FD" w:rsidRPr="003D17FD" w:rsidRDefault="003D17FD" w:rsidP="003D17FD"/>
        </w:tc>
        <w:tc>
          <w:tcPr>
            <w:tcW w:w="809" w:type="pct"/>
            <w:vMerge/>
            <w:hideMark/>
          </w:tcPr>
          <w:p w:rsidR="003D17FD" w:rsidRPr="003D17FD" w:rsidRDefault="003D17FD" w:rsidP="003D17FD"/>
        </w:tc>
        <w:tc>
          <w:tcPr>
            <w:tcW w:w="1065" w:type="pct"/>
            <w:hideMark/>
          </w:tcPr>
          <w:p w:rsidR="003D17FD" w:rsidRPr="003D17FD" w:rsidRDefault="00E46C98" w:rsidP="003D17FD">
            <w:r w:rsidRPr="003D17FD">
              <w:t xml:space="preserve">Cukura diabēta pacientu uzraudzība, veicot </w:t>
            </w:r>
            <w:proofErr w:type="spellStart"/>
            <w:r w:rsidRPr="003D17FD">
              <w:t>mikroalbuminūrijas</w:t>
            </w:r>
            <w:proofErr w:type="spellEnd"/>
            <w:r w:rsidRPr="003D17FD">
              <w:t xml:space="preserve"> noteikšanu kvantitatīvi 2. tipa cukura diabēta pacientiem</w:t>
            </w:r>
          </w:p>
        </w:tc>
        <w:tc>
          <w:tcPr>
            <w:tcW w:w="1220" w:type="pct"/>
            <w:hideMark/>
          </w:tcPr>
          <w:p w:rsidR="003D17FD" w:rsidRPr="003D17FD" w:rsidRDefault="00E46C98" w:rsidP="003D17FD">
            <w:r w:rsidRPr="003D17FD">
              <w:t xml:space="preserve">1. Diagnoze noteikta iepriekšējos gados. </w:t>
            </w:r>
          </w:p>
          <w:p w:rsidR="003D17FD" w:rsidRPr="003D17FD" w:rsidRDefault="00E46C98" w:rsidP="003D17FD">
            <w:r w:rsidRPr="003D17FD">
              <w:t>2. Pacients reģistrēts pie viena un tā paša ģimenes ārsta visa iepriekšējā gada laikā.</w:t>
            </w:r>
          </w:p>
          <w:p w:rsidR="003D17FD" w:rsidRPr="003D17FD" w:rsidRDefault="00E46C98" w:rsidP="003D17FD">
            <w:r w:rsidRPr="003D17FD">
              <w:t xml:space="preserve">3. Vismaz 50 % pacientu gada laikā veikts viens izmeklējums </w:t>
            </w:r>
            <w:proofErr w:type="spellStart"/>
            <w:r w:rsidRPr="003D17FD">
              <w:t>mikroalbuminūrijas</w:t>
            </w:r>
            <w:proofErr w:type="spellEnd"/>
            <w:r w:rsidRPr="003D17FD">
              <w:t xml:space="preserve"> noteikšanai, neskaitot izmeklējumus, kas veikti ārstēšanās laikā stacionārā</w:t>
            </w:r>
          </w:p>
        </w:tc>
        <w:tc>
          <w:tcPr>
            <w:tcW w:w="809" w:type="pct"/>
            <w:hideMark/>
          </w:tcPr>
          <w:p w:rsidR="003D17FD" w:rsidRPr="003D17FD" w:rsidRDefault="00E46C98" w:rsidP="003D17FD">
            <w:pPr>
              <w:jc w:val="center"/>
            </w:pPr>
            <w:r w:rsidRPr="003D17FD">
              <w:t>50–75 %</w:t>
            </w:r>
          </w:p>
        </w:tc>
        <w:tc>
          <w:tcPr>
            <w:tcW w:w="784" w:type="pct"/>
            <w:hideMark/>
          </w:tcPr>
          <w:p w:rsidR="003D17FD" w:rsidRPr="003D17FD" w:rsidRDefault="00E46C98" w:rsidP="003D17FD">
            <w:pPr>
              <w:jc w:val="center"/>
            </w:pPr>
            <w:r w:rsidRPr="003D17FD">
              <w:t>10</w:t>
            </w:r>
          </w:p>
        </w:tc>
      </w:tr>
      <w:tr w:rsidR="00840419" w:rsidTr="00710385">
        <w:tc>
          <w:tcPr>
            <w:tcW w:w="313" w:type="pct"/>
            <w:vMerge/>
            <w:hideMark/>
          </w:tcPr>
          <w:p w:rsidR="003D17FD" w:rsidRPr="003D17FD" w:rsidRDefault="003D17FD" w:rsidP="003D17FD"/>
        </w:tc>
        <w:tc>
          <w:tcPr>
            <w:tcW w:w="809" w:type="pct"/>
            <w:vMerge/>
            <w:hideMark/>
          </w:tcPr>
          <w:p w:rsidR="003D17FD" w:rsidRPr="003D17FD" w:rsidRDefault="003D17FD" w:rsidP="003D17FD"/>
        </w:tc>
        <w:tc>
          <w:tcPr>
            <w:tcW w:w="1065" w:type="pct"/>
            <w:hideMark/>
          </w:tcPr>
          <w:p w:rsidR="003D17FD" w:rsidRPr="003D17FD" w:rsidRDefault="00E46C98" w:rsidP="003D17FD">
            <w:r w:rsidRPr="003D17FD">
              <w:t>Pacientu ar arteriālo hipertensiju un pacientu ar koronāro sirds slimību aprūpe – zema blīvuma holesterīna līmeņa noteikšana</w:t>
            </w:r>
          </w:p>
        </w:tc>
        <w:tc>
          <w:tcPr>
            <w:tcW w:w="1220" w:type="pct"/>
            <w:hideMark/>
          </w:tcPr>
          <w:p w:rsidR="003D17FD" w:rsidRPr="003D17FD" w:rsidRDefault="00E46C98" w:rsidP="003D17FD">
            <w:r w:rsidRPr="003D17FD">
              <w:t xml:space="preserve">1. Diagnoze noteikta iepriekšējos gados. </w:t>
            </w:r>
          </w:p>
          <w:p w:rsidR="003D17FD" w:rsidRPr="003D17FD" w:rsidRDefault="00E46C98" w:rsidP="003D17FD">
            <w:r w:rsidRPr="003D17FD">
              <w:t>2. Pacients reģistrēts pie viena un tā paša ģimenes ārsta visa iepriekšējā gada laikā.</w:t>
            </w:r>
          </w:p>
          <w:p w:rsidR="003D17FD" w:rsidRPr="003D17FD" w:rsidRDefault="00E46C98" w:rsidP="003D17FD">
            <w:r w:rsidRPr="003D17FD">
              <w:t>3. Vismaz 70 % pie ģimenes ārsta reģistrēto arteriālās hipertensijas un koronārās sirds slimības pacientu vismaz vienu reizi noteikts ZBL holesterīns.</w:t>
            </w:r>
          </w:p>
          <w:p w:rsidR="003D17FD" w:rsidRPr="003D17FD" w:rsidRDefault="00E46C98" w:rsidP="003D17FD">
            <w:r w:rsidRPr="003D17FD">
              <w:t xml:space="preserve">4. Norādīta kāda no šādām manipulācijām "41058 – ZBL holesterīna līmenis asinīs – koncentrācija, mazāka par 2,0 </w:t>
            </w:r>
            <w:proofErr w:type="spellStart"/>
            <w:r w:rsidRPr="003D17FD">
              <w:t>mmol</w:t>
            </w:r>
            <w:proofErr w:type="spellEnd"/>
            <w:r w:rsidRPr="003D17FD">
              <w:t xml:space="preserve">/L" vai "41059 – ZBL holesterīna līmenis asinīs – koncentrācija no 2,0 </w:t>
            </w:r>
            <w:proofErr w:type="spellStart"/>
            <w:r w:rsidRPr="003D17FD">
              <w:t>mmol</w:t>
            </w:r>
            <w:proofErr w:type="spellEnd"/>
            <w:r w:rsidRPr="003D17FD">
              <w:t xml:space="preserve">/L līdz 2,5 </w:t>
            </w:r>
            <w:proofErr w:type="spellStart"/>
            <w:r w:rsidRPr="003D17FD">
              <w:t>mmol</w:t>
            </w:r>
            <w:proofErr w:type="spellEnd"/>
            <w:r w:rsidRPr="003D17FD">
              <w:t xml:space="preserve">/L", vai "41060 – ZBL holesterīna līmenis asinīs – koncentrācija, lielāka par 2,5 </w:t>
            </w:r>
            <w:proofErr w:type="spellStart"/>
            <w:r w:rsidRPr="003D17FD">
              <w:t>mmol</w:t>
            </w:r>
            <w:proofErr w:type="spellEnd"/>
            <w:r w:rsidRPr="003D17FD">
              <w:t>/L".</w:t>
            </w:r>
          </w:p>
          <w:p w:rsidR="003D17FD" w:rsidRPr="003D17FD" w:rsidRDefault="00E46C98" w:rsidP="003D17FD">
            <w:r w:rsidRPr="003D17FD">
              <w:t>5. Norādītas diagnozes saskaņā ar SSK-10 kodiem arteriālajai hipertensijai – I10; I15; I15.0–I15.9; koronārajai sirds slimībai – I20; I20.0–I20.9; I21; I21.0–I21.9; I22; I22.0–I22.9; I24; I24.0–I24.9; I25; I25.0–I25.9</w:t>
            </w:r>
          </w:p>
        </w:tc>
        <w:tc>
          <w:tcPr>
            <w:tcW w:w="809" w:type="pct"/>
            <w:hideMark/>
          </w:tcPr>
          <w:p w:rsidR="003D17FD" w:rsidRPr="003D17FD" w:rsidRDefault="00E46C98" w:rsidP="003D17FD">
            <w:pPr>
              <w:jc w:val="center"/>
            </w:pPr>
            <w:r w:rsidRPr="003D17FD">
              <w:t>70–90 %</w:t>
            </w:r>
          </w:p>
        </w:tc>
        <w:tc>
          <w:tcPr>
            <w:tcW w:w="784" w:type="pct"/>
            <w:hideMark/>
          </w:tcPr>
          <w:p w:rsidR="003D17FD" w:rsidRPr="003D17FD" w:rsidRDefault="00E46C98" w:rsidP="003D17FD">
            <w:pPr>
              <w:jc w:val="center"/>
            </w:pPr>
            <w:r w:rsidRPr="003D17FD">
              <w:t>10</w:t>
            </w:r>
          </w:p>
        </w:tc>
      </w:tr>
      <w:tr w:rsidR="00840419" w:rsidTr="00710385">
        <w:tc>
          <w:tcPr>
            <w:tcW w:w="313" w:type="pct"/>
            <w:vMerge/>
            <w:hideMark/>
          </w:tcPr>
          <w:p w:rsidR="003D17FD" w:rsidRPr="003D17FD" w:rsidRDefault="003D17FD" w:rsidP="003D17FD"/>
        </w:tc>
        <w:tc>
          <w:tcPr>
            <w:tcW w:w="809" w:type="pct"/>
            <w:vMerge/>
            <w:hideMark/>
          </w:tcPr>
          <w:p w:rsidR="003D17FD" w:rsidRPr="003D17FD" w:rsidRDefault="003D17FD" w:rsidP="003D17FD"/>
        </w:tc>
        <w:tc>
          <w:tcPr>
            <w:tcW w:w="1065" w:type="pct"/>
            <w:hideMark/>
          </w:tcPr>
          <w:p w:rsidR="003D17FD" w:rsidRPr="003D17FD" w:rsidRDefault="00E46C98" w:rsidP="003D17FD">
            <w:r w:rsidRPr="003D17FD">
              <w:t>Pacientu ar bronhiālo astmu veselības aprūpe – izelpas maksimuma plūsmas mērīšana bronhiālās astmas pacientiem</w:t>
            </w:r>
          </w:p>
        </w:tc>
        <w:tc>
          <w:tcPr>
            <w:tcW w:w="1220" w:type="pct"/>
            <w:hideMark/>
          </w:tcPr>
          <w:p w:rsidR="003D17FD" w:rsidRPr="003D17FD" w:rsidRDefault="00E46C98" w:rsidP="003D17FD">
            <w:r w:rsidRPr="003D17FD">
              <w:t xml:space="preserve">1. Diagnoze noteikta iepriekšējos gados. </w:t>
            </w:r>
          </w:p>
          <w:p w:rsidR="003D17FD" w:rsidRPr="003D17FD" w:rsidRDefault="00E46C98" w:rsidP="003D17FD">
            <w:r w:rsidRPr="003D17FD">
              <w:t>2. Pacients reģistrēts pie viena un tā paša ģimenes ārsta visa iepriekšējā gada laikā.</w:t>
            </w:r>
          </w:p>
          <w:p w:rsidR="003D17FD" w:rsidRPr="003D17FD" w:rsidRDefault="00E46C98" w:rsidP="003D17FD">
            <w:r w:rsidRPr="003D17FD">
              <w:t>3. Bronhiālās astmas pacienti vecumā no sešiem gadiem.</w:t>
            </w:r>
          </w:p>
          <w:p w:rsidR="003D17FD" w:rsidRPr="003D17FD" w:rsidRDefault="00E46C98" w:rsidP="003D17FD">
            <w:r w:rsidRPr="003D17FD">
              <w:t>4. Vismaz 70 % pacientu veikta izelpas maksimuma plūsmas mērīšana vismaz reizi gadā.</w:t>
            </w:r>
          </w:p>
          <w:p w:rsidR="003D17FD" w:rsidRPr="003D17FD" w:rsidRDefault="00E46C98" w:rsidP="003D17FD">
            <w:r w:rsidRPr="003D17FD">
              <w:t>5. Norādīta diagnoze ar SSK-10 kodu J45; J45.0–J45.9</w:t>
            </w:r>
          </w:p>
        </w:tc>
        <w:tc>
          <w:tcPr>
            <w:tcW w:w="809" w:type="pct"/>
            <w:hideMark/>
          </w:tcPr>
          <w:p w:rsidR="003D17FD" w:rsidRPr="003D17FD" w:rsidRDefault="00E46C98" w:rsidP="003D17FD">
            <w:pPr>
              <w:jc w:val="center"/>
            </w:pPr>
            <w:r w:rsidRPr="003D17FD">
              <w:t>70–90 %</w:t>
            </w:r>
          </w:p>
        </w:tc>
        <w:tc>
          <w:tcPr>
            <w:tcW w:w="784" w:type="pct"/>
            <w:hideMark/>
          </w:tcPr>
          <w:p w:rsidR="003D17FD" w:rsidRPr="003D17FD" w:rsidRDefault="00E46C98" w:rsidP="003D17FD">
            <w:pPr>
              <w:jc w:val="center"/>
            </w:pPr>
            <w:r w:rsidRPr="003D17FD">
              <w:t>10</w:t>
            </w:r>
          </w:p>
        </w:tc>
      </w:tr>
      <w:tr w:rsidR="00840419" w:rsidTr="00710385">
        <w:tc>
          <w:tcPr>
            <w:tcW w:w="313" w:type="pct"/>
            <w:hideMark/>
          </w:tcPr>
          <w:p w:rsidR="003D17FD" w:rsidRPr="003D17FD" w:rsidRDefault="00E46C98" w:rsidP="003D17FD">
            <w:r w:rsidRPr="003D17FD">
              <w:t>2.3.</w:t>
            </w:r>
          </w:p>
        </w:tc>
        <w:tc>
          <w:tcPr>
            <w:tcW w:w="809" w:type="pct"/>
            <w:hideMark/>
          </w:tcPr>
          <w:p w:rsidR="003D17FD" w:rsidRPr="003D17FD" w:rsidRDefault="00E46C98" w:rsidP="003D17FD">
            <w:r w:rsidRPr="003D17FD">
              <w:t>Ģimenes ārsta veikto papildu manipulāciju un papildu pakalpojumu daudzveidība</w:t>
            </w:r>
          </w:p>
        </w:tc>
        <w:tc>
          <w:tcPr>
            <w:tcW w:w="1065" w:type="pct"/>
            <w:hideMark/>
          </w:tcPr>
          <w:p w:rsidR="003D17FD" w:rsidRPr="003D17FD" w:rsidRDefault="00E46C98" w:rsidP="003D17FD">
            <w:r w:rsidRPr="003D17FD">
              <w:t xml:space="preserve">Ģimenes ārsts savā darbībā izmanto iespējami daudz manipulāciju, kuras ietilpst viņa profesionālajā kompetencē un </w:t>
            </w:r>
            <w:r w:rsidR="0030314D">
              <w:t xml:space="preserve">manipulāciju sarakstā </w:t>
            </w:r>
            <w:r w:rsidRPr="003D17FD">
              <w:t>norādītas, kā ģimenes ārstam piemaksājamas manipulācijas</w:t>
            </w:r>
          </w:p>
        </w:tc>
        <w:tc>
          <w:tcPr>
            <w:tcW w:w="1220" w:type="pct"/>
            <w:hideMark/>
          </w:tcPr>
          <w:p w:rsidR="003D17FD" w:rsidRPr="003D17FD" w:rsidRDefault="00E46C98" w:rsidP="003D17FD">
            <w:r w:rsidRPr="003D17FD">
              <w:t xml:space="preserve">Gada laikā izmanto vismaz 25 % manipulāciju no manipulācijām, kas </w:t>
            </w:r>
            <w:r w:rsidR="0030314D">
              <w:t xml:space="preserve">manipulāciju sarakstā </w:t>
            </w:r>
            <w:r w:rsidRPr="003D17FD">
              <w:t>norādītas, kā ģimenes ārstam piemaksājamas manipulācijas, izņemot profilaktiskās apskates un vakcinācijas manipulācijas</w:t>
            </w:r>
          </w:p>
        </w:tc>
        <w:tc>
          <w:tcPr>
            <w:tcW w:w="809" w:type="pct"/>
            <w:hideMark/>
          </w:tcPr>
          <w:p w:rsidR="003D17FD" w:rsidRPr="003D17FD" w:rsidRDefault="00E46C98" w:rsidP="003D17FD">
            <w:pPr>
              <w:jc w:val="center"/>
            </w:pPr>
            <w:r w:rsidRPr="003D17FD">
              <w:t>25</w:t>
            </w:r>
            <w:r w:rsidRPr="003D17FD">
              <w:rPr>
                <w:b/>
                <w:bCs/>
              </w:rPr>
              <w:t>–</w:t>
            </w:r>
            <w:r w:rsidRPr="003D17FD">
              <w:t>50 %</w:t>
            </w:r>
          </w:p>
        </w:tc>
        <w:tc>
          <w:tcPr>
            <w:tcW w:w="784" w:type="pct"/>
            <w:hideMark/>
          </w:tcPr>
          <w:p w:rsidR="003D17FD" w:rsidRPr="003D17FD" w:rsidRDefault="00E46C98" w:rsidP="003D17FD">
            <w:pPr>
              <w:jc w:val="center"/>
            </w:pPr>
            <w:r w:rsidRPr="003D17FD">
              <w:t>15</w:t>
            </w:r>
          </w:p>
        </w:tc>
      </w:tr>
    </w:tbl>
    <w:p w:rsidR="002B04A9" w:rsidRDefault="002B04A9" w:rsidP="0045170F">
      <w:pPr>
        <w:pStyle w:val="Parasts1"/>
        <w:tabs>
          <w:tab w:val="left" w:pos="6521"/>
        </w:tabs>
        <w:ind w:firstLine="709"/>
        <w:rPr>
          <w:sz w:val="28"/>
          <w:szCs w:val="28"/>
        </w:rPr>
      </w:pPr>
    </w:p>
    <w:p w:rsidR="003D17FD" w:rsidRPr="003D17FD" w:rsidRDefault="00E46C98" w:rsidP="003D17FD">
      <w:pPr>
        <w:pStyle w:val="Parasts1"/>
        <w:tabs>
          <w:tab w:val="left" w:pos="6521"/>
        </w:tabs>
        <w:ind w:firstLine="709"/>
        <w:jc w:val="both"/>
        <w:rPr>
          <w:sz w:val="28"/>
          <w:szCs w:val="28"/>
        </w:rPr>
      </w:pPr>
      <w:r w:rsidRPr="003D17FD">
        <w:rPr>
          <w:sz w:val="28"/>
          <w:szCs w:val="28"/>
        </w:rPr>
        <w:t>3. Dienests apkopo vadības informācijas sistēmā ievadīto informāciju par katram pacientam novērtējamā gada laikā sniegtajiem veselības aprūpes pakalpojumiem un</w:t>
      </w:r>
      <w:r w:rsidR="00C22DB3">
        <w:rPr>
          <w:sz w:val="28"/>
          <w:szCs w:val="28"/>
        </w:rPr>
        <w:t xml:space="preserve"> katram ģimenes ārstam nosaka šā</w:t>
      </w:r>
      <w:r w:rsidRPr="003D17FD">
        <w:rPr>
          <w:sz w:val="28"/>
          <w:szCs w:val="28"/>
        </w:rPr>
        <w:t xml:space="preserve"> pielikuma 1.punktā minētos kvalitātes rādītājus.</w:t>
      </w:r>
    </w:p>
    <w:p w:rsidR="003D17FD" w:rsidRPr="003D17FD" w:rsidRDefault="003D17FD" w:rsidP="003D17FD">
      <w:pPr>
        <w:pStyle w:val="Parasts1"/>
        <w:tabs>
          <w:tab w:val="left" w:pos="6521"/>
        </w:tabs>
        <w:ind w:firstLine="709"/>
        <w:jc w:val="both"/>
        <w:rPr>
          <w:sz w:val="28"/>
          <w:szCs w:val="28"/>
        </w:rPr>
      </w:pPr>
    </w:p>
    <w:p w:rsidR="003D17FD" w:rsidRPr="003D17FD" w:rsidRDefault="00E46C98" w:rsidP="003D17FD">
      <w:pPr>
        <w:pStyle w:val="Parasts1"/>
        <w:tabs>
          <w:tab w:val="left" w:pos="6521"/>
        </w:tabs>
        <w:ind w:firstLine="709"/>
        <w:jc w:val="both"/>
        <w:rPr>
          <w:sz w:val="28"/>
          <w:szCs w:val="28"/>
        </w:rPr>
      </w:pPr>
      <w:r w:rsidRPr="003D17FD">
        <w:rPr>
          <w:sz w:val="28"/>
          <w:szCs w:val="28"/>
        </w:rPr>
        <w:t>4. Iegūtos rādītā</w:t>
      </w:r>
      <w:r w:rsidR="00C22DB3">
        <w:rPr>
          <w:sz w:val="28"/>
          <w:szCs w:val="28"/>
        </w:rPr>
        <w:t>jus salīdzina ar šā</w:t>
      </w:r>
      <w:r w:rsidRPr="003D17FD">
        <w:rPr>
          <w:sz w:val="28"/>
          <w:szCs w:val="28"/>
        </w:rPr>
        <w:t xml:space="preserve"> pielikuma 2.punktā noteiktajiem vērtēšanas kritērijiem un aprēķina ģimenes ārstam izmaksājamo naudas summu par kvalitātes rādītājiem, ievērojot šādus nosacījumus:</w:t>
      </w:r>
    </w:p>
    <w:p w:rsidR="003D17FD" w:rsidRPr="003D17FD" w:rsidRDefault="00E46C98" w:rsidP="003D17FD">
      <w:pPr>
        <w:pStyle w:val="Parasts1"/>
        <w:tabs>
          <w:tab w:val="left" w:pos="6521"/>
        </w:tabs>
        <w:ind w:firstLine="709"/>
        <w:jc w:val="both"/>
        <w:rPr>
          <w:sz w:val="28"/>
          <w:szCs w:val="28"/>
        </w:rPr>
      </w:pPr>
      <w:r w:rsidRPr="003D17FD">
        <w:rPr>
          <w:sz w:val="28"/>
          <w:szCs w:val="28"/>
        </w:rPr>
        <w:t>4.1. ja aprēķinātie rādītāji ir vienādi vai pārsniedz noteikto vērtēšanas kritērija augstāko robežvērtību, ārsts saņem atbilstošajam kvalitātes rādītājam aprēķinātā gada darbības novērtējuma maksājumu 100 % apmērā;</w:t>
      </w:r>
    </w:p>
    <w:p w:rsidR="003D17FD" w:rsidRPr="003D17FD" w:rsidRDefault="00E46C98" w:rsidP="003D17FD">
      <w:pPr>
        <w:pStyle w:val="Parasts1"/>
        <w:tabs>
          <w:tab w:val="left" w:pos="6521"/>
        </w:tabs>
        <w:ind w:firstLine="709"/>
        <w:jc w:val="both"/>
        <w:rPr>
          <w:sz w:val="28"/>
          <w:szCs w:val="28"/>
        </w:rPr>
      </w:pPr>
      <w:r w:rsidRPr="003D17FD">
        <w:rPr>
          <w:sz w:val="28"/>
          <w:szCs w:val="28"/>
        </w:rPr>
        <w:t>4.2. ja aprēķinātie rādītāji ir robežvērtību intervālā no noteiktajiem vērtēšanas kritērijiem, atbilstošajam kvalitātes rādītājam aprēķināto gada darbības novērtējuma maksājuma apjomu proporcionāli samazina;</w:t>
      </w:r>
    </w:p>
    <w:p w:rsidR="003D17FD" w:rsidRPr="003D17FD" w:rsidRDefault="00E46C98" w:rsidP="003D17FD">
      <w:pPr>
        <w:pStyle w:val="Parasts1"/>
        <w:tabs>
          <w:tab w:val="left" w:pos="6521"/>
        </w:tabs>
        <w:ind w:firstLine="709"/>
        <w:jc w:val="both"/>
        <w:rPr>
          <w:sz w:val="28"/>
          <w:szCs w:val="28"/>
        </w:rPr>
      </w:pPr>
      <w:r w:rsidRPr="003D17FD">
        <w:rPr>
          <w:sz w:val="28"/>
          <w:szCs w:val="28"/>
        </w:rPr>
        <w:t>4.3. ja aprēķinātie rādītāji ir zemāki par zemāko robežvērtību no noteiktajiem vērtēšanas kritērijiem, atbilstošajam kvalitātes rādītājam aprēķināto maksājuma apjomu ģimenes ārstam neizmaksā;</w:t>
      </w:r>
    </w:p>
    <w:p w:rsidR="003D17FD" w:rsidRPr="003D17FD" w:rsidRDefault="00E46C98" w:rsidP="003D17FD">
      <w:pPr>
        <w:pStyle w:val="Parasts1"/>
        <w:tabs>
          <w:tab w:val="left" w:pos="6521"/>
        </w:tabs>
        <w:ind w:firstLine="709"/>
        <w:jc w:val="both"/>
        <w:rPr>
          <w:sz w:val="28"/>
          <w:szCs w:val="28"/>
        </w:rPr>
      </w:pPr>
      <w:r w:rsidRPr="003D17FD">
        <w:rPr>
          <w:sz w:val="28"/>
          <w:szCs w:val="28"/>
        </w:rPr>
        <w:t>4.4. ja ģimenes ārsta praksē nav reģistrētas personas, kas atbilst vērtēšanas kritērijā noteiktajam pacientu veidam, maksājumu par attiecīgo kvalitātes kritēriju ģimenes ārstam neizmaksā;</w:t>
      </w:r>
    </w:p>
    <w:p w:rsidR="003D17FD" w:rsidRPr="003D17FD" w:rsidRDefault="00E46C98" w:rsidP="003D17FD">
      <w:pPr>
        <w:pStyle w:val="Parasts1"/>
        <w:tabs>
          <w:tab w:val="left" w:pos="6521"/>
        </w:tabs>
        <w:ind w:firstLine="709"/>
        <w:jc w:val="both"/>
        <w:rPr>
          <w:sz w:val="28"/>
          <w:szCs w:val="28"/>
        </w:rPr>
      </w:pPr>
      <w:r w:rsidRPr="003D17FD">
        <w:rPr>
          <w:sz w:val="28"/>
          <w:szCs w:val="28"/>
        </w:rPr>
        <w:t>4.5. ja ģimenes ārsta pacientu sarakstā ir persona, kuras reģistrācija ir bloķēta, tad šāda persona kvalitātes rādītāju aprēķinos netiek vērtēta.</w:t>
      </w:r>
    </w:p>
    <w:p w:rsidR="003D17FD" w:rsidRPr="003D17FD" w:rsidRDefault="003D17FD" w:rsidP="003D17FD">
      <w:pPr>
        <w:pStyle w:val="Parasts1"/>
        <w:tabs>
          <w:tab w:val="left" w:pos="6521"/>
        </w:tabs>
        <w:ind w:firstLine="709"/>
        <w:jc w:val="both"/>
        <w:rPr>
          <w:sz w:val="28"/>
          <w:szCs w:val="28"/>
        </w:rPr>
      </w:pPr>
    </w:p>
    <w:p w:rsidR="003D17FD" w:rsidRPr="003D17FD" w:rsidRDefault="00E46C98" w:rsidP="003D17FD">
      <w:pPr>
        <w:pStyle w:val="Parasts1"/>
        <w:tabs>
          <w:tab w:val="left" w:pos="6521"/>
        </w:tabs>
        <w:ind w:firstLine="709"/>
        <w:jc w:val="both"/>
        <w:rPr>
          <w:sz w:val="28"/>
          <w:szCs w:val="28"/>
        </w:rPr>
      </w:pPr>
      <w:r w:rsidRPr="003D17FD">
        <w:rPr>
          <w:sz w:val="28"/>
          <w:szCs w:val="28"/>
        </w:rPr>
        <w:t>5. Ja ģimenes ārsts novērtējamā gada laikā mainījis prakses vietu, nesaglabājot pacientu reģistrāciju, vai pārtraucis līgumattiecības ar dienestu, nenostrādājot pilnu gadu, vai līgums par primārās veselības aprūpes pakalpojumu sniegšanu un apmaksu noslēgts novērtējamā gada laikā (līgums nav no gada sākuma), vai ģimenes ārstu novērtējamā gada laikā ir aizvietojis cits ārsts, dienests nevērtē ģimenes ā</w:t>
      </w:r>
      <w:r w:rsidR="00C22DB3">
        <w:rPr>
          <w:sz w:val="28"/>
          <w:szCs w:val="28"/>
        </w:rPr>
        <w:t>rsta gada darbību atbilstoši šā</w:t>
      </w:r>
      <w:r w:rsidRPr="003D17FD">
        <w:rPr>
          <w:sz w:val="28"/>
          <w:szCs w:val="28"/>
        </w:rPr>
        <w:t xml:space="preserve"> pielikuma 4.punktam.</w:t>
      </w:r>
    </w:p>
    <w:p w:rsidR="003D17FD" w:rsidRPr="003D17FD" w:rsidRDefault="003D17FD" w:rsidP="003D17FD">
      <w:pPr>
        <w:pStyle w:val="Parasts1"/>
        <w:tabs>
          <w:tab w:val="left" w:pos="6521"/>
        </w:tabs>
        <w:ind w:firstLine="709"/>
        <w:rPr>
          <w:sz w:val="28"/>
          <w:szCs w:val="28"/>
        </w:rPr>
      </w:pPr>
    </w:p>
    <w:p w:rsidR="003D17FD" w:rsidRPr="003D17FD" w:rsidRDefault="00E46C98" w:rsidP="003D17FD">
      <w:pPr>
        <w:pStyle w:val="Parasts1"/>
        <w:tabs>
          <w:tab w:val="left" w:pos="6521"/>
        </w:tabs>
        <w:ind w:firstLine="709"/>
        <w:jc w:val="both"/>
        <w:rPr>
          <w:sz w:val="28"/>
          <w:szCs w:val="28"/>
        </w:rPr>
      </w:pPr>
      <w:r w:rsidRPr="003D17FD">
        <w:rPr>
          <w:sz w:val="28"/>
          <w:szCs w:val="28"/>
        </w:rPr>
        <w:t>6. Ja ģimenes ārsts novērtējamā gada laikā mainījis prakses vietu, nesaglabājot pacientu reģistrāciju, vai pārtraucis līgumattiecības ar dienestu, nenostrādājot pilnu gadu, vai līgums par primārās veselības aprūpes pakalpojumu sniegšanu un apmaksu noslēgts novērtējamā gada laikā (līgums nav no gada sākuma), ģimenes ārsta gada darbības novērtējuma maksājumu ģimenes ārstam aprēķina, izmantojot šādu formulu:</w:t>
      </w:r>
    </w:p>
    <w:p w:rsidR="003D17FD" w:rsidRPr="003D17FD" w:rsidRDefault="00E46C98" w:rsidP="003D17FD">
      <w:pPr>
        <w:pStyle w:val="Parasts1"/>
        <w:tabs>
          <w:tab w:val="left" w:pos="6521"/>
        </w:tabs>
        <w:ind w:firstLine="709"/>
        <w:jc w:val="center"/>
        <w:rPr>
          <w:sz w:val="28"/>
          <w:szCs w:val="28"/>
        </w:rPr>
      </w:pPr>
      <w:r w:rsidRPr="003D17FD">
        <w:rPr>
          <w:sz w:val="28"/>
          <w:szCs w:val="28"/>
        </w:rPr>
        <w:t>A = B x %, kur</w:t>
      </w:r>
    </w:p>
    <w:p w:rsidR="003D17FD" w:rsidRPr="003D17FD" w:rsidRDefault="00E46C98" w:rsidP="003D17FD">
      <w:pPr>
        <w:pStyle w:val="Parasts1"/>
        <w:tabs>
          <w:tab w:val="left" w:pos="6521"/>
        </w:tabs>
        <w:ind w:firstLine="709"/>
        <w:jc w:val="both"/>
        <w:rPr>
          <w:sz w:val="28"/>
          <w:szCs w:val="28"/>
        </w:rPr>
      </w:pPr>
      <w:r w:rsidRPr="003D17FD">
        <w:rPr>
          <w:sz w:val="28"/>
          <w:szCs w:val="28"/>
        </w:rPr>
        <w:t>A – attiecīgajam ģimenes ārstam izmaksājamais ģimenes ārsta gada darbības novērtējuma maksājums;</w:t>
      </w:r>
    </w:p>
    <w:p w:rsidR="003D17FD" w:rsidRPr="003D17FD" w:rsidRDefault="00E46C98" w:rsidP="003D17FD">
      <w:pPr>
        <w:pStyle w:val="Parasts1"/>
        <w:tabs>
          <w:tab w:val="left" w:pos="6521"/>
        </w:tabs>
        <w:ind w:firstLine="709"/>
        <w:jc w:val="both"/>
        <w:rPr>
          <w:sz w:val="28"/>
          <w:szCs w:val="28"/>
        </w:rPr>
      </w:pPr>
      <w:r w:rsidRPr="003D17FD">
        <w:rPr>
          <w:sz w:val="28"/>
          <w:szCs w:val="28"/>
        </w:rPr>
        <w:t xml:space="preserve">B – ģimenes ārsta gada darbības novērtējuma maksājuma summa par pilniem nostrādātajiem mēnešiem attiecīgajā teritoriālajā nodaļā, ievērojot, ka periodā, kad ģimenes ārsts saņem normatīvajos aktos paredzēto fiksēto maksājumu </w:t>
      </w:r>
      <w:proofErr w:type="spellStart"/>
      <w:r w:rsidRPr="003D17FD">
        <w:rPr>
          <w:sz w:val="28"/>
          <w:szCs w:val="28"/>
        </w:rPr>
        <w:t>jaunatvērtai</w:t>
      </w:r>
      <w:proofErr w:type="spellEnd"/>
      <w:r w:rsidRPr="003D17FD">
        <w:rPr>
          <w:sz w:val="28"/>
          <w:szCs w:val="28"/>
        </w:rPr>
        <w:t xml:space="preserve"> ģimenes ārsta praksei un nesaņem </w:t>
      </w:r>
      <w:proofErr w:type="spellStart"/>
      <w:r w:rsidRPr="003D17FD">
        <w:rPr>
          <w:sz w:val="28"/>
          <w:szCs w:val="28"/>
        </w:rPr>
        <w:t>kapitācijas</w:t>
      </w:r>
      <w:proofErr w:type="spellEnd"/>
      <w:r w:rsidRPr="003D17FD">
        <w:rPr>
          <w:sz w:val="28"/>
          <w:szCs w:val="28"/>
        </w:rPr>
        <w:t xml:space="preserve"> naudu, </w:t>
      </w:r>
      <w:r>
        <w:rPr>
          <w:sz w:val="28"/>
          <w:szCs w:val="28"/>
        </w:rPr>
        <w:br/>
      </w:r>
      <w:r w:rsidRPr="003D17FD">
        <w:rPr>
          <w:sz w:val="28"/>
          <w:szCs w:val="28"/>
        </w:rPr>
        <w:t>B = 0;</w:t>
      </w:r>
    </w:p>
    <w:p w:rsidR="003D17FD" w:rsidRPr="003D17FD" w:rsidRDefault="00E46C98" w:rsidP="003D17FD">
      <w:pPr>
        <w:pStyle w:val="Parasts1"/>
        <w:tabs>
          <w:tab w:val="left" w:pos="6521"/>
        </w:tabs>
        <w:ind w:firstLine="709"/>
        <w:jc w:val="both"/>
        <w:rPr>
          <w:sz w:val="28"/>
          <w:szCs w:val="28"/>
        </w:rPr>
      </w:pPr>
      <w:r w:rsidRPr="003D17FD">
        <w:rPr>
          <w:sz w:val="28"/>
          <w:szCs w:val="28"/>
        </w:rPr>
        <w:t>% – vidējais ģimenes ārsta gada darbības novērtējuma maksājuma procents attiecīgās teritoriālās nodaļas ģimenes ārsta praksē, ko dienests aprēķina, dalot teritoriālās nodaļas ģimenes ārsta praksēm izmaksājamos ģimenes ārsta gada darbības novērtējuma maksājumus ar attiecīgajām ģimenes ārsta praksēm aprēķinātajiem ģimenes ārsta gada darbības novērtējuma maksājuma līdzekļiem un reizinot ar 100.</w:t>
      </w:r>
    </w:p>
    <w:p w:rsidR="003D17FD" w:rsidRPr="003D17FD" w:rsidRDefault="003D17FD" w:rsidP="003D17FD">
      <w:pPr>
        <w:pStyle w:val="Parasts1"/>
        <w:tabs>
          <w:tab w:val="left" w:pos="6521"/>
        </w:tabs>
        <w:ind w:firstLine="709"/>
        <w:rPr>
          <w:sz w:val="28"/>
          <w:szCs w:val="28"/>
        </w:rPr>
      </w:pPr>
    </w:p>
    <w:p w:rsidR="003D17FD" w:rsidRPr="003D17FD" w:rsidRDefault="00E46C98" w:rsidP="003D17FD">
      <w:pPr>
        <w:pStyle w:val="Parasts1"/>
        <w:tabs>
          <w:tab w:val="left" w:pos="6521"/>
        </w:tabs>
        <w:ind w:firstLine="709"/>
        <w:jc w:val="both"/>
        <w:rPr>
          <w:sz w:val="28"/>
          <w:szCs w:val="28"/>
        </w:rPr>
      </w:pPr>
      <w:r w:rsidRPr="003D17FD">
        <w:rPr>
          <w:sz w:val="28"/>
          <w:szCs w:val="28"/>
        </w:rPr>
        <w:t>7. Ja ģimenes ārstu novērtējamā gada laikā ir aizvietojis cits ārsts, ģimenes ārsta gada darbības novērtējuma maksājumu ģimenes ārstam un viņa aizvietotājam aprēķina, izmantojot šādas formulas:</w:t>
      </w:r>
    </w:p>
    <w:p w:rsidR="003D17FD" w:rsidRPr="003D17FD" w:rsidRDefault="00E46C98" w:rsidP="003D17FD">
      <w:pPr>
        <w:pStyle w:val="Parasts1"/>
        <w:tabs>
          <w:tab w:val="left" w:pos="6521"/>
        </w:tabs>
        <w:ind w:firstLine="709"/>
        <w:jc w:val="both"/>
        <w:rPr>
          <w:sz w:val="28"/>
          <w:szCs w:val="28"/>
        </w:rPr>
      </w:pPr>
      <w:r w:rsidRPr="003D17FD">
        <w:rPr>
          <w:sz w:val="28"/>
          <w:szCs w:val="28"/>
        </w:rPr>
        <w:t>7.1. ģimenes ārstam, kurš aizvieto:</w:t>
      </w:r>
    </w:p>
    <w:p w:rsidR="003D17FD" w:rsidRPr="003D17FD" w:rsidRDefault="00E46C98" w:rsidP="003D17FD">
      <w:pPr>
        <w:pStyle w:val="Parasts1"/>
        <w:tabs>
          <w:tab w:val="left" w:pos="6521"/>
        </w:tabs>
        <w:ind w:firstLine="709"/>
        <w:jc w:val="center"/>
        <w:rPr>
          <w:sz w:val="28"/>
          <w:szCs w:val="28"/>
        </w:rPr>
      </w:pPr>
      <w:r w:rsidRPr="003D17FD">
        <w:rPr>
          <w:sz w:val="28"/>
          <w:szCs w:val="28"/>
        </w:rPr>
        <w:t>BA = BAP x %, kur</w:t>
      </w:r>
    </w:p>
    <w:p w:rsidR="003D17FD" w:rsidRPr="003D17FD" w:rsidRDefault="00E46C98" w:rsidP="003D17FD">
      <w:pPr>
        <w:pStyle w:val="Parasts1"/>
        <w:tabs>
          <w:tab w:val="left" w:pos="6521"/>
        </w:tabs>
        <w:ind w:firstLine="709"/>
        <w:jc w:val="both"/>
        <w:rPr>
          <w:sz w:val="28"/>
          <w:szCs w:val="28"/>
        </w:rPr>
      </w:pPr>
      <w:r w:rsidRPr="003D17FD">
        <w:rPr>
          <w:sz w:val="28"/>
          <w:szCs w:val="28"/>
        </w:rPr>
        <w:t>BA – ģimenes ārsta aizvietotājam izmaksājamais ģimenes ārsta gada darbības novērtējuma maksājums par aizvietošanas mēnešiem;</w:t>
      </w:r>
    </w:p>
    <w:p w:rsidR="003D17FD" w:rsidRPr="003D17FD" w:rsidRDefault="00E46C98" w:rsidP="003D17FD">
      <w:pPr>
        <w:pStyle w:val="Parasts1"/>
        <w:tabs>
          <w:tab w:val="left" w:pos="6521"/>
        </w:tabs>
        <w:ind w:firstLine="709"/>
        <w:jc w:val="both"/>
        <w:rPr>
          <w:sz w:val="28"/>
          <w:szCs w:val="28"/>
        </w:rPr>
      </w:pPr>
      <w:r w:rsidRPr="003D17FD">
        <w:rPr>
          <w:sz w:val="28"/>
          <w:szCs w:val="28"/>
        </w:rPr>
        <w:t>BAP – aizvietojamā ģimenes ārsta gada darbības novērtējuma maksājums par aizvietošanas mēnešiem;</w:t>
      </w:r>
    </w:p>
    <w:p w:rsidR="003D17FD" w:rsidRPr="003D17FD" w:rsidRDefault="00E46C98" w:rsidP="003D17FD">
      <w:pPr>
        <w:pStyle w:val="Parasts1"/>
        <w:tabs>
          <w:tab w:val="left" w:pos="6521"/>
        </w:tabs>
        <w:ind w:firstLine="709"/>
        <w:jc w:val="both"/>
        <w:rPr>
          <w:sz w:val="28"/>
          <w:szCs w:val="28"/>
        </w:rPr>
      </w:pPr>
      <w:r w:rsidRPr="003D17FD">
        <w:rPr>
          <w:sz w:val="28"/>
          <w:szCs w:val="28"/>
        </w:rPr>
        <w:t>% – ģimenes ārsta gada darbības novērtējuma maksājuma procents aizvietojamā ģimenes ārsta praksē, ko aprēķina, dalot izmaksājamo ģimenes ārsta gada darbības novērtējuma maksājumu par visu aizvietojamā ģimenes ārsta pacientu veselības aprūpi novērtējamā gada laikā (A) ar aprēķināto ģimenes ārsta gada darbības novērtējuma maksājumu aizvietojamajam ģimenes ārstam (B);</w:t>
      </w:r>
    </w:p>
    <w:p w:rsidR="003D17FD" w:rsidRPr="003D17FD" w:rsidRDefault="00E46C98" w:rsidP="003D17FD">
      <w:pPr>
        <w:pStyle w:val="Parasts1"/>
        <w:tabs>
          <w:tab w:val="left" w:pos="6521"/>
        </w:tabs>
        <w:ind w:firstLine="709"/>
        <w:jc w:val="both"/>
        <w:rPr>
          <w:sz w:val="28"/>
          <w:szCs w:val="28"/>
        </w:rPr>
      </w:pPr>
      <w:r w:rsidRPr="003D17FD">
        <w:rPr>
          <w:sz w:val="28"/>
          <w:szCs w:val="28"/>
        </w:rPr>
        <w:t>7.2. ģimenes ārstam, kuru aizvieto:</w:t>
      </w:r>
    </w:p>
    <w:p w:rsidR="003D17FD" w:rsidRPr="003D17FD" w:rsidRDefault="00E46C98" w:rsidP="003D17FD">
      <w:pPr>
        <w:pStyle w:val="Parasts1"/>
        <w:tabs>
          <w:tab w:val="left" w:pos="6521"/>
        </w:tabs>
        <w:ind w:firstLine="709"/>
        <w:jc w:val="center"/>
        <w:rPr>
          <w:sz w:val="28"/>
          <w:szCs w:val="28"/>
        </w:rPr>
      </w:pPr>
      <w:r w:rsidRPr="003D17FD">
        <w:rPr>
          <w:sz w:val="28"/>
          <w:szCs w:val="28"/>
        </w:rPr>
        <w:t>BB = A – BA, kur</w:t>
      </w:r>
    </w:p>
    <w:p w:rsidR="003D17FD" w:rsidRPr="003D17FD" w:rsidRDefault="00E46C98" w:rsidP="003D17FD">
      <w:pPr>
        <w:pStyle w:val="Parasts1"/>
        <w:tabs>
          <w:tab w:val="left" w:pos="6521"/>
        </w:tabs>
        <w:ind w:firstLine="709"/>
        <w:jc w:val="both"/>
        <w:rPr>
          <w:sz w:val="28"/>
          <w:szCs w:val="28"/>
        </w:rPr>
      </w:pPr>
      <w:r w:rsidRPr="003D17FD">
        <w:rPr>
          <w:sz w:val="28"/>
          <w:szCs w:val="28"/>
        </w:rPr>
        <w:t>BB – aizvietojamā ģimenes ārsta izmaksājamais ģimenes ārsta gada darbības novērtējuma maksājums par nostrādātajiem mēnešiem;</w:t>
      </w:r>
    </w:p>
    <w:p w:rsidR="003D17FD" w:rsidRPr="003D17FD" w:rsidRDefault="00E46C98" w:rsidP="003D17FD">
      <w:pPr>
        <w:pStyle w:val="Parasts1"/>
        <w:tabs>
          <w:tab w:val="left" w:pos="6521"/>
        </w:tabs>
        <w:ind w:firstLine="709"/>
        <w:jc w:val="both"/>
        <w:rPr>
          <w:sz w:val="28"/>
          <w:szCs w:val="28"/>
        </w:rPr>
      </w:pPr>
      <w:r w:rsidRPr="003D17FD">
        <w:rPr>
          <w:sz w:val="28"/>
          <w:szCs w:val="28"/>
        </w:rPr>
        <w:t>A – izmaksājamais ģimenes ārsta gada darbības novērtējuma maksājums par visu aizvietojamā ģimenes ārsta pacientu veselības aprūpi novērtējamā gada laikā;</w:t>
      </w:r>
    </w:p>
    <w:p w:rsidR="003D17FD" w:rsidRPr="003D17FD" w:rsidRDefault="00E46C98" w:rsidP="003D17FD">
      <w:pPr>
        <w:pStyle w:val="Parasts1"/>
        <w:tabs>
          <w:tab w:val="left" w:pos="6521"/>
        </w:tabs>
        <w:ind w:firstLine="709"/>
        <w:jc w:val="both"/>
        <w:rPr>
          <w:sz w:val="28"/>
          <w:szCs w:val="28"/>
        </w:rPr>
      </w:pPr>
      <w:r w:rsidRPr="003D17FD">
        <w:rPr>
          <w:sz w:val="28"/>
          <w:szCs w:val="28"/>
        </w:rPr>
        <w:t>BA – ģimenes ārsta aizvietotājam izmaksājamais ģimenes ārsta gada darbības novērtējuma maksājuma par aizvietošanas mēnešiem.</w:t>
      </w:r>
    </w:p>
    <w:p w:rsidR="003D17FD" w:rsidRPr="003D17FD" w:rsidRDefault="003D17FD" w:rsidP="003D17FD">
      <w:pPr>
        <w:pStyle w:val="Parasts1"/>
        <w:tabs>
          <w:tab w:val="left" w:pos="6521"/>
        </w:tabs>
        <w:ind w:firstLine="709"/>
        <w:rPr>
          <w:sz w:val="28"/>
          <w:szCs w:val="28"/>
        </w:rPr>
      </w:pPr>
    </w:p>
    <w:p w:rsidR="003D17FD" w:rsidRPr="003D17FD" w:rsidRDefault="00E46C98" w:rsidP="003D17FD">
      <w:pPr>
        <w:pStyle w:val="Parasts1"/>
        <w:tabs>
          <w:tab w:val="left" w:pos="6521"/>
        </w:tabs>
        <w:ind w:firstLine="709"/>
        <w:jc w:val="both"/>
        <w:rPr>
          <w:sz w:val="28"/>
          <w:szCs w:val="28"/>
        </w:rPr>
      </w:pPr>
      <w:r w:rsidRPr="003D17FD">
        <w:rPr>
          <w:sz w:val="28"/>
          <w:szCs w:val="28"/>
        </w:rPr>
        <w:t>8. Ja notikusi ģimenes ārsta juridiskā statusa un darbavietas maiņa, pārejot no darba ņēmēja statusa slimnīcā (poliklīnikā, doktorātā) (turpmāk – ārstniecības iestāde) uz ārsta prakses darba formu vai otrādi, ģimenes ārsta gada darbības novērtējuma maksājumu izmaksā, ja līgumā starp ģimenes ārstu un viņa darba devēju nav noteikts citādi:</w:t>
      </w:r>
    </w:p>
    <w:p w:rsidR="003D17FD" w:rsidRPr="003D17FD" w:rsidRDefault="00E46C98" w:rsidP="003D17FD">
      <w:pPr>
        <w:pStyle w:val="Parasts1"/>
        <w:tabs>
          <w:tab w:val="left" w:pos="6521"/>
        </w:tabs>
        <w:ind w:firstLine="709"/>
        <w:jc w:val="both"/>
        <w:rPr>
          <w:sz w:val="28"/>
          <w:szCs w:val="28"/>
        </w:rPr>
      </w:pPr>
      <w:r w:rsidRPr="003D17FD">
        <w:rPr>
          <w:sz w:val="28"/>
          <w:szCs w:val="28"/>
        </w:rPr>
        <w:t>8.1. attiecīgajam ģimenes ārstam, ja pāreja no darba ņēmēja statusa ārstniecības iestādē uz ģimenes ārsta prakses formu notikusi novērtējamā gada laikā;</w:t>
      </w:r>
    </w:p>
    <w:p w:rsidR="003D17FD" w:rsidRPr="003D17FD" w:rsidRDefault="00E46C98" w:rsidP="003D17FD">
      <w:pPr>
        <w:pStyle w:val="Parasts1"/>
        <w:tabs>
          <w:tab w:val="left" w:pos="6521"/>
        </w:tabs>
        <w:ind w:firstLine="709"/>
        <w:jc w:val="both"/>
        <w:rPr>
          <w:sz w:val="28"/>
          <w:szCs w:val="28"/>
        </w:rPr>
      </w:pPr>
      <w:r w:rsidRPr="003D17FD">
        <w:rPr>
          <w:sz w:val="28"/>
          <w:szCs w:val="28"/>
        </w:rPr>
        <w:t>8.2. attiecīgajam ģimenes ārstam, ieskaitot ģimenes ārsta gada darbības novērtējuma maksājumu ārstniecības iestādes kontā, ja ģimenes ārsts novērtējamā gada laikā ir beidzis prakses darbību un kļuvis par darba ņēmēju ārstniecības iestādē;</w:t>
      </w:r>
    </w:p>
    <w:p w:rsidR="003D17FD" w:rsidRPr="003D17FD" w:rsidRDefault="00E46C98" w:rsidP="003D17FD">
      <w:pPr>
        <w:pStyle w:val="Parasts1"/>
        <w:tabs>
          <w:tab w:val="left" w:pos="6521"/>
        </w:tabs>
        <w:ind w:firstLine="709"/>
        <w:jc w:val="both"/>
        <w:rPr>
          <w:sz w:val="28"/>
          <w:szCs w:val="28"/>
        </w:rPr>
      </w:pPr>
      <w:r w:rsidRPr="003D17FD">
        <w:rPr>
          <w:sz w:val="28"/>
          <w:szCs w:val="28"/>
        </w:rPr>
        <w:t>8.3. attiecīgajam ģimenes ārstam, ieskaitot ģimenes ārsta gada darbības novērtējuma maksājumu tās ārstniecības iestādes kontā, kurā ģimenes ārsts bija darba ņēmējs, ja pāreja no darba ņēmēja statusa ārstniecības iestādē uz ģimenes ārsta prakses formu notikusi pēc novērtējamā gada 31.decembra.</w:t>
      </w:r>
    </w:p>
    <w:p w:rsidR="003D17FD" w:rsidRPr="003D17FD" w:rsidRDefault="003D17FD" w:rsidP="003D17FD">
      <w:pPr>
        <w:pStyle w:val="Parasts1"/>
        <w:tabs>
          <w:tab w:val="left" w:pos="6521"/>
        </w:tabs>
        <w:ind w:firstLine="709"/>
        <w:rPr>
          <w:sz w:val="28"/>
          <w:szCs w:val="28"/>
        </w:rPr>
      </w:pPr>
    </w:p>
    <w:p w:rsidR="003D17FD" w:rsidRPr="003D17FD" w:rsidRDefault="00E46C98" w:rsidP="003D17FD">
      <w:pPr>
        <w:pStyle w:val="Parasts1"/>
        <w:tabs>
          <w:tab w:val="left" w:pos="6521"/>
        </w:tabs>
        <w:ind w:firstLine="709"/>
        <w:jc w:val="both"/>
        <w:rPr>
          <w:sz w:val="28"/>
          <w:szCs w:val="28"/>
        </w:rPr>
      </w:pPr>
      <w:r w:rsidRPr="003D17FD">
        <w:rPr>
          <w:sz w:val="28"/>
          <w:szCs w:val="28"/>
        </w:rPr>
        <w:t>9. Izmaksājamos ģimenes ārsta gada darbības novērtējuma maksājumu līdzekļus aprēķina pēc stāvokļa uz novērtējamā gada 31.decembri. Izmaksājamos līdzekļus ģimenes ārstam izmaksā līdz nākamā gada 1.maijam neatkarīgi no novērtējamā gada laikā notikušās ģimenes ārsta juridiskā statusa un darba vietas maiņas (pāreja no darba ņēmēja statusa slimnīcā (poliklīnikā, doktorātā) uz ārsta prakses darba formu vai otrādi), ja vien līgumā starp ģimenes ārstu un viņa darba devēju nav noteikts citādi.</w:t>
      </w:r>
    </w:p>
    <w:p w:rsidR="003D17FD" w:rsidRPr="003D17FD" w:rsidRDefault="003D17FD" w:rsidP="003D17FD">
      <w:pPr>
        <w:pStyle w:val="Parasts1"/>
        <w:tabs>
          <w:tab w:val="left" w:pos="6521"/>
        </w:tabs>
        <w:ind w:firstLine="709"/>
        <w:jc w:val="both"/>
        <w:rPr>
          <w:sz w:val="28"/>
          <w:szCs w:val="28"/>
        </w:rPr>
      </w:pPr>
    </w:p>
    <w:p w:rsidR="003D17FD" w:rsidRPr="003D17FD" w:rsidRDefault="00E46C98" w:rsidP="003D17FD">
      <w:pPr>
        <w:pStyle w:val="Parasts1"/>
        <w:tabs>
          <w:tab w:val="left" w:pos="6521"/>
        </w:tabs>
        <w:ind w:firstLine="709"/>
        <w:jc w:val="both"/>
        <w:rPr>
          <w:sz w:val="28"/>
          <w:szCs w:val="28"/>
        </w:rPr>
      </w:pPr>
      <w:r w:rsidRPr="003D17FD">
        <w:rPr>
          <w:sz w:val="28"/>
          <w:szCs w:val="28"/>
        </w:rPr>
        <w:t>10.</w:t>
      </w:r>
      <w:r w:rsidRPr="003D17FD">
        <w:rPr>
          <w:iCs/>
          <w:sz w:val="28"/>
          <w:szCs w:val="28"/>
        </w:rPr>
        <w:t xml:space="preserve"> Finanšu līdzekļu apmēru, kas paredzēts ģimenes ārstu gada darbības novērtējuma maksājumiem, un kārtību, kādā tos aprēķina un izmaksā katrai ģimenes ārsta praksei, nosaka līgumā ar dienestu.</w:t>
      </w:r>
    </w:p>
    <w:p w:rsidR="002B04A9" w:rsidRDefault="002B04A9" w:rsidP="0045170F">
      <w:pPr>
        <w:pStyle w:val="Parasts1"/>
        <w:tabs>
          <w:tab w:val="left" w:pos="6521"/>
        </w:tabs>
        <w:ind w:firstLine="709"/>
        <w:rPr>
          <w:sz w:val="28"/>
          <w:szCs w:val="28"/>
        </w:rPr>
      </w:pPr>
    </w:p>
    <w:p w:rsidR="002B04A9" w:rsidRDefault="002B04A9" w:rsidP="0045170F">
      <w:pPr>
        <w:pStyle w:val="Parasts1"/>
        <w:tabs>
          <w:tab w:val="left" w:pos="6521"/>
        </w:tabs>
        <w:ind w:firstLine="709"/>
        <w:rPr>
          <w:sz w:val="28"/>
          <w:szCs w:val="28"/>
        </w:rPr>
      </w:pPr>
    </w:p>
    <w:p w:rsidR="00260406" w:rsidRPr="00934BC2" w:rsidRDefault="00E46C98" w:rsidP="00260406">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 xml:space="preserve">Anda </w:t>
      </w:r>
      <w:proofErr w:type="spellStart"/>
      <w:r>
        <w:rPr>
          <w:sz w:val="28"/>
          <w:szCs w:val="28"/>
        </w:rPr>
        <w:t>Čakša</w:t>
      </w:r>
      <w:proofErr w:type="spellEnd"/>
    </w:p>
    <w:p w:rsidR="00260406" w:rsidRDefault="00260406" w:rsidP="00260406">
      <w:pPr>
        <w:pStyle w:val="Parasts1"/>
        <w:tabs>
          <w:tab w:val="left" w:pos="6521"/>
        </w:tabs>
        <w:rPr>
          <w:sz w:val="28"/>
          <w:szCs w:val="28"/>
        </w:rPr>
      </w:pPr>
    </w:p>
    <w:p w:rsidR="00260406" w:rsidRPr="00E972BA" w:rsidRDefault="00E46C98" w:rsidP="00260406">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260406" w:rsidRPr="00934BC2" w:rsidRDefault="00E46C98" w:rsidP="00260406">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w:t>
      </w:r>
      <w:proofErr w:type="spellStart"/>
      <w:r>
        <w:rPr>
          <w:sz w:val="28"/>
          <w:szCs w:val="28"/>
        </w:rPr>
        <w:t>Čakša</w:t>
      </w:r>
      <w:proofErr w:type="spellEnd"/>
    </w:p>
    <w:p w:rsidR="00260406" w:rsidRDefault="00260406" w:rsidP="00260406">
      <w:pPr>
        <w:pStyle w:val="Parasts1"/>
        <w:tabs>
          <w:tab w:val="left" w:pos="6521"/>
        </w:tabs>
        <w:ind w:firstLine="709"/>
        <w:rPr>
          <w:sz w:val="28"/>
          <w:szCs w:val="28"/>
        </w:rPr>
      </w:pPr>
    </w:p>
    <w:p w:rsidR="00260406" w:rsidRPr="00E972BA" w:rsidRDefault="00E46C98" w:rsidP="00260406">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260406" w:rsidRDefault="00E46C98" w:rsidP="00260406">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p w:rsidR="00B4615C" w:rsidRDefault="00B4615C" w:rsidP="00260406">
      <w:pPr>
        <w:pStyle w:val="Parasts1"/>
        <w:tabs>
          <w:tab w:val="left" w:pos="6663"/>
        </w:tabs>
        <w:ind w:firstLine="709"/>
        <w:jc w:val="both"/>
        <w:rPr>
          <w:sz w:val="28"/>
          <w:szCs w:val="28"/>
        </w:rPr>
      </w:pPr>
    </w:p>
    <w:sectPr w:rsidR="00B4615C" w:rsidSect="0045170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208" w:rsidRDefault="00B47208">
      <w:r>
        <w:separator/>
      </w:r>
    </w:p>
  </w:endnote>
  <w:endnote w:type="continuationSeparator" w:id="0">
    <w:p w:rsidR="00B47208" w:rsidRDefault="00B4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06" w:rsidRPr="00FC0A76" w:rsidRDefault="00E46C98" w:rsidP="00260406">
    <w:pPr>
      <w:pStyle w:val="Footer"/>
      <w:rPr>
        <w:sz w:val="22"/>
        <w:szCs w:val="20"/>
      </w:rPr>
    </w:pPr>
    <w:r w:rsidRPr="00FC0A76">
      <w:rPr>
        <w:sz w:val="22"/>
        <w:szCs w:val="20"/>
      </w:rPr>
      <w:t>VMnotp</w:t>
    </w:r>
    <w:r w:rsidR="00B47208" w:rsidRPr="00FC0A76">
      <w:rPr>
        <w:sz w:val="22"/>
        <w:szCs w:val="20"/>
      </w:rPr>
      <w:t>14_2</w:t>
    </w:r>
    <w:r w:rsidR="00FC0A76" w:rsidRPr="00FC0A76">
      <w:rPr>
        <w:sz w:val="22"/>
        <w:szCs w:val="20"/>
      </w:rPr>
      <w:t>3</w:t>
    </w:r>
    <w:r w:rsidR="00B47208" w:rsidRPr="00FC0A76">
      <w:rPr>
        <w:sz w:val="22"/>
        <w:szCs w:val="20"/>
      </w:rPr>
      <w:t>08</w:t>
    </w:r>
    <w:r w:rsidRPr="00FC0A76">
      <w:rPr>
        <w:sz w:val="22"/>
        <w:szCs w:val="20"/>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7FD" w:rsidRPr="00FC0A76" w:rsidRDefault="00E46C98" w:rsidP="003D17FD">
    <w:pPr>
      <w:pStyle w:val="Footer"/>
      <w:rPr>
        <w:sz w:val="22"/>
        <w:szCs w:val="20"/>
      </w:rPr>
    </w:pPr>
    <w:r w:rsidRPr="00FC0A76">
      <w:rPr>
        <w:sz w:val="22"/>
        <w:szCs w:val="20"/>
      </w:rPr>
      <w:t>VMnotp1</w:t>
    </w:r>
    <w:r w:rsidR="00B47208" w:rsidRPr="00FC0A76">
      <w:rPr>
        <w:sz w:val="22"/>
        <w:szCs w:val="20"/>
      </w:rPr>
      <w:t>4_2</w:t>
    </w:r>
    <w:r w:rsidR="00FC0A76" w:rsidRPr="00FC0A76">
      <w:rPr>
        <w:sz w:val="22"/>
        <w:szCs w:val="20"/>
      </w:rPr>
      <w:t>3</w:t>
    </w:r>
    <w:r w:rsidR="00B47208" w:rsidRPr="00FC0A76">
      <w:rPr>
        <w:sz w:val="22"/>
        <w:szCs w:val="20"/>
      </w:rPr>
      <w:t>08</w:t>
    </w:r>
    <w:r w:rsidRPr="00FC0A76">
      <w:rPr>
        <w:sz w:val="22"/>
        <w:szCs w:val="20"/>
      </w:rPr>
      <w:t>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208" w:rsidRDefault="00B47208">
      <w:r>
        <w:separator/>
      </w:r>
    </w:p>
  </w:footnote>
  <w:footnote w:type="continuationSeparator" w:id="0">
    <w:p w:rsidR="00B47208" w:rsidRDefault="00B4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326" w:rsidRDefault="00E46C98">
    <w:pPr>
      <w:pStyle w:val="Header"/>
      <w:jc w:val="center"/>
    </w:pPr>
    <w:r>
      <w:fldChar w:fldCharType="begin"/>
    </w:r>
    <w:r w:rsidR="007A20CB">
      <w:instrText xml:space="preserve"> PAGE   \* MERGEFORMAT </w:instrText>
    </w:r>
    <w:r>
      <w:fldChar w:fldCharType="separate"/>
    </w:r>
    <w:r w:rsidR="00474533">
      <w:rPr>
        <w:noProof/>
      </w:rPr>
      <w:t>8</w:t>
    </w:r>
    <w:r>
      <w:rPr>
        <w:noProof/>
      </w:rPr>
      <w:fldChar w:fldCharType="end"/>
    </w:r>
  </w:p>
  <w:p w:rsidR="00E33326" w:rsidRDefault="00E33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tplc="A2EA970A">
      <w:start w:val="1"/>
      <w:numFmt w:val="decimal"/>
      <w:lvlText w:val="%1)"/>
      <w:lvlJc w:val="left"/>
      <w:pPr>
        <w:ind w:left="753" w:hanging="360"/>
      </w:pPr>
    </w:lvl>
    <w:lvl w:ilvl="1" w:tplc="BF163EEA" w:tentative="1">
      <w:start w:val="1"/>
      <w:numFmt w:val="lowerLetter"/>
      <w:lvlText w:val="%2."/>
      <w:lvlJc w:val="left"/>
      <w:pPr>
        <w:ind w:left="1473" w:hanging="360"/>
      </w:pPr>
    </w:lvl>
    <w:lvl w:ilvl="2" w:tplc="EACC37AC" w:tentative="1">
      <w:start w:val="1"/>
      <w:numFmt w:val="lowerRoman"/>
      <w:lvlText w:val="%3."/>
      <w:lvlJc w:val="right"/>
      <w:pPr>
        <w:ind w:left="2193" w:hanging="180"/>
      </w:pPr>
    </w:lvl>
    <w:lvl w:ilvl="3" w:tplc="0A408448" w:tentative="1">
      <w:start w:val="1"/>
      <w:numFmt w:val="decimal"/>
      <w:lvlText w:val="%4."/>
      <w:lvlJc w:val="left"/>
      <w:pPr>
        <w:ind w:left="2913" w:hanging="360"/>
      </w:pPr>
    </w:lvl>
    <w:lvl w:ilvl="4" w:tplc="5352D95A" w:tentative="1">
      <w:start w:val="1"/>
      <w:numFmt w:val="lowerLetter"/>
      <w:lvlText w:val="%5."/>
      <w:lvlJc w:val="left"/>
      <w:pPr>
        <w:ind w:left="3633" w:hanging="360"/>
      </w:pPr>
    </w:lvl>
    <w:lvl w:ilvl="5" w:tplc="132A73C8" w:tentative="1">
      <w:start w:val="1"/>
      <w:numFmt w:val="lowerRoman"/>
      <w:lvlText w:val="%6."/>
      <w:lvlJc w:val="right"/>
      <w:pPr>
        <w:ind w:left="4353" w:hanging="180"/>
      </w:pPr>
    </w:lvl>
    <w:lvl w:ilvl="6" w:tplc="5B76142C" w:tentative="1">
      <w:start w:val="1"/>
      <w:numFmt w:val="decimal"/>
      <w:lvlText w:val="%7."/>
      <w:lvlJc w:val="left"/>
      <w:pPr>
        <w:ind w:left="5073" w:hanging="360"/>
      </w:pPr>
    </w:lvl>
    <w:lvl w:ilvl="7" w:tplc="5F4AFBF8" w:tentative="1">
      <w:start w:val="1"/>
      <w:numFmt w:val="lowerLetter"/>
      <w:lvlText w:val="%8."/>
      <w:lvlJc w:val="left"/>
      <w:pPr>
        <w:ind w:left="5793" w:hanging="360"/>
      </w:pPr>
    </w:lvl>
    <w:lvl w:ilvl="8" w:tplc="EC38AFF0"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tplc="47D660FC">
      <w:start w:val="1"/>
      <w:numFmt w:val="bullet"/>
      <w:lvlText w:val=""/>
      <w:lvlJc w:val="left"/>
      <w:pPr>
        <w:ind w:left="1245" w:hanging="360"/>
      </w:pPr>
      <w:rPr>
        <w:rFonts w:ascii="Symbol" w:hAnsi="Symbol" w:hint="default"/>
      </w:rPr>
    </w:lvl>
    <w:lvl w:ilvl="1" w:tplc="375C0BC2" w:tentative="1">
      <w:start w:val="1"/>
      <w:numFmt w:val="bullet"/>
      <w:lvlText w:val="o"/>
      <w:lvlJc w:val="left"/>
      <w:pPr>
        <w:ind w:left="1965" w:hanging="360"/>
      </w:pPr>
      <w:rPr>
        <w:rFonts w:ascii="Courier New" w:hAnsi="Courier New" w:cs="Courier New" w:hint="default"/>
      </w:rPr>
    </w:lvl>
    <w:lvl w:ilvl="2" w:tplc="53F420AA" w:tentative="1">
      <w:start w:val="1"/>
      <w:numFmt w:val="bullet"/>
      <w:lvlText w:val=""/>
      <w:lvlJc w:val="left"/>
      <w:pPr>
        <w:ind w:left="2685" w:hanging="360"/>
      </w:pPr>
      <w:rPr>
        <w:rFonts w:ascii="Wingdings" w:hAnsi="Wingdings" w:hint="default"/>
      </w:rPr>
    </w:lvl>
    <w:lvl w:ilvl="3" w:tplc="75804D70" w:tentative="1">
      <w:start w:val="1"/>
      <w:numFmt w:val="bullet"/>
      <w:lvlText w:val=""/>
      <w:lvlJc w:val="left"/>
      <w:pPr>
        <w:ind w:left="3405" w:hanging="360"/>
      </w:pPr>
      <w:rPr>
        <w:rFonts w:ascii="Symbol" w:hAnsi="Symbol" w:hint="default"/>
      </w:rPr>
    </w:lvl>
    <w:lvl w:ilvl="4" w:tplc="526EB538" w:tentative="1">
      <w:start w:val="1"/>
      <w:numFmt w:val="bullet"/>
      <w:lvlText w:val="o"/>
      <w:lvlJc w:val="left"/>
      <w:pPr>
        <w:ind w:left="4125" w:hanging="360"/>
      </w:pPr>
      <w:rPr>
        <w:rFonts w:ascii="Courier New" w:hAnsi="Courier New" w:cs="Courier New" w:hint="default"/>
      </w:rPr>
    </w:lvl>
    <w:lvl w:ilvl="5" w:tplc="9B127E96" w:tentative="1">
      <w:start w:val="1"/>
      <w:numFmt w:val="bullet"/>
      <w:lvlText w:val=""/>
      <w:lvlJc w:val="left"/>
      <w:pPr>
        <w:ind w:left="4845" w:hanging="360"/>
      </w:pPr>
      <w:rPr>
        <w:rFonts w:ascii="Wingdings" w:hAnsi="Wingdings" w:hint="default"/>
      </w:rPr>
    </w:lvl>
    <w:lvl w:ilvl="6" w:tplc="B0F8BC72" w:tentative="1">
      <w:start w:val="1"/>
      <w:numFmt w:val="bullet"/>
      <w:lvlText w:val=""/>
      <w:lvlJc w:val="left"/>
      <w:pPr>
        <w:ind w:left="5565" w:hanging="360"/>
      </w:pPr>
      <w:rPr>
        <w:rFonts w:ascii="Symbol" w:hAnsi="Symbol" w:hint="default"/>
      </w:rPr>
    </w:lvl>
    <w:lvl w:ilvl="7" w:tplc="0DB643A2" w:tentative="1">
      <w:start w:val="1"/>
      <w:numFmt w:val="bullet"/>
      <w:lvlText w:val="o"/>
      <w:lvlJc w:val="left"/>
      <w:pPr>
        <w:ind w:left="6285" w:hanging="360"/>
      </w:pPr>
      <w:rPr>
        <w:rFonts w:ascii="Courier New" w:hAnsi="Courier New" w:cs="Courier New" w:hint="default"/>
      </w:rPr>
    </w:lvl>
    <w:lvl w:ilvl="8" w:tplc="F6E2F7BC"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tplc="DAD4B6E2">
      <w:start w:val="1"/>
      <w:numFmt w:val="decimal"/>
      <w:lvlText w:val="%1)"/>
      <w:lvlJc w:val="left"/>
      <w:pPr>
        <w:ind w:left="754" w:hanging="360"/>
      </w:pPr>
    </w:lvl>
    <w:lvl w:ilvl="1" w:tplc="96C231F4" w:tentative="1">
      <w:start w:val="1"/>
      <w:numFmt w:val="lowerLetter"/>
      <w:lvlText w:val="%2."/>
      <w:lvlJc w:val="left"/>
      <w:pPr>
        <w:ind w:left="1474" w:hanging="360"/>
      </w:pPr>
    </w:lvl>
    <w:lvl w:ilvl="2" w:tplc="C67E8D64" w:tentative="1">
      <w:start w:val="1"/>
      <w:numFmt w:val="lowerRoman"/>
      <w:lvlText w:val="%3."/>
      <w:lvlJc w:val="right"/>
      <w:pPr>
        <w:ind w:left="2194" w:hanging="180"/>
      </w:pPr>
    </w:lvl>
    <w:lvl w:ilvl="3" w:tplc="B80C1F78" w:tentative="1">
      <w:start w:val="1"/>
      <w:numFmt w:val="decimal"/>
      <w:lvlText w:val="%4."/>
      <w:lvlJc w:val="left"/>
      <w:pPr>
        <w:ind w:left="2914" w:hanging="360"/>
      </w:pPr>
    </w:lvl>
    <w:lvl w:ilvl="4" w:tplc="9916602A" w:tentative="1">
      <w:start w:val="1"/>
      <w:numFmt w:val="lowerLetter"/>
      <w:lvlText w:val="%5."/>
      <w:lvlJc w:val="left"/>
      <w:pPr>
        <w:ind w:left="3634" w:hanging="360"/>
      </w:pPr>
    </w:lvl>
    <w:lvl w:ilvl="5" w:tplc="C3C6F59C" w:tentative="1">
      <w:start w:val="1"/>
      <w:numFmt w:val="lowerRoman"/>
      <w:lvlText w:val="%6."/>
      <w:lvlJc w:val="right"/>
      <w:pPr>
        <w:ind w:left="4354" w:hanging="180"/>
      </w:pPr>
    </w:lvl>
    <w:lvl w:ilvl="6" w:tplc="155CDD82" w:tentative="1">
      <w:start w:val="1"/>
      <w:numFmt w:val="decimal"/>
      <w:lvlText w:val="%7."/>
      <w:lvlJc w:val="left"/>
      <w:pPr>
        <w:ind w:left="5074" w:hanging="360"/>
      </w:pPr>
    </w:lvl>
    <w:lvl w:ilvl="7" w:tplc="632882B8" w:tentative="1">
      <w:start w:val="1"/>
      <w:numFmt w:val="lowerLetter"/>
      <w:lvlText w:val="%8."/>
      <w:lvlJc w:val="left"/>
      <w:pPr>
        <w:ind w:left="5794" w:hanging="360"/>
      </w:pPr>
    </w:lvl>
    <w:lvl w:ilvl="8" w:tplc="46023882"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tplc="5532F658">
      <w:start w:val="1"/>
      <w:numFmt w:val="decimal"/>
      <w:lvlText w:val="%1."/>
      <w:lvlJc w:val="left"/>
      <w:pPr>
        <w:ind w:left="360" w:hanging="360"/>
      </w:pPr>
      <w:rPr>
        <w:rFonts w:hint="default"/>
      </w:rPr>
    </w:lvl>
    <w:lvl w:ilvl="1" w:tplc="3880E4F0" w:tentative="1">
      <w:start w:val="1"/>
      <w:numFmt w:val="lowerLetter"/>
      <w:lvlText w:val="%2."/>
      <w:lvlJc w:val="left"/>
      <w:pPr>
        <w:ind w:left="1080" w:hanging="360"/>
      </w:pPr>
    </w:lvl>
    <w:lvl w:ilvl="2" w:tplc="79E6F5F2" w:tentative="1">
      <w:start w:val="1"/>
      <w:numFmt w:val="lowerRoman"/>
      <w:lvlText w:val="%3."/>
      <w:lvlJc w:val="right"/>
      <w:pPr>
        <w:ind w:left="1800" w:hanging="180"/>
      </w:pPr>
    </w:lvl>
    <w:lvl w:ilvl="3" w:tplc="108AD3EC" w:tentative="1">
      <w:start w:val="1"/>
      <w:numFmt w:val="decimal"/>
      <w:lvlText w:val="%4."/>
      <w:lvlJc w:val="left"/>
      <w:pPr>
        <w:ind w:left="2520" w:hanging="360"/>
      </w:pPr>
    </w:lvl>
    <w:lvl w:ilvl="4" w:tplc="BD56387E" w:tentative="1">
      <w:start w:val="1"/>
      <w:numFmt w:val="lowerLetter"/>
      <w:lvlText w:val="%5."/>
      <w:lvlJc w:val="left"/>
      <w:pPr>
        <w:ind w:left="3240" w:hanging="360"/>
      </w:pPr>
    </w:lvl>
    <w:lvl w:ilvl="5" w:tplc="C0C0FA78" w:tentative="1">
      <w:start w:val="1"/>
      <w:numFmt w:val="lowerRoman"/>
      <w:lvlText w:val="%6."/>
      <w:lvlJc w:val="right"/>
      <w:pPr>
        <w:ind w:left="3960" w:hanging="180"/>
      </w:pPr>
    </w:lvl>
    <w:lvl w:ilvl="6" w:tplc="7C927304" w:tentative="1">
      <w:start w:val="1"/>
      <w:numFmt w:val="decimal"/>
      <w:lvlText w:val="%7."/>
      <w:lvlJc w:val="left"/>
      <w:pPr>
        <w:ind w:left="4680" w:hanging="360"/>
      </w:pPr>
    </w:lvl>
    <w:lvl w:ilvl="7" w:tplc="D726560A" w:tentative="1">
      <w:start w:val="1"/>
      <w:numFmt w:val="lowerLetter"/>
      <w:lvlText w:val="%8."/>
      <w:lvlJc w:val="left"/>
      <w:pPr>
        <w:ind w:left="5400" w:hanging="360"/>
      </w:pPr>
    </w:lvl>
    <w:lvl w:ilvl="8" w:tplc="0DB2E5A2"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tplc="D0DC1608">
      <w:start w:val="1"/>
      <w:numFmt w:val="bullet"/>
      <w:lvlText w:val=""/>
      <w:lvlJc w:val="left"/>
      <w:pPr>
        <w:ind w:left="663" w:hanging="360"/>
      </w:pPr>
      <w:rPr>
        <w:rFonts w:ascii="Symbol" w:hAnsi="Symbol" w:hint="default"/>
      </w:rPr>
    </w:lvl>
    <w:lvl w:ilvl="1" w:tplc="8EEC8058" w:tentative="1">
      <w:start w:val="1"/>
      <w:numFmt w:val="bullet"/>
      <w:lvlText w:val="o"/>
      <w:lvlJc w:val="left"/>
      <w:pPr>
        <w:ind w:left="1383" w:hanging="360"/>
      </w:pPr>
      <w:rPr>
        <w:rFonts w:ascii="Courier New" w:hAnsi="Courier New" w:cs="Courier New" w:hint="default"/>
      </w:rPr>
    </w:lvl>
    <w:lvl w:ilvl="2" w:tplc="2D8CB4D2" w:tentative="1">
      <w:start w:val="1"/>
      <w:numFmt w:val="bullet"/>
      <w:lvlText w:val=""/>
      <w:lvlJc w:val="left"/>
      <w:pPr>
        <w:ind w:left="2103" w:hanging="360"/>
      </w:pPr>
      <w:rPr>
        <w:rFonts w:ascii="Wingdings" w:hAnsi="Wingdings" w:hint="default"/>
      </w:rPr>
    </w:lvl>
    <w:lvl w:ilvl="3" w:tplc="9064DFDE" w:tentative="1">
      <w:start w:val="1"/>
      <w:numFmt w:val="bullet"/>
      <w:lvlText w:val=""/>
      <w:lvlJc w:val="left"/>
      <w:pPr>
        <w:ind w:left="2823" w:hanging="360"/>
      </w:pPr>
      <w:rPr>
        <w:rFonts w:ascii="Symbol" w:hAnsi="Symbol" w:hint="default"/>
      </w:rPr>
    </w:lvl>
    <w:lvl w:ilvl="4" w:tplc="F3627E38" w:tentative="1">
      <w:start w:val="1"/>
      <w:numFmt w:val="bullet"/>
      <w:lvlText w:val="o"/>
      <w:lvlJc w:val="left"/>
      <w:pPr>
        <w:ind w:left="3543" w:hanging="360"/>
      </w:pPr>
      <w:rPr>
        <w:rFonts w:ascii="Courier New" w:hAnsi="Courier New" w:cs="Courier New" w:hint="default"/>
      </w:rPr>
    </w:lvl>
    <w:lvl w:ilvl="5" w:tplc="B44EA5D8" w:tentative="1">
      <w:start w:val="1"/>
      <w:numFmt w:val="bullet"/>
      <w:lvlText w:val=""/>
      <w:lvlJc w:val="left"/>
      <w:pPr>
        <w:ind w:left="4263" w:hanging="360"/>
      </w:pPr>
      <w:rPr>
        <w:rFonts w:ascii="Wingdings" w:hAnsi="Wingdings" w:hint="default"/>
      </w:rPr>
    </w:lvl>
    <w:lvl w:ilvl="6" w:tplc="BD06061E" w:tentative="1">
      <w:start w:val="1"/>
      <w:numFmt w:val="bullet"/>
      <w:lvlText w:val=""/>
      <w:lvlJc w:val="left"/>
      <w:pPr>
        <w:ind w:left="4983" w:hanging="360"/>
      </w:pPr>
      <w:rPr>
        <w:rFonts w:ascii="Symbol" w:hAnsi="Symbol" w:hint="default"/>
      </w:rPr>
    </w:lvl>
    <w:lvl w:ilvl="7" w:tplc="1F928768" w:tentative="1">
      <w:start w:val="1"/>
      <w:numFmt w:val="bullet"/>
      <w:lvlText w:val="o"/>
      <w:lvlJc w:val="left"/>
      <w:pPr>
        <w:ind w:left="5703" w:hanging="360"/>
      </w:pPr>
      <w:rPr>
        <w:rFonts w:ascii="Courier New" w:hAnsi="Courier New" w:cs="Courier New" w:hint="default"/>
      </w:rPr>
    </w:lvl>
    <w:lvl w:ilvl="8" w:tplc="4656CCAA"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tplc="AD7A9630">
      <w:start w:val="1"/>
      <w:numFmt w:val="decimal"/>
      <w:lvlText w:val="%1."/>
      <w:lvlJc w:val="left"/>
      <w:pPr>
        <w:ind w:left="720" w:hanging="360"/>
      </w:pPr>
      <w:rPr>
        <w:rFonts w:hint="default"/>
      </w:rPr>
    </w:lvl>
    <w:lvl w:ilvl="1" w:tplc="5AA854F2" w:tentative="1">
      <w:start w:val="1"/>
      <w:numFmt w:val="lowerLetter"/>
      <w:lvlText w:val="%2."/>
      <w:lvlJc w:val="left"/>
      <w:pPr>
        <w:ind w:left="1440" w:hanging="360"/>
      </w:pPr>
    </w:lvl>
    <w:lvl w:ilvl="2" w:tplc="43903DB0" w:tentative="1">
      <w:start w:val="1"/>
      <w:numFmt w:val="lowerRoman"/>
      <w:lvlText w:val="%3."/>
      <w:lvlJc w:val="right"/>
      <w:pPr>
        <w:ind w:left="2160" w:hanging="180"/>
      </w:pPr>
    </w:lvl>
    <w:lvl w:ilvl="3" w:tplc="0EF064EC" w:tentative="1">
      <w:start w:val="1"/>
      <w:numFmt w:val="decimal"/>
      <w:lvlText w:val="%4."/>
      <w:lvlJc w:val="left"/>
      <w:pPr>
        <w:ind w:left="2880" w:hanging="360"/>
      </w:pPr>
    </w:lvl>
    <w:lvl w:ilvl="4" w:tplc="1F9E5C0E" w:tentative="1">
      <w:start w:val="1"/>
      <w:numFmt w:val="lowerLetter"/>
      <w:lvlText w:val="%5."/>
      <w:lvlJc w:val="left"/>
      <w:pPr>
        <w:ind w:left="3600" w:hanging="360"/>
      </w:pPr>
    </w:lvl>
    <w:lvl w:ilvl="5" w:tplc="15720A04" w:tentative="1">
      <w:start w:val="1"/>
      <w:numFmt w:val="lowerRoman"/>
      <w:lvlText w:val="%6."/>
      <w:lvlJc w:val="right"/>
      <w:pPr>
        <w:ind w:left="4320" w:hanging="180"/>
      </w:pPr>
    </w:lvl>
    <w:lvl w:ilvl="6" w:tplc="A3709FD4" w:tentative="1">
      <w:start w:val="1"/>
      <w:numFmt w:val="decimal"/>
      <w:lvlText w:val="%7."/>
      <w:lvlJc w:val="left"/>
      <w:pPr>
        <w:ind w:left="5040" w:hanging="360"/>
      </w:pPr>
    </w:lvl>
    <w:lvl w:ilvl="7" w:tplc="3A926C8E" w:tentative="1">
      <w:start w:val="1"/>
      <w:numFmt w:val="lowerLetter"/>
      <w:lvlText w:val="%8."/>
      <w:lvlJc w:val="left"/>
      <w:pPr>
        <w:ind w:left="5760" w:hanging="360"/>
      </w:pPr>
    </w:lvl>
    <w:lvl w:ilvl="8" w:tplc="E8EEA9F0"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0633C"/>
    <w:rsid w:val="00012172"/>
    <w:rsid w:val="00033B6A"/>
    <w:rsid w:val="00047B72"/>
    <w:rsid w:val="00091E82"/>
    <w:rsid w:val="00095230"/>
    <w:rsid w:val="000A59F4"/>
    <w:rsid w:val="000B4E62"/>
    <w:rsid w:val="000C2AA3"/>
    <w:rsid w:val="000C48DB"/>
    <w:rsid w:val="000D45AB"/>
    <w:rsid w:val="000F672C"/>
    <w:rsid w:val="001235C8"/>
    <w:rsid w:val="00123FE4"/>
    <w:rsid w:val="00132627"/>
    <w:rsid w:val="00137EAE"/>
    <w:rsid w:val="00142313"/>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AD9"/>
    <w:rsid w:val="001E5F30"/>
    <w:rsid w:val="001F1003"/>
    <w:rsid w:val="001F534D"/>
    <w:rsid w:val="00203ED0"/>
    <w:rsid w:val="00207B51"/>
    <w:rsid w:val="00221F00"/>
    <w:rsid w:val="002232DD"/>
    <w:rsid w:val="002249F7"/>
    <w:rsid w:val="0023794F"/>
    <w:rsid w:val="0024213D"/>
    <w:rsid w:val="00242F4E"/>
    <w:rsid w:val="00250510"/>
    <w:rsid w:val="00260406"/>
    <w:rsid w:val="0027055D"/>
    <w:rsid w:val="002726AC"/>
    <w:rsid w:val="00272E1E"/>
    <w:rsid w:val="00273F3C"/>
    <w:rsid w:val="00274D77"/>
    <w:rsid w:val="00274E7D"/>
    <w:rsid w:val="002A2FEC"/>
    <w:rsid w:val="002B04A9"/>
    <w:rsid w:val="002B15FC"/>
    <w:rsid w:val="002E12BA"/>
    <w:rsid w:val="002E6741"/>
    <w:rsid w:val="002E7F52"/>
    <w:rsid w:val="002F0240"/>
    <w:rsid w:val="002F1F5C"/>
    <w:rsid w:val="00301042"/>
    <w:rsid w:val="0030314D"/>
    <w:rsid w:val="003135C9"/>
    <w:rsid w:val="00316740"/>
    <w:rsid w:val="003670FB"/>
    <w:rsid w:val="003704F8"/>
    <w:rsid w:val="00376BE8"/>
    <w:rsid w:val="003867D7"/>
    <w:rsid w:val="003A1415"/>
    <w:rsid w:val="003B3418"/>
    <w:rsid w:val="003B563F"/>
    <w:rsid w:val="003C27C9"/>
    <w:rsid w:val="003C6545"/>
    <w:rsid w:val="003D17FD"/>
    <w:rsid w:val="003D1BDD"/>
    <w:rsid w:val="003D2081"/>
    <w:rsid w:val="003D5AEF"/>
    <w:rsid w:val="003E0BB8"/>
    <w:rsid w:val="003E6A2E"/>
    <w:rsid w:val="00402FC7"/>
    <w:rsid w:val="0042689A"/>
    <w:rsid w:val="0043303B"/>
    <w:rsid w:val="004508E0"/>
    <w:rsid w:val="0045170F"/>
    <w:rsid w:val="0045250F"/>
    <w:rsid w:val="00452F68"/>
    <w:rsid w:val="00474533"/>
    <w:rsid w:val="00475AC8"/>
    <w:rsid w:val="00491B5A"/>
    <w:rsid w:val="00497E77"/>
    <w:rsid w:val="004A3359"/>
    <w:rsid w:val="004B2777"/>
    <w:rsid w:val="004C1258"/>
    <w:rsid w:val="00502906"/>
    <w:rsid w:val="0050358F"/>
    <w:rsid w:val="005151AE"/>
    <w:rsid w:val="00527366"/>
    <w:rsid w:val="00531796"/>
    <w:rsid w:val="00542F7C"/>
    <w:rsid w:val="00561C85"/>
    <w:rsid w:val="00561E8A"/>
    <w:rsid w:val="005622C8"/>
    <w:rsid w:val="005920DD"/>
    <w:rsid w:val="005A4B8C"/>
    <w:rsid w:val="005A7962"/>
    <w:rsid w:val="005B539D"/>
    <w:rsid w:val="005B78FC"/>
    <w:rsid w:val="005C258B"/>
    <w:rsid w:val="005D6086"/>
    <w:rsid w:val="00606649"/>
    <w:rsid w:val="00626AB7"/>
    <w:rsid w:val="006434A1"/>
    <w:rsid w:val="00664405"/>
    <w:rsid w:val="00667637"/>
    <w:rsid w:val="00670EAC"/>
    <w:rsid w:val="006850BB"/>
    <w:rsid w:val="00690DA3"/>
    <w:rsid w:val="00694DE7"/>
    <w:rsid w:val="006A3524"/>
    <w:rsid w:val="006B2A9F"/>
    <w:rsid w:val="006B2E7F"/>
    <w:rsid w:val="006C6616"/>
    <w:rsid w:val="006C722A"/>
    <w:rsid w:val="006D7401"/>
    <w:rsid w:val="006E252D"/>
    <w:rsid w:val="006F0335"/>
    <w:rsid w:val="006F6954"/>
    <w:rsid w:val="00710385"/>
    <w:rsid w:val="00736B3E"/>
    <w:rsid w:val="0075224E"/>
    <w:rsid w:val="0076043F"/>
    <w:rsid w:val="007651F0"/>
    <w:rsid w:val="007660EE"/>
    <w:rsid w:val="00781964"/>
    <w:rsid w:val="0079611B"/>
    <w:rsid w:val="007A20CB"/>
    <w:rsid w:val="007B18AC"/>
    <w:rsid w:val="007C4A0B"/>
    <w:rsid w:val="007D47B1"/>
    <w:rsid w:val="007E4E2D"/>
    <w:rsid w:val="007E5290"/>
    <w:rsid w:val="007E5424"/>
    <w:rsid w:val="007F0571"/>
    <w:rsid w:val="00804641"/>
    <w:rsid w:val="0081163A"/>
    <w:rsid w:val="00820FC3"/>
    <w:rsid w:val="00823F0C"/>
    <w:rsid w:val="008360B6"/>
    <w:rsid w:val="00840419"/>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34BC2"/>
    <w:rsid w:val="0097112A"/>
    <w:rsid w:val="00972F98"/>
    <w:rsid w:val="00977048"/>
    <w:rsid w:val="00986F39"/>
    <w:rsid w:val="00990082"/>
    <w:rsid w:val="009A0C54"/>
    <w:rsid w:val="009B3ADE"/>
    <w:rsid w:val="009C30EE"/>
    <w:rsid w:val="009C783C"/>
    <w:rsid w:val="009D1B70"/>
    <w:rsid w:val="009D3290"/>
    <w:rsid w:val="009E5C89"/>
    <w:rsid w:val="00A161BD"/>
    <w:rsid w:val="00A23116"/>
    <w:rsid w:val="00A27C20"/>
    <w:rsid w:val="00A34479"/>
    <w:rsid w:val="00A37C59"/>
    <w:rsid w:val="00A51E53"/>
    <w:rsid w:val="00A71D5B"/>
    <w:rsid w:val="00A735F2"/>
    <w:rsid w:val="00A74928"/>
    <w:rsid w:val="00A75571"/>
    <w:rsid w:val="00A77619"/>
    <w:rsid w:val="00A85F8C"/>
    <w:rsid w:val="00A86A0B"/>
    <w:rsid w:val="00A948AE"/>
    <w:rsid w:val="00A94B60"/>
    <w:rsid w:val="00A95B78"/>
    <w:rsid w:val="00AA73DF"/>
    <w:rsid w:val="00AD106B"/>
    <w:rsid w:val="00AD10E9"/>
    <w:rsid w:val="00AE01E9"/>
    <w:rsid w:val="00AE3E38"/>
    <w:rsid w:val="00AE6BF5"/>
    <w:rsid w:val="00B01C6F"/>
    <w:rsid w:val="00B2125E"/>
    <w:rsid w:val="00B32016"/>
    <w:rsid w:val="00B4615C"/>
    <w:rsid w:val="00B47208"/>
    <w:rsid w:val="00BA779C"/>
    <w:rsid w:val="00BD1A7B"/>
    <w:rsid w:val="00BD457C"/>
    <w:rsid w:val="00BD6692"/>
    <w:rsid w:val="00BF4FF6"/>
    <w:rsid w:val="00C01298"/>
    <w:rsid w:val="00C1427F"/>
    <w:rsid w:val="00C22DB3"/>
    <w:rsid w:val="00C44442"/>
    <w:rsid w:val="00C6426B"/>
    <w:rsid w:val="00C71AAA"/>
    <w:rsid w:val="00C8569D"/>
    <w:rsid w:val="00C93FB3"/>
    <w:rsid w:val="00CA1A34"/>
    <w:rsid w:val="00CB29C2"/>
    <w:rsid w:val="00CC4273"/>
    <w:rsid w:val="00CD757F"/>
    <w:rsid w:val="00D14B14"/>
    <w:rsid w:val="00D23883"/>
    <w:rsid w:val="00D3202E"/>
    <w:rsid w:val="00D629F8"/>
    <w:rsid w:val="00D65EC0"/>
    <w:rsid w:val="00D87FC3"/>
    <w:rsid w:val="00DA27AC"/>
    <w:rsid w:val="00DB14BF"/>
    <w:rsid w:val="00DB45B7"/>
    <w:rsid w:val="00DC4927"/>
    <w:rsid w:val="00DE2B5C"/>
    <w:rsid w:val="00E218F3"/>
    <w:rsid w:val="00E3089C"/>
    <w:rsid w:val="00E33326"/>
    <w:rsid w:val="00E46C98"/>
    <w:rsid w:val="00E631D7"/>
    <w:rsid w:val="00E76F31"/>
    <w:rsid w:val="00E95D7E"/>
    <w:rsid w:val="00E972BA"/>
    <w:rsid w:val="00EA3B6E"/>
    <w:rsid w:val="00EA6548"/>
    <w:rsid w:val="00EB5AEA"/>
    <w:rsid w:val="00EC460A"/>
    <w:rsid w:val="00ED0466"/>
    <w:rsid w:val="00F050A4"/>
    <w:rsid w:val="00F1156D"/>
    <w:rsid w:val="00F155CD"/>
    <w:rsid w:val="00F349F4"/>
    <w:rsid w:val="00F4373F"/>
    <w:rsid w:val="00F5392E"/>
    <w:rsid w:val="00F61544"/>
    <w:rsid w:val="00F67110"/>
    <w:rsid w:val="00F74F4F"/>
    <w:rsid w:val="00F90393"/>
    <w:rsid w:val="00F90C41"/>
    <w:rsid w:val="00F91129"/>
    <w:rsid w:val="00F94E4B"/>
    <w:rsid w:val="00FA13CB"/>
    <w:rsid w:val="00FA2091"/>
    <w:rsid w:val="00FA33F4"/>
    <w:rsid w:val="00FB1336"/>
    <w:rsid w:val="00FC0A7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5F8A"/>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59"/>
    <w:rsid w:val="002B0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D17FD"/>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6F01-143D-4C0B-8110-5328A67F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7340</Words>
  <Characters>4185</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Irita Kuzma</dc:creator>
  <dc:description>67876079, Irita.Kuzma@vm.gov.lv</dc:description>
  <cp:lastModifiedBy>Irita Kuzma</cp:lastModifiedBy>
  <cp:revision>4</cp:revision>
  <cp:lastPrinted>2015-02-09T12:49:00Z</cp:lastPrinted>
  <dcterms:created xsi:type="dcterms:W3CDTF">2018-08-22T15:39:00Z</dcterms:created>
  <dcterms:modified xsi:type="dcterms:W3CDTF">2018-08-23T07:00:00Z</dcterms:modified>
</cp:coreProperties>
</file>