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D5DB5" w:rsidRPr="00924BDF" w:rsidP="00F84EE6" w14:paraId="353C7362" w14:textId="77777777">
      <w:pPr>
        <w:spacing w:after="0" w:line="240" w:lineRule="auto"/>
        <w:jc w:val="center"/>
        <w:rPr>
          <w:rFonts w:ascii="Times New Roman" w:eastAsia="Times New Roman" w:hAnsi="Times New Roman" w:cs="Times New Roman"/>
          <w:b/>
          <w:bCs/>
          <w:sz w:val="26"/>
          <w:szCs w:val="26"/>
          <w:lang w:eastAsia="lv-LV"/>
        </w:rPr>
      </w:pPr>
      <w:r w:rsidRPr="00924BDF">
        <w:rPr>
          <w:rFonts w:ascii="Times New Roman" w:eastAsia="Times New Roman" w:hAnsi="Times New Roman" w:cs="Times New Roman"/>
          <w:b/>
          <w:bCs/>
          <w:sz w:val="26"/>
          <w:szCs w:val="26"/>
          <w:lang w:eastAsia="lv-LV"/>
        </w:rPr>
        <w:t xml:space="preserve">Ministru kabineta </w:t>
      </w:r>
      <w:r w:rsidRPr="00924BDF" w:rsidR="00AE157C">
        <w:rPr>
          <w:rFonts w:ascii="Times New Roman" w:eastAsia="Times New Roman" w:hAnsi="Times New Roman" w:cs="Times New Roman"/>
          <w:b/>
          <w:bCs/>
          <w:sz w:val="26"/>
          <w:szCs w:val="26"/>
          <w:lang w:eastAsia="lv-LV"/>
        </w:rPr>
        <w:t>noteikumu</w:t>
      </w:r>
      <w:r w:rsidRPr="00924BDF">
        <w:rPr>
          <w:rFonts w:ascii="Times New Roman" w:eastAsia="Times New Roman" w:hAnsi="Times New Roman" w:cs="Times New Roman"/>
          <w:b/>
          <w:bCs/>
          <w:sz w:val="26"/>
          <w:szCs w:val="26"/>
          <w:lang w:eastAsia="lv-LV"/>
        </w:rPr>
        <w:t xml:space="preserve"> projekta</w:t>
      </w:r>
    </w:p>
    <w:p w:rsidR="00AE157C" w:rsidRPr="00924BDF" w:rsidP="00F84EE6" w14:paraId="6B234580" w14:textId="0B978E22">
      <w:pPr>
        <w:pStyle w:val="BodyText"/>
        <w:jc w:val="center"/>
        <w:rPr>
          <w:b/>
          <w:sz w:val="26"/>
          <w:szCs w:val="26"/>
        </w:rPr>
      </w:pPr>
      <w:r w:rsidRPr="00924BDF">
        <w:rPr>
          <w:b/>
          <w:bCs/>
          <w:sz w:val="26"/>
          <w:szCs w:val="26"/>
          <w:lang w:eastAsia="lv-LV"/>
        </w:rPr>
        <w:t>“</w:t>
      </w:r>
      <w:r w:rsidRPr="00332DA5" w:rsidR="00472B47">
        <w:rPr>
          <w:b/>
          <w:sz w:val="26"/>
          <w:szCs w:val="26"/>
        </w:rPr>
        <w:t>Kārtība, kādā jaunsargu instruktoram kompensē mācību izdevumus, un šo izdevumu atmaksāšanas noteikumi</w:t>
      </w:r>
      <w:r w:rsidRPr="00924BDF">
        <w:rPr>
          <w:b/>
          <w:sz w:val="26"/>
          <w:szCs w:val="26"/>
        </w:rPr>
        <w:t>”</w:t>
      </w:r>
    </w:p>
    <w:p w:rsidR="00312733" w:rsidRPr="00924BDF" w:rsidP="00F84EE6" w14:paraId="432E239B" w14:textId="77777777">
      <w:pPr>
        <w:pStyle w:val="BodyText"/>
        <w:jc w:val="center"/>
        <w:rPr>
          <w:b/>
          <w:bCs/>
          <w:sz w:val="26"/>
          <w:szCs w:val="26"/>
          <w:lang w:eastAsia="lv-LV"/>
        </w:rPr>
      </w:pPr>
      <w:r w:rsidRPr="00924BDF">
        <w:rPr>
          <w:b/>
          <w:bCs/>
          <w:sz w:val="26"/>
          <w:szCs w:val="26"/>
          <w:lang w:eastAsia="lv-LV"/>
        </w:rPr>
        <w:t xml:space="preserve">sākotnējās ietekmes </w:t>
      </w:r>
      <w:r w:rsidRPr="00924BDF" w:rsidR="006D5DB5">
        <w:rPr>
          <w:b/>
          <w:bCs/>
          <w:sz w:val="26"/>
          <w:szCs w:val="26"/>
          <w:lang w:eastAsia="lv-LV"/>
        </w:rPr>
        <w:t>novērtējuma ziņojums (anotācija)</w:t>
      </w:r>
    </w:p>
    <w:p w:rsidR="00FD130B" w:rsidRPr="00924BDF" w:rsidP="00F84EE6" w14:paraId="5C18BE8F" w14:textId="77777777">
      <w:pPr>
        <w:pStyle w:val="BodyText"/>
        <w:jc w:val="center"/>
        <w:rPr>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90"/>
        <w:gridCol w:w="5965"/>
      </w:tblGrid>
      <w:tr w14:paraId="646B9E14" w14:textId="77777777" w:rsidTr="008B48F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312733" w:rsidRPr="00924BDF" w:rsidP="00F84EE6" w14:paraId="3C535834" w14:textId="77777777">
            <w:pPr>
              <w:spacing w:after="0" w:line="240" w:lineRule="auto"/>
              <w:ind w:right="290"/>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b/>
                <w:bCs/>
                <w:iCs/>
                <w:sz w:val="26"/>
                <w:szCs w:val="26"/>
                <w:lang w:eastAsia="lv-LV"/>
              </w:rPr>
              <w:t>Tiesību akta projekta anotācijas kopsavilkums</w:t>
            </w:r>
          </w:p>
        </w:tc>
      </w:tr>
      <w:tr w14:paraId="0C3806E8" w14:textId="77777777" w:rsidTr="00760340">
        <w:tblPrEx>
          <w:tblW w:w="5000" w:type="pct"/>
          <w:tblCellSpacing w:w="15" w:type="dxa"/>
          <w:tblCellMar>
            <w:top w:w="30" w:type="dxa"/>
            <w:left w:w="30" w:type="dxa"/>
            <w:bottom w:w="30" w:type="dxa"/>
            <w:right w:w="30" w:type="dxa"/>
          </w:tblCellMar>
          <w:tblLook w:val="04A0"/>
        </w:tblPrEx>
        <w:trPr>
          <w:tblCellSpacing w:w="15" w:type="dxa"/>
        </w:trPr>
        <w:tc>
          <w:tcPr>
            <w:tcW w:w="1687" w:type="pct"/>
            <w:tcBorders>
              <w:top w:val="outset" w:sz="6" w:space="0" w:color="auto"/>
              <w:left w:val="outset" w:sz="6" w:space="0" w:color="auto"/>
              <w:bottom w:val="outset" w:sz="6" w:space="0" w:color="auto"/>
              <w:right w:val="outset" w:sz="6" w:space="0" w:color="auto"/>
            </w:tcBorders>
            <w:hideMark/>
          </w:tcPr>
          <w:p w:rsidR="00312733" w:rsidRPr="00924BDF" w:rsidP="00F84EE6" w14:paraId="0F9C4148"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Mērķis, risinājums un projekta spēkā stāšanās laiks (500 zīmes bez atstarpēm)</w:t>
            </w:r>
          </w:p>
        </w:tc>
        <w:tc>
          <w:tcPr>
            <w:tcW w:w="3264" w:type="pct"/>
            <w:tcBorders>
              <w:top w:val="outset" w:sz="6" w:space="0" w:color="auto"/>
              <w:left w:val="outset" w:sz="6" w:space="0" w:color="auto"/>
              <w:bottom w:val="outset" w:sz="6" w:space="0" w:color="auto"/>
              <w:right w:val="outset" w:sz="6" w:space="0" w:color="auto"/>
            </w:tcBorders>
            <w:hideMark/>
          </w:tcPr>
          <w:p w:rsidR="00312733" w:rsidRPr="00924BDF" w:rsidP="00E3640C" w14:paraId="78811CBA" w14:textId="44025A5B">
            <w:pPr>
              <w:spacing w:after="0" w:line="240" w:lineRule="auto"/>
              <w:jc w:val="both"/>
              <w:rPr>
                <w:rFonts w:ascii="Times New Roman" w:eastAsia="Times New Roman" w:hAnsi="Times New Roman" w:cs="Times New Roman"/>
                <w:bCs/>
                <w:sz w:val="26"/>
                <w:szCs w:val="26"/>
                <w:lang w:eastAsia="lv-LV"/>
              </w:rPr>
            </w:pPr>
            <w:r w:rsidRPr="00924BDF">
              <w:rPr>
                <w:rFonts w:ascii="Times New Roman" w:eastAsia="Times New Roman" w:hAnsi="Times New Roman" w:cs="Times New Roman"/>
                <w:sz w:val="26"/>
                <w:szCs w:val="26"/>
                <w:lang w:eastAsia="lv-LV"/>
              </w:rPr>
              <w:t xml:space="preserve">Ar </w:t>
            </w:r>
            <w:r w:rsidRPr="00924BDF">
              <w:rPr>
                <w:rFonts w:ascii="Times New Roman" w:eastAsia="Times New Roman" w:hAnsi="Times New Roman" w:cs="Times New Roman"/>
                <w:bCs/>
                <w:sz w:val="26"/>
                <w:szCs w:val="26"/>
                <w:lang w:eastAsia="lv-LV"/>
              </w:rPr>
              <w:t xml:space="preserve">Ministru kabineta noteikumu projektu </w:t>
            </w:r>
            <w:r w:rsidRPr="00924BDF">
              <w:rPr>
                <w:rFonts w:ascii="Times New Roman" w:hAnsi="Times New Roman" w:cs="Times New Roman"/>
                <w:bCs/>
                <w:sz w:val="26"/>
                <w:szCs w:val="26"/>
                <w:lang w:eastAsia="lv-LV"/>
              </w:rPr>
              <w:t>“</w:t>
            </w:r>
            <w:r w:rsidRPr="00924BDF">
              <w:rPr>
                <w:rFonts w:ascii="Times New Roman" w:hAnsi="Times New Roman" w:cs="Times New Roman"/>
                <w:sz w:val="26"/>
                <w:szCs w:val="26"/>
              </w:rPr>
              <w:t xml:space="preserve">Kārtība, kādā jaunsargu instruktoram kompensē mācību izdevumus, un šo izdevumu atmaksāšanas </w:t>
            </w:r>
            <w:r w:rsidR="00E3640C">
              <w:rPr>
                <w:rFonts w:ascii="Times New Roman" w:hAnsi="Times New Roman" w:cs="Times New Roman"/>
                <w:sz w:val="26"/>
                <w:szCs w:val="26"/>
              </w:rPr>
              <w:t>noteikumi</w:t>
            </w:r>
            <w:r w:rsidRPr="00924BDF">
              <w:rPr>
                <w:rFonts w:ascii="Times New Roman" w:hAnsi="Times New Roman" w:cs="Times New Roman"/>
                <w:sz w:val="26"/>
                <w:szCs w:val="26"/>
              </w:rPr>
              <w:t>”</w:t>
            </w:r>
            <w:r w:rsidRPr="00924BDF">
              <w:rPr>
                <w:rFonts w:ascii="Times New Roman" w:eastAsia="Times New Roman" w:hAnsi="Times New Roman" w:cs="Times New Roman"/>
                <w:sz w:val="26"/>
                <w:szCs w:val="26"/>
                <w:lang w:eastAsia="lv-LV"/>
              </w:rPr>
              <w:t xml:space="preserve"> (turpmāk – Ministru kabineta noteikumu projekts) paredzēts</w:t>
            </w:r>
            <w:r w:rsidRPr="00924BDF">
              <w:rPr>
                <w:rFonts w:ascii="Times New Roman" w:hAnsi="Times New Roman" w:cs="Times New Roman"/>
                <w:bCs/>
                <w:sz w:val="26"/>
                <w:szCs w:val="26"/>
              </w:rPr>
              <w:t xml:space="preserve"> noteikt atsevišķu kārtību, kādā jaunsargu instruktoriem tiek kompensēti mācību izdevumi par atbilstošas profesionālās kvalifikācijas pedagoģijā iegūšanu, kas nepieciešama, lai Jaunsardzes un informācijas centrs varētu realizēt tam uzdoto valsts pārvaldes uzdevumu – valsts aizsardzības mācības </w:t>
            </w:r>
            <w:r w:rsidRPr="00924BDF">
              <w:rPr>
                <w:rFonts w:ascii="Times New Roman" w:hAnsi="Times New Roman" w:cs="Times New Roman"/>
                <w:sz w:val="26"/>
                <w:szCs w:val="26"/>
              </w:rPr>
              <w:t>iekļaušanu valsts vidējās izglītības standartā un nodrošinātu šī mācību priekšmeta pasniegšanu izglītības iestādēs.</w:t>
            </w:r>
          </w:p>
        </w:tc>
      </w:tr>
    </w:tbl>
    <w:p w:rsidR="00760340" w:rsidRPr="00924BDF" w:rsidP="00F84EE6" w14:paraId="5C6DA528" w14:textId="77777777">
      <w:pPr>
        <w:spacing w:after="120" w:line="240" w:lineRule="auto"/>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2103"/>
        <w:gridCol w:w="6369"/>
      </w:tblGrid>
      <w:tr w14:paraId="5ED69D11" w14:textId="77777777" w:rsidTr="0066033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924BDF" w:rsidP="00F84EE6" w14:paraId="7565D62E" w14:textId="77777777">
            <w:pPr>
              <w:spacing w:after="0" w:line="240" w:lineRule="auto"/>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b/>
                <w:bCs/>
                <w:iCs/>
                <w:sz w:val="26"/>
                <w:szCs w:val="26"/>
                <w:lang w:eastAsia="lv-LV"/>
              </w:rPr>
              <w:t>I. Tiesību akta projekta izstrādes nepieciešamība</w:t>
            </w:r>
          </w:p>
        </w:tc>
      </w:tr>
      <w:tr w14:paraId="36CCC7F5"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924BDF" w:rsidP="00F84EE6" w14:paraId="6A5486D7"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6D5DB5" w:rsidRPr="00924BDF" w:rsidP="00F84EE6" w14:paraId="47C5D500"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D756C4" w:rsidRPr="00924BDF" w:rsidP="00AE157C" w14:paraId="0B893440" w14:textId="77777777">
            <w:pPr>
              <w:spacing w:after="0" w:line="240" w:lineRule="auto"/>
              <w:ind w:firstLine="345"/>
              <w:jc w:val="both"/>
              <w:rPr>
                <w:rFonts w:ascii="Times New Roman" w:hAnsi="Times New Roman" w:cs="Times New Roman"/>
                <w:sz w:val="26"/>
                <w:szCs w:val="26"/>
              </w:rPr>
            </w:pPr>
            <w:r w:rsidRPr="00924BDF">
              <w:rPr>
                <w:rFonts w:ascii="Times New Roman" w:eastAsia="Times New Roman" w:hAnsi="Times New Roman" w:cs="Times New Roman"/>
                <w:b/>
                <w:iCs/>
                <w:sz w:val="26"/>
                <w:szCs w:val="26"/>
                <w:lang w:eastAsia="lv-LV"/>
              </w:rPr>
              <w:t>Valsts sekretāru sanāksmes 2018. gada 30.</w:t>
            </w:r>
            <w:r w:rsidRPr="00924BDF">
              <w:rPr>
                <w:rFonts w:ascii="Times New Roman" w:hAnsi="Times New Roman" w:cs="Times New Roman"/>
                <w:b/>
                <w:sz w:val="26"/>
                <w:szCs w:val="26"/>
              </w:rPr>
              <w:t xml:space="preserve">augusta protokola Nr. 34 56.§ "Rīkojuma projekts "Par valsts aizsardzības mācības skolotāju sagatavošanu" </w:t>
            </w:r>
            <w:r w:rsidRPr="00924BDF" w:rsidR="00997222">
              <w:rPr>
                <w:rFonts w:ascii="Times New Roman" w:hAnsi="Times New Roman" w:cs="Times New Roman"/>
                <w:b/>
                <w:sz w:val="26"/>
                <w:szCs w:val="26"/>
              </w:rPr>
              <w:t>2. punktā</w:t>
            </w:r>
            <w:r w:rsidRPr="00924BDF" w:rsidR="00997222">
              <w:rPr>
                <w:rFonts w:ascii="Times New Roman" w:hAnsi="Times New Roman" w:cs="Times New Roman"/>
                <w:sz w:val="26"/>
                <w:szCs w:val="26"/>
              </w:rPr>
              <w:t xml:space="preserve"> </w:t>
            </w:r>
            <w:r w:rsidRPr="00924BDF" w:rsidR="00997222">
              <w:rPr>
                <w:rFonts w:ascii="Times New Roman" w:hAnsi="Times New Roman" w:cs="Times New Roman"/>
                <w:b/>
                <w:sz w:val="26"/>
                <w:szCs w:val="26"/>
              </w:rPr>
              <w:t>dotā uzdevuma izpilde</w:t>
            </w:r>
            <w:r w:rsidRPr="00924BDF" w:rsidR="00997222">
              <w:rPr>
                <w:rFonts w:ascii="Times New Roman" w:hAnsi="Times New Roman" w:cs="Times New Roman"/>
                <w:sz w:val="26"/>
                <w:szCs w:val="26"/>
              </w:rPr>
              <w:t xml:space="preserve"> – pastāvošajam tiesiskajam regulējumam atbilstoša normatīvā akta projekta izstrāde, lai nodrošinātu Saeimas  2018. gada 7. jūnija lēmuma  “Par valsts aizsardzības mācības iekļaušanu valsts vidējās izglītības standartā”.</w:t>
            </w:r>
          </w:p>
          <w:p w:rsidR="00404A82" w:rsidRPr="00924BDF" w:rsidP="00411418" w14:paraId="29A62729" w14:textId="77777777">
            <w:pPr>
              <w:spacing w:after="0" w:line="240" w:lineRule="auto"/>
              <w:ind w:firstLine="405"/>
              <w:jc w:val="both"/>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Tāpat tiesību akts izstrādāts,</w:t>
            </w:r>
            <w:r w:rsidRPr="00924BDF" w:rsidR="00650BF0">
              <w:rPr>
                <w:rFonts w:ascii="Times New Roman" w:eastAsia="Times New Roman" w:hAnsi="Times New Roman" w:cs="Times New Roman"/>
                <w:iCs/>
                <w:sz w:val="26"/>
                <w:szCs w:val="26"/>
                <w:lang w:eastAsia="lv-LV"/>
              </w:rPr>
              <w:t xml:space="preserve"> </w:t>
            </w:r>
            <w:r w:rsidRPr="00924BDF" w:rsidR="00650BF0">
              <w:rPr>
                <w:rFonts w:ascii="Times New Roman" w:eastAsia="Times New Roman" w:hAnsi="Times New Roman" w:cs="Times New Roman"/>
                <w:b/>
                <w:iCs/>
                <w:sz w:val="26"/>
                <w:szCs w:val="26"/>
                <w:lang w:eastAsia="lv-LV"/>
              </w:rPr>
              <w:t>lai realizētu</w:t>
            </w:r>
            <w:r w:rsidRPr="00924BDF" w:rsidR="00650BF0">
              <w:rPr>
                <w:rFonts w:ascii="Times New Roman" w:eastAsia="Times New Roman" w:hAnsi="Times New Roman" w:cs="Times New Roman"/>
                <w:iCs/>
                <w:sz w:val="26"/>
                <w:szCs w:val="26"/>
                <w:lang w:eastAsia="lv-LV"/>
              </w:rPr>
              <w:t xml:space="preserve"> </w:t>
            </w:r>
            <w:r w:rsidRPr="00924BDF" w:rsidR="00650BF0">
              <w:rPr>
                <w:rFonts w:ascii="Times New Roman" w:eastAsia="Times New Roman" w:hAnsi="Times New Roman" w:cs="Times New Roman"/>
                <w:b/>
                <w:iCs/>
                <w:sz w:val="26"/>
                <w:szCs w:val="26"/>
                <w:lang w:eastAsia="lv-LV"/>
              </w:rPr>
              <w:t>Saeimas 2018. gada 7. jūnija sēdē pieņemto lēmumu ˝Par valsts aizsardzības mācības iekļaušanu valsts vidējās izglītības standartā˝</w:t>
            </w:r>
            <w:r w:rsidRPr="00924BDF" w:rsidR="00650BF0">
              <w:rPr>
                <w:rFonts w:ascii="Times New Roman" w:eastAsia="Times New Roman" w:hAnsi="Times New Roman" w:cs="Times New Roman"/>
                <w:iCs/>
                <w:sz w:val="26"/>
                <w:szCs w:val="26"/>
                <w:lang w:eastAsia="lv-LV"/>
              </w:rPr>
              <w:t xml:space="preserve">, ar kuru Ministru kabinets ir aicināts no 2024. gada vidējās </w:t>
            </w:r>
            <w:r w:rsidRPr="00924BDF" w:rsidR="00E80F71">
              <w:rPr>
                <w:rFonts w:ascii="Times New Roman" w:eastAsia="Times New Roman" w:hAnsi="Times New Roman" w:cs="Times New Roman"/>
                <w:iCs/>
                <w:sz w:val="26"/>
                <w:szCs w:val="26"/>
                <w:lang w:eastAsia="lv-LV"/>
              </w:rPr>
              <w:t xml:space="preserve">vispārējās </w:t>
            </w:r>
            <w:r w:rsidRPr="00924BDF" w:rsidR="00650BF0">
              <w:rPr>
                <w:rFonts w:ascii="Times New Roman" w:eastAsia="Times New Roman" w:hAnsi="Times New Roman" w:cs="Times New Roman"/>
                <w:iCs/>
                <w:sz w:val="26"/>
                <w:szCs w:val="26"/>
                <w:lang w:eastAsia="lv-LV"/>
              </w:rPr>
              <w:t xml:space="preserve">izglītības standartā </w:t>
            </w:r>
            <w:r w:rsidRPr="00924BDF" w:rsidR="009A2FFD">
              <w:rPr>
                <w:rFonts w:ascii="Times New Roman" w:hAnsi="Times New Roman" w:cs="Times New Roman"/>
                <w:sz w:val="26"/>
                <w:szCs w:val="26"/>
              </w:rPr>
              <w:t>un valsts profesionālās izglītības standartā</w:t>
            </w:r>
            <w:r w:rsidRPr="00924BDF" w:rsidR="009A2FFD">
              <w:rPr>
                <w:rFonts w:ascii="Times New Roman" w:eastAsia="Times New Roman" w:hAnsi="Times New Roman" w:cs="Times New Roman"/>
                <w:iCs/>
                <w:sz w:val="26"/>
                <w:szCs w:val="26"/>
                <w:lang w:eastAsia="lv-LV"/>
              </w:rPr>
              <w:t xml:space="preserve"> </w:t>
            </w:r>
            <w:r w:rsidRPr="00924BDF" w:rsidR="00650BF0">
              <w:rPr>
                <w:rFonts w:ascii="Times New Roman" w:eastAsia="Times New Roman" w:hAnsi="Times New Roman" w:cs="Times New Roman"/>
                <w:iCs/>
                <w:sz w:val="26"/>
                <w:szCs w:val="26"/>
                <w:lang w:eastAsia="lv-LV"/>
              </w:rPr>
              <w:t>kā obligātu mācību priekšmetu ieviest valsts aizsardzības mācību.</w:t>
            </w:r>
            <w:r w:rsidRPr="00924BDF">
              <w:rPr>
                <w:rFonts w:ascii="Times New Roman" w:eastAsia="Times New Roman" w:hAnsi="Times New Roman" w:cs="Times New Roman"/>
                <w:iCs/>
                <w:sz w:val="26"/>
                <w:szCs w:val="26"/>
                <w:lang w:eastAsia="lv-LV"/>
              </w:rPr>
              <w:t xml:space="preserve"> </w:t>
            </w:r>
            <w:r w:rsidRPr="00924BDF" w:rsidR="00D27C16">
              <w:rPr>
                <w:rFonts w:ascii="Times New Roman" w:eastAsia="Times New Roman" w:hAnsi="Times New Roman" w:cs="Times New Roman"/>
                <w:iCs/>
                <w:sz w:val="26"/>
                <w:szCs w:val="26"/>
                <w:lang w:eastAsia="lv-LV"/>
              </w:rPr>
              <w:t>Šāds lēmums pieņemts a</w:t>
            </w:r>
            <w:r w:rsidRPr="00924BDF" w:rsidR="00D52BE4">
              <w:rPr>
                <w:rFonts w:ascii="Times New Roman" w:eastAsia="Times New Roman" w:hAnsi="Times New Roman" w:cs="Times New Roman"/>
                <w:iCs/>
                <w:sz w:val="26"/>
                <w:szCs w:val="26"/>
                <w:lang w:eastAsia="lv-LV"/>
              </w:rPr>
              <w:t>tbalstot virzību uz visaptverošas</w:t>
            </w:r>
            <w:r w:rsidRPr="00924BDF" w:rsidR="00EE787E">
              <w:rPr>
                <w:rFonts w:ascii="Times New Roman" w:eastAsia="Times New Roman" w:hAnsi="Times New Roman" w:cs="Times New Roman"/>
                <w:iCs/>
                <w:sz w:val="26"/>
                <w:szCs w:val="26"/>
                <w:lang w:eastAsia="lv-LV"/>
              </w:rPr>
              <w:t xml:space="preserve"> vals</w:t>
            </w:r>
            <w:r w:rsidRPr="00924BDF" w:rsidR="004E7992">
              <w:rPr>
                <w:rFonts w:ascii="Times New Roman" w:eastAsia="Times New Roman" w:hAnsi="Times New Roman" w:cs="Times New Roman"/>
                <w:iCs/>
                <w:sz w:val="26"/>
                <w:szCs w:val="26"/>
                <w:lang w:eastAsia="lv-LV"/>
              </w:rPr>
              <w:t>ts aizsardzības sistēmas izveidi</w:t>
            </w:r>
            <w:r w:rsidRPr="00924BDF" w:rsidR="00EE787E">
              <w:rPr>
                <w:rFonts w:ascii="Times New Roman" w:eastAsia="Times New Roman" w:hAnsi="Times New Roman" w:cs="Times New Roman"/>
                <w:iCs/>
                <w:sz w:val="26"/>
                <w:szCs w:val="26"/>
                <w:lang w:eastAsia="lv-LV"/>
              </w:rPr>
              <w:t>, uzsverot pilsoniskās apziņas veidošanas un patriotiskās audzināšanas nozīmīg</w:t>
            </w:r>
            <w:r w:rsidRPr="00924BDF" w:rsidR="004E7992">
              <w:rPr>
                <w:rFonts w:ascii="Times New Roman" w:eastAsia="Times New Roman" w:hAnsi="Times New Roman" w:cs="Times New Roman"/>
                <w:iCs/>
                <w:sz w:val="26"/>
                <w:szCs w:val="26"/>
                <w:lang w:eastAsia="lv-LV"/>
              </w:rPr>
              <w:t>umu jaunās paaudzes izglītošanā</w:t>
            </w:r>
            <w:r w:rsidRPr="00924BDF" w:rsidR="00EE787E">
              <w:rPr>
                <w:rFonts w:ascii="Times New Roman" w:eastAsia="Times New Roman" w:hAnsi="Times New Roman" w:cs="Times New Roman"/>
                <w:iCs/>
                <w:sz w:val="26"/>
                <w:szCs w:val="26"/>
                <w:lang w:eastAsia="lv-LV"/>
              </w:rPr>
              <w:t xml:space="preserve">, kā arī </w:t>
            </w:r>
            <w:r w:rsidRPr="00924BDF" w:rsidR="004E7992">
              <w:rPr>
                <w:rFonts w:ascii="Times New Roman" w:eastAsia="Times New Roman" w:hAnsi="Times New Roman" w:cs="Times New Roman"/>
                <w:iCs/>
                <w:sz w:val="26"/>
                <w:szCs w:val="26"/>
                <w:lang w:eastAsia="lv-LV"/>
              </w:rPr>
              <w:t>nepieciešamību attīstīt valsts aizsardzības prasmes</w:t>
            </w:r>
            <w:r w:rsidRPr="00924BDF" w:rsidR="00EE787E">
              <w:rPr>
                <w:rFonts w:ascii="Times New Roman" w:eastAsia="Times New Roman" w:hAnsi="Times New Roman" w:cs="Times New Roman"/>
                <w:iCs/>
                <w:sz w:val="26"/>
                <w:szCs w:val="26"/>
                <w:lang w:eastAsia="lv-LV"/>
              </w:rPr>
              <w:t>.</w:t>
            </w:r>
          </w:p>
          <w:p w:rsidR="00FB1BB4" w:rsidRPr="00924BDF" w:rsidP="007927E3" w14:paraId="6639144D" w14:textId="6685BA29">
            <w:pPr>
              <w:spacing w:after="0" w:line="240" w:lineRule="auto"/>
              <w:ind w:firstLine="345"/>
              <w:jc w:val="both"/>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 xml:space="preserve">Turklāt tiesību akts ir izstrādāts, </w:t>
            </w:r>
            <w:r w:rsidRPr="00924BDF">
              <w:rPr>
                <w:rFonts w:ascii="Times New Roman" w:eastAsia="Times New Roman" w:hAnsi="Times New Roman" w:cs="Times New Roman"/>
                <w:b/>
                <w:iCs/>
                <w:sz w:val="26"/>
                <w:szCs w:val="26"/>
                <w:lang w:eastAsia="lv-LV"/>
              </w:rPr>
              <w:t>lai realizētu ar Ministru kabineta 2016.</w:t>
            </w:r>
            <w:r w:rsidRPr="00924BDF">
              <w:rPr>
                <w:rFonts w:ascii="Times New Roman" w:hAnsi="Times New Roman" w:cs="Times New Roman"/>
                <w:b/>
                <w:sz w:val="26"/>
                <w:szCs w:val="26"/>
              </w:rPr>
              <w:t xml:space="preserve">gada 3. maija </w:t>
            </w:r>
            <w:r w:rsidRPr="00924BDF">
              <w:rPr>
                <w:rFonts w:ascii="Times New Roman" w:eastAsia="Times New Roman" w:hAnsi="Times New Roman" w:cs="Times New Roman"/>
                <w:b/>
                <w:iCs/>
                <w:sz w:val="26"/>
                <w:szCs w:val="26"/>
                <w:lang w:eastAsia="lv-LV"/>
              </w:rPr>
              <w:t xml:space="preserve">rīkojumu Nr. 275 “Par Valdības rīcības plānu Deklarācijas par Māra Kučinska vadītā  Ministru kabineta iecerēto darbību īstenošanai” apstiprinātā rīcības plāna pasākuma </w:t>
            </w:r>
            <w:r w:rsidRPr="00924BDF">
              <w:rPr>
                <w:rFonts w:ascii="Times New Roman" w:eastAsia="Times New Roman" w:hAnsi="Times New Roman" w:cs="Times New Roman"/>
                <w:b/>
                <w:iCs/>
                <w:sz w:val="26"/>
                <w:szCs w:val="26"/>
                <w:lang w:eastAsia="lv-LV"/>
              </w:rPr>
              <w:t>Nr. 78.2 īstenošanu</w:t>
            </w:r>
            <w:r w:rsidRPr="00924BDF">
              <w:rPr>
                <w:rFonts w:ascii="Times New Roman" w:eastAsia="Times New Roman" w:hAnsi="Times New Roman" w:cs="Times New Roman"/>
                <w:iCs/>
                <w:sz w:val="26"/>
                <w:szCs w:val="26"/>
                <w:lang w:eastAsia="lv-LV"/>
              </w:rPr>
              <w:t>, kas paredz</w:t>
            </w:r>
            <w:r w:rsidRPr="00924BDF" w:rsidR="00B1108C">
              <w:rPr>
                <w:rFonts w:ascii="Times New Roman" w:eastAsia="Times New Roman" w:hAnsi="Times New Roman" w:cs="Times New Roman"/>
                <w:iCs/>
                <w:sz w:val="26"/>
                <w:szCs w:val="26"/>
                <w:lang w:eastAsia="lv-LV"/>
              </w:rPr>
              <w:t xml:space="preserve"> pienākumu Valdībai nodrošināt Jaunsardzes spēju apmācīt jaunsargus un nodrošināt pamatu saturiski jauna valsts aizsardzības mācību priekšmeta ieviešanai</w:t>
            </w:r>
            <w:r w:rsidRPr="00924BDF" w:rsidR="00CE5830">
              <w:rPr>
                <w:rFonts w:ascii="Times New Roman" w:eastAsia="Times New Roman" w:hAnsi="Times New Roman" w:cs="Times New Roman"/>
                <w:iCs/>
                <w:sz w:val="26"/>
                <w:szCs w:val="26"/>
                <w:lang w:eastAsia="lv-LV"/>
              </w:rPr>
              <w:t xml:space="preserve"> – izpildes termiņš </w:t>
            </w:r>
            <w:r w:rsidRPr="00924BDF" w:rsidR="007927E3">
              <w:rPr>
                <w:rFonts w:ascii="Times New Roman" w:eastAsia="Times New Roman" w:hAnsi="Times New Roman" w:cs="Times New Roman"/>
                <w:iCs/>
                <w:sz w:val="26"/>
                <w:szCs w:val="26"/>
                <w:lang w:eastAsia="lv-LV"/>
              </w:rPr>
              <w:t>ir</w:t>
            </w:r>
            <w:r w:rsidRPr="00924BDF" w:rsidR="00CE5830">
              <w:rPr>
                <w:rFonts w:ascii="Times New Roman" w:eastAsia="Times New Roman" w:hAnsi="Times New Roman" w:cs="Times New Roman"/>
                <w:iCs/>
                <w:sz w:val="26"/>
                <w:szCs w:val="26"/>
                <w:lang w:eastAsia="lv-LV"/>
              </w:rPr>
              <w:t xml:space="preserve"> 2018. gada </w:t>
            </w:r>
            <w:r w:rsidRPr="00924BDF" w:rsidR="007927E3">
              <w:rPr>
                <w:rFonts w:ascii="Times New Roman" w:eastAsia="Times New Roman" w:hAnsi="Times New Roman" w:cs="Times New Roman"/>
                <w:iCs/>
                <w:sz w:val="26"/>
                <w:szCs w:val="26"/>
                <w:lang w:eastAsia="lv-LV"/>
              </w:rPr>
              <w:t>31. oktobris</w:t>
            </w:r>
            <w:r w:rsidRPr="00924BDF" w:rsidR="00B1108C">
              <w:rPr>
                <w:rFonts w:ascii="Times New Roman" w:eastAsia="Times New Roman" w:hAnsi="Times New Roman" w:cs="Times New Roman"/>
                <w:iCs/>
                <w:sz w:val="26"/>
                <w:szCs w:val="26"/>
                <w:lang w:eastAsia="lv-LV"/>
              </w:rPr>
              <w:t>.</w:t>
            </w:r>
          </w:p>
        </w:tc>
      </w:tr>
      <w:tr w14:paraId="2D4A2116" w14:textId="77777777" w:rsidTr="00D856B4">
        <w:tblPrEx>
          <w:tblW w:w="5000" w:type="pct"/>
          <w:tblCellSpacing w:w="15" w:type="dxa"/>
          <w:tblCellMar>
            <w:top w:w="30" w:type="dxa"/>
            <w:left w:w="30" w:type="dxa"/>
            <w:bottom w:w="30" w:type="dxa"/>
            <w:right w:w="30" w:type="dxa"/>
          </w:tblCellMar>
          <w:tblLook w:val="04A0"/>
        </w:tblPrEx>
        <w:trPr>
          <w:trHeight w:val="3201"/>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5372FC" w:rsidRPr="00924BDF" w:rsidP="00F84EE6" w14:paraId="691FD0C0"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5372FC" w:rsidRPr="00924BDF" w:rsidP="007004BB" w14:paraId="04985249"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7927E3" w:rsidRPr="00924BDF" w:rsidP="007927E3" w14:paraId="629969A6" w14:textId="77777777">
            <w:pPr>
              <w:spacing w:after="0" w:line="240" w:lineRule="auto"/>
              <w:ind w:firstLine="399"/>
              <w:jc w:val="both"/>
              <w:rPr>
                <w:rFonts w:ascii="Times New Roman" w:hAnsi="Times New Roman" w:cs="Times New Roman"/>
                <w:sz w:val="26"/>
                <w:szCs w:val="26"/>
              </w:rPr>
            </w:pPr>
            <w:r w:rsidRPr="00924BDF">
              <w:rPr>
                <w:rFonts w:ascii="Times New Roman" w:hAnsi="Times New Roman" w:cs="Times New Roman"/>
                <w:sz w:val="26"/>
                <w:szCs w:val="26"/>
              </w:rPr>
              <w:t xml:space="preserve">Ar Saeimas  2018. gada 7. jūnija sēdē pieņemto lēmumu "Par valsts aizsardzības mācības iekļaušanu valsts vidējās izglītības standartā" ir radīts jauns valsts pārvaldes uzdevums – ar 2024. gadu </w:t>
            </w:r>
            <w:r w:rsidRPr="00924BDF">
              <w:rPr>
                <w:rFonts w:ascii="Times New Roman" w:eastAsia="Times New Roman" w:hAnsi="Times New Roman" w:cs="Times New Roman"/>
                <w:iCs/>
                <w:sz w:val="26"/>
                <w:szCs w:val="26"/>
                <w:lang w:eastAsia="lv-LV"/>
              </w:rPr>
              <w:t xml:space="preserve">vidējās vispārējās izglītības standartā </w:t>
            </w:r>
            <w:r w:rsidRPr="00924BDF">
              <w:rPr>
                <w:rFonts w:ascii="Times New Roman" w:hAnsi="Times New Roman" w:cs="Times New Roman"/>
                <w:sz w:val="26"/>
                <w:szCs w:val="26"/>
              </w:rPr>
              <w:t>un valsts profesionālās izglītības standartā</w:t>
            </w:r>
            <w:r w:rsidRPr="00924BDF">
              <w:rPr>
                <w:rFonts w:ascii="Times New Roman" w:eastAsia="Times New Roman" w:hAnsi="Times New Roman" w:cs="Times New Roman"/>
                <w:iCs/>
                <w:sz w:val="26"/>
                <w:szCs w:val="26"/>
                <w:lang w:eastAsia="lv-LV"/>
              </w:rPr>
              <w:t xml:space="preserve"> kā obligātu mācību priekšmetu ieviest valsts aizsardzības mācību</w:t>
            </w:r>
            <w:r w:rsidRPr="00924BDF">
              <w:rPr>
                <w:rFonts w:ascii="Times New Roman" w:hAnsi="Times New Roman" w:cs="Times New Roman"/>
                <w:sz w:val="26"/>
                <w:szCs w:val="26"/>
              </w:rPr>
              <w:t xml:space="preserve">, kura izpilde ir vērsta uz visaptverošas valsts aizsardzības sistēmas izveidošanu un ir uzskatāms par vienu no uzdevumiem šī mērķa veiksmīgai sasniegšanai. Visaptverošas valsts aizsardzības sistēmas izveidošana sevī ietver darbu pie jauniešu </w:t>
            </w:r>
            <w:r w:rsidRPr="00924BDF">
              <w:rPr>
                <w:rFonts w:ascii="Times New Roman" w:eastAsia="Times New Roman" w:hAnsi="Times New Roman" w:cs="Times New Roman"/>
                <w:iCs/>
                <w:sz w:val="26"/>
                <w:szCs w:val="26"/>
                <w:lang w:eastAsia="lv-LV"/>
              </w:rPr>
              <w:t>pilsoniskās apziņas veidošanas, uzsverot patriotiskās audzināšanas nozīmīgumu jaunās paaudzes izglītošanā, kā arī nepieciešamību attīstīt valsts aizsardzības izpratni un prasmi to realizēt, lai nodrošinātu demokrātiskas un tiesiskas valsts turpmāku pastāvēšanu</w:t>
            </w:r>
            <w:r w:rsidRPr="00924BDF" w:rsidR="00F74531">
              <w:rPr>
                <w:rFonts w:ascii="Times New Roman" w:eastAsia="Times New Roman" w:hAnsi="Times New Roman" w:cs="Times New Roman"/>
                <w:iCs/>
                <w:sz w:val="26"/>
                <w:szCs w:val="26"/>
                <w:lang w:eastAsia="lv-LV"/>
              </w:rPr>
              <w:t xml:space="preserve"> - neatkarību</w:t>
            </w:r>
            <w:r w:rsidRPr="00924BDF">
              <w:rPr>
                <w:rFonts w:ascii="Times New Roman" w:eastAsia="Times New Roman" w:hAnsi="Times New Roman" w:cs="Times New Roman"/>
                <w:iCs/>
                <w:sz w:val="26"/>
                <w:szCs w:val="26"/>
                <w:lang w:eastAsia="lv-LV"/>
              </w:rPr>
              <w:t xml:space="preserve"> un suverenitāti. </w:t>
            </w:r>
            <w:r w:rsidRPr="00924BDF">
              <w:rPr>
                <w:rFonts w:ascii="Times New Roman" w:hAnsi="Times New Roman" w:cs="Times New Roman"/>
                <w:sz w:val="26"/>
                <w:szCs w:val="26"/>
              </w:rPr>
              <w:t xml:space="preserve"> </w:t>
            </w:r>
          </w:p>
          <w:p w:rsidR="007927E3" w:rsidRPr="00924BDF" w:rsidP="007927E3" w14:paraId="3276E8D0" w14:textId="77777777">
            <w:pPr>
              <w:spacing w:after="0" w:line="240" w:lineRule="auto"/>
              <w:ind w:firstLine="399"/>
              <w:jc w:val="both"/>
              <w:rPr>
                <w:rFonts w:ascii="Times New Roman" w:hAnsi="Times New Roman" w:cs="Times New Roman"/>
                <w:sz w:val="26"/>
                <w:szCs w:val="26"/>
              </w:rPr>
            </w:pPr>
            <w:r w:rsidRPr="00924BDF">
              <w:rPr>
                <w:rFonts w:ascii="Times New Roman" w:hAnsi="Times New Roman" w:cs="Times New Roman"/>
                <w:sz w:val="26"/>
                <w:szCs w:val="26"/>
              </w:rPr>
              <w:t>Līdz šim Jaunsardzes un informācijas centrs ir realizējis interešu izglītības programmu, proti, nodrošinājis kustības “Jaunsardze” darbību, kas pēc savas būtības ir uzskatāma par valsts aizsardzības mācības pirmsākumu. Normatīvo aktu prasības interešu izglītības realizēšanai neuzlika par pienākumu personām, kas to veic, iegūt pedagoga kvalifikāciju.  Savukārt, vispārējās vidējās izglītības skolotājiem ir izvirzītas augstākas prasības nekā interešu izglītības skolotājiem. Ministru kabineta 2014. gada 28. oktobra noteikumi Nr. 662 ˝Noteikumi par pedagogiem nepieciešamo izglītību un profesionālo kvalifikāciju un pedagogu profesionālās kompetences pilnveides kārtību˝</w:t>
            </w:r>
            <w:r w:rsidRPr="00924BDF">
              <w:rPr>
                <w:rFonts w:ascii="Times New Roman" w:eastAsia="Times New Roman" w:hAnsi="Times New Roman" w:cs="Times New Roman"/>
                <w:iCs/>
                <w:sz w:val="26"/>
                <w:szCs w:val="26"/>
                <w:lang w:eastAsia="lv-LV"/>
              </w:rPr>
              <w:t xml:space="preserve"> nosaka, ka </w:t>
            </w:r>
            <w:r w:rsidRPr="00924BDF">
              <w:rPr>
                <w:rFonts w:ascii="Times New Roman" w:hAnsi="Times New Roman" w:cs="Times New Roman"/>
                <w:sz w:val="26"/>
                <w:szCs w:val="26"/>
              </w:rPr>
              <w:t>vispārējās vidējās izglītības skolotājam</w:t>
            </w:r>
            <w:r w:rsidRPr="00924BDF">
              <w:rPr>
                <w:rFonts w:ascii="Times New Roman" w:eastAsia="Times New Roman" w:hAnsi="Times New Roman" w:cs="Times New Roman"/>
                <w:iCs/>
                <w:sz w:val="26"/>
                <w:szCs w:val="26"/>
                <w:lang w:eastAsia="lv-LV"/>
              </w:rPr>
              <w:t xml:space="preserve"> nepieciešama augstākā izglītība pedagoģijā un skolotāja kvalifikācija atbilstoši mācāmajam priekšmetam vai augstākā izglītība mācību priekšmetam atbilstošā nozarē un  noteikta papildu apmācība pedagoģijā</w:t>
            </w:r>
            <w:r>
              <w:rPr>
                <w:rStyle w:val="FootnoteReference"/>
                <w:rFonts w:ascii="Times New Roman" w:eastAsia="Times New Roman" w:hAnsi="Times New Roman" w:cs="Times New Roman"/>
                <w:iCs/>
                <w:sz w:val="26"/>
                <w:szCs w:val="26"/>
                <w:lang w:eastAsia="lv-LV"/>
              </w:rPr>
              <w:footnoteReference w:id="2"/>
            </w:r>
            <w:r w:rsidRPr="00924BDF">
              <w:rPr>
                <w:rFonts w:ascii="Times New Roman" w:eastAsia="Times New Roman" w:hAnsi="Times New Roman" w:cs="Times New Roman"/>
                <w:iCs/>
                <w:sz w:val="26"/>
                <w:szCs w:val="26"/>
                <w:lang w:eastAsia="lv-LV"/>
              </w:rPr>
              <w:t>.</w:t>
            </w:r>
            <w:r w:rsidRPr="00924BDF">
              <w:rPr>
                <w:rFonts w:ascii="Times New Roman" w:hAnsi="Times New Roman" w:cs="Times New Roman"/>
                <w:sz w:val="26"/>
                <w:szCs w:val="26"/>
              </w:rPr>
              <w:t xml:space="preserve"> </w:t>
            </w:r>
          </w:p>
          <w:p w:rsidR="007927E3" w:rsidRPr="00924BDF" w:rsidP="007927E3" w14:paraId="16CE2F6F" w14:textId="789E0A67">
            <w:pPr>
              <w:spacing w:after="0" w:line="240" w:lineRule="auto"/>
              <w:ind w:firstLine="399"/>
              <w:jc w:val="both"/>
              <w:rPr>
                <w:rFonts w:ascii="Times New Roman" w:hAnsi="Times New Roman" w:cs="Times New Roman"/>
                <w:sz w:val="26"/>
                <w:szCs w:val="26"/>
              </w:rPr>
            </w:pPr>
            <w:r w:rsidRPr="00924BDF">
              <w:rPr>
                <w:rFonts w:ascii="Times New Roman" w:hAnsi="Times New Roman" w:cs="Times New Roman"/>
                <w:sz w:val="26"/>
                <w:szCs w:val="26"/>
              </w:rPr>
              <w:t xml:space="preserve">Atsaucoties uz </w:t>
            </w:r>
            <w:r w:rsidRPr="00924BDF">
              <w:rPr>
                <w:rFonts w:ascii="Times New Roman" w:eastAsia="Times New Roman" w:hAnsi="Times New Roman" w:cs="Times New Roman"/>
                <w:iCs/>
                <w:sz w:val="26"/>
                <w:szCs w:val="26"/>
                <w:lang w:eastAsia="lv-LV"/>
              </w:rPr>
              <w:t>Saeimas 2018. gada 7. jūnija sēdē pieņemto lēmumu ˝Par valsts aizsardzības mācības iekļaušanu valsts vidējās izglītības standartā˝</w:t>
            </w:r>
            <w:r w:rsidRPr="00924BDF">
              <w:rPr>
                <w:rFonts w:ascii="Times New Roman" w:hAnsi="Times New Roman" w:cs="Times New Roman"/>
                <w:sz w:val="26"/>
                <w:szCs w:val="26"/>
              </w:rPr>
              <w:t xml:space="preserve">, valsts aizsardzības mācības pasniegšana pilotprojekta veidā, ir </w:t>
            </w:r>
            <w:r w:rsidRPr="00924BDF">
              <w:rPr>
                <w:rFonts w:ascii="Times New Roman" w:hAnsi="Times New Roman" w:cs="Times New Roman"/>
                <w:sz w:val="26"/>
                <w:szCs w:val="26"/>
              </w:rPr>
              <w:t>paredzēta jau šajā mācību gadā, kas tiks nodrošināta ar Jaunsardzes un informācijas centra personāla resursiem, kuru kvalifikācija ir atbilstoša jau šodien.</w:t>
            </w:r>
          </w:p>
          <w:p w:rsidR="007927E3" w:rsidRPr="00924BDF" w:rsidP="007927E3" w14:paraId="7EFE6DD1" w14:textId="0218C3E6">
            <w:pPr>
              <w:spacing w:after="0" w:line="240" w:lineRule="auto"/>
              <w:ind w:firstLine="399"/>
              <w:jc w:val="both"/>
              <w:rPr>
                <w:rFonts w:ascii="Times New Roman" w:hAnsi="Times New Roman" w:cs="Times New Roman"/>
                <w:sz w:val="26"/>
                <w:szCs w:val="26"/>
              </w:rPr>
            </w:pPr>
            <w:r w:rsidRPr="00924BDF">
              <w:rPr>
                <w:rFonts w:ascii="Times New Roman" w:hAnsi="Times New Roman" w:cs="Times New Roman"/>
                <w:sz w:val="26"/>
                <w:szCs w:val="26"/>
              </w:rPr>
              <w:t xml:space="preserve">Lai nodrošinātu jaunā valsts pārvaldes uzdevuma </w:t>
            </w:r>
            <w:r w:rsidR="009643C3">
              <w:rPr>
                <w:rFonts w:ascii="Times New Roman" w:hAnsi="Times New Roman" w:cs="Times New Roman"/>
                <w:sz w:val="26"/>
                <w:szCs w:val="26"/>
              </w:rPr>
              <w:t xml:space="preserve">pakāpenisku ieviešanu un </w:t>
            </w:r>
            <w:r w:rsidRPr="00924BDF">
              <w:rPr>
                <w:rFonts w:ascii="Times New Roman" w:hAnsi="Times New Roman" w:cs="Times New Roman"/>
                <w:sz w:val="26"/>
                <w:szCs w:val="26"/>
              </w:rPr>
              <w:t>pilnvērtīgu realizāciju 2024. gadā, kad šis mācību priekšmets tiks iekļauts vispārējās vidējās izglītības standartā un valsts profesionālās izglītības standartā kā obligāts mācību priekšmets, nepieciešama aktīva darbība no valsts (izpildvaras) puses, lai nodrošinātu pietiekamu un kvalificētu pedagogu esamību Jaunsardzes un informācijas centrā.</w:t>
            </w:r>
          </w:p>
          <w:p w:rsidR="007927E3" w:rsidRPr="00924BDF" w:rsidP="007927E3" w14:paraId="01C7E97C" w14:textId="2E1F7D32">
            <w:pPr>
              <w:spacing w:after="0" w:line="240" w:lineRule="auto"/>
              <w:ind w:firstLine="399"/>
              <w:jc w:val="both"/>
              <w:rPr>
                <w:rFonts w:ascii="Times New Roman" w:hAnsi="Times New Roman" w:cs="Times New Roman"/>
                <w:sz w:val="26"/>
                <w:szCs w:val="26"/>
              </w:rPr>
            </w:pPr>
            <w:r w:rsidRPr="00924BDF">
              <w:rPr>
                <w:rFonts w:ascii="Times New Roman" w:hAnsi="Times New Roman" w:cs="Times New Roman"/>
                <w:sz w:val="26"/>
                <w:szCs w:val="26"/>
              </w:rPr>
              <w:t xml:space="preserve">Atbilstošas kvalifikācijas studijas aizņem </w:t>
            </w:r>
            <w:r w:rsidR="009643C3">
              <w:rPr>
                <w:rFonts w:ascii="Times New Roman" w:hAnsi="Times New Roman" w:cs="Times New Roman"/>
                <w:sz w:val="26"/>
                <w:szCs w:val="26"/>
              </w:rPr>
              <w:t xml:space="preserve">9 semestrus, tādēļ </w:t>
            </w:r>
            <w:r w:rsidRPr="00924BDF" w:rsidR="00F74531">
              <w:rPr>
                <w:rFonts w:ascii="Times New Roman" w:hAnsi="Times New Roman" w:cs="Times New Roman"/>
                <w:sz w:val="26"/>
                <w:szCs w:val="26"/>
              </w:rPr>
              <w:t xml:space="preserve">Jaunsardzes un informācijas centra </w:t>
            </w:r>
            <w:r w:rsidRPr="00924BDF">
              <w:rPr>
                <w:rFonts w:ascii="Times New Roman" w:hAnsi="Times New Roman" w:cs="Times New Roman"/>
                <w:sz w:val="26"/>
                <w:szCs w:val="26"/>
              </w:rPr>
              <w:t xml:space="preserve">personāla apmācību ir nepieciešams </w:t>
            </w:r>
            <w:r w:rsidR="009643C3">
              <w:rPr>
                <w:rFonts w:ascii="Times New Roman" w:hAnsi="Times New Roman" w:cs="Times New Roman"/>
                <w:sz w:val="26"/>
                <w:szCs w:val="26"/>
              </w:rPr>
              <w:t>uzsākt</w:t>
            </w:r>
            <w:r w:rsidRPr="00924BDF">
              <w:rPr>
                <w:rFonts w:ascii="Times New Roman" w:hAnsi="Times New Roman" w:cs="Times New Roman"/>
                <w:sz w:val="26"/>
                <w:szCs w:val="26"/>
              </w:rPr>
              <w:t xml:space="preserve"> nekavējoties.</w:t>
            </w:r>
          </w:p>
          <w:p w:rsidR="004139EB" w:rsidRPr="00924BDF" w:rsidP="00760340" w14:paraId="6D54E594"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Latvijas </w:t>
            </w:r>
            <w:r w:rsidRPr="00924BDF" w:rsidR="00F74531">
              <w:rPr>
                <w:rFonts w:ascii="Times New Roman" w:hAnsi="Times New Roman" w:cs="Times New Roman"/>
                <w:sz w:val="26"/>
                <w:szCs w:val="26"/>
              </w:rPr>
              <w:t xml:space="preserve">valsts neatkarības un suverenitātes nodrošināšana ir atkarīga no valsts aizsardzības sistēmas pilnvērtīgas darbības, kas tiks nodrošināta ar visaptverošas valsts aizsardzības sistēmas izveidošanu - ietverot valsts aizsardzības mācības iekļaušanu vispārējās vidējās izglītības standartā un valsts profesionālās izglītības standartā kā obligātu mācību priekšmetu. </w:t>
            </w:r>
            <w:r w:rsidRPr="00924BDF">
              <w:rPr>
                <w:rFonts w:ascii="Times New Roman" w:hAnsi="Times New Roman" w:cs="Times New Roman"/>
                <w:sz w:val="26"/>
                <w:szCs w:val="26"/>
              </w:rPr>
              <w:t xml:space="preserve"> </w:t>
            </w:r>
            <w:r w:rsidRPr="00924BDF" w:rsidR="00E85615">
              <w:rPr>
                <w:rFonts w:ascii="Times New Roman" w:hAnsi="Times New Roman" w:cs="Times New Roman"/>
                <w:sz w:val="26"/>
                <w:szCs w:val="26"/>
              </w:rPr>
              <w:t xml:space="preserve">Valsts aizsardzības mācību ir uzticēts </w:t>
            </w:r>
            <w:r w:rsidRPr="00924BDF" w:rsidR="00994BB5">
              <w:rPr>
                <w:rFonts w:ascii="Times New Roman" w:hAnsi="Times New Roman" w:cs="Times New Roman"/>
                <w:sz w:val="26"/>
                <w:szCs w:val="26"/>
              </w:rPr>
              <w:t>pasniegt</w:t>
            </w:r>
            <w:r w:rsidRPr="00924BDF" w:rsidR="00E85615">
              <w:rPr>
                <w:rFonts w:ascii="Times New Roman" w:hAnsi="Times New Roman" w:cs="Times New Roman"/>
                <w:sz w:val="26"/>
                <w:szCs w:val="26"/>
              </w:rPr>
              <w:t xml:space="preserve"> Jaunsardzes un informācijas centra personālam</w:t>
            </w:r>
            <w:r w:rsidRPr="00924BDF" w:rsidR="00DE0371">
              <w:rPr>
                <w:rFonts w:ascii="Times New Roman" w:hAnsi="Times New Roman" w:cs="Times New Roman"/>
                <w:sz w:val="26"/>
                <w:szCs w:val="26"/>
              </w:rPr>
              <w:t xml:space="preserve"> - </w:t>
            </w:r>
            <w:r w:rsidRPr="00924BDF" w:rsidR="00994BB5">
              <w:rPr>
                <w:rFonts w:ascii="Times New Roman" w:eastAsia="Times New Roman" w:hAnsi="Times New Roman" w:cs="Times New Roman"/>
                <w:iCs/>
                <w:sz w:val="26"/>
                <w:szCs w:val="26"/>
                <w:lang w:eastAsia="lv-LV"/>
              </w:rPr>
              <w:t>kur</w:t>
            </w:r>
            <w:r w:rsidRPr="00924BDF" w:rsidR="00743645">
              <w:rPr>
                <w:rFonts w:ascii="Times New Roman" w:eastAsia="Times New Roman" w:hAnsi="Times New Roman" w:cs="Times New Roman"/>
                <w:iCs/>
                <w:sz w:val="26"/>
                <w:szCs w:val="26"/>
                <w:lang w:eastAsia="lv-LV"/>
              </w:rPr>
              <w:t>a</w:t>
            </w:r>
            <w:r w:rsidRPr="00924BDF" w:rsidR="00994BB5">
              <w:rPr>
                <w:rFonts w:ascii="Times New Roman" w:eastAsia="Times New Roman" w:hAnsi="Times New Roman" w:cs="Times New Roman"/>
                <w:iCs/>
                <w:sz w:val="26"/>
                <w:szCs w:val="26"/>
                <w:lang w:eastAsia="lv-LV"/>
              </w:rPr>
              <w:t xml:space="preserve"> līdzšinējā pieredze darbā ar bērniem un jauniešiem interešu izglītībā, kā arī tas, ka viņi lielākoties jau ir ieguvuši nepieciešamo militāro sagatavotību, lai nodrošinātu kvalitatīvu ar valsts aizsardzību saistīto jautājumu apmācību. Šādu iemeslu dēļ ir nepieciešams nodrošināt jaunsargu instruktoriem pretimnākošu risinājumu augstākās pedagoģiskās izglītības iegūšanai, jo šis personāls ir visatbilstošākais šī uzdevuma realizācijai. </w:t>
            </w:r>
            <w:r w:rsidRPr="00924BDF" w:rsidR="00F74531">
              <w:rPr>
                <w:rFonts w:ascii="Times New Roman" w:hAnsi="Times New Roman" w:cs="Times New Roman"/>
                <w:sz w:val="26"/>
                <w:szCs w:val="26"/>
              </w:rPr>
              <w:t xml:space="preserve">Valsts aizsardzības mācības realizēšana </w:t>
            </w:r>
            <w:r w:rsidRPr="00924BDF">
              <w:rPr>
                <w:rFonts w:ascii="Times New Roman" w:hAnsi="Times New Roman" w:cs="Times New Roman"/>
                <w:sz w:val="26"/>
                <w:szCs w:val="26"/>
              </w:rPr>
              <w:t>20</w:t>
            </w:r>
            <w:r w:rsidRPr="00924BDF" w:rsidR="00F74531">
              <w:rPr>
                <w:rFonts w:ascii="Times New Roman" w:hAnsi="Times New Roman" w:cs="Times New Roman"/>
                <w:sz w:val="26"/>
                <w:szCs w:val="26"/>
              </w:rPr>
              <w:t>24</w:t>
            </w:r>
            <w:r w:rsidRPr="00924BDF">
              <w:rPr>
                <w:rFonts w:ascii="Times New Roman" w:hAnsi="Times New Roman" w:cs="Times New Roman"/>
                <w:sz w:val="26"/>
                <w:szCs w:val="26"/>
              </w:rPr>
              <w:t>.</w:t>
            </w:r>
            <w:r w:rsidRPr="00924BDF" w:rsidR="00F74531">
              <w:rPr>
                <w:rFonts w:ascii="Times New Roman" w:hAnsi="Times New Roman" w:cs="Times New Roman"/>
                <w:sz w:val="26"/>
                <w:szCs w:val="26"/>
              </w:rPr>
              <w:t> </w:t>
            </w:r>
            <w:r w:rsidRPr="00924BDF">
              <w:rPr>
                <w:rFonts w:ascii="Times New Roman" w:hAnsi="Times New Roman" w:cs="Times New Roman"/>
                <w:sz w:val="26"/>
                <w:szCs w:val="26"/>
              </w:rPr>
              <w:t xml:space="preserve">gadā </w:t>
            </w:r>
            <w:r w:rsidRPr="00924BDF" w:rsidR="00F74531">
              <w:rPr>
                <w:rFonts w:ascii="Times New Roman" w:hAnsi="Times New Roman" w:cs="Times New Roman"/>
                <w:sz w:val="26"/>
                <w:szCs w:val="26"/>
              </w:rPr>
              <w:t>ir tieši</w:t>
            </w:r>
            <w:r w:rsidRPr="00924BDF">
              <w:rPr>
                <w:rFonts w:ascii="Times New Roman" w:hAnsi="Times New Roman" w:cs="Times New Roman"/>
                <w:sz w:val="26"/>
                <w:szCs w:val="26"/>
              </w:rPr>
              <w:t xml:space="preserve"> atkarīg</w:t>
            </w:r>
            <w:r w:rsidRPr="00924BDF" w:rsidR="00F74531">
              <w:rPr>
                <w:rFonts w:ascii="Times New Roman" w:hAnsi="Times New Roman" w:cs="Times New Roman"/>
                <w:sz w:val="26"/>
                <w:szCs w:val="26"/>
              </w:rPr>
              <w:t>a</w:t>
            </w:r>
            <w:r w:rsidRPr="00924BDF">
              <w:rPr>
                <w:rFonts w:ascii="Times New Roman" w:hAnsi="Times New Roman" w:cs="Times New Roman"/>
                <w:sz w:val="26"/>
                <w:szCs w:val="26"/>
              </w:rPr>
              <w:t xml:space="preserve"> no </w:t>
            </w:r>
            <w:r w:rsidRPr="00924BDF" w:rsidR="00F74531">
              <w:rPr>
                <w:rFonts w:ascii="Times New Roman" w:hAnsi="Times New Roman" w:cs="Times New Roman"/>
                <w:sz w:val="26"/>
                <w:szCs w:val="26"/>
              </w:rPr>
              <w:t>Jaunsardzes un informācijas centra personāla – jaunsargu instruktoru</w:t>
            </w:r>
            <w:r w:rsidRPr="00924BDF">
              <w:rPr>
                <w:rFonts w:ascii="Times New Roman" w:hAnsi="Times New Roman" w:cs="Times New Roman"/>
                <w:sz w:val="26"/>
                <w:szCs w:val="26"/>
              </w:rPr>
              <w:t xml:space="preserve"> profesionalitātes un sagatavotības līmeņa</w:t>
            </w:r>
            <w:r w:rsidRPr="00924BDF" w:rsidR="00F74531">
              <w:rPr>
                <w:rFonts w:ascii="Times New Roman" w:hAnsi="Times New Roman" w:cs="Times New Roman"/>
                <w:sz w:val="26"/>
                <w:szCs w:val="26"/>
              </w:rPr>
              <w:t>, proti, no tā, vai viņiem uz 2024./2025. mācību gadu būs nepieciešamā profesionālā kvalifikācija</w:t>
            </w:r>
            <w:r w:rsidRPr="00924BDF">
              <w:rPr>
                <w:rFonts w:ascii="Times New Roman" w:hAnsi="Times New Roman" w:cs="Times New Roman"/>
                <w:sz w:val="26"/>
                <w:szCs w:val="26"/>
              </w:rPr>
              <w:t xml:space="preserve">. </w:t>
            </w:r>
            <w:r w:rsidRPr="00924BDF" w:rsidR="00F74531">
              <w:rPr>
                <w:rFonts w:ascii="Times New Roman" w:eastAsia="Times New Roman" w:hAnsi="Times New Roman" w:cs="Times New Roman"/>
                <w:iCs/>
                <w:sz w:val="26"/>
                <w:szCs w:val="26"/>
                <w:lang w:eastAsia="lv-LV"/>
              </w:rPr>
              <w:t xml:space="preserve">Atbilstošas augstākās izglītības šobrīd nav aptuveni pusei </w:t>
            </w:r>
            <w:r w:rsidRPr="00924BDF" w:rsidR="00CD1F16">
              <w:rPr>
                <w:rFonts w:ascii="Times New Roman" w:eastAsia="Times New Roman" w:hAnsi="Times New Roman" w:cs="Times New Roman"/>
                <w:iCs/>
                <w:sz w:val="26"/>
                <w:szCs w:val="26"/>
                <w:lang w:eastAsia="lv-LV"/>
              </w:rPr>
              <w:t xml:space="preserve">Jaunsardzes un informācijas centrā </w:t>
            </w:r>
            <w:r w:rsidRPr="00924BDF" w:rsidR="00F74531">
              <w:rPr>
                <w:rFonts w:ascii="Times New Roman" w:eastAsia="Times New Roman" w:hAnsi="Times New Roman" w:cs="Times New Roman"/>
                <w:iCs/>
                <w:sz w:val="26"/>
                <w:szCs w:val="26"/>
                <w:lang w:eastAsia="lv-LV"/>
              </w:rPr>
              <w:t xml:space="preserve">esošo jaunsargu instruktoru, kas </w:t>
            </w:r>
            <w:r w:rsidRPr="00924BDF" w:rsidR="00CD1F16">
              <w:rPr>
                <w:rFonts w:ascii="Times New Roman" w:eastAsia="Times New Roman" w:hAnsi="Times New Roman" w:cs="Times New Roman"/>
                <w:iCs/>
                <w:sz w:val="26"/>
                <w:szCs w:val="26"/>
                <w:lang w:eastAsia="lv-LV"/>
              </w:rPr>
              <w:t xml:space="preserve">norāda uz to, </w:t>
            </w:r>
            <w:r w:rsidRPr="00924BDF" w:rsidR="00387C39">
              <w:rPr>
                <w:rFonts w:ascii="Times New Roman" w:eastAsia="Times New Roman" w:hAnsi="Times New Roman" w:cs="Times New Roman"/>
                <w:iCs/>
                <w:sz w:val="26"/>
                <w:szCs w:val="26"/>
                <w:lang w:eastAsia="lv-LV"/>
              </w:rPr>
              <w:t>ka valsts aizsardzības mācības ieviešana obligāta mācību priekšmeta statusā ir apdraudēt</w:t>
            </w:r>
            <w:r w:rsidRPr="00924BDF" w:rsidR="00994BB5">
              <w:rPr>
                <w:rFonts w:ascii="Times New Roman" w:eastAsia="Times New Roman" w:hAnsi="Times New Roman" w:cs="Times New Roman"/>
                <w:iCs/>
                <w:sz w:val="26"/>
                <w:szCs w:val="26"/>
                <w:lang w:eastAsia="lv-LV"/>
              </w:rPr>
              <w:t>a</w:t>
            </w:r>
            <w:r w:rsidRPr="00924BDF" w:rsidR="00387C39">
              <w:rPr>
                <w:rFonts w:ascii="Times New Roman" w:eastAsia="Times New Roman" w:hAnsi="Times New Roman" w:cs="Times New Roman"/>
                <w:iCs/>
                <w:sz w:val="26"/>
                <w:szCs w:val="26"/>
                <w:lang w:eastAsia="lv-LV"/>
              </w:rPr>
              <w:t>.</w:t>
            </w:r>
            <w:r w:rsidRPr="00924BDF" w:rsidR="00F74531">
              <w:rPr>
                <w:rFonts w:ascii="Times New Roman" w:hAnsi="Times New Roman" w:cs="Times New Roman"/>
                <w:sz w:val="26"/>
                <w:szCs w:val="26"/>
              </w:rPr>
              <w:t xml:space="preserve"> </w:t>
            </w:r>
            <w:r w:rsidRPr="00924BDF">
              <w:rPr>
                <w:rFonts w:ascii="Times New Roman" w:hAnsi="Times New Roman" w:cs="Times New Roman"/>
                <w:sz w:val="26"/>
                <w:szCs w:val="26"/>
              </w:rPr>
              <w:t xml:space="preserve">Lai </w:t>
            </w:r>
            <w:r w:rsidRPr="00924BDF" w:rsidR="00387C39">
              <w:rPr>
                <w:rFonts w:ascii="Times New Roman" w:hAnsi="Times New Roman" w:cs="Times New Roman"/>
                <w:sz w:val="26"/>
                <w:szCs w:val="26"/>
              </w:rPr>
              <w:t>nodrošinātu</w:t>
            </w:r>
            <w:r w:rsidRPr="00924BDF">
              <w:rPr>
                <w:rFonts w:ascii="Times New Roman" w:hAnsi="Times New Roman" w:cs="Times New Roman"/>
                <w:sz w:val="26"/>
                <w:szCs w:val="26"/>
              </w:rPr>
              <w:t xml:space="preserve"> kv</w:t>
            </w:r>
            <w:r w:rsidRPr="00924BDF" w:rsidR="00387C39">
              <w:rPr>
                <w:rFonts w:ascii="Times New Roman" w:hAnsi="Times New Roman" w:cs="Times New Roman"/>
                <w:sz w:val="26"/>
                <w:szCs w:val="26"/>
              </w:rPr>
              <w:t>alificētu speciālistu</w:t>
            </w:r>
            <w:r w:rsidRPr="00924BDF">
              <w:rPr>
                <w:rFonts w:ascii="Times New Roman" w:hAnsi="Times New Roman" w:cs="Times New Roman"/>
                <w:sz w:val="26"/>
                <w:szCs w:val="26"/>
              </w:rPr>
              <w:t xml:space="preserve"> </w:t>
            </w:r>
            <w:r w:rsidRPr="00924BDF" w:rsidR="00387C39">
              <w:rPr>
                <w:rFonts w:ascii="Times New Roman" w:hAnsi="Times New Roman" w:cs="Times New Roman"/>
                <w:sz w:val="26"/>
                <w:szCs w:val="26"/>
              </w:rPr>
              <w:t xml:space="preserve">esamību Jaunsardzes un informācijas centrā </w:t>
            </w:r>
            <w:r w:rsidRPr="00924BDF">
              <w:rPr>
                <w:rFonts w:ascii="Times New Roman" w:hAnsi="Times New Roman" w:cs="Times New Roman"/>
                <w:sz w:val="26"/>
                <w:szCs w:val="26"/>
              </w:rPr>
              <w:t xml:space="preserve">darbam </w:t>
            </w:r>
            <w:r w:rsidRPr="00924BDF" w:rsidR="00387C39">
              <w:rPr>
                <w:rFonts w:ascii="Times New Roman" w:hAnsi="Times New Roman" w:cs="Times New Roman"/>
                <w:sz w:val="26"/>
                <w:szCs w:val="26"/>
              </w:rPr>
              <w:t>ar valsts aizsardzības mācības realizāciju</w:t>
            </w:r>
            <w:r w:rsidRPr="00924BDF">
              <w:rPr>
                <w:rFonts w:ascii="Times New Roman" w:hAnsi="Times New Roman" w:cs="Times New Roman"/>
                <w:sz w:val="26"/>
                <w:szCs w:val="26"/>
              </w:rPr>
              <w:t xml:space="preserve"> </w:t>
            </w:r>
            <w:r w:rsidRPr="00924BDF" w:rsidR="00387C39">
              <w:rPr>
                <w:rFonts w:ascii="Times New Roman" w:eastAsia="Times New Roman" w:hAnsi="Times New Roman" w:cs="Times New Roman"/>
                <w:iCs/>
                <w:sz w:val="26"/>
                <w:szCs w:val="26"/>
                <w:lang w:eastAsia="lv-LV"/>
              </w:rPr>
              <w:t>vidējās vispārējās izglītības</w:t>
            </w:r>
            <w:r w:rsidRPr="00924BDF" w:rsidR="00743645">
              <w:rPr>
                <w:rFonts w:ascii="Times New Roman" w:eastAsia="Times New Roman" w:hAnsi="Times New Roman" w:cs="Times New Roman"/>
                <w:iCs/>
                <w:sz w:val="26"/>
                <w:szCs w:val="26"/>
                <w:lang w:eastAsia="lv-LV"/>
              </w:rPr>
              <w:t xml:space="preserve"> un</w:t>
            </w:r>
            <w:r w:rsidRPr="00924BDF" w:rsidR="00387C39">
              <w:rPr>
                <w:rFonts w:ascii="Times New Roman" w:eastAsia="Times New Roman" w:hAnsi="Times New Roman" w:cs="Times New Roman"/>
                <w:iCs/>
                <w:sz w:val="26"/>
                <w:szCs w:val="26"/>
                <w:lang w:eastAsia="lv-LV"/>
              </w:rPr>
              <w:t xml:space="preserve"> </w:t>
            </w:r>
            <w:r w:rsidRPr="00924BDF" w:rsidR="00387C39">
              <w:rPr>
                <w:rFonts w:ascii="Times New Roman" w:hAnsi="Times New Roman" w:cs="Times New Roman"/>
                <w:sz w:val="26"/>
                <w:szCs w:val="26"/>
              </w:rPr>
              <w:t xml:space="preserve">profesionālās izglītības iestādēs visā Latvijas Republikas teritorijā, nepieciešams </w:t>
            </w:r>
            <w:r w:rsidRPr="00924BDF">
              <w:rPr>
                <w:rFonts w:ascii="Times New Roman" w:hAnsi="Times New Roman" w:cs="Times New Roman"/>
                <w:sz w:val="26"/>
                <w:szCs w:val="26"/>
              </w:rPr>
              <w:t xml:space="preserve">kā </w:t>
            </w:r>
            <w:r w:rsidRPr="00924BDF" w:rsidR="00994BB5">
              <w:rPr>
                <w:rFonts w:ascii="Times New Roman" w:hAnsi="Times New Roman" w:cs="Times New Roman"/>
                <w:sz w:val="26"/>
                <w:szCs w:val="26"/>
              </w:rPr>
              <w:t>risinājumu</w:t>
            </w:r>
            <w:r w:rsidRPr="00924BDF">
              <w:rPr>
                <w:rFonts w:ascii="Times New Roman" w:hAnsi="Times New Roman" w:cs="Times New Roman"/>
                <w:sz w:val="26"/>
                <w:szCs w:val="26"/>
              </w:rPr>
              <w:t xml:space="preserve"> noteikt </w:t>
            </w:r>
            <w:r w:rsidRPr="00924BDF" w:rsidR="00994BB5">
              <w:rPr>
                <w:rFonts w:ascii="Times New Roman" w:hAnsi="Times New Roman" w:cs="Times New Roman"/>
                <w:sz w:val="26"/>
                <w:szCs w:val="26"/>
              </w:rPr>
              <w:t xml:space="preserve">vieglāk pieejamu no valsts budžeta līdzekļiem kompensētu augstākās izglītības </w:t>
            </w:r>
            <w:r w:rsidRPr="00924BDF" w:rsidR="00743645">
              <w:rPr>
                <w:rFonts w:ascii="Times New Roman" w:hAnsi="Times New Roman" w:cs="Times New Roman"/>
                <w:sz w:val="26"/>
                <w:szCs w:val="26"/>
              </w:rPr>
              <w:t>ie</w:t>
            </w:r>
            <w:r w:rsidRPr="00924BDF" w:rsidR="00994BB5">
              <w:rPr>
                <w:rFonts w:ascii="Times New Roman" w:hAnsi="Times New Roman" w:cs="Times New Roman"/>
                <w:sz w:val="26"/>
                <w:szCs w:val="26"/>
              </w:rPr>
              <w:t>guvi</w:t>
            </w:r>
            <w:r w:rsidRPr="00924BDF" w:rsidR="00743645">
              <w:rPr>
                <w:rFonts w:ascii="Times New Roman" w:hAnsi="Times New Roman" w:cs="Times New Roman"/>
                <w:sz w:val="26"/>
                <w:szCs w:val="26"/>
              </w:rPr>
              <w:t>, proti, padarīt to pieejamāku nekā spēkā esošais regulējums to paredz šobrīd.</w:t>
            </w:r>
            <w:r w:rsidRPr="00924BDF">
              <w:rPr>
                <w:rFonts w:ascii="Times New Roman" w:hAnsi="Times New Roman" w:cs="Times New Roman"/>
                <w:sz w:val="26"/>
                <w:szCs w:val="26"/>
              </w:rPr>
              <w:t xml:space="preserve"> </w:t>
            </w:r>
          </w:p>
          <w:p w:rsidR="004629BB" w:rsidRPr="00924BDF" w:rsidP="00760340" w14:paraId="6CF84D0F"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Ņemot vērā to, ka Jaunsardzes un informācijas centrā jaunsargu instruktoru amata pienākumus pilda gan darbinieki, kas tiek nodarbināti uz darba tiesisko attiecību pamata, gan karavīri, kuri pilda amata pienākumus kā uz civilu valsts pārvaldes iestādi pārvietoti karavīri – saglabājot karavīru statusu, spēkā esošais regulējums jāaplūko gan darbinieku, gan karavīru </w:t>
            </w:r>
            <w:r w:rsidRPr="00924BDF" w:rsidR="001A599A">
              <w:rPr>
                <w:rFonts w:ascii="Times New Roman" w:hAnsi="Times New Roman" w:cs="Times New Roman"/>
                <w:sz w:val="26"/>
                <w:szCs w:val="26"/>
              </w:rPr>
              <w:t xml:space="preserve">tiesību </w:t>
            </w:r>
            <w:r w:rsidRPr="00924BDF">
              <w:rPr>
                <w:rFonts w:ascii="Times New Roman" w:hAnsi="Times New Roman" w:cs="Times New Roman"/>
                <w:sz w:val="26"/>
                <w:szCs w:val="26"/>
              </w:rPr>
              <w:t>kontekstā.</w:t>
            </w:r>
          </w:p>
          <w:p w:rsidR="003915A9" w:rsidRPr="00924BDF" w:rsidP="00760340" w14:paraId="0CB137C1" w14:textId="77777777">
            <w:pPr>
              <w:spacing w:after="0" w:line="240" w:lineRule="auto"/>
              <w:ind w:firstLine="345"/>
              <w:jc w:val="both"/>
              <w:rPr>
                <w:rFonts w:ascii="Times New Roman" w:eastAsia="Times New Roman" w:hAnsi="Times New Roman" w:cs="Times New Roman"/>
                <w:iCs/>
                <w:color w:val="FF0000"/>
                <w:sz w:val="26"/>
                <w:szCs w:val="26"/>
                <w:lang w:eastAsia="lv-LV"/>
              </w:rPr>
            </w:pPr>
            <w:r w:rsidRPr="00924BDF">
              <w:rPr>
                <w:rFonts w:ascii="Times New Roman" w:eastAsia="Times New Roman" w:hAnsi="Times New Roman" w:cs="Times New Roman"/>
                <w:iCs/>
                <w:sz w:val="26"/>
                <w:szCs w:val="26"/>
                <w:lang w:eastAsia="lv-LV"/>
              </w:rPr>
              <w:t>Šobrīd V</w:t>
            </w:r>
            <w:r w:rsidRPr="00924BDF" w:rsidR="003D0FEC">
              <w:rPr>
                <w:rFonts w:ascii="Times New Roman" w:eastAsia="Times New Roman" w:hAnsi="Times New Roman" w:cs="Times New Roman"/>
                <w:iCs/>
                <w:sz w:val="26"/>
                <w:szCs w:val="26"/>
                <w:lang w:eastAsia="lv-LV"/>
              </w:rPr>
              <w:t xml:space="preserve">alsts un </w:t>
            </w:r>
            <w:r w:rsidRPr="00924BDF" w:rsidR="00003FEB">
              <w:rPr>
                <w:rFonts w:ascii="Times New Roman" w:eastAsia="Times New Roman" w:hAnsi="Times New Roman" w:cs="Times New Roman"/>
                <w:iCs/>
                <w:sz w:val="26"/>
                <w:szCs w:val="26"/>
                <w:lang w:eastAsia="lv-LV"/>
              </w:rPr>
              <w:t>pašvaldību</w:t>
            </w:r>
            <w:r w:rsidRPr="00924BDF" w:rsidR="003D0FEC">
              <w:rPr>
                <w:rFonts w:ascii="Times New Roman" w:eastAsia="Times New Roman" w:hAnsi="Times New Roman" w:cs="Times New Roman"/>
                <w:iCs/>
                <w:sz w:val="26"/>
                <w:szCs w:val="26"/>
                <w:lang w:eastAsia="lv-LV"/>
              </w:rPr>
              <w:t xml:space="preserve"> </w:t>
            </w:r>
            <w:r w:rsidRPr="00924BDF" w:rsidR="00003FEB">
              <w:rPr>
                <w:rFonts w:ascii="Times New Roman" w:eastAsia="Times New Roman" w:hAnsi="Times New Roman" w:cs="Times New Roman"/>
                <w:iCs/>
                <w:sz w:val="26"/>
                <w:szCs w:val="26"/>
                <w:lang w:eastAsia="lv-LV"/>
              </w:rPr>
              <w:t>institūciju</w:t>
            </w:r>
            <w:r w:rsidRPr="00924BDF" w:rsidR="003D0FEC">
              <w:rPr>
                <w:rFonts w:ascii="Times New Roman" w:eastAsia="Times New Roman" w:hAnsi="Times New Roman" w:cs="Times New Roman"/>
                <w:iCs/>
                <w:sz w:val="26"/>
                <w:szCs w:val="26"/>
                <w:lang w:eastAsia="lv-LV"/>
              </w:rPr>
              <w:t xml:space="preserve"> </w:t>
            </w:r>
            <w:r w:rsidRPr="00924BDF" w:rsidR="009B7EF5">
              <w:rPr>
                <w:rFonts w:ascii="Times New Roman" w:eastAsia="Times New Roman" w:hAnsi="Times New Roman" w:cs="Times New Roman"/>
                <w:iCs/>
                <w:sz w:val="26"/>
                <w:szCs w:val="26"/>
                <w:lang w:eastAsia="lv-LV"/>
              </w:rPr>
              <w:t xml:space="preserve">amatpersonu un darbinieku atlīdzības likuma 26. pantā </w:t>
            </w:r>
            <w:r w:rsidRPr="00924BDF">
              <w:rPr>
                <w:rFonts w:ascii="Times New Roman" w:eastAsia="Times New Roman" w:hAnsi="Times New Roman" w:cs="Times New Roman"/>
                <w:iCs/>
                <w:sz w:val="26"/>
                <w:szCs w:val="26"/>
                <w:lang w:eastAsia="lv-LV"/>
              </w:rPr>
              <w:t xml:space="preserve">ir </w:t>
            </w:r>
            <w:r w:rsidRPr="00924BDF" w:rsidR="009B7EF5">
              <w:rPr>
                <w:rFonts w:ascii="Times New Roman" w:eastAsia="Times New Roman" w:hAnsi="Times New Roman" w:cs="Times New Roman"/>
                <w:iCs/>
                <w:sz w:val="26"/>
                <w:szCs w:val="26"/>
                <w:lang w:eastAsia="lv-LV"/>
              </w:rPr>
              <w:t xml:space="preserve">noteikts, ka amatpersonai (darbiniekam) kompensē mācību izdevumus, ja tā pēc institūcijas iniciatīvas vai savstarpējas vienošanās sekmīgi mācās valsts akreditētā izglītības iestādē, lai iegūtu amata pienākumu izpildei nepieciešamās speciālās zināšanas. </w:t>
            </w:r>
            <w:r w:rsidRPr="00924BDF" w:rsidR="00B64E77">
              <w:rPr>
                <w:rFonts w:ascii="Times New Roman" w:eastAsia="Times New Roman" w:hAnsi="Times New Roman" w:cs="Times New Roman"/>
                <w:iCs/>
                <w:sz w:val="26"/>
                <w:szCs w:val="26"/>
                <w:lang w:eastAsia="lv-LV"/>
              </w:rPr>
              <w:t xml:space="preserve">Šī likuma </w:t>
            </w:r>
            <w:r w:rsidRPr="00924BDF" w:rsidR="009B7EF5">
              <w:rPr>
                <w:rFonts w:ascii="Times New Roman" w:eastAsia="Times New Roman" w:hAnsi="Times New Roman" w:cs="Times New Roman"/>
                <w:iCs/>
                <w:sz w:val="26"/>
                <w:szCs w:val="26"/>
                <w:lang w:eastAsia="lv-LV"/>
              </w:rPr>
              <w:t>26.</w:t>
            </w:r>
            <w:r w:rsidRPr="00924BDF" w:rsidR="00EF2DD2">
              <w:rPr>
                <w:rFonts w:ascii="Times New Roman" w:eastAsia="Times New Roman" w:hAnsi="Times New Roman" w:cs="Times New Roman"/>
                <w:iCs/>
                <w:sz w:val="26"/>
                <w:szCs w:val="26"/>
                <w:lang w:eastAsia="lv-LV"/>
              </w:rPr>
              <w:t> </w:t>
            </w:r>
            <w:r w:rsidRPr="00924BDF" w:rsidR="009B7EF5">
              <w:rPr>
                <w:rFonts w:ascii="Times New Roman" w:eastAsia="Times New Roman" w:hAnsi="Times New Roman" w:cs="Times New Roman"/>
                <w:iCs/>
                <w:sz w:val="26"/>
                <w:szCs w:val="26"/>
                <w:lang w:eastAsia="lv-LV"/>
              </w:rPr>
              <w:t xml:space="preserve">panta otrajā daļā Ministru kabinets </w:t>
            </w:r>
            <w:r w:rsidRPr="00924BDF" w:rsidR="004629BB">
              <w:rPr>
                <w:rFonts w:ascii="Times New Roman" w:eastAsia="Times New Roman" w:hAnsi="Times New Roman" w:cs="Times New Roman"/>
                <w:iCs/>
                <w:sz w:val="26"/>
                <w:szCs w:val="26"/>
                <w:lang w:eastAsia="lv-LV"/>
              </w:rPr>
              <w:t xml:space="preserve">ir </w:t>
            </w:r>
            <w:r w:rsidRPr="00924BDF" w:rsidR="009B7EF5">
              <w:rPr>
                <w:rFonts w:ascii="Times New Roman" w:eastAsia="Times New Roman" w:hAnsi="Times New Roman" w:cs="Times New Roman"/>
                <w:iCs/>
                <w:sz w:val="26"/>
                <w:szCs w:val="26"/>
                <w:lang w:eastAsia="lv-LV"/>
              </w:rPr>
              <w:t>pilnvarots noteikt kārtību, kādā amatpersonai (darbiniekam) kompensē mācību izdevumus, šo izdevumu kompensēšanas un atmaksāšanas nosacījumus, kā arī gadījumus, kad amatpersona (darbinieks) neatmaksā ar mācību maksas  kompensēšanu saist</w:t>
            </w:r>
            <w:r w:rsidRPr="00924BDF" w:rsidR="009768F5">
              <w:rPr>
                <w:rFonts w:ascii="Times New Roman" w:eastAsia="Times New Roman" w:hAnsi="Times New Roman" w:cs="Times New Roman"/>
                <w:iCs/>
                <w:sz w:val="26"/>
                <w:szCs w:val="26"/>
                <w:lang w:eastAsia="lv-LV"/>
              </w:rPr>
              <w:t>ītos izdevumus.</w:t>
            </w:r>
          </w:p>
          <w:p w:rsidR="00306F51" w:rsidRPr="00924BDF" w:rsidP="00760340" w14:paraId="05B4B1F8" w14:textId="6053CD4C">
            <w:pPr>
              <w:spacing w:after="0" w:line="240" w:lineRule="auto"/>
              <w:ind w:firstLine="345"/>
              <w:jc w:val="both"/>
              <w:rPr>
                <w:rFonts w:ascii="Times New Roman" w:hAnsi="Times New Roman" w:cs="Times New Roman"/>
                <w:sz w:val="26"/>
                <w:szCs w:val="26"/>
              </w:rPr>
            </w:pPr>
            <w:r w:rsidRPr="00924BDF">
              <w:rPr>
                <w:rFonts w:ascii="Times New Roman" w:eastAsia="Times New Roman" w:hAnsi="Times New Roman" w:cs="Times New Roman"/>
                <w:iCs/>
                <w:sz w:val="26"/>
                <w:szCs w:val="26"/>
                <w:lang w:eastAsia="lv-LV"/>
              </w:rPr>
              <w:t xml:space="preserve">Šie </w:t>
            </w:r>
            <w:r w:rsidRPr="00924BDF" w:rsidR="004629BB">
              <w:rPr>
                <w:rFonts w:ascii="Times New Roman" w:eastAsia="Times New Roman" w:hAnsi="Times New Roman" w:cs="Times New Roman"/>
                <w:iCs/>
                <w:sz w:val="26"/>
                <w:szCs w:val="26"/>
                <w:lang w:eastAsia="lv-LV"/>
              </w:rPr>
              <w:t>jautājumi deleģējuma ietvaros ir</w:t>
            </w:r>
            <w:r w:rsidRPr="00924BDF">
              <w:rPr>
                <w:rFonts w:ascii="Times New Roman" w:eastAsia="Times New Roman" w:hAnsi="Times New Roman" w:cs="Times New Roman"/>
                <w:iCs/>
                <w:sz w:val="26"/>
                <w:szCs w:val="26"/>
                <w:lang w:eastAsia="lv-LV"/>
              </w:rPr>
              <w:t xml:space="preserve"> ie</w:t>
            </w:r>
            <w:r w:rsidRPr="00924BDF" w:rsidR="004629BB">
              <w:rPr>
                <w:rFonts w:ascii="Times New Roman" w:eastAsia="Times New Roman" w:hAnsi="Times New Roman" w:cs="Times New Roman"/>
                <w:iCs/>
                <w:sz w:val="26"/>
                <w:szCs w:val="26"/>
                <w:lang w:eastAsia="lv-LV"/>
              </w:rPr>
              <w:t>tverti</w:t>
            </w:r>
            <w:r w:rsidRPr="00924BDF">
              <w:rPr>
                <w:rFonts w:ascii="Times New Roman" w:eastAsia="Times New Roman" w:hAnsi="Times New Roman" w:cs="Times New Roman"/>
                <w:iCs/>
                <w:sz w:val="26"/>
                <w:szCs w:val="26"/>
                <w:lang w:eastAsia="lv-LV"/>
              </w:rPr>
              <w:t xml:space="preserve"> </w:t>
            </w:r>
            <w:r w:rsidRPr="00924BDF">
              <w:rPr>
                <w:rFonts w:ascii="Times New Roman" w:hAnsi="Times New Roman" w:cs="Times New Roman"/>
                <w:sz w:val="26"/>
                <w:szCs w:val="26"/>
              </w:rPr>
              <w:t>Ministru kabineta 2010. gada 21. jūnija noteikumos Nr. </w:t>
            </w:r>
            <w:r w:rsidRPr="00924BDF" w:rsidR="00975263">
              <w:rPr>
                <w:rFonts w:ascii="Times New Roman" w:hAnsi="Times New Roman" w:cs="Times New Roman"/>
                <w:sz w:val="26"/>
                <w:szCs w:val="26"/>
              </w:rPr>
              <w:t>565</w:t>
            </w:r>
            <w:r w:rsidRPr="00924BDF">
              <w:rPr>
                <w:rFonts w:ascii="Times New Roman" w:hAnsi="Times New Roman" w:cs="Times New Roman"/>
                <w:sz w:val="26"/>
                <w:szCs w:val="26"/>
              </w:rPr>
              <w:t xml:space="preserve"> ˝Notiekumi par valsts un pašvaldību institūciju amatpersonu un darbinieku sociālajām garantijām˝</w:t>
            </w:r>
            <w:r w:rsidRPr="00924BDF" w:rsidR="00975263">
              <w:rPr>
                <w:rFonts w:ascii="Times New Roman" w:hAnsi="Times New Roman" w:cs="Times New Roman"/>
                <w:sz w:val="26"/>
                <w:szCs w:val="26"/>
              </w:rPr>
              <w:t xml:space="preserve"> (turpmāk – MK noteikumi Nr.</w:t>
            </w:r>
            <w:r w:rsidRPr="00924BDF" w:rsidR="004139EB">
              <w:rPr>
                <w:rFonts w:ascii="Times New Roman" w:hAnsi="Times New Roman" w:cs="Times New Roman"/>
                <w:sz w:val="26"/>
                <w:szCs w:val="26"/>
              </w:rPr>
              <w:t> </w:t>
            </w:r>
            <w:r w:rsidRPr="00924BDF" w:rsidR="00975263">
              <w:rPr>
                <w:rFonts w:ascii="Times New Roman" w:hAnsi="Times New Roman" w:cs="Times New Roman"/>
                <w:sz w:val="26"/>
                <w:szCs w:val="26"/>
              </w:rPr>
              <w:t>565</w:t>
            </w:r>
            <w:r w:rsidRPr="00924BDF" w:rsidR="004139EB">
              <w:rPr>
                <w:rFonts w:ascii="Times New Roman" w:hAnsi="Times New Roman" w:cs="Times New Roman"/>
                <w:sz w:val="26"/>
                <w:szCs w:val="26"/>
              </w:rPr>
              <w:t>)</w:t>
            </w:r>
            <w:r w:rsidRPr="00924BDF" w:rsidR="003915A9">
              <w:rPr>
                <w:rFonts w:ascii="Times New Roman" w:hAnsi="Times New Roman" w:cs="Times New Roman"/>
                <w:sz w:val="26"/>
                <w:szCs w:val="26"/>
              </w:rPr>
              <w:t>, kas pēc savas būtības un satura būtu attiecināmi uz Jaunsardzes un informācijas centra darbiniekiem</w:t>
            </w:r>
            <w:r w:rsidRPr="00924BDF" w:rsidR="002A3FAD">
              <w:rPr>
                <w:rFonts w:ascii="Times New Roman" w:hAnsi="Times New Roman" w:cs="Times New Roman"/>
                <w:sz w:val="26"/>
                <w:szCs w:val="26"/>
              </w:rPr>
              <w:t>.</w:t>
            </w:r>
            <w:r w:rsidRPr="00924BDF">
              <w:rPr>
                <w:rFonts w:ascii="Times New Roman" w:hAnsi="Times New Roman" w:cs="Times New Roman"/>
                <w:sz w:val="26"/>
                <w:szCs w:val="26"/>
              </w:rPr>
              <w:t xml:space="preserve"> </w:t>
            </w:r>
            <w:r w:rsidRPr="00924BDF" w:rsidR="002A3FAD">
              <w:rPr>
                <w:rFonts w:ascii="Times New Roman" w:hAnsi="Times New Roman" w:cs="Times New Roman"/>
                <w:sz w:val="26"/>
                <w:szCs w:val="26"/>
              </w:rPr>
              <w:t xml:space="preserve">Savukārt, </w:t>
            </w:r>
            <w:r w:rsidRPr="00924BDF">
              <w:rPr>
                <w:rFonts w:ascii="Times New Roman" w:hAnsi="Times New Roman" w:cs="Times New Roman"/>
                <w:sz w:val="26"/>
                <w:szCs w:val="26"/>
              </w:rPr>
              <w:t xml:space="preserve">attiecībā uz </w:t>
            </w:r>
            <w:r w:rsidRPr="00924BDF" w:rsidR="003915A9">
              <w:rPr>
                <w:rFonts w:ascii="Times New Roman" w:hAnsi="Times New Roman" w:cs="Times New Roman"/>
                <w:sz w:val="26"/>
                <w:szCs w:val="26"/>
              </w:rPr>
              <w:t>karavīriem, kas pārvietoti uz Jau</w:t>
            </w:r>
            <w:r w:rsidRPr="00924BDF" w:rsidR="00EF2DD2">
              <w:rPr>
                <w:rFonts w:ascii="Times New Roman" w:hAnsi="Times New Roman" w:cs="Times New Roman"/>
                <w:sz w:val="26"/>
                <w:szCs w:val="26"/>
              </w:rPr>
              <w:t>nsardzes un informācijas centru, ir attiecināms – Ministru kabineta 2010</w:t>
            </w:r>
            <w:r w:rsidRPr="00924BDF">
              <w:rPr>
                <w:rFonts w:ascii="Times New Roman" w:hAnsi="Times New Roman" w:cs="Times New Roman"/>
                <w:sz w:val="26"/>
                <w:szCs w:val="26"/>
              </w:rPr>
              <w:t>.</w:t>
            </w:r>
            <w:r w:rsidRPr="00924BDF" w:rsidR="00EF2DD2">
              <w:rPr>
                <w:rFonts w:ascii="Times New Roman" w:hAnsi="Times New Roman" w:cs="Times New Roman"/>
                <w:sz w:val="26"/>
                <w:szCs w:val="26"/>
              </w:rPr>
              <w:t> </w:t>
            </w:r>
            <w:r w:rsidRPr="00924BDF">
              <w:rPr>
                <w:rFonts w:ascii="Times New Roman" w:hAnsi="Times New Roman" w:cs="Times New Roman"/>
                <w:sz w:val="26"/>
                <w:szCs w:val="26"/>
              </w:rPr>
              <w:t>gada 12. oktobra noteikumos Nr. 954 ˝Kārtība, kādā profesionālā dienesta karavīram kompensē mācību izdevumus, un šo izdevumu atmaksāšanas kārtība˝</w:t>
            </w:r>
            <w:r w:rsidRPr="00924BDF" w:rsidR="003915A9">
              <w:rPr>
                <w:rFonts w:ascii="Times New Roman" w:hAnsi="Times New Roman" w:cs="Times New Roman"/>
                <w:sz w:val="26"/>
                <w:szCs w:val="26"/>
              </w:rPr>
              <w:t xml:space="preserve"> (turpmāk – MK noteikumi Nr. 954</w:t>
            </w:r>
            <w:r w:rsidRPr="00924BDF" w:rsidR="00C138B0">
              <w:rPr>
                <w:rFonts w:ascii="Times New Roman" w:hAnsi="Times New Roman" w:cs="Times New Roman"/>
                <w:sz w:val="26"/>
                <w:szCs w:val="26"/>
              </w:rPr>
              <w:t>)</w:t>
            </w:r>
            <w:r w:rsidRPr="00924BDF" w:rsidR="003915A9">
              <w:rPr>
                <w:rFonts w:ascii="Times New Roman" w:hAnsi="Times New Roman" w:cs="Times New Roman"/>
                <w:sz w:val="26"/>
                <w:szCs w:val="26"/>
              </w:rPr>
              <w:t xml:space="preserve"> noteiktais</w:t>
            </w:r>
            <w:r w:rsidRPr="00924BDF">
              <w:rPr>
                <w:rFonts w:ascii="Times New Roman" w:hAnsi="Times New Roman" w:cs="Times New Roman"/>
                <w:sz w:val="26"/>
                <w:szCs w:val="26"/>
              </w:rPr>
              <w:t xml:space="preserve">. Abi minētie </w:t>
            </w:r>
            <w:r w:rsidRPr="00924BDF" w:rsidR="003915A9">
              <w:rPr>
                <w:rFonts w:ascii="Times New Roman" w:hAnsi="Times New Roman" w:cs="Times New Roman"/>
                <w:sz w:val="26"/>
                <w:szCs w:val="26"/>
              </w:rPr>
              <w:t xml:space="preserve">Ministru kabineta </w:t>
            </w:r>
            <w:r w:rsidRPr="00924BDF">
              <w:rPr>
                <w:rFonts w:ascii="Times New Roman" w:hAnsi="Times New Roman" w:cs="Times New Roman"/>
                <w:sz w:val="26"/>
                <w:szCs w:val="26"/>
              </w:rPr>
              <w:t xml:space="preserve">noteikumi tomēr nenodrošina  </w:t>
            </w:r>
            <w:r w:rsidRPr="00924BDF" w:rsidR="00EF2DD2">
              <w:rPr>
                <w:rFonts w:ascii="Times New Roman" w:hAnsi="Times New Roman" w:cs="Times New Roman"/>
                <w:sz w:val="26"/>
                <w:szCs w:val="26"/>
              </w:rPr>
              <w:t>ne darbiniekam, ne karavīram</w:t>
            </w:r>
            <w:r w:rsidRPr="00924BDF">
              <w:rPr>
                <w:rFonts w:ascii="Times New Roman" w:hAnsi="Times New Roman" w:cs="Times New Roman"/>
                <w:sz w:val="26"/>
                <w:szCs w:val="26"/>
              </w:rPr>
              <w:t xml:space="preserve"> pretimnākošu risinājumu iepriekš aprakstītajā situācijā, kādā nonākuši jaunsargu instruktori, jo </w:t>
            </w:r>
            <w:r w:rsidRPr="00924BDF" w:rsidR="008105C7">
              <w:rPr>
                <w:rFonts w:ascii="Times New Roman" w:hAnsi="Times New Roman" w:cs="Times New Roman"/>
                <w:sz w:val="26"/>
                <w:szCs w:val="26"/>
              </w:rPr>
              <w:t>cita</w:t>
            </w:r>
            <w:r w:rsidRPr="00924BDF" w:rsidR="003915A9">
              <w:rPr>
                <w:rFonts w:ascii="Times New Roman" w:hAnsi="Times New Roman" w:cs="Times New Roman"/>
                <w:sz w:val="26"/>
                <w:szCs w:val="26"/>
              </w:rPr>
              <w:t xml:space="preserve"> </w:t>
            </w:r>
            <w:r w:rsidRPr="00924BDF" w:rsidR="008105C7">
              <w:rPr>
                <w:rFonts w:ascii="Times New Roman" w:hAnsi="Times New Roman" w:cs="Times New Roman"/>
                <w:sz w:val="26"/>
                <w:szCs w:val="26"/>
              </w:rPr>
              <w:t>starp</w:t>
            </w:r>
            <w:r w:rsidRPr="00924BDF" w:rsidR="003915A9">
              <w:rPr>
                <w:rFonts w:ascii="Times New Roman" w:hAnsi="Times New Roman" w:cs="Times New Roman"/>
                <w:sz w:val="26"/>
                <w:szCs w:val="26"/>
              </w:rPr>
              <w:t>ā</w:t>
            </w:r>
            <w:r w:rsidRPr="00924BDF" w:rsidR="008105C7">
              <w:rPr>
                <w:rFonts w:ascii="Times New Roman" w:hAnsi="Times New Roman" w:cs="Times New Roman"/>
                <w:sz w:val="26"/>
                <w:szCs w:val="26"/>
              </w:rPr>
              <w:t xml:space="preserve"> </w:t>
            </w:r>
            <w:r w:rsidRPr="00924BDF">
              <w:rPr>
                <w:rFonts w:ascii="Times New Roman" w:hAnsi="Times New Roman" w:cs="Times New Roman"/>
                <w:sz w:val="26"/>
                <w:szCs w:val="26"/>
              </w:rPr>
              <w:t>paredz, ka, lai pretendētu uz mācību maksas kompensāciju</w:t>
            </w:r>
            <w:r w:rsidRPr="00924BDF" w:rsidR="003E058A">
              <w:rPr>
                <w:rFonts w:ascii="Times New Roman" w:hAnsi="Times New Roman" w:cs="Times New Roman"/>
                <w:sz w:val="26"/>
                <w:szCs w:val="26"/>
              </w:rPr>
              <w:t>, personai jāuzsāk mācības un pašai jā</w:t>
            </w:r>
            <w:r w:rsidRPr="00924BDF" w:rsidR="003915A9">
              <w:rPr>
                <w:rFonts w:ascii="Times New Roman" w:hAnsi="Times New Roman" w:cs="Times New Roman"/>
                <w:sz w:val="26"/>
                <w:szCs w:val="26"/>
              </w:rPr>
              <w:t xml:space="preserve">veic </w:t>
            </w:r>
            <w:r w:rsidRPr="00924BDF" w:rsidR="003E058A">
              <w:rPr>
                <w:rFonts w:ascii="Times New Roman" w:hAnsi="Times New Roman" w:cs="Times New Roman"/>
                <w:sz w:val="26"/>
                <w:szCs w:val="26"/>
              </w:rPr>
              <w:t>mācību maksa</w:t>
            </w:r>
            <w:r w:rsidRPr="00924BDF" w:rsidR="003915A9">
              <w:rPr>
                <w:rFonts w:ascii="Times New Roman" w:hAnsi="Times New Roman" w:cs="Times New Roman"/>
                <w:sz w:val="26"/>
                <w:szCs w:val="26"/>
              </w:rPr>
              <w:t>s samaksa</w:t>
            </w:r>
            <w:r w:rsidRPr="00924BDF">
              <w:rPr>
                <w:rFonts w:ascii="Times New Roman" w:hAnsi="Times New Roman" w:cs="Times New Roman"/>
                <w:sz w:val="26"/>
                <w:szCs w:val="26"/>
              </w:rPr>
              <w:t>, ko šobrīd aptaujātie jaunsargu instruktori nav finansiāli gatavi darīt, jo viņu rīcībā nav šādu finanšu līdzekļu</w:t>
            </w:r>
            <w:r w:rsidRPr="00924BDF" w:rsidR="003E058A">
              <w:rPr>
                <w:rFonts w:ascii="Times New Roman" w:hAnsi="Times New Roman" w:cs="Times New Roman"/>
                <w:sz w:val="26"/>
                <w:szCs w:val="26"/>
              </w:rPr>
              <w:t>.</w:t>
            </w:r>
            <w:r w:rsidRPr="00924BDF">
              <w:rPr>
                <w:rFonts w:ascii="Times New Roman" w:hAnsi="Times New Roman" w:cs="Times New Roman"/>
                <w:sz w:val="26"/>
                <w:szCs w:val="26"/>
              </w:rPr>
              <w:t xml:space="preserve"> </w:t>
            </w:r>
          </w:p>
          <w:p w:rsidR="003E058A" w:rsidRPr="00924BDF" w:rsidP="00760340" w14:paraId="001C3C2F"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Šī brīža </w:t>
            </w:r>
            <w:r w:rsidRPr="00924BDF" w:rsidR="00EF2DD2">
              <w:rPr>
                <w:rFonts w:ascii="Times New Roman" w:hAnsi="Times New Roman" w:cs="Times New Roman"/>
                <w:sz w:val="26"/>
                <w:szCs w:val="26"/>
              </w:rPr>
              <w:t xml:space="preserve">spēkā esošais </w:t>
            </w:r>
            <w:r w:rsidRPr="00924BDF">
              <w:rPr>
                <w:rFonts w:ascii="Times New Roman" w:hAnsi="Times New Roman" w:cs="Times New Roman"/>
                <w:sz w:val="26"/>
                <w:szCs w:val="26"/>
              </w:rPr>
              <w:t>tiesiskais regulējums jaunradīta valsts pārvaldes uzdevuma realizāciju ir pilnībā padarījis atkarīgu no jaunsargu instruktoru kā privātpersonu iniciatīvas</w:t>
            </w:r>
            <w:r w:rsidRPr="00924BDF" w:rsidR="009A6D12">
              <w:rPr>
                <w:rFonts w:ascii="Times New Roman" w:hAnsi="Times New Roman" w:cs="Times New Roman"/>
                <w:sz w:val="26"/>
                <w:szCs w:val="26"/>
              </w:rPr>
              <w:t xml:space="preserve">, kur iestādei ir liegta iespēja ar jaunsargu </w:t>
            </w:r>
            <w:r w:rsidRPr="00924BDF" w:rsidR="009A6D12">
              <w:rPr>
                <w:rFonts w:ascii="Times New Roman" w:hAnsi="Times New Roman" w:cs="Times New Roman"/>
                <w:sz w:val="26"/>
                <w:szCs w:val="26"/>
              </w:rPr>
              <w:t>instruktoru izglītības iegūšanu saistītās izmaksas kompensēt pirms persona ir veikusi samaksu no saviem līdzekļiem.</w:t>
            </w:r>
            <w:r w:rsidRPr="00924BDF">
              <w:rPr>
                <w:rFonts w:ascii="Times New Roman" w:hAnsi="Times New Roman" w:cs="Times New Roman"/>
                <w:sz w:val="26"/>
                <w:szCs w:val="26"/>
              </w:rPr>
              <w:t xml:space="preserve"> </w:t>
            </w:r>
          </w:p>
          <w:p w:rsidR="00896037" w:rsidRPr="00924BDF" w:rsidP="00760340" w14:paraId="563D7651"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Jaunsargu instruktoriem, kas izrādījuši gatavību, nepārtraucot amata pienākumu pildīšanu, iegūt augstāko</w:t>
            </w:r>
            <w:r w:rsidRPr="00924BDF" w:rsidR="008105C7">
              <w:rPr>
                <w:rFonts w:ascii="Times New Roman" w:hAnsi="Times New Roman" w:cs="Times New Roman"/>
                <w:sz w:val="26"/>
                <w:szCs w:val="26"/>
              </w:rPr>
              <w:t xml:space="preserve"> pedagoģisko</w:t>
            </w:r>
            <w:r w:rsidRPr="00924BDF">
              <w:rPr>
                <w:rFonts w:ascii="Times New Roman" w:hAnsi="Times New Roman" w:cs="Times New Roman"/>
                <w:sz w:val="26"/>
                <w:szCs w:val="26"/>
              </w:rPr>
              <w:t xml:space="preserve"> izglītību, nepieciešams nodrošināt pēc iespējas pretimnākošu mācību maksas kompensēšanas mehānismu, iestādei </w:t>
            </w:r>
            <w:r w:rsidRPr="00924BDF" w:rsidR="00F2129B">
              <w:rPr>
                <w:rFonts w:ascii="Times New Roman" w:hAnsi="Times New Roman" w:cs="Times New Roman"/>
                <w:sz w:val="26"/>
                <w:szCs w:val="26"/>
              </w:rPr>
              <w:t>pēc iespējas ātrāk</w:t>
            </w:r>
            <w:r w:rsidRPr="00924BDF">
              <w:rPr>
                <w:rFonts w:ascii="Times New Roman" w:hAnsi="Times New Roman" w:cs="Times New Roman"/>
                <w:sz w:val="26"/>
                <w:szCs w:val="26"/>
              </w:rPr>
              <w:t xml:space="preserve"> </w:t>
            </w:r>
            <w:r w:rsidRPr="00924BDF" w:rsidR="00F2129B">
              <w:rPr>
                <w:rFonts w:ascii="Times New Roman" w:hAnsi="Times New Roman" w:cs="Times New Roman"/>
                <w:sz w:val="26"/>
                <w:szCs w:val="26"/>
              </w:rPr>
              <w:t>kompensējot</w:t>
            </w:r>
            <w:r w:rsidRPr="00924BDF">
              <w:rPr>
                <w:rFonts w:ascii="Times New Roman" w:hAnsi="Times New Roman" w:cs="Times New Roman"/>
                <w:sz w:val="26"/>
                <w:szCs w:val="26"/>
              </w:rPr>
              <w:t xml:space="preserve"> </w:t>
            </w:r>
            <w:r w:rsidRPr="00924BDF" w:rsidR="00D62F87">
              <w:rPr>
                <w:rFonts w:ascii="Times New Roman" w:hAnsi="Times New Roman" w:cs="Times New Roman"/>
                <w:sz w:val="26"/>
                <w:szCs w:val="26"/>
              </w:rPr>
              <w:t xml:space="preserve">– realizējot </w:t>
            </w:r>
            <w:r w:rsidRPr="00924BDF">
              <w:rPr>
                <w:rFonts w:ascii="Times New Roman" w:hAnsi="Times New Roman" w:cs="Times New Roman"/>
                <w:sz w:val="26"/>
                <w:szCs w:val="26"/>
              </w:rPr>
              <w:t>ar izglītības iegūšanu saistītās finansiālās saistības. Jāņem vērā, ka augstāk</w:t>
            </w:r>
            <w:r w:rsidRPr="00924BDF" w:rsidR="008105C7">
              <w:rPr>
                <w:rFonts w:ascii="Times New Roman" w:hAnsi="Times New Roman" w:cs="Times New Roman"/>
                <w:sz w:val="26"/>
                <w:szCs w:val="26"/>
              </w:rPr>
              <w:t>ā</w:t>
            </w:r>
            <w:r w:rsidRPr="00924BDF">
              <w:rPr>
                <w:rFonts w:ascii="Times New Roman" w:hAnsi="Times New Roman" w:cs="Times New Roman"/>
                <w:sz w:val="26"/>
                <w:szCs w:val="26"/>
              </w:rPr>
              <w:t xml:space="preserve"> izglītība tiek iegūta pēc iestādes iniciatīvas, lai izpildītu Saeimas lēmumu par valsts aizsardzības mācības ieviešanu</w:t>
            </w:r>
            <w:r w:rsidRPr="00924BDF" w:rsidR="00F2129B">
              <w:rPr>
                <w:rFonts w:ascii="Times New Roman" w:hAnsi="Times New Roman" w:cs="Times New Roman"/>
                <w:sz w:val="26"/>
                <w:szCs w:val="26"/>
              </w:rPr>
              <w:t xml:space="preserve"> nevis pēc privātpersonas iniciatīvas.</w:t>
            </w:r>
          </w:p>
          <w:p w:rsidR="009A6D12" w:rsidRPr="00924BDF" w:rsidP="00760340" w14:paraId="0EF0F7D1"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Atbilstoši Satversmes 91. pantā noteiktajam, visi cilvēki Latvijā ir vienlīdzīgi likuma un tiesas priekšā un to tiesības tiek īstenotas bez jebkādas diskriminācijas.</w:t>
            </w:r>
          </w:p>
          <w:p w:rsidR="00A613AF" w:rsidRPr="00924BDF" w:rsidP="00760340" w14:paraId="4D5FCE7D" w14:textId="451E4E04">
            <w:pPr>
              <w:spacing w:after="0" w:line="240" w:lineRule="auto"/>
              <w:ind w:firstLine="345"/>
              <w:jc w:val="both"/>
              <w:rPr>
                <w:rFonts w:ascii="Times New Roman" w:hAnsi="Times New Roman" w:cs="Times New Roman"/>
                <w:sz w:val="26"/>
                <w:szCs w:val="26"/>
              </w:rPr>
            </w:pPr>
            <w:r w:rsidRPr="00404DDD">
              <w:rPr>
                <w:rFonts w:ascii="Times New Roman" w:hAnsi="Times New Roman" w:cs="Times New Roman"/>
                <w:sz w:val="26"/>
                <w:szCs w:val="26"/>
              </w:rPr>
              <w:t>Vienlīdzības princips nozīmē, ka vienādos faktiskajos un tiesiskajos apstākļos izturēšanās ir jābūt vienādai, savukārt atšķirīgos apstākļos izturēšanās ir jābūt atšķirīgai.</w:t>
            </w:r>
            <w:r>
              <w:rPr>
                <w:rStyle w:val="FootnoteReference"/>
                <w:rFonts w:ascii="Times New Roman" w:hAnsi="Times New Roman" w:cs="Times New Roman"/>
                <w:sz w:val="26"/>
                <w:szCs w:val="26"/>
              </w:rPr>
              <w:footnoteReference w:id="3"/>
            </w:r>
          </w:p>
          <w:p w:rsidR="008551F1" w:rsidRPr="00924BDF" w:rsidP="00760340" w14:paraId="4B9F1B51" w14:textId="50909AAD">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Atsaucoties uz Valsts un pašvaldību institūciju amatpersonu un darbinieku atlīdzības likuma 26. panta pirmās daļas regulējumu, ir secināms, ka pretendēt uz kompensāciju mācību izdevumu segšanai</w:t>
            </w:r>
            <w:r w:rsidRPr="00924BDF" w:rsidR="00105443">
              <w:rPr>
                <w:rFonts w:ascii="Times New Roman" w:hAnsi="Times New Roman" w:cs="Times New Roman"/>
                <w:sz w:val="26"/>
                <w:szCs w:val="26"/>
              </w:rPr>
              <w:t xml:space="preserve"> var amatpersonas, tostarp, karavīri un darbinieki, kuri pēc iestādes iniciatīvas mācās augstākās izglītības iestādē. Šīs tiesību normas saturs arī nosaka tos kritērijus, kas norādītās personas nostāda </w:t>
            </w:r>
            <w:r w:rsidRPr="00924BDF" w:rsidR="003650BA">
              <w:rPr>
                <w:rFonts w:ascii="Times New Roman" w:hAnsi="Times New Roman" w:cs="Times New Roman"/>
                <w:sz w:val="26"/>
                <w:szCs w:val="26"/>
              </w:rPr>
              <w:t xml:space="preserve">vienādos un </w:t>
            </w:r>
            <w:r w:rsidRPr="00924BDF" w:rsidR="00105443">
              <w:rPr>
                <w:rFonts w:ascii="Times New Roman" w:hAnsi="Times New Roman" w:cs="Times New Roman"/>
                <w:sz w:val="26"/>
                <w:szCs w:val="26"/>
              </w:rPr>
              <w:t xml:space="preserve">salīdzināmos apstākļos </w:t>
            </w:r>
            <w:r w:rsidRPr="00924BDF" w:rsidR="003650BA">
              <w:rPr>
                <w:rFonts w:ascii="Times New Roman" w:hAnsi="Times New Roman" w:cs="Times New Roman"/>
                <w:sz w:val="26"/>
                <w:szCs w:val="26"/>
              </w:rPr>
              <w:t>–</w:t>
            </w:r>
            <w:r w:rsidRPr="00924BDF" w:rsidR="00105443">
              <w:rPr>
                <w:rFonts w:ascii="Times New Roman" w:hAnsi="Times New Roman" w:cs="Times New Roman"/>
                <w:sz w:val="26"/>
                <w:szCs w:val="26"/>
              </w:rPr>
              <w:t xml:space="preserve"> </w:t>
            </w:r>
            <w:r w:rsidRPr="00924BDF" w:rsidR="003650BA">
              <w:rPr>
                <w:rFonts w:ascii="Times New Roman" w:hAnsi="Times New Roman" w:cs="Times New Roman"/>
                <w:sz w:val="26"/>
                <w:szCs w:val="26"/>
              </w:rPr>
              <w:t>izteikta iestādes iniciatīva personai iegūt augstāko izglītību, kas pamatota ar konkrētu valsts pārvaldes uzdevumu sekmīgu realizāciju.</w:t>
            </w:r>
            <w:r w:rsidRPr="00924BDF" w:rsidR="00AE7E55">
              <w:rPr>
                <w:rFonts w:ascii="Times New Roman" w:hAnsi="Times New Roman" w:cs="Times New Roman"/>
                <w:sz w:val="26"/>
                <w:szCs w:val="26"/>
              </w:rPr>
              <w:t xml:space="preserve"> Tātad, vienādos un salīdzin</w:t>
            </w:r>
            <w:r w:rsidRPr="00924BDF">
              <w:rPr>
                <w:rFonts w:ascii="Times New Roman" w:hAnsi="Times New Roman" w:cs="Times New Roman"/>
                <w:sz w:val="26"/>
                <w:szCs w:val="26"/>
              </w:rPr>
              <w:t>āmos apstākļos atrodas personas:</w:t>
            </w:r>
          </w:p>
          <w:p w:rsidR="008551F1" w:rsidRPr="00924BDF" w:rsidP="008551F1" w14:paraId="5503D792" w14:textId="2585707B">
            <w:pPr>
              <w:pStyle w:val="ListParagraph"/>
              <w:numPr>
                <w:ilvl w:val="0"/>
                <w:numId w:val="3"/>
              </w:numPr>
              <w:jc w:val="both"/>
              <w:rPr>
                <w:rFonts w:cs="Times New Roman"/>
                <w:sz w:val="26"/>
                <w:szCs w:val="26"/>
              </w:rPr>
            </w:pPr>
            <w:r w:rsidRPr="00924BDF">
              <w:rPr>
                <w:rFonts w:cs="Times New Roman"/>
                <w:sz w:val="26"/>
                <w:szCs w:val="26"/>
              </w:rPr>
              <w:t>kuras nodibinājušas darba vai dienesta tiesiskās attiecībās ar valsts vai pašvaldības institūciju;</w:t>
            </w:r>
          </w:p>
          <w:p w:rsidR="003E47E0" w:rsidRPr="00924BDF" w:rsidP="008551F1" w14:paraId="36A3CD30" w14:textId="3BAE448D">
            <w:pPr>
              <w:pStyle w:val="ListParagraph"/>
              <w:numPr>
                <w:ilvl w:val="0"/>
                <w:numId w:val="3"/>
              </w:numPr>
              <w:jc w:val="both"/>
              <w:rPr>
                <w:rFonts w:cs="Times New Roman"/>
                <w:sz w:val="26"/>
                <w:szCs w:val="26"/>
              </w:rPr>
            </w:pPr>
            <w:r w:rsidRPr="00924BDF">
              <w:rPr>
                <w:rFonts w:cs="Times New Roman"/>
                <w:sz w:val="26"/>
                <w:szCs w:val="26"/>
              </w:rPr>
              <w:t>kuras amata pienākumu izpildes procesā realizē vienu vai vairākus valsts pārvaldes uzdevumus;</w:t>
            </w:r>
          </w:p>
          <w:p w:rsidR="008551F1" w:rsidRPr="00924BDF" w:rsidP="008551F1" w14:paraId="27889D3B" w14:textId="4C70A2E1">
            <w:pPr>
              <w:pStyle w:val="ListParagraph"/>
              <w:numPr>
                <w:ilvl w:val="0"/>
                <w:numId w:val="3"/>
              </w:numPr>
              <w:jc w:val="both"/>
              <w:rPr>
                <w:rFonts w:cs="Times New Roman"/>
                <w:sz w:val="26"/>
                <w:szCs w:val="26"/>
              </w:rPr>
            </w:pPr>
            <w:r w:rsidRPr="00924BDF">
              <w:rPr>
                <w:rFonts w:cs="Times New Roman"/>
                <w:sz w:val="26"/>
                <w:szCs w:val="26"/>
              </w:rPr>
              <w:t>kuras iegūst augstāko izglītību izglītības iestādē pēc institūcijas iniciatīvas</w:t>
            </w:r>
            <w:r w:rsidRPr="00924BDF" w:rsidR="00617EEA">
              <w:rPr>
                <w:rFonts w:cs="Times New Roman"/>
                <w:sz w:val="26"/>
                <w:szCs w:val="26"/>
              </w:rPr>
              <w:t>.</w:t>
            </w:r>
          </w:p>
          <w:p w:rsidR="007407A9" w:rsidRPr="00924BDF" w:rsidP="00617EEA" w14:paraId="37C5892D" w14:textId="28F9BC72">
            <w:pPr>
              <w:jc w:val="both"/>
              <w:rPr>
                <w:rFonts w:ascii="Times New Roman" w:hAnsi="Times New Roman" w:cs="Times New Roman"/>
                <w:sz w:val="26"/>
                <w:szCs w:val="26"/>
              </w:rPr>
            </w:pPr>
            <w:r w:rsidRPr="00924BDF">
              <w:rPr>
                <w:rFonts w:ascii="Times New Roman" w:hAnsi="Times New Roman" w:cs="Times New Roman"/>
                <w:sz w:val="26"/>
                <w:szCs w:val="26"/>
              </w:rPr>
              <w:t>Vienlīdzības princips pieļauj atšķirīgu attieksmi pret personām, kas atrodas vienādos apstākļos, ja tam ir objektīvs un saprātīgs pamats.</w:t>
            </w:r>
            <w:r>
              <w:rPr>
                <w:rStyle w:val="FootnoteReference"/>
                <w:rFonts w:ascii="Times New Roman" w:hAnsi="Times New Roman" w:cs="Times New Roman"/>
                <w:sz w:val="26"/>
                <w:szCs w:val="26"/>
              </w:rPr>
              <w:footnoteReference w:id="4"/>
            </w:r>
            <w:r w:rsidRPr="00924BDF">
              <w:rPr>
                <w:rFonts w:ascii="Times New Roman" w:hAnsi="Times New Roman" w:cs="Times New Roman"/>
                <w:sz w:val="26"/>
                <w:szCs w:val="26"/>
              </w:rPr>
              <w:t xml:space="preserve"> Ministru kabineta noteikumu projekts paredz atšķirīgu attieksmi pret jaunsargu instruktoriem nekā pret citām valsts pārvaldes vai pašvaldību institūcijās nodarbinātām personām, paredzot labvēlīgāku un pretimnākošāku mācību izdevumu kompensācijas tiesisko regulējumu, jo neprasa no jaunsargu instruktoriem sākotnēji </w:t>
            </w:r>
            <w:r w:rsidRPr="00924BDF">
              <w:rPr>
                <w:rFonts w:ascii="Times New Roman" w:hAnsi="Times New Roman" w:cs="Times New Roman"/>
                <w:sz w:val="26"/>
                <w:szCs w:val="26"/>
              </w:rPr>
              <w:t>investēt personiskos finanšu līdzekļus augstākās izglītības iegūšanai, lai vēlāk, piemērojot konkrēto kompensēšanas mehānismu šos līdzekļus atgūtu kompensācijas veidā.</w:t>
            </w:r>
          </w:p>
          <w:p w:rsidR="00DD1AA6" w:rsidRPr="00924BDF" w:rsidP="00617EEA" w14:paraId="0FBF3A22" w14:textId="55056486">
            <w:pPr>
              <w:jc w:val="both"/>
              <w:rPr>
                <w:rFonts w:ascii="Times New Roman" w:hAnsi="Times New Roman" w:cs="Times New Roman"/>
                <w:sz w:val="26"/>
                <w:szCs w:val="26"/>
              </w:rPr>
            </w:pPr>
            <w:r w:rsidRPr="00924BDF">
              <w:rPr>
                <w:rFonts w:ascii="Times New Roman" w:hAnsi="Times New Roman" w:cs="Times New Roman"/>
                <w:sz w:val="26"/>
                <w:szCs w:val="26"/>
              </w:rPr>
              <w:t>Lai secinātu, vai valsts pārvaldes uzdevuma  - valsts aizsardzības mācības ieviešana vispārējās vidējās vai profesionālās izglītības programmā var kalpot par galveno kritēriju atšķirīga, labvēlīgāka kompensēšanas mehānisma ieviešanai, jānoskaidro:</w:t>
            </w:r>
          </w:p>
          <w:p w:rsidR="00DD1AA6" w:rsidRPr="00924BDF" w:rsidP="00DD1AA6" w14:paraId="4AEE4764" w14:textId="4AB9A8C8">
            <w:pPr>
              <w:pStyle w:val="ListParagraph"/>
              <w:numPr>
                <w:ilvl w:val="0"/>
                <w:numId w:val="4"/>
              </w:numPr>
              <w:jc w:val="both"/>
              <w:rPr>
                <w:rFonts w:cs="Times New Roman"/>
                <w:sz w:val="26"/>
                <w:szCs w:val="26"/>
              </w:rPr>
            </w:pPr>
            <w:r w:rsidRPr="00924BDF">
              <w:rPr>
                <w:rFonts w:cs="Times New Roman"/>
                <w:sz w:val="26"/>
                <w:szCs w:val="26"/>
              </w:rPr>
              <w:t>vai attiecībā pret citām valsts pārvaldes vai pašvaldību institūcijās nodarbinātām personām radīt</w:t>
            </w:r>
            <w:r w:rsidRPr="00924BDF" w:rsidR="00C34B11">
              <w:rPr>
                <w:rFonts w:cs="Times New Roman"/>
                <w:sz w:val="26"/>
                <w:szCs w:val="26"/>
              </w:rPr>
              <w:t>ajai</w:t>
            </w:r>
            <w:r w:rsidRPr="00924BDF">
              <w:rPr>
                <w:rFonts w:cs="Times New Roman"/>
                <w:sz w:val="26"/>
                <w:szCs w:val="26"/>
              </w:rPr>
              <w:t xml:space="preserve"> </w:t>
            </w:r>
            <w:r w:rsidRPr="00924BDF" w:rsidR="00C34B11">
              <w:rPr>
                <w:rFonts w:cs="Times New Roman"/>
                <w:sz w:val="26"/>
                <w:szCs w:val="26"/>
              </w:rPr>
              <w:t xml:space="preserve"> atšķirīgajai attieksmei piemīt leģitīms mērķis;</w:t>
            </w:r>
          </w:p>
          <w:p w:rsidR="00C34B11" w:rsidRPr="00924BDF" w:rsidP="00DD1AA6" w14:paraId="4F8CD2C7" w14:textId="47FA3FA6">
            <w:pPr>
              <w:pStyle w:val="ListParagraph"/>
              <w:numPr>
                <w:ilvl w:val="0"/>
                <w:numId w:val="4"/>
              </w:numPr>
              <w:jc w:val="both"/>
              <w:rPr>
                <w:rFonts w:cs="Times New Roman"/>
                <w:sz w:val="26"/>
                <w:szCs w:val="26"/>
              </w:rPr>
            </w:pPr>
            <w:r w:rsidRPr="00924BDF">
              <w:rPr>
                <w:rFonts w:cs="Times New Roman"/>
                <w:sz w:val="26"/>
                <w:szCs w:val="26"/>
              </w:rPr>
              <w:t>vai šajā gadījumā izstrādātais tiesiskais regulējums ir samērīgs.</w:t>
            </w:r>
          </w:p>
          <w:p w:rsidR="00C34B11" w:rsidRPr="00924BDF" w:rsidP="00352186" w14:paraId="66689965" w14:textId="42825EBA">
            <w:pPr>
              <w:pStyle w:val="ListParagraph"/>
              <w:numPr>
                <w:ilvl w:val="0"/>
                <w:numId w:val="5"/>
              </w:numPr>
              <w:ind w:left="0" w:firstLine="369"/>
              <w:jc w:val="both"/>
              <w:rPr>
                <w:rFonts w:cs="Times New Roman"/>
                <w:iCs/>
                <w:sz w:val="26"/>
                <w:szCs w:val="26"/>
                <w:lang w:eastAsia="lv-LV"/>
              </w:rPr>
            </w:pPr>
            <w:r w:rsidRPr="00924BDF">
              <w:rPr>
                <w:rFonts w:cs="Times New Roman"/>
                <w:sz w:val="26"/>
                <w:szCs w:val="26"/>
              </w:rPr>
              <w:t xml:space="preserve">Valsts aizsardzības mācības ieviešana </w:t>
            </w:r>
            <w:r w:rsidRPr="00924BDF">
              <w:rPr>
                <w:rFonts w:cs="Times New Roman"/>
                <w:iCs/>
                <w:sz w:val="26"/>
                <w:szCs w:val="26"/>
                <w:lang w:eastAsia="lv-LV"/>
              </w:rPr>
              <w:t xml:space="preserve">vidējās vispārējās izglītības standartā </w:t>
            </w:r>
            <w:r w:rsidRPr="00924BDF">
              <w:rPr>
                <w:rFonts w:cs="Times New Roman"/>
                <w:sz w:val="26"/>
                <w:szCs w:val="26"/>
              </w:rPr>
              <w:t>un valsts profesionālās izglītības standartā</w:t>
            </w:r>
            <w:r w:rsidRPr="00924BDF">
              <w:rPr>
                <w:rFonts w:cs="Times New Roman"/>
                <w:iCs/>
                <w:sz w:val="26"/>
                <w:szCs w:val="26"/>
                <w:lang w:eastAsia="lv-LV"/>
              </w:rPr>
              <w:t xml:space="preserve"> obligāta mācību priekšmeta statusā </w:t>
            </w:r>
            <w:r w:rsidRPr="00924BDF">
              <w:rPr>
                <w:rFonts w:cs="Times New Roman"/>
                <w:sz w:val="26"/>
                <w:szCs w:val="26"/>
              </w:rPr>
              <w:t xml:space="preserve">ir vērsta uz visaptverošas valsts aizsardzības sistēmas izveidošanu un ir uzskatāms par vienu no uzdevumiem šī mērķa veiksmīgai sasniegšanai. Visaptverošas valsts aizsardzības sistēmas izveidošana sevī ietver darbu pie jauniešu </w:t>
            </w:r>
            <w:r w:rsidRPr="00924BDF">
              <w:rPr>
                <w:rFonts w:cs="Times New Roman"/>
                <w:iCs/>
                <w:sz w:val="26"/>
                <w:szCs w:val="26"/>
                <w:lang w:eastAsia="lv-LV"/>
              </w:rPr>
              <w:t>pilsoniskās apziņas veidošanas, uzsverot patriotiskās audzināšanas nozīmīgumu jaunās paaudzes izglītošanā, kā arī nepieciešamību attīstīt valsts aizsardzības izpratni un prasmi to realizēt, lai nodrošinātu demokrātiskas un tiesiskas valsts turpmāku pastāvēšanu - neatkarību un suverenitāti. No minētā ir secināms</w:t>
            </w:r>
            <w:r w:rsidRPr="00924BDF" w:rsidR="000869D5">
              <w:rPr>
                <w:rFonts w:cs="Times New Roman"/>
                <w:iCs/>
                <w:sz w:val="26"/>
                <w:szCs w:val="26"/>
                <w:lang w:eastAsia="lv-LV"/>
              </w:rPr>
              <w:t xml:space="preserve"> un ir pamats atzīt, ka</w:t>
            </w:r>
            <w:r w:rsidRPr="00924BDF">
              <w:rPr>
                <w:rFonts w:cs="Times New Roman"/>
                <w:iCs/>
                <w:sz w:val="26"/>
                <w:szCs w:val="26"/>
                <w:lang w:eastAsia="lv-LV"/>
              </w:rPr>
              <w:t xml:space="preserve">, </w:t>
            </w:r>
            <w:r w:rsidRPr="00924BDF" w:rsidR="000869D5">
              <w:rPr>
                <w:rFonts w:cs="Times New Roman"/>
                <w:iCs/>
                <w:sz w:val="26"/>
                <w:szCs w:val="26"/>
                <w:lang w:eastAsia="lv-LV"/>
              </w:rPr>
              <w:t xml:space="preserve">atšķirīgajai attieksmei, kas ir radīta pret citām - ne jaunsargu instruktoriem, </w:t>
            </w:r>
            <w:r w:rsidRPr="00924BDF" w:rsidR="000869D5">
              <w:rPr>
                <w:rFonts w:cs="Times New Roman"/>
                <w:sz w:val="26"/>
                <w:szCs w:val="26"/>
              </w:rPr>
              <w:t xml:space="preserve">valsts pārvaldes vai pašvaldību institūcijās nodarbinātām personām ir visnotaļ leģitīms mērķis – lai nodrošinātu </w:t>
            </w:r>
            <w:r w:rsidRPr="00924BDF" w:rsidR="000869D5">
              <w:rPr>
                <w:rFonts w:cs="Times New Roman"/>
                <w:iCs/>
                <w:sz w:val="26"/>
                <w:szCs w:val="26"/>
                <w:lang w:eastAsia="lv-LV"/>
              </w:rPr>
              <w:t xml:space="preserve">pilnvērtīgu valsts aizsardzības sistēmas darbību un nodrošinātu demokrātiskas un tiesiskas valsts turpmāku pastāvēšanu - neatkarību un suverenitāti, kas tieši un nepastarpināti nodrošina Satversmes 116. pantā minētā mērķa sasniegšanu – </w:t>
            </w:r>
            <w:r w:rsidRPr="00924BDF" w:rsidR="00352186">
              <w:rPr>
                <w:rFonts w:cs="Times New Roman"/>
                <w:iCs/>
                <w:sz w:val="26"/>
                <w:szCs w:val="26"/>
                <w:lang w:eastAsia="lv-LV"/>
              </w:rPr>
              <w:t xml:space="preserve">demokrātiskas valsts iekārtas un </w:t>
            </w:r>
            <w:r w:rsidRPr="00924BDF" w:rsidR="000869D5">
              <w:rPr>
                <w:rFonts w:cs="Times New Roman"/>
                <w:iCs/>
                <w:sz w:val="26"/>
                <w:szCs w:val="26"/>
                <w:lang w:eastAsia="lv-LV"/>
              </w:rPr>
              <w:t>sabiedrības drošības nodrošināšanu.</w:t>
            </w:r>
          </w:p>
          <w:p w:rsidR="00404DDD" w:rsidP="00352186" w14:paraId="30377471" w14:textId="77777777">
            <w:pPr>
              <w:pStyle w:val="ListParagraph"/>
              <w:numPr>
                <w:ilvl w:val="0"/>
                <w:numId w:val="5"/>
              </w:numPr>
              <w:ind w:left="-56" w:firstLine="425"/>
              <w:jc w:val="both"/>
              <w:rPr>
                <w:rFonts w:cs="Times New Roman"/>
                <w:sz w:val="26"/>
                <w:szCs w:val="26"/>
              </w:rPr>
            </w:pPr>
            <w:r w:rsidRPr="00924BDF">
              <w:rPr>
                <w:rFonts w:cs="Times New Roman"/>
                <w:sz w:val="26"/>
                <w:szCs w:val="26"/>
              </w:rPr>
              <w:t>ieviešot šādu tiesisko regulējumu, kas rada atšķirīgu attieksmi pret konkrēti identificējamu personu grupu, ir ņemts vērā visas sabiedrības – tostarp – arī personu, pret kurām vērsta šī atšķirīgā attieksme, kopīgais ieguvums, proti,</w:t>
            </w:r>
            <w:r w:rsidRPr="00924BDF" w:rsidR="00182F27">
              <w:rPr>
                <w:rFonts w:cs="Times New Roman"/>
                <w:sz w:val="26"/>
                <w:szCs w:val="26"/>
              </w:rPr>
              <w:t xml:space="preserve"> sabiedrības drošības un demokrātiskas valsts iekārtas nodrošināšana. Šajā gadījumā daudz svarīgāk ir nodrošināt visas sabiedrības kopīgās intereses uz valsts drošības nodrošināšanu, tādēļ tika pieņemts lēmums ieviest tiesisko </w:t>
            </w:r>
            <w:r w:rsidRPr="00924BDF" w:rsidR="00182F27">
              <w:rPr>
                <w:rFonts w:cs="Times New Roman"/>
                <w:sz w:val="26"/>
                <w:szCs w:val="26"/>
              </w:rPr>
              <w:t xml:space="preserve">regulējumu, radot atšķirīgu attieksmi, jo netika atrasti </w:t>
            </w:r>
            <w:r w:rsidRPr="00924BDF" w:rsidR="002E3142">
              <w:rPr>
                <w:rFonts w:cs="Times New Roman"/>
                <w:sz w:val="26"/>
                <w:szCs w:val="26"/>
              </w:rPr>
              <w:t>citi, mazāk kādu personu grupu ietekmējoši risinājumi.</w:t>
            </w:r>
          </w:p>
          <w:p w:rsidR="007A7719" w:rsidRPr="00831A6C" w:rsidP="00404DDD" w14:paraId="291F5B3D" w14:textId="1177DA8D">
            <w:pPr>
              <w:pStyle w:val="ListParagraph"/>
              <w:ind w:left="0" w:firstLine="425"/>
              <w:jc w:val="both"/>
              <w:rPr>
                <w:rFonts w:cs="Times New Roman"/>
                <w:sz w:val="26"/>
                <w:szCs w:val="26"/>
                <w:u w:val="single"/>
              </w:rPr>
            </w:pPr>
            <w:r>
              <w:rPr>
                <w:rFonts w:cs="Times New Roman"/>
                <w:sz w:val="26"/>
                <w:szCs w:val="26"/>
              </w:rPr>
              <w:t>Kā nesamērīgs risinājums tika atzīta iespēja jaunsargu instruktoru amatus komplektēt konkursa kārtībā no personām, kuru profesionālā kvalifikācija atbilstu tam, lai viņi varētu realizēt valsts aizsardzības mācību vispārējās vidējās izglītības un profesionālās skolās, jo šādā gadījumā tiktu veicināta nesamērīga attieksme pret tiem Jaunsardzes un informācijas centra darbiniekiem, kuri šobrīd pilda jaunsargu instruktoru amata pienākumus un savā pieredzē, strādājot Aizsardzības ministrijas resorā, ir ieguvuši to militārās ievirzes pieredzi, kas arī ir būtiska šī mācību priekšmeta sekmīgai apguvei, bet kuriem iztrūkst pedagoģiskā kvalifikācija.</w:t>
            </w:r>
          </w:p>
          <w:p w:rsidR="00831A6C" w:rsidRPr="00E0031B" w:rsidP="00404DDD" w14:paraId="43FA1F52" w14:textId="77777777">
            <w:pPr>
              <w:pStyle w:val="ListParagraph"/>
              <w:ind w:left="0" w:firstLine="425"/>
              <w:jc w:val="both"/>
              <w:rPr>
                <w:rFonts w:cs="Times New Roman"/>
                <w:sz w:val="26"/>
                <w:szCs w:val="26"/>
              </w:rPr>
            </w:pPr>
            <w:r w:rsidRPr="00E0031B">
              <w:rPr>
                <w:rFonts w:cs="Times New Roman"/>
                <w:sz w:val="26"/>
                <w:szCs w:val="26"/>
              </w:rPr>
              <w:t>Tāpat kā nesamērīgs risinājums salīdzinājumā ar bērnu un jauniešu  tiesībām iegūt izglītību profesionālu un kvalificētu pedagogu vadībā, tika atzīta iespēja lūgt likumdevējam noteikt mazākas prasības jaunsargu instruktoru kvalifikācijai, lai viņi varētu realizēt valsts aizsardzības mācību vispārējās vidējās un profesionālās skolās.</w:t>
            </w:r>
          </w:p>
          <w:p w:rsidR="007A7719" w:rsidRPr="00E0031B" w:rsidP="00404DDD" w14:paraId="3CE48458" w14:textId="137246FF">
            <w:pPr>
              <w:pStyle w:val="ListParagraph"/>
              <w:ind w:left="0" w:firstLine="425"/>
              <w:jc w:val="both"/>
              <w:rPr>
                <w:rFonts w:cs="Times New Roman"/>
                <w:sz w:val="26"/>
                <w:szCs w:val="26"/>
              </w:rPr>
            </w:pPr>
            <w:r w:rsidRPr="00E0031B">
              <w:rPr>
                <w:rFonts w:cs="Times New Roman"/>
                <w:sz w:val="26"/>
                <w:szCs w:val="26"/>
              </w:rPr>
              <w:t xml:space="preserve">Cita starpā tika vērtētas iespējas organizēt jaunsargu instruktoru sagatavošanu Nacionālajā aizsardzības akadēmijā vai Latvijas sporta un pedagoģijas akadēmijā. Abi varianti tika atzīti par nelietderīgiem, ņemot vērā esošo pedagogu, instruktoru un telpu iztrūkumu.  </w:t>
            </w:r>
          </w:p>
          <w:p w:rsidR="00352186" w:rsidRPr="00924BDF" w:rsidP="00404DDD" w14:paraId="2F2089EA" w14:textId="508212FD">
            <w:pPr>
              <w:pStyle w:val="ListParagraph"/>
              <w:ind w:left="0" w:firstLine="425"/>
              <w:jc w:val="both"/>
              <w:rPr>
                <w:rFonts w:cs="Times New Roman"/>
                <w:sz w:val="26"/>
                <w:szCs w:val="26"/>
              </w:rPr>
            </w:pPr>
            <w:r>
              <w:rPr>
                <w:rFonts w:cs="Times New Roman"/>
                <w:sz w:val="26"/>
                <w:szCs w:val="26"/>
              </w:rPr>
              <w:t xml:space="preserve">   </w:t>
            </w:r>
            <w:r w:rsidRPr="00924BDF" w:rsidR="002E3142">
              <w:rPr>
                <w:rFonts w:cs="Times New Roman"/>
                <w:sz w:val="26"/>
                <w:szCs w:val="26"/>
              </w:rPr>
              <w:t xml:space="preserve"> </w:t>
            </w:r>
          </w:p>
          <w:p w:rsidR="00DD1AA6" w:rsidRPr="00924BDF" w:rsidP="00DD1AA6" w14:paraId="6D7295BF" w14:textId="48A8B782">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Tāpat, vērtējot valsts aizsardzības mācības realizācijā iesaistītā personāla sastāvu, ir redzams, ka vienu valsts pārvaldes uzdevumu vienlaicīgi realizēs divas atšķirīgas personu kategorijas – darbinieki un karavīri, kuru tiesību un pienākumu apjoms Valsts un pašvaldību institūciju amatpersonu un darbinieku atlīdzības likuma kontekstā ir atšķirīgi regulētas, par pamatu ņemot īpašos apstākļus, kādos karavīrs pilda profesionālā dienesta pienākumus. Tomēr, ņemot vērā šo situāciju, ka abu personu kategorijām uz vienlīdzīgiem nosacījumiem, ievērojot vienādas prasības, jārealizē viens valsts pārvaldes uzdevums, nepieciešams noteikt vienādi pretimnākošu mehānismu, kura izmantošanas procesā šīs personas iegūst uzdevuma izpildei nepieciešamo profesionālo kvalifikāciju.</w:t>
            </w:r>
          </w:p>
          <w:p w:rsidR="00DD1AA6" w:rsidRPr="00924BDF" w:rsidP="00DD1AA6" w14:paraId="5FE7AFE1"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Saskaņā ar Ministru kabineta 2010. gada 12. oktobra noteikumu Nr. 953 “Kārtība, kādā profesionālā dienesta karavīru nosūta uz izglītības iestādi dienesta pienākumu izpildei nepieciešamās izglītības iegūšanai un sedz mācību izdevumu, kā arī šo izdevumu atmaksāšanas kārtība” </w:t>
            </w:r>
            <w:r w:rsidRPr="00924BDF">
              <w:rPr>
                <w:rFonts w:ascii="Times New Roman" w:hAnsi="Times New Roman" w:cs="Times New Roman"/>
                <w:sz w:val="26"/>
                <w:szCs w:val="26"/>
              </w:rPr>
              <w:t>(turpmāk – MK noteikumi Nr. 953) tiesisko regulējumu, pastāv tiesiska iespēja uz Jaunsardzes un informācijas centru pārvietotos karavīrus – jaunsargu instruktorus nosūtīt mācīties uz civilu izglītības iestādi, institūcijai pilnībā uzņemoties ar izglītības iegūšanu saistītās finansiālās saistības.  MK noteikumi Nr. 953 ir attiecināmi tikai uz karavīriem un izmantojot šo mehānismu, lai profesionāli sagatavotu uz Jaunsardzes un informācijas centru pārvietotos karavīrus valsts aizsardzības mācības pasniegšanai, tiktu pieļauta diskriminācija attiecībā pret Jaunsardzes un informācijas centrā nodarbinātajiem darbiniekiem, jo nepastāv tiesisks regulējums, kas ļautu veikt šādas darbības.</w:t>
            </w:r>
          </w:p>
          <w:p w:rsidR="00DD1AA6" w:rsidRPr="00924BDF" w:rsidP="00DD1AA6" w14:paraId="56532F5E"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Lai nodrošinātu vienlīdzības principa ievērošanu, visiem jaunsargu instruktoriem – darbiniekiem un karavīriem, kuri atrodas vienādos un salīdzinošos apstākļos, nepieciešams radīt jaunu tiesisku regulējumu par mācību izdevumu kompensēšanu, kas būtu pielāgots esošajai faktiskajai situācijai un  vienādotu no šī tiesiskā regulējuma piemērošanas izrietošos pienākumus un tiesības abām personu kategorijām.</w:t>
            </w:r>
          </w:p>
          <w:p w:rsidR="00DD1AA6" w:rsidRPr="00924BDF" w:rsidP="00DD1AA6" w14:paraId="1AFB774B" w14:textId="504D00D0">
            <w:pPr>
              <w:jc w:val="both"/>
              <w:rPr>
                <w:rFonts w:ascii="Times New Roman" w:hAnsi="Times New Roman" w:cs="Times New Roman"/>
                <w:sz w:val="26"/>
                <w:szCs w:val="26"/>
              </w:rPr>
            </w:pPr>
            <w:r w:rsidRPr="00924BDF">
              <w:rPr>
                <w:rFonts w:ascii="Times New Roman" w:hAnsi="Times New Roman" w:cs="Times New Roman"/>
                <w:sz w:val="26"/>
                <w:szCs w:val="26"/>
              </w:rPr>
              <w:t>Ievērojot iepriekš norādīto un lai radītu un veicinātu vienlīdzīgu attieksmi jaunsargu instruktoru – darbinieku un karavīru, starpā, ir izstrādāts Ministru kabineta noteikumu projekts, kas paredz vienādu regulējumu, kādā šīm personām tiek kompensēti mācību izdevumi.  Ministru kabineta noteikumu projektā ir veikta MK noteikumu Nr. 565 un MK noteikumu Nr. 954 tiesību vienādošana starp abām personu kategorijām, ievērojot nosacījumu, ka to tiesības netiek vairāk ierobežotas kā to nosaka minētie tiesību akti.</w:t>
            </w:r>
          </w:p>
          <w:p w:rsidR="00D7570F" w:rsidRPr="00924BDF" w:rsidP="00760340" w14:paraId="6F8168C6"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Šajā gadījumā ir skaidri redzami atšķirīgi faktiskie apstākļi, k</w:t>
            </w:r>
            <w:r w:rsidRPr="00924BDF" w:rsidR="00622CC3">
              <w:rPr>
                <w:rFonts w:ascii="Times New Roman" w:hAnsi="Times New Roman" w:cs="Times New Roman"/>
                <w:sz w:val="26"/>
                <w:szCs w:val="26"/>
              </w:rPr>
              <w:t>a</w:t>
            </w:r>
            <w:r w:rsidRPr="00924BDF">
              <w:rPr>
                <w:rFonts w:ascii="Times New Roman" w:hAnsi="Times New Roman" w:cs="Times New Roman"/>
                <w:sz w:val="26"/>
                <w:szCs w:val="26"/>
              </w:rPr>
              <w:t xml:space="preserve">s </w:t>
            </w:r>
            <w:r w:rsidRPr="00924BDF" w:rsidR="00622CC3">
              <w:rPr>
                <w:rFonts w:ascii="Times New Roman" w:hAnsi="Times New Roman" w:cs="Times New Roman"/>
                <w:sz w:val="26"/>
                <w:szCs w:val="26"/>
              </w:rPr>
              <w:t>raksturo</w:t>
            </w:r>
            <w:r w:rsidRPr="00924BDF">
              <w:rPr>
                <w:rFonts w:ascii="Times New Roman" w:hAnsi="Times New Roman" w:cs="Times New Roman"/>
                <w:sz w:val="26"/>
                <w:szCs w:val="26"/>
              </w:rPr>
              <w:t xml:space="preserve"> jaun</w:t>
            </w:r>
            <w:r w:rsidRPr="00924BDF" w:rsidR="00622CC3">
              <w:rPr>
                <w:rFonts w:ascii="Times New Roman" w:hAnsi="Times New Roman" w:cs="Times New Roman"/>
                <w:sz w:val="26"/>
                <w:szCs w:val="26"/>
              </w:rPr>
              <w:t>o</w:t>
            </w:r>
            <w:r w:rsidRPr="00924BDF">
              <w:rPr>
                <w:rFonts w:ascii="Times New Roman" w:hAnsi="Times New Roman" w:cs="Times New Roman"/>
                <w:sz w:val="26"/>
                <w:szCs w:val="26"/>
              </w:rPr>
              <w:t xml:space="preserve"> valsts pārvaldes uzdevum</w:t>
            </w:r>
            <w:r w:rsidRPr="00924BDF" w:rsidR="00622CC3">
              <w:rPr>
                <w:rFonts w:ascii="Times New Roman" w:hAnsi="Times New Roman" w:cs="Times New Roman"/>
                <w:sz w:val="26"/>
                <w:szCs w:val="26"/>
              </w:rPr>
              <w:t>u</w:t>
            </w:r>
            <w:r w:rsidRPr="00924BDF">
              <w:rPr>
                <w:rFonts w:ascii="Times New Roman" w:hAnsi="Times New Roman" w:cs="Times New Roman"/>
                <w:sz w:val="26"/>
                <w:szCs w:val="26"/>
              </w:rPr>
              <w:t xml:space="preserve"> – valsts aizsardzības mācības ieviešanas un nodrošināšanas uzdevum</w:t>
            </w:r>
            <w:r w:rsidRPr="00924BDF" w:rsidR="00622CC3">
              <w:rPr>
                <w:rFonts w:ascii="Times New Roman" w:hAnsi="Times New Roman" w:cs="Times New Roman"/>
                <w:sz w:val="26"/>
                <w:szCs w:val="26"/>
              </w:rPr>
              <w:t>u</w:t>
            </w:r>
            <w:r w:rsidRPr="00924BDF">
              <w:rPr>
                <w:rFonts w:ascii="Times New Roman" w:hAnsi="Times New Roman" w:cs="Times New Roman"/>
                <w:sz w:val="26"/>
                <w:szCs w:val="26"/>
              </w:rPr>
              <w:t>, proti, institūcija, kas iepriekš nav veikusi</w:t>
            </w:r>
            <w:r w:rsidRPr="00924BDF" w:rsidR="00622CC3">
              <w:rPr>
                <w:rFonts w:ascii="Times New Roman" w:hAnsi="Times New Roman" w:cs="Times New Roman"/>
                <w:sz w:val="26"/>
                <w:szCs w:val="26"/>
              </w:rPr>
              <w:t xml:space="preserve"> vispārējās vidējās izglītības realizēšanas uzdevumu, ir deleģēta šī uzdevuma veikšanai, bet faktiski tās personāls nav tam profesionāli sagatavots – atbilstošs. </w:t>
            </w:r>
            <w:r w:rsidRPr="00924BDF" w:rsidR="00107B3B">
              <w:rPr>
                <w:rFonts w:ascii="Times New Roman" w:hAnsi="Times New Roman" w:cs="Times New Roman"/>
                <w:sz w:val="26"/>
                <w:szCs w:val="26"/>
              </w:rPr>
              <w:t>No</w:t>
            </w:r>
            <w:r w:rsidRPr="00924BDF" w:rsidR="00622CC3">
              <w:rPr>
                <w:rFonts w:ascii="Times New Roman" w:eastAsia="Times New Roman" w:hAnsi="Times New Roman" w:cs="Times New Roman"/>
                <w:b/>
                <w:iCs/>
                <w:sz w:val="26"/>
                <w:szCs w:val="26"/>
                <w:lang w:eastAsia="lv-LV"/>
              </w:rPr>
              <w:t xml:space="preserve"> </w:t>
            </w:r>
            <w:r w:rsidRPr="00924BDF" w:rsidR="00622CC3">
              <w:rPr>
                <w:rFonts w:ascii="Times New Roman" w:eastAsia="Times New Roman" w:hAnsi="Times New Roman" w:cs="Times New Roman"/>
                <w:iCs/>
                <w:sz w:val="26"/>
                <w:szCs w:val="26"/>
                <w:lang w:eastAsia="lv-LV"/>
              </w:rPr>
              <w:t>Saeimas 2018. gada 7. jūnija sēdē pieņemt</w:t>
            </w:r>
            <w:r w:rsidRPr="00924BDF" w:rsidR="00107B3B">
              <w:rPr>
                <w:rFonts w:ascii="Times New Roman" w:eastAsia="Times New Roman" w:hAnsi="Times New Roman" w:cs="Times New Roman"/>
                <w:iCs/>
                <w:sz w:val="26"/>
                <w:szCs w:val="26"/>
                <w:lang w:eastAsia="lv-LV"/>
              </w:rPr>
              <w:t>ā</w:t>
            </w:r>
            <w:r w:rsidRPr="00924BDF" w:rsidR="00622CC3">
              <w:rPr>
                <w:rFonts w:ascii="Times New Roman" w:eastAsia="Times New Roman" w:hAnsi="Times New Roman" w:cs="Times New Roman"/>
                <w:iCs/>
                <w:sz w:val="26"/>
                <w:szCs w:val="26"/>
                <w:lang w:eastAsia="lv-LV"/>
              </w:rPr>
              <w:t xml:space="preserve"> lēmum</w:t>
            </w:r>
            <w:r w:rsidRPr="00924BDF" w:rsidR="00107B3B">
              <w:rPr>
                <w:rFonts w:ascii="Times New Roman" w:eastAsia="Times New Roman" w:hAnsi="Times New Roman" w:cs="Times New Roman"/>
                <w:iCs/>
                <w:sz w:val="26"/>
                <w:szCs w:val="26"/>
                <w:lang w:eastAsia="lv-LV"/>
              </w:rPr>
              <w:t>a</w:t>
            </w:r>
            <w:r w:rsidRPr="00924BDF" w:rsidR="00622CC3">
              <w:rPr>
                <w:rFonts w:ascii="Times New Roman" w:eastAsia="Times New Roman" w:hAnsi="Times New Roman" w:cs="Times New Roman"/>
                <w:iCs/>
                <w:sz w:val="26"/>
                <w:szCs w:val="26"/>
                <w:lang w:eastAsia="lv-LV"/>
              </w:rPr>
              <w:t xml:space="preserve"> ˝Par valsts aizsardzības mācības iekļaušanu valsts vidējās izglītības standartā˝</w:t>
            </w:r>
            <w:r w:rsidRPr="00924BDF" w:rsidR="00622CC3">
              <w:rPr>
                <w:rFonts w:ascii="Times New Roman" w:hAnsi="Times New Roman" w:cs="Times New Roman"/>
                <w:sz w:val="26"/>
                <w:szCs w:val="26"/>
              </w:rPr>
              <w:t xml:space="preserve"> </w:t>
            </w:r>
            <w:r w:rsidRPr="00924BDF" w:rsidR="00107B3B">
              <w:rPr>
                <w:rFonts w:ascii="Times New Roman" w:hAnsi="Times New Roman" w:cs="Times New Roman"/>
                <w:sz w:val="26"/>
                <w:szCs w:val="26"/>
              </w:rPr>
              <w:t>satura ir redzams, ka tā izpildes procesā netiks noteikts pār</w:t>
            </w:r>
            <w:r w:rsidRPr="00924BDF" w:rsidR="00096FB3">
              <w:rPr>
                <w:rFonts w:ascii="Times New Roman" w:hAnsi="Times New Roman" w:cs="Times New Roman"/>
                <w:sz w:val="26"/>
                <w:szCs w:val="26"/>
              </w:rPr>
              <w:t xml:space="preserve">ejas periods, kurā jaunsargu instruktoru pedagoģiskās kvalifikācijas iegūšanai, tiek noteikts laiks un šīs personas vienlaicīgi var realizēt valsts pārvaldes uzdevumu ar samazinātām prasībām, tādēļ nepieciešama šo </w:t>
            </w:r>
            <w:r w:rsidRPr="00924BDF" w:rsidR="00096FB3">
              <w:rPr>
                <w:rFonts w:ascii="Times New Roman" w:hAnsi="Times New Roman" w:cs="Times New Roman"/>
                <w:sz w:val="26"/>
                <w:szCs w:val="26"/>
              </w:rPr>
              <w:t>personu</w:t>
            </w:r>
            <w:r w:rsidRPr="00924BDF" w:rsidR="009A0DB7">
              <w:rPr>
                <w:rFonts w:ascii="Times New Roman" w:hAnsi="Times New Roman" w:cs="Times New Roman"/>
                <w:sz w:val="26"/>
                <w:szCs w:val="26"/>
              </w:rPr>
              <w:t xml:space="preserve"> – jaunsargu instruktoru</w:t>
            </w:r>
            <w:r w:rsidRPr="00924BDF" w:rsidR="00096FB3">
              <w:rPr>
                <w:rFonts w:ascii="Times New Roman" w:hAnsi="Times New Roman" w:cs="Times New Roman"/>
                <w:sz w:val="26"/>
                <w:szCs w:val="26"/>
              </w:rPr>
              <w:t xml:space="preserve"> sagatavošana </w:t>
            </w:r>
            <w:r w:rsidRPr="00924BDF" w:rsidR="009A0DB7">
              <w:rPr>
                <w:rFonts w:ascii="Times New Roman" w:hAnsi="Times New Roman" w:cs="Times New Roman"/>
                <w:sz w:val="26"/>
                <w:szCs w:val="26"/>
              </w:rPr>
              <w:t>tādām</w:t>
            </w:r>
            <w:r w:rsidRPr="00924BDF" w:rsidR="00096FB3">
              <w:rPr>
                <w:rFonts w:ascii="Times New Roman" w:hAnsi="Times New Roman" w:cs="Times New Roman"/>
                <w:sz w:val="26"/>
                <w:szCs w:val="26"/>
              </w:rPr>
              <w:t xml:space="preserve"> prasībām, kas atbilst prasību apmēram kā visiem vidējās izglītības procesa īstenot</w:t>
            </w:r>
            <w:r w:rsidRPr="00924BDF" w:rsidR="009A0DB7">
              <w:rPr>
                <w:rFonts w:ascii="Times New Roman" w:hAnsi="Times New Roman" w:cs="Times New Roman"/>
                <w:sz w:val="26"/>
                <w:szCs w:val="26"/>
              </w:rPr>
              <w:t>āj</w:t>
            </w:r>
            <w:r w:rsidRPr="00924BDF" w:rsidR="00096FB3">
              <w:rPr>
                <w:rFonts w:ascii="Times New Roman" w:hAnsi="Times New Roman" w:cs="Times New Roman"/>
                <w:sz w:val="26"/>
                <w:szCs w:val="26"/>
              </w:rPr>
              <w:t xml:space="preserve">iem. </w:t>
            </w:r>
          </w:p>
          <w:p w:rsidR="00731741" w:rsidRPr="00924BDF" w:rsidP="00760340" w14:paraId="529D6C30"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Atsaucoties uz iepriekš norādīto, ir secināms, ka valsts aizsardzības mācības realizēšanas uzdevums ir </w:t>
            </w:r>
            <w:r w:rsidRPr="00924BDF" w:rsidR="00827DB2">
              <w:rPr>
                <w:rFonts w:ascii="Times New Roman" w:hAnsi="Times New Roman" w:cs="Times New Roman"/>
                <w:sz w:val="26"/>
                <w:szCs w:val="26"/>
              </w:rPr>
              <w:t xml:space="preserve">tieši, ne pastarpināti </w:t>
            </w:r>
            <w:r w:rsidRPr="00924BDF">
              <w:rPr>
                <w:rFonts w:ascii="Times New Roman" w:hAnsi="Times New Roman" w:cs="Times New Roman"/>
                <w:sz w:val="26"/>
                <w:szCs w:val="26"/>
              </w:rPr>
              <w:t>vērsts uz valsts aizsardzības funkcijas nodrošināšanu, proti, valstiski svarīgu interešu nodrošināšanu, kas viennozīmīgi saistām</w:t>
            </w:r>
            <w:r w:rsidRPr="00924BDF" w:rsidR="00827DB2">
              <w:rPr>
                <w:rFonts w:ascii="Times New Roman" w:hAnsi="Times New Roman" w:cs="Times New Roman"/>
                <w:sz w:val="26"/>
                <w:szCs w:val="26"/>
              </w:rPr>
              <w:t>a ar visas sabiedrības interesi šīs funkcijas un secīgi arī uzdevuma sekmīgā un efektīvā realizācijā.</w:t>
            </w:r>
            <w:r w:rsidRPr="00924BDF">
              <w:rPr>
                <w:rFonts w:ascii="Times New Roman" w:hAnsi="Times New Roman" w:cs="Times New Roman"/>
                <w:sz w:val="26"/>
                <w:szCs w:val="26"/>
              </w:rPr>
              <w:t xml:space="preserve"> Tādējādi ir atzīstams, ka šis apstāklis ir uzskatāms par vienu no atšķirīgi vērtējamiem elementiem vienlīdzības principa piemērošanas izņēmumam. </w:t>
            </w:r>
          </w:p>
          <w:p w:rsidR="00FF3999" w:rsidRPr="00924BDF" w:rsidP="00760340" w14:paraId="7C4C5BCE"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Ministru kabinets vairākkārt, atsaucoties uz valsts pārvaldes uzdevuma īpašo nozīmi un ar tā izpildi saistāmo valstiski svarīgo mērķu sasniegšanas nepieciešamību, ir </w:t>
            </w:r>
            <w:r w:rsidRPr="00924BDF" w:rsidR="0024184D">
              <w:rPr>
                <w:rFonts w:ascii="Times New Roman" w:hAnsi="Times New Roman" w:cs="Times New Roman"/>
                <w:sz w:val="26"/>
                <w:szCs w:val="26"/>
              </w:rPr>
              <w:t>noteicis</w:t>
            </w:r>
            <w:r w:rsidRPr="00924BDF">
              <w:rPr>
                <w:rFonts w:ascii="Times New Roman" w:hAnsi="Times New Roman" w:cs="Times New Roman"/>
                <w:sz w:val="26"/>
                <w:szCs w:val="26"/>
              </w:rPr>
              <w:t xml:space="preserve"> atšķirīgus tiesiskus reg</w:t>
            </w:r>
            <w:r w:rsidRPr="00924BDF" w:rsidR="00BA0A94">
              <w:rPr>
                <w:rFonts w:ascii="Times New Roman" w:hAnsi="Times New Roman" w:cs="Times New Roman"/>
                <w:sz w:val="26"/>
                <w:szCs w:val="26"/>
              </w:rPr>
              <w:t xml:space="preserve">ulējumus situācijās, kuras </w:t>
            </w:r>
            <w:r w:rsidRPr="00924BDF" w:rsidR="00BA0A94">
              <w:rPr>
                <w:rFonts w:ascii="Times New Roman" w:hAnsi="Times New Roman" w:cs="Times New Roman"/>
                <w:sz w:val="26"/>
                <w:szCs w:val="26"/>
              </w:rPr>
              <w:t>pirm</w:t>
            </w:r>
            <w:r w:rsidRPr="00924BDF">
              <w:rPr>
                <w:rFonts w:ascii="Times New Roman" w:hAnsi="Times New Roman" w:cs="Times New Roman"/>
                <w:sz w:val="26"/>
                <w:szCs w:val="26"/>
              </w:rPr>
              <w:t>šķietami</w:t>
            </w:r>
            <w:r w:rsidRPr="00924BDF">
              <w:rPr>
                <w:rFonts w:ascii="Times New Roman" w:hAnsi="Times New Roman" w:cs="Times New Roman"/>
                <w:sz w:val="26"/>
                <w:szCs w:val="26"/>
              </w:rPr>
              <w:t xml:space="preserve"> </w:t>
            </w:r>
            <w:r w:rsidRPr="00924BDF" w:rsidR="0024184D">
              <w:rPr>
                <w:rFonts w:ascii="Times New Roman" w:hAnsi="Times New Roman" w:cs="Times New Roman"/>
                <w:sz w:val="26"/>
                <w:szCs w:val="26"/>
              </w:rPr>
              <w:t xml:space="preserve"> tiktu raksturotas kā salīdzināmas, bet pamatojoties uz valsts pārvaldes uzdevuma īpašo nozīmi, ir pieļāvis izņēmumu, piemēram, </w:t>
            </w:r>
            <w:r w:rsidRPr="00924BDF" w:rsidR="00BA0A94">
              <w:rPr>
                <w:rFonts w:ascii="Times New Roman" w:hAnsi="Times New Roman" w:cs="Times New Roman"/>
                <w:sz w:val="26"/>
                <w:szCs w:val="26"/>
              </w:rPr>
              <w:t>Ministru kabineta 2013 gada 13. augusta noteikumi Nr. 589 “Noteikumi par papildus atlīdzības noteikšanu amatpersonām (darbiniekiem), kuras ir iesaistītas Latvijas prezidentūras Eiropas Savienības Padomē 2015. gadā sagatavošanā un norisē”. Šādu iemeslu dēļ arī šī noteikumu projekta kontekstā šis apstāklis vērtējams kā atšķirīgs elements.</w:t>
            </w:r>
          </w:p>
          <w:p w:rsidR="00853C03" w:rsidRPr="00924BDF" w:rsidP="00760340" w14:paraId="186ADD08" w14:textId="5D27313B">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Tāpat</w:t>
            </w:r>
            <w:r w:rsidRPr="00924BDF" w:rsidR="0051746D">
              <w:rPr>
                <w:rFonts w:ascii="Times New Roman" w:hAnsi="Times New Roman" w:cs="Times New Roman"/>
                <w:sz w:val="26"/>
                <w:szCs w:val="26"/>
              </w:rPr>
              <w:t xml:space="preserve"> ir konstatējams otrs atšķirīgais elements, lai vienlīdzības principa piemērošanu atzītu par neiespējamu attiecībā pret visā valsts pārvaldē nodarbinātajiem darbiniekiem esoš</w:t>
            </w:r>
            <w:r w:rsidRPr="00924BDF">
              <w:rPr>
                <w:rFonts w:ascii="Times New Roman" w:hAnsi="Times New Roman" w:cs="Times New Roman"/>
                <w:sz w:val="26"/>
                <w:szCs w:val="26"/>
              </w:rPr>
              <w:t>ās</w:t>
            </w:r>
            <w:r w:rsidRPr="00924BDF" w:rsidR="0051746D">
              <w:rPr>
                <w:rFonts w:ascii="Times New Roman" w:hAnsi="Times New Roman" w:cs="Times New Roman"/>
                <w:sz w:val="26"/>
                <w:szCs w:val="26"/>
              </w:rPr>
              <w:t xml:space="preserve"> situ</w:t>
            </w:r>
            <w:r w:rsidRPr="00924BDF">
              <w:rPr>
                <w:rFonts w:ascii="Times New Roman" w:hAnsi="Times New Roman" w:cs="Times New Roman"/>
                <w:sz w:val="26"/>
                <w:szCs w:val="26"/>
              </w:rPr>
              <w:t>ācijas kontekstā</w:t>
            </w:r>
            <w:r w:rsidRPr="00924BDF" w:rsidR="0051746D">
              <w:rPr>
                <w:rFonts w:ascii="Times New Roman" w:hAnsi="Times New Roman" w:cs="Times New Roman"/>
                <w:sz w:val="26"/>
                <w:szCs w:val="26"/>
              </w:rPr>
              <w:t xml:space="preserve">. </w:t>
            </w:r>
          </w:p>
          <w:p w:rsidR="001554E7" w:rsidRPr="00924BDF" w:rsidP="001554E7" w14:paraId="6B07B22C" w14:textId="00D8B896">
            <w:pPr>
              <w:spacing w:after="0" w:line="240" w:lineRule="auto"/>
              <w:ind w:firstLine="345"/>
              <w:jc w:val="both"/>
              <w:rPr>
                <w:rFonts w:ascii="Times New Roman" w:hAnsi="Times New Roman" w:cs="Times New Roman"/>
                <w:sz w:val="26"/>
                <w:szCs w:val="26"/>
              </w:rPr>
            </w:pPr>
          </w:p>
          <w:p w:rsidR="007159AB" w:rsidRPr="00924BDF" w:rsidP="007159AB" w14:paraId="214B3860" w14:textId="5C8CCB53">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Ministru kabineta noteikumu projekts paredz, ka jaunsargu instruktoram, lai saņemtu mācību </w:t>
            </w:r>
            <w:r w:rsidRPr="00924BDF" w:rsidR="009041C0">
              <w:rPr>
                <w:rFonts w:ascii="Times New Roman" w:hAnsi="Times New Roman" w:cs="Times New Roman"/>
                <w:sz w:val="26"/>
                <w:szCs w:val="26"/>
              </w:rPr>
              <w:t>izdevumu</w:t>
            </w:r>
            <w:r w:rsidRPr="00924BDF">
              <w:rPr>
                <w:rFonts w:ascii="Times New Roman" w:hAnsi="Times New Roman" w:cs="Times New Roman"/>
                <w:sz w:val="26"/>
                <w:szCs w:val="26"/>
              </w:rPr>
              <w:t xml:space="preserve"> kompensāciju jāiesniedz </w:t>
            </w:r>
            <w:r w:rsidRPr="00924BDF" w:rsidR="007D6F0D">
              <w:rPr>
                <w:rFonts w:ascii="Times New Roman" w:hAnsi="Times New Roman" w:cs="Times New Roman"/>
                <w:sz w:val="26"/>
                <w:szCs w:val="26"/>
              </w:rPr>
              <w:t>J</w:t>
            </w:r>
            <w:r w:rsidRPr="00924BDF" w:rsidR="005D25A2">
              <w:rPr>
                <w:rFonts w:ascii="Times New Roman" w:hAnsi="Times New Roman" w:cs="Times New Roman"/>
                <w:sz w:val="26"/>
                <w:szCs w:val="26"/>
              </w:rPr>
              <w:t>aunsardzes un informācijas centra</w:t>
            </w:r>
            <w:r w:rsidRPr="00924BDF" w:rsidR="007D6F0D">
              <w:rPr>
                <w:rFonts w:ascii="Times New Roman" w:hAnsi="Times New Roman" w:cs="Times New Roman"/>
                <w:sz w:val="26"/>
                <w:szCs w:val="26"/>
              </w:rPr>
              <w:t xml:space="preserve"> direktoram </w:t>
            </w:r>
            <w:r w:rsidRPr="00924BDF">
              <w:rPr>
                <w:rFonts w:ascii="Times New Roman" w:hAnsi="Times New Roman" w:cs="Times New Roman"/>
                <w:sz w:val="26"/>
                <w:szCs w:val="26"/>
              </w:rPr>
              <w:t xml:space="preserve">iesniegums ar lūgumu </w:t>
            </w:r>
            <w:r w:rsidRPr="00924BDF" w:rsidR="005D25A2">
              <w:rPr>
                <w:rFonts w:ascii="Times New Roman" w:hAnsi="Times New Roman" w:cs="Times New Roman"/>
                <w:sz w:val="26"/>
                <w:szCs w:val="26"/>
              </w:rPr>
              <w:t>kompensēt</w:t>
            </w:r>
            <w:r w:rsidRPr="00924BDF">
              <w:rPr>
                <w:rFonts w:ascii="Times New Roman" w:hAnsi="Times New Roman" w:cs="Times New Roman"/>
                <w:sz w:val="26"/>
                <w:szCs w:val="26"/>
              </w:rPr>
              <w:t xml:space="preserve"> mācību izdevumus. Iesniegumam jāpievieno noslēgtais studiju l</w:t>
            </w:r>
            <w:r w:rsidRPr="00924BDF" w:rsidR="007D6F0D">
              <w:rPr>
                <w:rFonts w:ascii="Times New Roman" w:hAnsi="Times New Roman" w:cs="Times New Roman"/>
                <w:sz w:val="26"/>
                <w:szCs w:val="26"/>
              </w:rPr>
              <w:t xml:space="preserve">īgums un </w:t>
            </w:r>
            <w:r w:rsidRPr="00924BDF">
              <w:rPr>
                <w:rFonts w:ascii="Times New Roman" w:hAnsi="Times New Roman" w:cs="Times New Roman"/>
                <w:sz w:val="26"/>
                <w:szCs w:val="26"/>
              </w:rPr>
              <w:t>informācija par studiju programmu</w:t>
            </w:r>
            <w:r w:rsidRPr="00924BDF" w:rsidR="007D6F0D">
              <w:rPr>
                <w:rFonts w:ascii="Times New Roman" w:hAnsi="Times New Roman" w:cs="Times New Roman"/>
                <w:sz w:val="26"/>
                <w:szCs w:val="26"/>
              </w:rPr>
              <w:t xml:space="preserve"> (nosaukums, iegūstamā kvalifikācija, studiju programmas apraksts un informācija par studiju laiku), kā arī informācija </w:t>
            </w:r>
            <w:r w:rsidRPr="00924BDF">
              <w:rPr>
                <w:rFonts w:ascii="Times New Roman" w:hAnsi="Times New Roman" w:cs="Times New Roman"/>
                <w:sz w:val="26"/>
                <w:szCs w:val="26"/>
              </w:rPr>
              <w:t>par</w:t>
            </w:r>
            <w:r w:rsidRPr="00924BDF" w:rsidR="007D6F0D">
              <w:rPr>
                <w:rFonts w:ascii="Times New Roman" w:hAnsi="Times New Roman" w:cs="Times New Roman"/>
                <w:sz w:val="26"/>
                <w:szCs w:val="26"/>
              </w:rPr>
              <w:t xml:space="preserve"> </w:t>
            </w:r>
            <w:r w:rsidRPr="00924BDF" w:rsidR="009041C0">
              <w:rPr>
                <w:rFonts w:ascii="Times New Roman" w:hAnsi="Times New Roman" w:cs="Times New Roman"/>
                <w:sz w:val="26"/>
                <w:szCs w:val="26"/>
              </w:rPr>
              <w:t>savu</w:t>
            </w:r>
            <w:r w:rsidRPr="00924BDF" w:rsidR="007D6F0D">
              <w:rPr>
                <w:rFonts w:ascii="Times New Roman" w:hAnsi="Times New Roman" w:cs="Times New Roman"/>
                <w:sz w:val="26"/>
                <w:szCs w:val="26"/>
              </w:rPr>
              <w:t xml:space="preserve"> norēķinu kontu, uz kuru pārskaitāma </w:t>
            </w:r>
            <w:r w:rsidRPr="00924BDF" w:rsidR="009041C0">
              <w:rPr>
                <w:rFonts w:ascii="Times New Roman" w:hAnsi="Times New Roman" w:cs="Times New Roman"/>
                <w:sz w:val="26"/>
                <w:szCs w:val="26"/>
              </w:rPr>
              <w:t>reģistrēšanās izdevumu</w:t>
            </w:r>
            <w:r w:rsidRPr="00924BDF" w:rsidR="007D6F0D">
              <w:rPr>
                <w:rFonts w:ascii="Times New Roman" w:hAnsi="Times New Roman" w:cs="Times New Roman"/>
                <w:sz w:val="26"/>
                <w:szCs w:val="26"/>
              </w:rPr>
              <w:t xml:space="preserve"> kompensācija.</w:t>
            </w:r>
          </w:p>
          <w:p w:rsidR="007D6F0D" w:rsidRPr="00924BDF" w:rsidP="007159AB" w14:paraId="5DBE6E0D"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Iesniegumu izvērtē, ņemot vērā šādus kritērijus:</w:t>
            </w:r>
          </w:p>
          <w:p w:rsidR="007D6F0D" w:rsidRPr="00924BDF" w:rsidP="007159AB" w14:paraId="6D90C4E2"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1) </w:t>
            </w:r>
            <w:r w:rsidRPr="00924BDF" w:rsidR="00090AD2">
              <w:rPr>
                <w:rFonts w:ascii="Times New Roman" w:hAnsi="Times New Roman" w:cs="Times New Roman"/>
                <w:sz w:val="26"/>
                <w:szCs w:val="26"/>
              </w:rPr>
              <w:t xml:space="preserve">to, vai </w:t>
            </w:r>
            <w:r w:rsidRPr="00924BDF">
              <w:rPr>
                <w:rFonts w:ascii="Times New Roman" w:hAnsi="Times New Roman" w:cs="Times New Roman"/>
                <w:sz w:val="26"/>
                <w:szCs w:val="26"/>
              </w:rPr>
              <w:t>izvēlētās studiju programmas apguve jaunsargu instruktoram ļaus izpildīt Ministru kabineta noteikumu par pedagogiem nepieciešamo izglītību prasības;</w:t>
            </w:r>
          </w:p>
          <w:p w:rsidR="007D6F0D" w:rsidRPr="00924BDF" w:rsidP="007D6F0D" w14:paraId="65DDFBF9"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2) </w:t>
            </w:r>
            <w:r w:rsidRPr="00924BDF" w:rsidR="00090AD2">
              <w:rPr>
                <w:rFonts w:ascii="Times New Roman" w:hAnsi="Times New Roman" w:cs="Times New Roman"/>
                <w:sz w:val="26"/>
                <w:szCs w:val="26"/>
              </w:rPr>
              <w:t>vai izvēlētā</w:t>
            </w:r>
            <w:r w:rsidRPr="00924BDF" w:rsidR="00E9283A">
              <w:rPr>
                <w:rFonts w:ascii="Times New Roman" w:hAnsi="Times New Roman" w:cs="Times New Roman"/>
                <w:sz w:val="26"/>
                <w:szCs w:val="26"/>
              </w:rPr>
              <w:t>s</w:t>
            </w:r>
            <w:r w:rsidRPr="00924BDF" w:rsidR="00090AD2">
              <w:rPr>
                <w:rFonts w:ascii="Times New Roman" w:hAnsi="Times New Roman" w:cs="Times New Roman"/>
                <w:sz w:val="26"/>
                <w:szCs w:val="26"/>
              </w:rPr>
              <w:t xml:space="preserve"> studiju programmas</w:t>
            </w:r>
            <w:r w:rsidRPr="00924BDF" w:rsidR="00E9283A">
              <w:rPr>
                <w:rFonts w:ascii="Times New Roman" w:hAnsi="Times New Roman" w:cs="Times New Roman"/>
                <w:sz w:val="26"/>
                <w:szCs w:val="26"/>
              </w:rPr>
              <w:t xml:space="preserve"> apguve</w:t>
            </w:r>
            <w:r w:rsidRPr="00924BDF" w:rsidR="00090AD2">
              <w:rPr>
                <w:rFonts w:ascii="Times New Roman" w:hAnsi="Times New Roman" w:cs="Times New Roman"/>
                <w:sz w:val="26"/>
                <w:szCs w:val="26"/>
              </w:rPr>
              <w:t xml:space="preserve"> ir </w:t>
            </w:r>
            <w:r w:rsidRPr="00924BDF" w:rsidR="00E9283A">
              <w:rPr>
                <w:rFonts w:ascii="Times New Roman" w:hAnsi="Times New Roman" w:cs="Times New Roman"/>
                <w:sz w:val="26"/>
                <w:szCs w:val="26"/>
              </w:rPr>
              <w:t>savietojama ar</w:t>
            </w:r>
            <w:r w:rsidRPr="00924BDF" w:rsidR="00090AD2">
              <w:rPr>
                <w:rFonts w:ascii="Times New Roman" w:hAnsi="Times New Roman" w:cs="Times New Roman"/>
                <w:sz w:val="26"/>
                <w:szCs w:val="26"/>
              </w:rPr>
              <w:t xml:space="preserve"> amata pienākumu izpildi;</w:t>
            </w:r>
          </w:p>
          <w:p w:rsidR="00090AD2" w:rsidRPr="00924BDF" w:rsidP="007D6F0D" w14:paraId="101872A0"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Ja iesniegumu iesniedzis jaunsargu instruktors, kas ir profesionālā dienesta karavīrs, J</w:t>
            </w:r>
            <w:r w:rsidRPr="00924BDF" w:rsidR="009041C0">
              <w:rPr>
                <w:rFonts w:ascii="Times New Roman" w:hAnsi="Times New Roman" w:cs="Times New Roman"/>
                <w:sz w:val="26"/>
                <w:szCs w:val="26"/>
              </w:rPr>
              <w:t>aunsardzes un informācijas centra direktors</w:t>
            </w:r>
            <w:r w:rsidRPr="00924BDF">
              <w:rPr>
                <w:rFonts w:ascii="Times New Roman" w:hAnsi="Times New Roman" w:cs="Times New Roman"/>
                <w:sz w:val="26"/>
                <w:szCs w:val="26"/>
              </w:rPr>
              <w:t xml:space="preserve"> lūdz </w:t>
            </w:r>
            <w:r w:rsidRPr="00924BDF" w:rsidR="009041C0">
              <w:rPr>
                <w:rFonts w:ascii="Times New Roman" w:hAnsi="Times New Roman" w:cs="Times New Roman"/>
                <w:sz w:val="26"/>
                <w:szCs w:val="26"/>
              </w:rPr>
              <w:t>Nacionālo bruņoto spēku</w:t>
            </w:r>
            <w:r w:rsidRPr="00924BDF">
              <w:rPr>
                <w:rFonts w:ascii="Times New Roman" w:hAnsi="Times New Roman" w:cs="Times New Roman"/>
                <w:sz w:val="26"/>
                <w:szCs w:val="26"/>
              </w:rPr>
              <w:t xml:space="preserve"> komandiera viedokli par karavīra turpmāko dienesta gaitu.</w:t>
            </w:r>
          </w:p>
          <w:p w:rsidR="00D856B4" w:rsidRPr="00924BDF" w:rsidP="007D6F0D" w14:paraId="14F21E92" w14:textId="15A0A106">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Pēc iesnieguma izvērtēšanas, J</w:t>
            </w:r>
            <w:r w:rsidRPr="00924BDF" w:rsidR="009041C0">
              <w:rPr>
                <w:rFonts w:ascii="Times New Roman" w:hAnsi="Times New Roman" w:cs="Times New Roman"/>
                <w:sz w:val="26"/>
                <w:szCs w:val="26"/>
              </w:rPr>
              <w:t>aunsardzes un informācijas centra</w:t>
            </w:r>
            <w:r w:rsidRPr="00924BDF">
              <w:rPr>
                <w:rFonts w:ascii="Times New Roman" w:hAnsi="Times New Roman" w:cs="Times New Roman"/>
                <w:sz w:val="26"/>
                <w:szCs w:val="26"/>
              </w:rPr>
              <w:t xml:space="preserve"> direktors </w:t>
            </w:r>
            <w:r w:rsidRPr="00924BDF" w:rsidR="009041C0">
              <w:rPr>
                <w:rFonts w:ascii="Times New Roman" w:hAnsi="Times New Roman" w:cs="Times New Roman"/>
                <w:sz w:val="26"/>
                <w:szCs w:val="26"/>
              </w:rPr>
              <w:t>p</w:t>
            </w:r>
            <w:r w:rsidRPr="00924BDF">
              <w:rPr>
                <w:rFonts w:ascii="Times New Roman" w:hAnsi="Times New Roman" w:cs="Times New Roman"/>
                <w:sz w:val="26"/>
                <w:szCs w:val="26"/>
              </w:rPr>
              <w:t xml:space="preserve">ieņem lēmumu par mācību </w:t>
            </w:r>
            <w:r w:rsidRPr="00924BDF" w:rsidR="009041C0">
              <w:rPr>
                <w:rFonts w:ascii="Times New Roman" w:hAnsi="Times New Roman" w:cs="Times New Roman"/>
                <w:sz w:val="26"/>
                <w:szCs w:val="26"/>
              </w:rPr>
              <w:t>izdevumu</w:t>
            </w:r>
            <w:r w:rsidRPr="00924BDF">
              <w:rPr>
                <w:rFonts w:ascii="Times New Roman" w:hAnsi="Times New Roman" w:cs="Times New Roman"/>
                <w:sz w:val="26"/>
                <w:szCs w:val="26"/>
              </w:rPr>
              <w:t xml:space="preserve"> kompensēšanu, </w:t>
            </w:r>
            <w:r w:rsidRPr="00924BDF" w:rsidR="009041C0">
              <w:rPr>
                <w:rFonts w:ascii="Times New Roman" w:hAnsi="Times New Roman" w:cs="Times New Roman"/>
                <w:sz w:val="26"/>
                <w:szCs w:val="26"/>
              </w:rPr>
              <w:t>norādot kompensējamo mācību izdevumu apmēru, kas atbilst konkrētās izglītības iestādes noteiktajam mācību izdevumu apmēram</w:t>
            </w:r>
            <w:r w:rsidRPr="00924BDF">
              <w:rPr>
                <w:rFonts w:ascii="Times New Roman" w:hAnsi="Times New Roman" w:cs="Times New Roman"/>
                <w:sz w:val="26"/>
                <w:szCs w:val="26"/>
              </w:rPr>
              <w:t xml:space="preserve">. Ja pieņemts lēmums kompensēt mācību </w:t>
            </w:r>
            <w:r w:rsidRPr="00924BDF" w:rsidR="009041C0">
              <w:rPr>
                <w:rFonts w:ascii="Times New Roman" w:hAnsi="Times New Roman" w:cs="Times New Roman"/>
                <w:sz w:val="26"/>
                <w:szCs w:val="26"/>
              </w:rPr>
              <w:t>izdevumus</w:t>
            </w:r>
            <w:r w:rsidRPr="00924BDF">
              <w:rPr>
                <w:rFonts w:ascii="Times New Roman" w:hAnsi="Times New Roman" w:cs="Times New Roman"/>
                <w:sz w:val="26"/>
                <w:szCs w:val="26"/>
              </w:rPr>
              <w:t xml:space="preserve">, </w:t>
            </w:r>
            <w:r w:rsidRPr="00924BDF" w:rsidR="009041C0">
              <w:rPr>
                <w:rFonts w:ascii="Times New Roman" w:hAnsi="Times New Roman" w:cs="Times New Roman"/>
                <w:sz w:val="26"/>
                <w:szCs w:val="26"/>
              </w:rPr>
              <w:t>Jaunsardzes un informācijas centrs noslēdz l</w:t>
            </w:r>
            <w:r w:rsidRPr="00924BDF">
              <w:rPr>
                <w:rFonts w:ascii="Times New Roman" w:hAnsi="Times New Roman" w:cs="Times New Roman"/>
                <w:sz w:val="26"/>
                <w:szCs w:val="26"/>
              </w:rPr>
              <w:t xml:space="preserve">īgumu ar izglītības iestādi, kurā mācības uzsācis jaunsargu instruktors, par </w:t>
            </w:r>
            <w:r w:rsidRPr="00924BDF" w:rsidR="00E9283A">
              <w:rPr>
                <w:rFonts w:ascii="Times New Roman" w:hAnsi="Times New Roman" w:cs="Times New Roman"/>
                <w:sz w:val="26"/>
                <w:szCs w:val="26"/>
              </w:rPr>
              <w:t xml:space="preserve">mācību </w:t>
            </w:r>
            <w:r w:rsidRPr="00924BDF" w:rsidR="00B1555A">
              <w:rPr>
                <w:rFonts w:ascii="Times New Roman" w:hAnsi="Times New Roman" w:cs="Times New Roman"/>
                <w:sz w:val="26"/>
                <w:szCs w:val="26"/>
              </w:rPr>
              <w:t>izdevumu</w:t>
            </w:r>
            <w:r w:rsidRPr="00924BDF" w:rsidR="00E9283A">
              <w:rPr>
                <w:rFonts w:ascii="Times New Roman" w:hAnsi="Times New Roman" w:cs="Times New Roman"/>
                <w:sz w:val="26"/>
                <w:szCs w:val="26"/>
              </w:rPr>
              <w:t xml:space="preserve"> kompensācij</w:t>
            </w:r>
            <w:r w:rsidRPr="00924BDF">
              <w:rPr>
                <w:rFonts w:ascii="Times New Roman" w:hAnsi="Times New Roman" w:cs="Times New Roman"/>
                <w:sz w:val="26"/>
                <w:szCs w:val="26"/>
              </w:rPr>
              <w:t>as</w:t>
            </w:r>
            <w:r w:rsidRPr="00924BDF" w:rsidR="00E9283A">
              <w:rPr>
                <w:rFonts w:ascii="Times New Roman" w:hAnsi="Times New Roman" w:cs="Times New Roman"/>
                <w:sz w:val="26"/>
                <w:szCs w:val="26"/>
              </w:rPr>
              <w:t xml:space="preserve"> pārskait</w:t>
            </w:r>
            <w:r w:rsidRPr="00924BDF">
              <w:rPr>
                <w:rFonts w:ascii="Times New Roman" w:hAnsi="Times New Roman" w:cs="Times New Roman"/>
                <w:sz w:val="26"/>
                <w:szCs w:val="26"/>
              </w:rPr>
              <w:t xml:space="preserve">īšanu uz izglītības iestādes kontu. </w:t>
            </w:r>
          </w:p>
          <w:p w:rsidR="00090AD2" w:rsidRPr="00924BDF" w:rsidP="007D6F0D" w14:paraId="278B9497"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Tāpat pēc lēmuma pieņemšanas ar jaunsargu instruktoru tiek noslēgts līgums par mācību maksas kompensēšanu, kas paredz:</w:t>
            </w:r>
          </w:p>
          <w:p w:rsidR="00090AD2" w:rsidRPr="00924BDF" w:rsidP="00090AD2" w14:paraId="30D03E9F"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1) </w:t>
            </w:r>
            <w:bookmarkStart w:id="0" w:name="p-363662"/>
            <w:bookmarkStart w:id="1" w:name="p4"/>
            <w:bookmarkStart w:id="2" w:name="p-363663"/>
            <w:bookmarkStart w:id="3" w:name="p5"/>
            <w:bookmarkEnd w:id="0"/>
            <w:bookmarkEnd w:id="1"/>
            <w:bookmarkEnd w:id="2"/>
            <w:bookmarkEnd w:id="3"/>
            <w:r w:rsidRPr="00924BDF" w:rsidR="007159AB">
              <w:rPr>
                <w:rFonts w:ascii="Times New Roman" w:eastAsia="Times New Roman" w:hAnsi="Times New Roman" w:cs="Times New Roman"/>
                <w:sz w:val="26"/>
                <w:szCs w:val="26"/>
                <w:lang w:eastAsia="en-GB"/>
              </w:rPr>
              <w:t>līdzējus un līguma priekšmetu;</w:t>
            </w:r>
          </w:p>
          <w:p w:rsidR="00090AD2" w:rsidRPr="00924BDF" w:rsidP="00090AD2" w14:paraId="3FFF2477"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2) </w:t>
            </w:r>
            <w:r w:rsidRPr="00924BDF" w:rsidR="007159AB">
              <w:rPr>
                <w:rFonts w:ascii="Times New Roman" w:eastAsia="Times New Roman" w:hAnsi="Times New Roman" w:cs="Times New Roman"/>
                <w:sz w:val="26"/>
                <w:szCs w:val="26"/>
                <w:lang w:eastAsia="en-GB"/>
              </w:rPr>
              <w:t>līdzēju tiesības un pienākumus;</w:t>
            </w:r>
          </w:p>
          <w:p w:rsidR="00090AD2" w:rsidRPr="00924BDF" w:rsidP="00090AD2" w14:paraId="3A26C6BE"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3) </w:t>
            </w:r>
            <w:r w:rsidRPr="00924BDF" w:rsidR="007159AB">
              <w:rPr>
                <w:rFonts w:ascii="Times New Roman" w:eastAsia="Times New Roman" w:hAnsi="Times New Roman" w:cs="Times New Roman"/>
                <w:sz w:val="26"/>
                <w:szCs w:val="26"/>
                <w:lang w:eastAsia="en-GB"/>
              </w:rPr>
              <w:t>kompensējamās mācību maksas apmēru;</w:t>
            </w:r>
          </w:p>
          <w:p w:rsidR="007159AB" w:rsidRPr="00924BDF" w:rsidP="00090AD2" w14:paraId="7CA334DF"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4) </w:t>
            </w:r>
            <w:r w:rsidRPr="00924BDF">
              <w:rPr>
                <w:rFonts w:ascii="Times New Roman" w:eastAsia="Times New Roman" w:hAnsi="Times New Roman" w:cs="Times New Roman"/>
                <w:sz w:val="26"/>
                <w:szCs w:val="26"/>
                <w:lang w:eastAsia="en-GB"/>
              </w:rPr>
              <w:t>līguma spēkā stāšanās un izpildes termiņu.</w:t>
            </w:r>
          </w:p>
          <w:p w:rsidR="00D856B4" w:rsidRPr="00924BDF" w:rsidP="00D856B4" w14:paraId="1C3044A7" w14:textId="0EBCCA5E">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Jaunsargu instruktoram (darbiniekam) pēc izglītības iegūšanas jānostrādā Jaunsardzes un informācijas centrā ne maz</w:t>
            </w:r>
            <w:r w:rsidRPr="00924BDF" w:rsidR="00E9283A">
              <w:rPr>
                <w:rFonts w:ascii="Times New Roman" w:hAnsi="Times New Roman" w:cs="Times New Roman"/>
                <w:sz w:val="26"/>
                <w:szCs w:val="26"/>
              </w:rPr>
              <w:t>āk pa</w:t>
            </w:r>
            <w:r w:rsidRPr="00924BDF">
              <w:rPr>
                <w:rFonts w:ascii="Times New Roman" w:hAnsi="Times New Roman" w:cs="Times New Roman"/>
                <w:sz w:val="26"/>
                <w:szCs w:val="26"/>
              </w:rPr>
              <w:t>r trim gad</w:t>
            </w:r>
            <w:r w:rsidRPr="00924BDF" w:rsidR="00E9283A">
              <w:rPr>
                <w:rFonts w:ascii="Times New Roman" w:hAnsi="Times New Roman" w:cs="Times New Roman"/>
                <w:sz w:val="26"/>
                <w:szCs w:val="26"/>
              </w:rPr>
              <w:t>iem.</w:t>
            </w:r>
            <w:r w:rsidRPr="00924BDF">
              <w:rPr>
                <w:rFonts w:ascii="Times New Roman" w:hAnsi="Times New Roman" w:cs="Times New Roman"/>
                <w:sz w:val="26"/>
                <w:szCs w:val="26"/>
              </w:rPr>
              <w:t xml:space="preserve"> Tādu pašu laika periodu jaunsargu instruktoram – karavīram jānodien Nacionālajos bruņotajos spēkos.</w:t>
            </w:r>
            <w:r w:rsidRPr="00924BDF" w:rsidR="00C22597">
              <w:rPr>
                <w:rFonts w:ascii="Times New Roman" w:hAnsi="Times New Roman" w:cs="Times New Roman"/>
                <w:sz w:val="26"/>
                <w:szCs w:val="26"/>
              </w:rPr>
              <w:t xml:space="preserve"> </w:t>
            </w:r>
            <w:r w:rsidRPr="00924BDF" w:rsidR="00905EB5">
              <w:rPr>
                <w:rFonts w:ascii="Times New Roman" w:hAnsi="Times New Roman" w:cs="Times New Roman"/>
                <w:sz w:val="26"/>
                <w:szCs w:val="26"/>
              </w:rPr>
              <w:t xml:space="preserve">Šie periodi </w:t>
            </w:r>
            <w:r w:rsidRPr="00924BDF" w:rsidR="002E3142">
              <w:rPr>
                <w:rFonts w:ascii="Times New Roman" w:hAnsi="Times New Roman" w:cs="Times New Roman"/>
                <w:sz w:val="26"/>
                <w:szCs w:val="26"/>
              </w:rPr>
              <w:t xml:space="preserve">tiek sākti skaitīt no brīža, kad persona ir ieguvusi augstāko izglītību, tādējādi termiņa tecējuma sākotnējais moments ir tieši sasaistīts ar brīdi, kas institūcija ir sasniegusi mērķi, ar kādu veikta izglītības izdevumu kompensēšana konkrētajai personai – ieguvusi </w:t>
            </w:r>
            <w:r w:rsidRPr="00924BDF" w:rsidR="00E67F3F">
              <w:rPr>
                <w:rFonts w:ascii="Times New Roman" w:hAnsi="Times New Roman" w:cs="Times New Roman"/>
                <w:sz w:val="26"/>
                <w:szCs w:val="26"/>
              </w:rPr>
              <w:t xml:space="preserve">profesionāli </w:t>
            </w:r>
            <w:r w:rsidRPr="00924BDF" w:rsidR="002E3142">
              <w:rPr>
                <w:rFonts w:ascii="Times New Roman" w:hAnsi="Times New Roman" w:cs="Times New Roman"/>
                <w:sz w:val="26"/>
                <w:szCs w:val="26"/>
              </w:rPr>
              <w:t xml:space="preserve">kvalificētu </w:t>
            </w:r>
            <w:r w:rsidRPr="00924BDF" w:rsidR="00E67F3F">
              <w:rPr>
                <w:rFonts w:ascii="Times New Roman" w:hAnsi="Times New Roman" w:cs="Times New Roman"/>
                <w:sz w:val="26"/>
                <w:szCs w:val="26"/>
              </w:rPr>
              <w:t>darbinieku (karavīru) noteikta pārvaldes uzdevuma veikšanai.</w:t>
            </w:r>
            <w:r w:rsidRPr="00924BDF" w:rsidR="006C2409">
              <w:rPr>
                <w:rFonts w:ascii="Times New Roman" w:hAnsi="Times New Roman" w:cs="Times New Roman"/>
                <w:sz w:val="26"/>
                <w:szCs w:val="26"/>
              </w:rPr>
              <w:t xml:space="preserve"> Šāda sistēma pilnvērtīgāk nodrošina kvalificēta personāla nodrošināšanu konkrēta pārvaldes uzdevuma realizācijai nekā nosacījums – pēc kompensācijas saņemšanas brīža, jo šis termiņa atskaites punkts nav sasaistīts ar kvalifikācijas iegūšanas brīdi.</w:t>
            </w:r>
          </w:p>
          <w:p w:rsidR="00D856B4" w:rsidRPr="00924BDF" w:rsidP="00D856B4" w14:paraId="02C6750B"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Gadījumā, ja jaunsargu instruktors studijas pārtrauc (izņemot noteikumos paredzētos gadījumus), viņam pilnā apmērā jāatmaksā Jaunsardzes un informācijas centram kompensētie mācību izdevumi. </w:t>
            </w:r>
          </w:p>
          <w:p w:rsidR="00ED1848" w:rsidRPr="00924BDF" w:rsidP="00905EB5" w14:paraId="1284C738"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Gadījumā, ja jaunsargu instruktors pēc izglītības iegūšanas nenostrādā trīs gadus, viņš  atmaksā kompensēto mācību maksu proporcionāli nenostrādājam laikam.</w:t>
            </w:r>
            <w:bookmarkStart w:id="4" w:name="p-363667"/>
            <w:bookmarkStart w:id="5" w:name="p9"/>
            <w:bookmarkStart w:id="6" w:name="p-363668"/>
            <w:bookmarkStart w:id="7" w:name="p10"/>
            <w:bookmarkStart w:id="8" w:name="p-363669"/>
            <w:bookmarkStart w:id="9" w:name="p11"/>
            <w:bookmarkEnd w:id="4"/>
            <w:bookmarkEnd w:id="5"/>
            <w:bookmarkEnd w:id="6"/>
            <w:bookmarkEnd w:id="7"/>
            <w:bookmarkEnd w:id="8"/>
            <w:bookmarkEnd w:id="9"/>
            <w:r w:rsidRPr="00924BDF" w:rsidR="00905EB5">
              <w:rPr>
                <w:rFonts w:ascii="Times New Roman" w:hAnsi="Times New Roman" w:cs="Times New Roman"/>
                <w:sz w:val="26"/>
                <w:szCs w:val="26"/>
              </w:rPr>
              <w:t xml:space="preserve"> Atmaksas periods ir divi gadi tāpat kā tas ir paredzēts MK noteikumos Nr. 954 un ir attiecināts uz karavīriem.</w:t>
            </w:r>
          </w:p>
          <w:p w:rsidR="007C6AC0" w:rsidRPr="00924BDF" w:rsidP="00905EB5" w14:paraId="0ADB66DF"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Ar Ministru kabineta noteikumu projektu tiek noteikts vienāds proporcionālais apmērs gan darbiniekiem, gan karavīriem, kādā jānorēķinās par nenostrādāto vai nenodienēto laiku pēc izglītības iegūšanas brīža.</w:t>
            </w:r>
          </w:p>
          <w:p w:rsidR="00E65FA7" w:rsidRPr="00924BDF" w:rsidP="00043F10" w14:paraId="1E0633FC"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 xml:space="preserve">Tāpat, aizgūstot šo regulējumu no MK noteikumu Nr. 565 47. punkta redakcijas, </w:t>
            </w:r>
            <w:r w:rsidRPr="00924BDF" w:rsidR="00043F10">
              <w:rPr>
                <w:rFonts w:ascii="Times New Roman" w:hAnsi="Times New Roman" w:cs="Times New Roman"/>
                <w:sz w:val="26"/>
                <w:szCs w:val="26"/>
              </w:rPr>
              <w:t>ir noteikts, ka gadījumā, ja jaunsargu instruktoru eksmatrikulē no izglītības iestādes nesekmības dēļ, tā pienākums ir viena gada laikā atmaksāt Jaunsardzes un informācijas centram tā faktiski kompensētos mācību izdevumus. Šāds termiņš nav noteikts MK noteikumos Nr. 954, bet tas ir nepieciešams, lai jaunsargu instruktors precīzi zinātu termiņu, kādā labprātīgi var dzēst savas parādsaistības.</w:t>
            </w:r>
          </w:p>
          <w:p w:rsidR="007C6AC0" w:rsidRPr="00924BDF" w:rsidP="00E65FA7" w14:paraId="6F04FC26" w14:textId="77777777">
            <w:pPr>
              <w:spacing w:after="0" w:line="240" w:lineRule="auto"/>
              <w:ind w:firstLine="345"/>
              <w:jc w:val="both"/>
              <w:rPr>
                <w:rFonts w:ascii="Times New Roman" w:hAnsi="Times New Roman" w:cs="Times New Roman"/>
                <w:sz w:val="26"/>
                <w:szCs w:val="26"/>
              </w:rPr>
            </w:pPr>
            <w:r w:rsidRPr="00924BDF">
              <w:rPr>
                <w:rFonts w:ascii="Times New Roman" w:hAnsi="Times New Roman" w:cs="Times New Roman"/>
                <w:sz w:val="26"/>
                <w:szCs w:val="26"/>
              </w:rPr>
              <w:t>Ministru kabineta noteikumu projektā ir paredzēts identisks regulējums kā MK noteikumos Nr. 656 un MK noteikumos Nr. 954 attiecībā uz izņēmuma gadījumiem, kad jaunsargu instruktoram nav jāatmaksā kompensētie mācību izdevumi.</w:t>
            </w:r>
            <w:r w:rsidRPr="00924BDF" w:rsidR="00043F10">
              <w:rPr>
                <w:rFonts w:ascii="Times New Roman" w:hAnsi="Times New Roman" w:cs="Times New Roman"/>
                <w:sz w:val="26"/>
                <w:szCs w:val="26"/>
              </w:rPr>
              <w:t xml:space="preserve">  </w:t>
            </w:r>
          </w:p>
        </w:tc>
      </w:tr>
      <w:tr w14:paraId="6EEB5019"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924BDF" w:rsidP="00F84EE6" w14:paraId="0FE41665"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6D5DB5" w:rsidRPr="00924BDF" w:rsidP="00F84EE6" w14:paraId="3C3BEC85"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6D5DB5" w:rsidRPr="00924BDF" w:rsidP="00F84EE6" w14:paraId="61ED7D43" w14:textId="77777777">
            <w:pPr>
              <w:spacing w:after="0" w:line="240" w:lineRule="auto"/>
              <w:ind w:right="140" w:firstLine="341"/>
              <w:jc w:val="both"/>
              <w:rPr>
                <w:rFonts w:ascii="Times New Roman" w:eastAsia="Times New Roman" w:hAnsi="Times New Roman" w:cs="Times New Roman"/>
                <w:iCs/>
                <w:sz w:val="26"/>
                <w:szCs w:val="26"/>
                <w:lang w:eastAsia="lv-LV"/>
              </w:rPr>
            </w:pPr>
            <w:r w:rsidRPr="00924BDF">
              <w:rPr>
                <w:rFonts w:ascii="Times New Roman" w:hAnsi="Times New Roman" w:cs="Times New Roman"/>
                <w:sz w:val="26"/>
                <w:szCs w:val="26"/>
              </w:rPr>
              <w:t>Aizsardzības ministrija</w:t>
            </w:r>
            <w:r w:rsidRPr="00924BDF" w:rsidR="0066033A">
              <w:rPr>
                <w:rFonts w:ascii="Times New Roman" w:eastAsia="Times New Roman" w:hAnsi="Times New Roman" w:cs="Times New Roman"/>
                <w:sz w:val="26"/>
                <w:szCs w:val="26"/>
                <w:lang w:eastAsia="lv-LV"/>
              </w:rPr>
              <w:t>, Jaun</w:t>
            </w:r>
            <w:r w:rsidRPr="00924BDF" w:rsidR="00F84EE6">
              <w:rPr>
                <w:rFonts w:ascii="Times New Roman" w:eastAsia="Times New Roman" w:hAnsi="Times New Roman" w:cs="Times New Roman"/>
                <w:sz w:val="26"/>
                <w:szCs w:val="26"/>
                <w:lang w:eastAsia="lv-LV"/>
              </w:rPr>
              <w:t>sardzes un informācijas centrs.</w:t>
            </w:r>
          </w:p>
        </w:tc>
      </w:tr>
      <w:tr w14:paraId="58030C88" w14:textId="77777777" w:rsidTr="00555D2C">
        <w:tblPrEx>
          <w:tblW w:w="5000" w:type="pct"/>
          <w:tblCellSpacing w:w="15" w:type="dxa"/>
          <w:tblCellMar>
            <w:top w:w="30" w:type="dxa"/>
            <w:left w:w="30" w:type="dxa"/>
            <w:bottom w:w="30" w:type="dxa"/>
            <w:right w:w="30" w:type="dxa"/>
          </w:tblCellMar>
          <w:tblLook w:val="04A0"/>
        </w:tblPrEx>
        <w:trPr>
          <w:trHeight w:val="34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924BDF" w:rsidP="00F84EE6" w14:paraId="546CCA57"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4.</w:t>
            </w:r>
          </w:p>
        </w:tc>
        <w:tc>
          <w:tcPr>
            <w:tcW w:w="1145" w:type="pct"/>
            <w:tcBorders>
              <w:top w:val="outset" w:sz="6" w:space="0" w:color="auto"/>
              <w:left w:val="outset" w:sz="6" w:space="0" w:color="auto"/>
              <w:bottom w:val="outset" w:sz="6" w:space="0" w:color="auto"/>
              <w:right w:val="outset" w:sz="6" w:space="0" w:color="auto"/>
            </w:tcBorders>
            <w:hideMark/>
          </w:tcPr>
          <w:p w:rsidR="006D5DB5" w:rsidRPr="00924BDF" w:rsidP="00F84EE6" w14:paraId="6C9B3DCD"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66033A" w:rsidRPr="00924BDF" w:rsidP="009F5084" w14:paraId="1A9EC548" w14:textId="77777777">
            <w:pPr>
              <w:pStyle w:val="NoSpacing"/>
              <w:ind w:firstLine="341"/>
              <w:jc w:val="both"/>
              <w:rPr>
                <w:rFonts w:ascii="Times New Roman" w:hAnsi="Times New Roman" w:cs="Times New Roman"/>
                <w:sz w:val="26"/>
                <w:szCs w:val="26"/>
              </w:rPr>
            </w:pPr>
            <w:r w:rsidRPr="00924BDF">
              <w:rPr>
                <w:rFonts w:ascii="Times New Roman" w:hAnsi="Times New Roman" w:cs="Times New Roman"/>
                <w:sz w:val="26"/>
                <w:szCs w:val="26"/>
              </w:rPr>
              <w:t xml:space="preserve">Nav. </w:t>
            </w:r>
          </w:p>
        </w:tc>
      </w:tr>
    </w:tbl>
    <w:p w:rsidR="00B27659" w:rsidRPr="00924BDF" w:rsidP="00F84EE6" w14:paraId="0804B226" w14:textId="77777777">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694"/>
        <w:gridCol w:w="5779"/>
      </w:tblGrid>
      <w:tr w14:paraId="3CD84F16" w14:textId="77777777" w:rsidTr="0066033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924BDF" w:rsidP="00F84EE6" w14:paraId="37330F22" w14:textId="77777777">
            <w:pPr>
              <w:spacing w:after="0" w:line="240" w:lineRule="auto"/>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14:paraId="10FD74DA"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924BDF" w:rsidP="00F84EE6" w14:paraId="515EE09F"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924BDF" w:rsidP="00F84EE6" w14:paraId="3FDC279A"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924BDF" w:rsidP="00F84EE6" w14:paraId="7BE811BD" w14:textId="41E0F691">
            <w:pPr>
              <w:pStyle w:val="PlainText"/>
              <w:jc w:val="both"/>
              <w:rPr>
                <w:rFonts w:ascii="Times New Roman" w:hAnsi="Times New Roman" w:cs="Times New Roman"/>
                <w:iCs/>
                <w:sz w:val="26"/>
                <w:szCs w:val="26"/>
              </w:rPr>
            </w:pPr>
            <w:r w:rsidRPr="00924BDF">
              <w:rPr>
                <w:rFonts w:ascii="Times New Roman" w:hAnsi="Times New Roman" w:cs="Times New Roman"/>
                <w:sz w:val="26"/>
                <w:szCs w:val="26"/>
              </w:rPr>
              <w:t>Ministru kabineta noteikumu projekts tiešā veidā skar Jaunsardzes un informācijas centrā nodarbinātos darbiniekus un karavīrus, kas pilda jaunsargu instruktoru amata pienākumus, savukārt, netiešā veidā tas skar visus valsts pārvaldes un pašvaldības institūcijās nodarbinātos, uz kuriem attiecināms Valsts un pašvaldību institūciju amatpersonu un darbinieku atlīdzības likuma 26. panta pirmās daļas regulējums un attiecībā uz kuriem ir noteikta savādāka mācību izdevumu kompensēšanas  kārtība Ministru kabineta noteikumos, kas pieņemti uz minētajā tiesību normā ietvertā deleģējuma pamata. Tāpat Ministru kabineta noteikumu projekts varētu skart to izglītības iestāžu intereses, kuras var nodrošināt atbilstošas studiju programmas apguves iespējas, kuru izvēlējies jaunsargu instruktors</w:t>
            </w:r>
            <w:r w:rsidRPr="00924BDF" w:rsidR="00EE787E">
              <w:rPr>
                <w:rFonts w:ascii="Times New Roman" w:hAnsi="Times New Roman" w:cs="Times New Roman"/>
                <w:sz w:val="26"/>
                <w:szCs w:val="26"/>
              </w:rPr>
              <w:t>.</w:t>
            </w:r>
          </w:p>
        </w:tc>
      </w:tr>
      <w:tr w14:paraId="517FF1E1"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924BDF" w:rsidP="00F84EE6" w14:paraId="667885F7"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924BDF" w:rsidP="00F84EE6" w14:paraId="38B84C77"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Pr="00924BDF" w:rsidP="006D5E94" w14:paraId="115A551D" w14:textId="47E3A45A">
            <w:pPr>
              <w:spacing w:after="0" w:line="240" w:lineRule="auto"/>
              <w:ind w:right="-1"/>
              <w:jc w:val="both"/>
              <w:rPr>
                <w:rFonts w:ascii="Times New Roman" w:hAnsi="Times New Roman" w:cs="Times New Roman"/>
                <w:sz w:val="26"/>
                <w:szCs w:val="26"/>
              </w:rPr>
            </w:pPr>
            <w:r w:rsidRPr="00924BDF">
              <w:rPr>
                <w:rFonts w:ascii="Times New Roman" w:eastAsia="Calibri" w:hAnsi="Times New Roman" w:cs="Times New Roman"/>
                <w:iCs/>
                <w:sz w:val="26"/>
                <w:szCs w:val="26"/>
              </w:rPr>
              <w:t>Ministru kabineta noteikumu projekta izpilde neietekmēs tautsaimniecību, savukārt, administratīvais slogs Jaunsardzes un informācijas centram, slēdzot līgumus ar jaunsargiem instruktoriem un izglītības iestādēm par mācību izdevumu kompensēšanu, administrējot un kontrolējot to izpildi, kā arī Ministru kabineta noteikumu projektā norādītajos gadījumos atgūstot no jaunsargiem instruktoriem kompensētos mācību izdevumus, pieaugs.</w:t>
            </w:r>
          </w:p>
        </w:tc>
      </w:tr>
      <w:tr w14:paraId="3AD7B222"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924BDF" w:rsidP="00F84EE6" w14:paraId="346F355B"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924BDF" w:rsidP="00F84EE6" w14:paraId="295EBE20"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924BDF" w:rsidP="006D5E94" w14:paraId="32B091D7" w14:textId="1FDA010A">
            <w:pPr>
              <w:spacing w:after="0" w:line="240" w:lineRule="auto"/>
              <w:ind w:right="140"/>
              <w:jc w:val="both"/>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sz w:val="26"/>
                <w:szCs w:val="26"/>
                <w:lang w:eastAsia="lv-LV"/>
              </w:rPr>
              <w:t>Projekts šo jomu neskar.</w:t>
            </w:r>
          </w:p>
        </w:tc>
      </w:tr>
      <w:tr w14:paraId="122073EA"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924BDF" w:rsidP="00F84EE6" w14:paraId="7FD991B2"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924BDF" w:rsidP="00F84EE6" w14:paraId="58B76794"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924BDF" w:rsidP="00F84EE6" w14:paraId="0F0D73CF"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sz w:val="26"/>
                <w:szCs w:val="26"/>
                <w:lang w:eastAsia="lv-LV"/>
              </w:rPr>
              <w:t>Projekts šo jomu neskar.</w:t>
            </w:r>
          </w:p>
        </w:tc>
      </w:tr>
      <w:tr w14:paraId="73B72801"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924BDF" w:rsidP="00F84EE6" w14:paraId="020B95D4"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924BDF" w:rsidP="00F84EE6" w14:paraId="117F93E0"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924BDF" w:rsidP="00F84EE6" w14:paraId="6658B225"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Nav</w:t>
            </w:r>
          </w:p>
        </w:tc>
      </w:tr>
    </w:tbl>
    <w:p w:rsidR="008B48FF" w:rsidRPr="00924BDF" w:rsidP="00F84EE6" w14:paraId="5486A426" w14:textId="77777777">
      <w:pPr>
        <w:spacing w:after="0" w:line="240" w:lineRule="auto"/>
        <w:rPr>
          <w:rFonts w:ascii="Times New Roman" w:hAnsi="Times New Roman" w:cs="Times New Roman"/>
          <w:sz w:val="26"/>
          <w:szCs w:val="26"/>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5"/>
        <w:gridCol w:w="1075"/>
        <w:gridCol w:w="1073"/>
        <w:gridCol w:w="940"/>
        <w:gridCol w:w="939"/>
        <w:gridCol w:w="939"/>
        <w:gridCol w:w="939"/>
        <w:gridCol w:w="995"/>
      </w:tblGrid>
      <w:tr w14:paraId="55682AEB" w14:textId="77777777" w:rsidTr="00B4369C">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131" w:type="dxa"/>
            <w:gridSpan w:val="8"/>
            <w:shd w:val="clear" w:color="auto" w:fill="auto"/>
            <w:vAlign w:val="center"/>
            <w:hideMark/>
          </w:tcPr>
          <w:p w:rsidR="00CC730B" w:rsidRPr="00924BDF" w:rsidP="00EA0FC4" w14:paraId="4C543453" w14:textId="77777777">
            <w:pPr>
              <w:spacing w:after="0" w:line="240" w:lineRule="auto"/>
              <w:jc w:val="center"/>
              <w:rPr>
                <w:rFonts w:ascii="Times New Roman" w:hAnsi="Times New Roman" w:cs="Times New Roman"/>
                <w:b/>
                <w:bCs/>
                <w:sz w:val="26"/>
                <w:szCs w:val="26"/>
              </w:rPr>
            </w:pPr>
            <w:r w:rsidRPr="00924BDF">
              <w:rPr>
                <w:rFonts w:ascii="Times New Roman" w:hAnsi="Times New Roman" w:cs="Times New Roman"/>
                <w:b/>
                <w:bCs/>
                <w:sz w:val="26"/>
                <w:szCs w:val="26"/>
              </w:rPr>
              <w:t>III. Tiesību akta projekta ietekme uz valsts budžetu un pašvaldību budžetiem</w:t>
            </w:r>
          </w:p>
        </w:tc>
      </w:tr>
      <w:tr w14:paraId="43E08F0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val="restart"/>
            <w:shd w:val="clear" w:color="auto" w:fill="FFFFFF"/>
            <w:vAlign w:val="center"/>
          </w:tcPr>
          <w:p w:rsidR="00CC730B" w:rsidRPr="00924BDF" w:rsidP="00EA0FC4" w14:paraId="18436040" w14:textId="77777777">
            <w:pPr>
              <w:spacing w:after="0" w:line="240" w:lineRule="auto"/>
              <w:jc w:val="center"/>
              <w:rPr>
                <w:rFonts w:ascii="Times New Roman" w:hAnsi="Times New Roman" w:cs="Times New Roman"/>
                <w:bCs/>
                <w:sz w:val="26"/>
                <w:szCs w:val="26"/>
              </w:rPr>
            </w:pPr>
            <w:r w:rsidRPr="00924BDF">
              <w:rPr>
                <w:rFonts w:ascii="Times New Roman" w:hAnsi="Times New Roman" w:cs="Times New Roman"/>
                <w:bCs/>
                <w:sz w:val="26"/>
                <w:szCs w:val="26"/>
              </w:rPr>
              <w:t>Rādītāji</w:t>
            </w:r>
          </w:p>
        </w:tc>
        <w:tc>
          <w:tcPr>
            <w:tcW w:w="2163" w:type="dxa"/>
            <w:gridSpan w:val="2"/>
            <w:vMerge w:val="restart"/>
            <w:shd w:val="clear" w:color="auto" w:fill="FFFFFF"/>
            <w:vAlign w:val="center"/>
            <w:hideMark/>
          </w:tcPr>
          <w:p w:rsidR="00CC730B" w:rsidRPr="00924BDF" w:rsidP="00EA0FC4" w14:paraId="6BD039C9" w14:textId="77777777">
            <w:pPr>
              <w:spacing w:after="0" w:line="240" w:lineRule="auto"/>
              <w:jc w:val="center"/>
              <w:rPr>
                <w:rFonts w:ascii="Times New Roman" w:hAnsi="Times New Roman" w:cs="Times New Roman"/>
                <w:bCs/>
                <w:sz w:val="26"/>
                <w:szCs w:val="26"/>
              </w:rPr>
            </w:pPr>
            <w:r w:rsidRPr="00924BDF">
              <w:rPr>
                <w:rFonts w:ascii="Times New Roman" w:hAnsi="Times New Roman" w:cs="Times New Roman"/>
                <w:bCs/>
                <w:sz w:val="26"/>
                <w:szCs w:val="26"/>
              </w:rPr>
              <w:t>2018</w:t>
            </w:r>
          </w:p>
        </w:tc>
        <w:tc>
          <w:tcPr>
            <w:tcW w:w="4787" w:type="dxa"/>
            <w:gridSpan w:val="5"/>
            <w:shd w:val="clear" w:color="auto" w:fill="FFFFFF"/>
            <w:vAlign w:val="center"/>
            <w:hideMark/>
          </w:tcPr>
          <w:p w:rsidR="00CC730B" w:rsidRPr="00924BDF" w:rsidP="00EA0FC4" w14:paraId="2E45B940"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Turpmākie trīs gadi (</w:t>
            </w:r>
            <w:r w:rsidRPr="00924BDF">
              <w:rPr>
                <w:rFonts w:ascii="Times New Roman" w:hAnsi="Times New Roman" w:cs="Times New Roman"/>
                <w:i/>
                <w:iCs/>
                <w:sz w:val="26"/>
                <w:szCs w:val="26"/>
              </w:rPr>
              <w:t>euro</w:t>
            </w:r>
            <w:r w:rsidRPr="00924BDF">
              <w:rPr>
                <w:rFonts w:ascii="Times New Roman" w:hAnsi="Times New Roman" w:cs="Times New Roman"/>
                <w:sz w:val="26"/>
                <w:szCs w:val="26"/>
              </w:rPr>
              <w:t>)</w:t>
            </w:r>
          </w:p>
        </w:tc>
      </w:tr>
      <w:tr w14:paraId="5CB1C0EB"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shd w:val="clear" w:color="auto" w:fill="auto"/>
            <w:vAlign w:val="center"/>
            <w:hideMark/>
          </w:tcPr>
          <w:p w:rsidR="00CC730B" w:rsidRPr="00924BDF" w:rsidP="00EA0FC4" w14:paraId="18DB39DD" w14:textId="77777777">
            <w:pPr>
              <w:spacing w:after="0" w:line="240" w:lineRule="auto"/>
              <w:jc w:val="center"/>
              <w:rPr>
                <w:rFonts w:ascii="Times New Roman" w:hAnsi="Times New Roman" w:cs="Times New Roman"/>
                <w:bCs/>
                <w:sz w:val="26"/>
                <w:szCs w:val="26"/>
              </w:rPr>
            </w:pPr>
          </w:p>
        </w:tc>
        <w:tc>
          <w:tcPr>
            <w:tcW w:w="2163" w:type="dxa"/>
            <w:gridSpan w:val="2"/>
            <w:vMerge/>
            <w:shd w:val="clear" w:color="auto" w:fill="auto"/>
            <w:vAlign w:val="center"/>
            <w:hideMark/>
          </w:tcPr>
          <w:p w:rsidR="00CC730B" w:rsidRPr="00924BDF" w:rsidP="00EA0FC4" w14:paraId="2D47899C" w14:textId="77777777">
            <w:pPr>
              <w:spacing w:after="0" w:line="240" w:lineRule="auto"/>
              <w:jc w:val="center"/>
              <w:rPr>
                <w:rFonts w:ascii="Times New Roman" w:hAnsi="Times New Roman" w:cs="Times New Roman"/>
                <w:bCs/>
                <w:sz w:val="26"/>
                <w:szCs w:val="26"/>
              </w:rPr>
            </w:pPr>
          </w:p>
        </w:tc>
        <w:tc>
          <w:tcPr>
            <w:tcW w:w="1893" w:type="dxa"/>
            <w:gridSpan w:val="2"/>
            <w:shd w:val="clear" w:color="auto" w:fill="FFFFFF"/>
            <w:vAlign w:val="center"/>
            <w:hideMark/>
          </w:tcPr>
          <w:p w:rsidR="00CC730B" w:rsidRPr="00924BDF" w:rsidP="00EA0FC4" w14:paraId="2C76F399" w14:textId="77777777">
            <w:pPr>
              <w:spacing w:after="0" w:line="240" w:lineRule="auto"/>
              <w:jc w:val="center"/>
              <w:rPr>
                <w:rFonts w:ascii="Times New Roman" w:hAnsi="Times New Roman" w:cs="Times New Roman"/>
                <w:bCs/>
                <w:sz w:val="26"/>
                <w:szCs w:val="26"/>
              </w:rPr>
            </w:pPr>
            <w:r w:rsidRPr="00924BDF">
              <w:rPr>
                <w:rFonts w:ascii="Times New Roman" w:hAnsi="Times New Roman" w:cs="Times New Roman"/>
                <w:bCs/>
                <w:sz w:val="26"/>
                <w:szCs w:val="26"/>
              </w:rPr>
              <w:t>2019</w:t>
            </w:r>
          </w:p>
        </w:tc>
        <w:tc>
          <w:tcPr>
            <w:tcW w:w="1892" w:type="dxa"/>
            <w:gridSpan w:val="2"/>
            <w:shd w:val="clear" w:color="auto" w:fill="FFFFFF"/>
            <w:vAlign w:val="center"/>
            <w:hideMark/>
          </w:tcPr>
          <w:p w:rsidR="00CC730B" w:rsidRPr="00924BDF" w:rsidP="00EA0FC4" w14:paraId="6A6C0AD2" w14:textId="77777777">
            <w:pPr>
              <w:spacing w:after="0" w:line="240" w:lineRule="auto"/>
              <w:jc w:val="center"/>
              <w:rPr>
                <w:rFonts w:ascii="Times New Roman" w:hAnsi="Times New Roman" w:cs="Times New Roman"/>
                <w:bCs/>
                <w:sz w:val="26"/>
                <w:szCs w:val="26"/>
              </w:rPr>
            </w:pPr>
            <w:r w:rsidRPr="00924BDF">
              <w:rPr>
                <w:rFonts w:ascii="Times New Roman" w:hAnsi="Times New Roman" w:cs="Times New Roman"/>
                <w:bCs/>
                <w:sz w:val="26"/>
                <w:szCs w:val="26"/>
              </w:rPr>
              <w:t>2020</w:t>
            </w:r>
          </w:p>
        </w:tc>
        <w:tc>
          <w:tcPr>
            <w:tcW w:w="1002" w:type="dxa"/>
            <w:shd w:val="clear" w:color="auto" w:fill="FFFFFF"/>
            <w:vAlign w:val="center"/>
            <w:hideMark/>
          </w:tcPr>
          <w:p w:rsidR="00CC730B" w:rsidRPr="00924BDF" w:rsidP="00EA0FC4" w14:paraId="4DE81D1D" w14:textId="77777777">
            <w:pPr>
              <w:spacing w:after="0" w:line="240" w:lineRule="auto"/>
              <w:jc w:val="center"/>
              <w:rPr>
                <w:rFonts w:ascii="Times New Roman" w:hAnsi="Times New Roman" w:cs="Times New Roman"/>
                <w:bCs/>
                <w:sz w:val="26"/>
                <w:szCs w:val="26"/>
              </w:rPr>
            </w:pPr>
            <w:r w:rsidRPr="00924BDF">
              <w:rPr>
                <w:rFonts w:ascii="Times New Roman" w:hAnsi="Times New Roman" w:cs="Times New Roman"/>
                <w:bCs/>
                <w:sz w:val="26"/>
                <w:szCs w:val="26"/>
              </w:rPr>
              <w:t>2021</w:t>
            </w:r>
          </w:p>
        </w:tc>
      </w:tr>
      <w:tr w14:paraId="5B2909B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shd w:val="clear" w:color="auto" w:fill="auto"/>
            <w:vAlign w:val="center"/>
            <w:hideMark/>
          </w:tcPr>
          <w:p w:rsidR="00CC730B" w:rsidRPr="00924BDF" w:rsidP="00EA0FC4" w14:paraId="2A42D9FA" w14:textId="77777777">
            <w:pPr>
              <w:spacing w:after="0" w:line="240" w:lineRule="auto"/>
              <w:jc w:val="center"/>
              <w:rPr>
                <w:rFonts w:ascii="Times New Roman" w:hAnsi="Times New Roman" w:cs="Times New Roman"/>
                <w:b/>
                <w:bCs/>
                <w:sz w:val="26"/>
                <w:szCs w:val="26"/>
              </w:rPr>
            </w:pPr>
          </w:p>
        </w:tc>
        <w:tc>
          <w:tcPr>
            <w:tcW w:w="1082" w:type="dxa"/>
            <w:shd w:val="clear" w:color="auto" w:fill="FFFFFF"/>
            <w:vAlign w:val="center"/>
            <w:hideMark/>
          </w:tcPr>
          <w:p w:rsidR="00CC730B" w:rsidRPr="00924BDF" w:rsidP="00EA0FC4" w14:paraId="61B1272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saskaņā ar valsts budžetu kārtējam gadam</w:t>
            </w:r>
          </w:p>
        </w:tc>
        <w:tc>
          <w:tcPr>
            <w:tcW w:w="1081" w:type="dxa"/>
            <w:shd w:val="clear" w:color="auto" w:fill="FFFFFF"/>
            <w:vAlign w:val="center"/>
            <w:hideMark/>
          </w:tcPr>
          <w:p w:rsidR="00CC730B" w:rsidRPr="00924BDF" w:rsidP="00EA0FC4" w14:paraId="6438137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izmaiņas kārtējā gadā, salīdzinot ar valsts budžetu kārtējam gadam</w:t>
            </w:r>
          </w:p>
        </w:tc>
        <w:tc>
          <w:tcPr>
            <w:tcW w:w="947" w:type="dxa"/>
            <w:shd w:val="clear" w:color="auto" w:fill="FFFFFF"/>
            <w:vAlign w:val="center"/>
            <w:hideMark/>
          </w:tcPr>
          <w:p w:rsidR="00CC730B" w:rsidRPr="00924BDF" w:rsidP="00EA0FC4" w14:paraId="56502961"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saskaņā ar vidēja termiņa budžeta ietvaru</w:t>
            </w:r>
          </w:p>
        </w:tc>
        <w:tc>
          <w:tcPr>
            <w:tcW w:w="946" w:type="dxa"/>
            <w:shd w:val="clear" w:color="auto" w:fill="FFFFFF"/>
            <w:vAlign w:val="center"/>
            <w:hideMark/>
          </w:tcPr>
          <w:p w:rsidR="00EE787E" w:rsidRPr="00924BDF" w:rsidP="00EE787E" w14:paraId="5C5043F4"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izmaiņas, salīdzinot ar vidēja termiņa budžeta ietvaru 2019.</w:t>
            </w:r>
          </w:p>
          <w:p w:rsidR="00CC730B" w:rsidRPr="00924BDF" w:rsidP="00EE787E" w14:paraId="0E4BE00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gadam</w:t>
            </w:r>
          </w:p>
        </w:tc>
        <w:tc>
          <w:tcPr>
            <w:tcW w:w="946" w:type="dxa"/>
            <w:shd w:val="clear" w:color="auto" w:fill="FFFFFF"/>
            <w:vAlign w:val="center"/>
            <w:hideMark/>
          </w:tcPr>
          <w:p w:rsidR="00CC730B" w:rsidRPr="00924BDF" w:rsidP="00EA0FC4" w14:paraId="0FDF289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saskaņā ar vidēja termiņa budžeta ietvaru</w:t>
            </w:r>
          </w:p>
        </w:tc>
        <w:tc>
          <w:tcPr>
            <w:tcW w:w="946" w:type="dxa"/>
            <w:shd w:val="clear" w:color="auto" w:fill="FFFFFF"/>
            <w:vAlign w:val="center"/>
            <w:hideMark/>
          </w:tcPr>
          <w:p w:rsidR="00EE787E" w:rsidRPr="00924BDF" w:rsidP="00EA0FC4" w14:paraId="7F2508D6"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izmaiņas, salīdzinot ar vidēja termiņa budžeta ietvaru 2020.</w:t>
            </w:r>
          </w:p>
          <w:p w:rsidR="00CC730B" w:rsidRPr="00924BDF" w:rsidP="00EA0FC4" w14:paraId="4AD0EDBB"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gadam</w:t>
            </w:r>
          </w:p>
        </w:tc>
        <w:tc>
          <w:tcPr>
            <w:tcW w:w="1002" w:type="dxa"/>
            <w:shd w:val="clear" w:color="auto" w:fill="FFFFFF"/>
            <w:vAlign w:val="center"/>
            <w:hideMark/>
          </w:tcPr>
          <w:p w:rsidR="00CC730B" w:rsidRPr="00924BDF" w:rsidP="00EE787E" w14:paraId="4C3CFFA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xml:space="preserve">izmaiņas, salīdzinot ar vidēja termiņa budžeta ietvaru </w:t>
            </w:r>
            <w:r w:rsidRPr="00924BDF">
              <w:rPr>
                <w:rFonts w:ascii="Times New Roman" w:hAnsi="Times New Roman" w:cs="Times New Roman"/>
                <w:sz w:val="26"/>
                <w:szCs w:val="26"/>
              </w:rPr>
              <w:br/>
              <w:t>2020. gadam</w:t>
            </w:r>
          </w:p>
        </w:tc>
      </w:tr>
      <w:tr w14:paraId="2033858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FFFFFF"/>
            <w:vAlign w:val="center"/>
            <w:hideMark/>
          </w:tcPr>
          <w:p w:rsidR="00CC730B" w:rsidRPr="00924BDF" w:rsidP="00EA0FC4" w14:paraId="50661C46"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1</w:t>
            </w:r>
          </w:p>
        </w:tc>
        <w:tc>
          <w:tcPr>
            <w:tcW w:w="1082" w:type="dxa"/>
            <w:shd w:val="clear" w:color="auto" w:fill="FFFFFF"/>
            <w:vAlign w:val="center"/>
            <w:hideMark/>
          </w:tcPr>
          <w:p w:rsidR="00CC730B" w:rsidRPr="00924BDF" w:rsidP="00EA0FC4" w14:paraId="78579A1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2</w:t>
            </w:r>
          </w:p>
        </w:tc>
        <w:tc>
          <w:tcPr>
            <w:tcW w:w="1081" w:type="dxa"/>
            <w:shd w:val="clear" w:color="auto" w:fill="FFFFFF"/>
            <w:vAlign w:val="center"/>
            <w:hideMark/>
          </w:tcPr>
          <w:p w:rsidR="00CC730B" w:rsidRPr="00924BDF" w:rsidP="00EA0FC4" w14:paraId="53C0784B"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3</w:t>
            </w:r>
          </w:p>
        </w:tc>
        <w:tc>
          <w:tcPr>
            <w:tcW w:w="947" w:type="dxa"/>
            <w:shd w:val="clear" w:color="auto" w:fill="FFFFFF"/>
            <w:vAlign w:val="center"/>
            <w:hideMark/>
          </w:tcPr>
          <w:p w:rsidR="00CC730B" w:rsidRPr="00924BDF" w:rsidP="00EA0FC4" w14:paraId="19D3B7C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4</w:t>
            </w:r>
          </w:p>
        </w:tc>
        <w:tc>
          <w:tcPr>
            <w:tcW w:w="946" w:type="dxa"/>
            <w:shd w:val="clear" w:color="auto" w:fill="FFFFFF"/>
            <w:vAlign w:val="center"/>
            <w:hideMark/>
          </w:tcPr>
          <w:p w:rsidR="00CC730B" w:rsidRPr="00924BDF" w:rsidP="00EA0FC4" w14:paraId="6A3E21A9"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5</w:t>
            </w:r>
          </w:p>
        </w:tc>
        <w:tc>
          <w:tcPr>
            <w:tcW w:w="946" w:type="dxa"/>
            <w:shd w:val="clear" w:color="auto" w:fill="FFFFFF"/>
            <w:vAlign w:val="center"/>
            <w:hideMark/>
          </w:tcPr>
          <w:p w:rsidR="00CC730B" w:rsidRPr="00924BDF" w:rsidP="00EA0FC4" w14:paraId="6C9E3E76"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6</w:t>
            </w:r>
          </w:p>
        </w:tc>
        <w:tc>
          <w:tcPr>
            <w:tcW w:w="946" w:type="dxa"/>
            <w:shd w:val="clear" w:color="auto" w:fill="FFFFFF"/>
            <w:vAlign w:val="center"/>
            <w:hideMark/>
          </w:tcPr>
          <w:p w:rsidR="00CC730B" w:rsidRPr="00924BDF" w:rsidP="00EA0FC4" w14:paraId="0DCF2E8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7</w:t>
            </w:r>
          </w:p>
        </w:tc>
        <w:tc>
          <w:tcPr>
            <w:tcW w:w="1002" w:type="dxa"/>
            <w:shd w:val="clear" w:color="auto" w:fill="FFFFFF"/>
            <w:vAlign w:val="center"/>
            <w:hideMark/>
          </w:tcPr>
          <w:p w:rsidR="00CC730B" w:rsidRPr="00924BDF" w:rsidP="00EA0FC4" w14:paraId="6039B076"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8</w:t>
            </w:r>
          </w:p>
        </w:tc>
      </w:tr>
      <w:tr w14:paraId="7290A28D"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7396134F"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1. Budžeta ieņēmumi</w:t>
            </w:r>
          </w:p>
        </w:tc>
        <w:tc>
          <w:tcPr>
            <w:tcW w:w="1082" w:type="dxa"/>
            <w:shd w:val="clear" w:color="auto" w:fill="auto"/>
            <w:vAlign w:val="center"/>
            <w:hideMark/>
          </w:tcPr>
          <w:p w:rsidR="00CC730B" w:rsidRPr="00924BDF" w:rsidP="00EA0FC4" w14:paraId="5F6FAF4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81" w:type="dxa"/>
            <w:shd w:val="clear" w:color="auto" w:fill="auto"/>
            <w:vAlign w:val="center"/>
            <w:hideMark/>
          </w:tcPr>
          <w:p w:rsidR="00CC730B" w:rsidRPr="00924BDF" w:rsidP="00EA0FC4" w14:paraId="5AA491CF"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7" w:type="dxa"/>
            <w:shd w:val="clear" w:color="auto" w:fill="auto"/>
            <w:vAlign w:val="center"/>
            <w:hideMark/>
          </w:tcPr>
          <w:p w:rsidR="00CC730B" w:rsidRPr="00924BDF" w:rsidP="00EA0FC4" w14:paraId="767A8990"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CC730B" w:rsidRPr="00924BDF" w:rsidP="00EA0FC4" w14:paraId="55FC5192"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CC730B" w:rsidRPr="00924BDF" w:rsidP="00EA0FC4" w14:paraId="4BD23C6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CC730B" w:rsidRPr="00924BDF" w:rsidP="00EA0FC4" w14:paraId="5B6450F9"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02" w:type="dxa"/>
            <w:shd w:val="clear" w:color="auto" w:fill="auto"/>
            <w:vAlign w:val="center"/>
            <w:hideMark/>
          </w:tcPr>
          <w:p w:rsidR="00CC730B" w:rsidRPr="00924BDF" w:rsidP="00EA0FC4" w14:paraId="32834F94"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r>
      <w:tr w14:paraId="5DF2C2AD"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31B8E77F"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1.1. valsts pamatbudžets, tai skaitā ieņēmumi no maksas pakalpojumiem un citi pašu ieņēmumi</w:t>
            </w:r>
          </w:p>
        </w:tc>
        <w:tc>
          <w:tcPr>
            <w:tcW w:w="1082" w:type="dxa"/>
            <w:shd w:val="clear" w:color="auto" w:fill="auto"/>
            <w:vAlign w:val="center"/>
            <w:hideMark/>
          </w:tcPr>
          <w:p w:rsidR="00CC730B" w:rsidRPr="00924BDF" w:rsidP="00EA0FC4" w14:paraId="1D95B8BF" w14:textId="77777777">
            <w:pPr>
              <w:spacing w:after="0" w:line="240" w:lineRule="auto"/>
              <w:jc w:val="center"/>
              <w:rPr>
                <w:rFonts w:ascii="Times New Roman" w:hAnsi="Times New Roman" w:cs="Times New Roman"/>
                <w:sz w:val="26"/>
                <w:szCs w:val="26"/>
                <w:lang w:val="ru-RU"/>
              </w:rPr>
            </w:pPr>
            <w:r w:rsidRPr="00924BDF">
              <w:rPr>
                <w:rFonts w:ascii="Times New Roman" w:hAnsi="Times New Roman" w:cs="Times New Roman"/>
                <w:sz w:val="26"/>
                <w:szCs w:val="26"/>
                <w:lang w:val="ru-RU"/>
              </w:rPr>
              <w:t>0</w:t>
            </w:r>
          </w:p>
        </w:tc>
        <w:tc>
          <w:tcPr>
            <w:tcW w:w="1081" w:type="dxa"/>
            <w:shd w:val="clear" w:color="auto" w:fill="auto"/>
            <w:vAlign w:val="center"/>
            <w:hideMark/>
          </w:tcPr>
          <w:p w:rsidR="00CC730B" w:rsidRPr="00924BDF" w:rsidP="00EA0FC4" w14:paraId="13DD476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7" w:type="dxa"/>
            <w:shd w:val="clear" w:color="auto" w:fill="auto"/>
            <w:vAlign w:val="center"/>
            <w:hideMark/>
          </w:tcPr>
          <w:p w:rsidR="00CC730B" w:rsidRPr="00924BDF" w:rsidP="00EA0FC4" w14:paraId="2B0960AF" w14:textId="77777777">
            <w:pPr>
              <w:spacing w:after="0" w:line="240" w:lineRule="auto"/>
              <w:jc w:val="center"/>
              <w:rPr>
                <w:rFonts w:ascii="Times New Roman" w:hAnsi="Times New Roman" w:cs="Times New Roman"/>
                <w:sz w:val="26"/>
                <w:szCs w:val="26"/>
                <w:lang w:val="ru-RU"/>
              </w:rPr>
            </w:pPr>
            <w:r w:rsidRPr="00924BDF">
              <w:rPr>
                <w:rFonts w:ascii="Times New Roman" w:hAnsi="Times New Roman" w:cs="Times New Roman"/>
                <w:sz w:val="26"/>
                <w:szCs w:val="26"/>
                <w:lang w:val="ru-RU"/>
              </w:rPr>
              <w:t>0</w:t>
            </w:r>
          </w:p>
        </w:tc>
        <w:tc>
          <w:tcPr>
            <w:tcW w:w="946" w:type="dxa"/>
            <w:shd w:val="clear" w:color="auto" w:fill="auto"/>
            <w:vAlign w:val="center"/>
            <w:hideMark/>
          </w:tcPr>
          <w:p w:rsidR="00CC730B" w:rsidRPr="00924BDF" w:rsidP="00EA0FC4" w14:paraId="21CEF5BD"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CC730B" w:rsidRPr="00924BDF" w:rsidP="00EA0FC4" w14:paraId="1BB6172C" w14:textId="77777777">
            <w:pPr>
              <w:spacing w:after="0" w:line="240" w:lineRule="auto"/>
              <w:jc w:val="center"/>
              <w:rPr>
                <w:rFonts w:ascii="Times New Roman" w:hAnsi="Times New Roman" w:cs="Times New Roman"/>
                <w:sz w:val="26"/>
                <w:szCs w:val="26"/>
                <w:lang w:val="ru-RU"/>
              </w:rPr>
            </w:pPr>
            <w:r w:rsidRPr="00924BDF">
              <w:rPr>
                <w:rFonts w:ascii="Times New Roman" w:hAnsi="Times New Roman" w:cs="Times New Roman"/>
                <w:sz w:val="26"/>
                <w:szCs w:val="26"/>
                <w:lang w:val="ru-RU"/>
              </w:rPr>
              <w:t>0</w:t>
            </w:r>
          </w:p>
        </w:tc>
        <w:tc>
          <w:tcPr>
            <w:tcW w:w="946" w:type="dxa"/>
            <w:shd w:val="clear" w:color="auto" w:fill="auto"/>
            <w:vAlign w:val="center"/>
            <w:hideMark/>
          </w:tcPr>
          <w:p w:rsidR="00CC730B" w:rsidRPr="00924BDF" w:rsidP="00EA0FC4" w14:paraId="33A3BFB6"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02" w:type="dxa"/>
            <w:shd w:val="clear" w:color="auto" w:fill="auto"/>
            <w:vAlign w:val="center"/>
            <w:hideMark/>
          </w:tcPr>
          <w:p w:rsidR="00CC730B" w:rsidRPr="00924BDF" w:rsidP="00EA0FC4" w14:paraId="2BFE82F5"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r>
      <w:tr w14:paraId="2B33D33C"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4523403D"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1.2. valsts speciālais budžets</w:t>
            </w:r>
          </w:p>
        </w:tc>
        <w:tc>
          <w:tcPr>
            <w:tcW w:w="1082" w:type="dxa"/>
            <w:shd w:val="clear" w:color="auto" w:fill="auto"/>
            <w:vAlign w:val="center"/>
            <w:hideMark/>
          </w:tcPr>
          <w:p w:rsidR="00CC730B" w:rsidRPr="00924BDF" w:rsidP="00EA0FC4" w14:paraId="74643262"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42EDCBB8"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37AD1DE6"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0760C20C"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2600F065"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0D1328B6"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330D95AD" w14:textId="77777777">
            <w:pPr>
              <w:spacing w:after="0" w:line="240" w:lineRule="auto"/>
              <w:jc w:val="center"/>
              <w:rPr>
                <w:rFonts w:ascii="Times New Roman" w:hAnsi="Times New Roman" w:cs="Times New Roman"/>
                <w:sz w:val="26"/>
                <w:szCs w:val="26"/>
              </w:rPr>
            </w:pPr>
          </w:p>
        </w:tc>
      </w:tr>
      <w:tr w14:paraId="2D034A38"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7E3B5FE9"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1.3. pašvaldību budžets</w:t>
            </w:r>
          </w:p>
        </w:tc>
        <w:tc>
          <w:tcPr>
            <w:tcW w:w="1082" w:type="dxa"/>
            <w:shd w:val="clear" w:color="auto" w:fill="auto"/>
            <w:vAlign w:val="center"/>
            <w:hideMark/>
          </w:tcPr>
          <w:p w:rsidR="00CC730B" w:rsidRPr="00924BDF" w:rsidP="00EA0FC4" w14:paraId="46DB79E9"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6CE0BAAE"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046699A7"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6F2159A2"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6D787E01"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4286EAC4"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4CE94B87" w14:textId="77777777">
            <w:pPr>
              <w:spacing w:after="0" w:line="240" w:lineRule="auto"/>
              <w:jc w:val="center"/>
              <w:rPr>
                <w:rFonts w:ascii="Times New Roman" w:hAnsi="Times New Roman" w:cs="Times New Roman"/>
                <w:sz w:val="26"/>
                <w:szCs w:val="26"/>
              </w:rPr>
            </w:pPr>
          </w:p>
        </w:tc>
      </w:tr>
      <w:tr w14:paraId="6A4CC0E6"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72430774"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2. Budžeta izdevumi</w:t>
            </w:r>
          </w:p>
        </w:tc>
        <w:tc>
          <w:tcPr>
            <w:tcW w:w="1082" w:type="dxa"/>
            <w:shd w:val="clear" w:color="auto" w:fill="auto"/>
            <w:vAlign w:val="center"/>
            <w:hideMark/>
          </w:tcPr>
          <w:p w:rsidR="00B4369C" w:rsidRPr="00924BDF" w:rsidP="00EA0FC4" w14:paraId="1081E76D"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81" w:type="dxa"/>
            <w:shd w:val="clear" w:color="auto" w:fill="auto"/>
            <w:vAlign w:val="center"/>
            <w:hideMark/>
          </w:tcPr>
          <w:p w:rsidR="00B4369C" w:rsidRPr="00924BDF" w:rsidP="00EA0FC4" w14:paraId="629804DB"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11 453</w:t>
            </w:r>
          </w:p>
        </w:tc>
        <w:tc>
          <w:tcPr>
            <w:tcW w:w="947" w:type="dxa"/>
            <w:shd w:val="clear" w:color="auto" w:fill="auto"/>
            <w:vAlign w:val="center"/>
            <w:hideMark/>
          </w:tcPr>
          <w:p w:rsidR="00B4369C" w:rsidRPr="00924BDF" w:rsidP="00EA0FC4" w14:paraId="7CFF319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651EDE4C"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34 820</w:t>
            </w:r>
          </w:p>
        </w:tc>
        <w:tc>
          <w:tcPr>
            <w:tcW w:w="946" w:type="dxa"/>
            <w:shd w:val="clear" w:color="auto" w:fill="auto"/>
            <w:vAlign w:val="center"/>
            <w:hideMark/>
          </w:tcPr>
          <w:p w:rsidR="00B4369C" w:rsidRPr="00924BDF" w:rsidP="00243916" w14:paraId="6C430577"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623589BC"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59</w:t>
            </w:r>
            <w:r w:rsidRPr="00924BDF" w:rsidR="00110C56">
              <w:rPr>
                <w:rFonts w:ascii="Times New Roman" w:hAnsi="Times New Roman" w:cs="Times New Roman"/>
                <w:sz w:val="26"/>
                <w:szCs w:val="26"/>
              </w:rPr>
              <w:t> </w:t>
            </w:r>
            <w:r w:rsidRPr="00924BDF">
              <w:rPr>
                <w:rFonts w:ascii="Times New Roman" w:hAnsi="Times New Roman" w:cs="Times New Roman"/>
                <w:sz w:val="26"/>
                <w:szCs w:val="26"/>
              </w:rPr>
              <w:t>920</w:t>
            </w:r>
          </w:p>
        </w:tc>
        <w:tc>
          <w:tcPr>
            <w:tcW w:w="1002" w:type="dxa"/>
            <w:shd w:val="clear" w:color="auto" w:fill="auto"/>
            <w:vAlign w:val="center"/>
            <w:hideMark/>
          </w:tcPr>
          <w:p w:rsidR="00B4369C" w:rsidRPr="00924BDF" w:rsidP="008761FF" w14:paraId="3AF1D387" w14:textId="0E136BB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w:t>
            </w:r>
            <w:r w:rsidRPr="00924BDF" w:rsidR="00110C56">
              <w:rPr>
                <w:rFonts w:ascii="Times New Roman" w:hAnsi="Times New Roman" w:cs="Times New Roman"/>
                <w:sz w:val="26"/>
                <w:szCs w:val="26"/>
              </w:rPr>
              <w:t> </w:t>
            </w:r>
            <w:r>
              <w:rPr>
                <w:rFonts w:ascii="Times New Roman" w:hAnsi="Times New Roman" w:cs="Times New Roman"/>
                <w:sz w:val="26"/>
                <w:szCs w:val="26"/>
              </w:rPr>
              <w:t>420</w:t>
            </w:r>
          </w:p>
        </w:tc>
      </w:tr>
      <w:tr w14:paraId="55E0C5E1"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1D91361C"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2.1. valsts pamatbudžets</w:t>
            </w:r>
          </w:p>
        </w:tc>
        <w:tc>
          <w:tcPr>
            <w:tcW w:w="1082" w:type="dxa"/>
            <w:shd w:val="clear" w:color="auto" w:fill="auto"/>
            <w:vAlign w:val="center"/>
            <w:hideMark/>
          </w:tcPr>
          <w:p w:rsidR="00B4369C" w:rsidRPr="00924BDF" w:rsidP="00EA0FC4" w14:paraId="66D5A1F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81" w:type="dxa"/>
            <w:shd w:val="clear" w:color="auto" w:fill="auto"/>
            <w:vAlign w:val="center"/>
            <w:hideMark/>
          </w:tcPr>
          <w:p w:rsidR="00B4369C" w:rsidRPr="00924BDF" w:rsidP="00EA0FC4" w14:paraId="2CB4749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11 453</w:t>
            </w:r>
          </w:p>
        </w:tc>
        <w:tc>
          <w:tcPr>
            <w:tcW w:w="947" w:type="dxa"/>
            <w:shd w:val="clear" w:color="auto" w:fill="auto"/>
            <w:vAlign w:val="center"/>
            <w:hideMark/>
          </w:tcPr>
          <w:p w:rsidR="00B4369C" w:rsidRPr="00924BDF" w:rsidP="00243916" w14:paraId="21E9FDE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28BF5FF7"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34 820</w:t>
            </w:r>
          </w:p>
        </w:tc>
        <w:tc>
          <w:tcPr>
            <w:tcW w:w="946" w:type="dxa"/>
            <w:shd w:val="clear" w:color="auto" w:fill="auto"/>
            <w:vAlign w:val="center"/>
            <w:hideMark/>
          </w:tcPr>
          <w:p w:rsidR="00B4369C" w:rsidRPr="00924BDF" w:rsidP="00EA0FC4" w14:paraId="50D14BA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085096CC"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59 920</w:t>
            </w:r>
          </w:p>
        </w:tc>
        <w:tc>
          <w:tcPr>
            <w:tcW w:w="1002" w:type="dxa"/>
            <w:shd w:val="clear" w:color="auto" w:fill="auto"/>
            <w:vAlign w:val="center"/>
            <w:hideMark/>
          </w:tcPr>
          <w:p w:rsidR="00B4369C" w:rsidRPr="00924BDF" w:rsidP="00EA0FC4" w14:paraId="16B5C204" w14:textId="3ABF288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w:t>
            </w:r>
            <w:r w:rsidRPr="00924BDF">
              <w:rPr>
                <w:rFonts w:ascii="Times New Roman" w:hAnsi="Times New Roman" w:cs="Times New Roman"/>
                <w:sz w:val="26"/>
                <w:szCs w:val="26"/>
              </w:rPr>
              <w:t> </w:t>
            </w:r>
            <w:r>
              <w:rPr>
                <w:rFonts w:ascii="Times New Roman" w:hAnsi="Times New Roman" w:cs="Times New Roman"/>
                <w:sz w:val="26"/>
                <w:szCs w:val="26"/>
              </w:rPr>
              <w:t>420</w:t>
            </w:r>
          </w:p>
        </w:tc>
      </w:tr>
      <w:tr w14:paraId="59B757F9"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2B142BF2"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2.2. valsts speciālais budžets</w:t>
            </w:r>
          </w:p>
        </w:tc>
        <w:tc>
          <w:tcPr>
            <w:tcW w:w="1082" w:type="dxa"/>
            <w:shd w:val="clear" w:color="auto" w:fill="auto"/>
            <w:vAlign w:val="center"/>
            <w:hideMark/>
          </w:tcPr>
          <w:p w:rsidR="00CC730B" w:rsidRPr="00924BDF" w:rsidP="00EA0FC4" w14:paraId="3FE6A946"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0EF8AB6A"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74D4B1D5"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1EB73EA7"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76EB5353"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3CE87C02"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3DEA1F16" w14:textId="77777777">
            <w:pPr>
              <w:spacing w:after="0" w:line="240" w:lineRule="auto"/>
              <w:jc w:val="center"/>
              <w:rPr>
                <w:rFonts w:ascii="Times New Roman" w:hAnsi="Times New Roman" w:cs="Times New Roman"/>
                <w:sz w:val="26"/>
                <w:szCs w:val="26"/>
              </w:rPr>
            </w:pPr>
          </w:p>
        </w:tc>
      </w:tr>
      <w:tr w14:paraId="6CA6259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69B6C226"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2.3. pašvaldību budžets</w:t>
            </w:r>
          </w:p>
        </w:tc>
        <w:tc>
          <w:tcPr>
            <w:tcW w:w="1082" w:type="dxa"/>
            <w:shd w:val="clear" w:color="auto" w:fill="auto"/>
            <w:vAlign w:val="center"/>
            <w:hideMark/>
          </w:tcPr>
          <w:p w:rsidR="00CC730B" w:rsidRPr="00924BDF" w:rsidP="00EA0FC4" w14:paraId="23430BB7"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5E253223"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54014D91"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5109A03F"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7955724A"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5E0E862E"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6E3E71F1" w14:textId="77777777">
            <w:pPr>
              <w:spacing w:after="0" w:line="240" w:lineRule="auto"/>
              <w:jc w:val="center"/>
              <w:rPr>
                <w:rFonts w:ascii="Times New Roman" w:hAnsi="Times New Roman" w:cs="Times New Roman"/>
                <w:sz w:val="26"/>
                <w:szCs w:val="26"/>
              </w:rPr>
            </w:pPr>
          </w:p>
        </w:tc>
      </w:tr>
      <w:tr w14:paraId="163A28A2"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3CFCA8DC"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3. Finansiālā ietekme</w:t>
            </w:r>
          </w:p>
        </w:tc>
        <w:tc>
          <w:tcPr>
            <w:tcW w:w="1082" w:type="dxa"/>
            <w:shd w:val="clear" w:color="auto" w:fill="auto"/>
            <w:vAlign w:val="center"/>
            <w:hideMark/>
          </w:tcPr>
          <w:p w:rsidR="00B4369C" w:rsidRPr="00924BDF" w:rsidP="00EA0FC4" w14:paraId="43E6D0C5"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81" w:type="dxa"/>
            <w:shd w:val="clear" w:color="auto" w:fill="auto"/>
            <w:vAlign w:val="center"/>
            <w:hideMark/>
          </w:tcPr>
          <w:p w:rsidR="00B4369C" w:rsidRPr="00924BDF" w:rsidP="00EA0FC4" w14:paraId="08E3EF09"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- 11 435</w:t>
            </w:r>
          </w:p>
        </w:tc>
        <w:tc>
          <w:tcPr>
            <w:tcW w:w="947" w:type="dxa"/>
            <w:shd w:val="clear" w:color="auto" w:fill="auto"/>
            <w:vAlign w:val="center"/>
            <w:hideMark/>
          </w:tcPr>
          <w:p w:rsidR="00B4369C" w:rsidRPr="00924BDF" w:rsidP="00EA0FC4" w14:paraId="2B55DB1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17C33C14"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- 34 820</w:t>
            </w:r>
          </w:p>
        </w:tc>
        <w:tc>
          <w:tcPr>
            <w:tcW w:w="946" w:type="dxa"/>
            <w:shd w:val="clear" w:color="auto" w:fill="auto"/>
            <w:vAlign w:val="center"/>
            <w:hideMark/>
          </w:tcPr>
          <w:p w:rsidR="00B4369C" w:rsidRPr="00924BDF" w:rsidP="00EA0FC4" w14:paraId="37E4979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579965C2"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- 59 920</w:t>
            </w:r>
          </w:p>
        </w:tc>
        <w:tc>
          <w:tcPr>
            <w:tcW w:w="1002" w:type="dxa"/>
            <w:shd w:val="clear" w:color="auto" w:fill="auto"/>
            <w:vAlign w:val="center"/>
            <w:hideMark/>
          </w:tcPr>
          <w:p w:rsidR="00B4369C" w:rsidRPr="00924BDF" w:rsidP="00110C56" w14:paraId="32E1A9C1" w14:textId="003AC7EE">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xml:space="preserve">- </w:t>
            </w:r>
            <w:r w:rsidR="008761FF">
              <w:rPr>
                <w:rFonts w:ascii="Times New Roman" w:hAnsi="Times New Roman" w:cs="Times New Roman"/>
                <w:sz w:val="26"/>
                <w:szCs w:val="26"/>
              </w:rPr>
              <w:t>85</w:t>
            </w:r>
            <w:r w:rsidRPr="00924BDF" w:rsidR="008761FF">
              <w:rPr>
                <w:rFonts w:ascii="Times New Roman" w:hAnsi="Times New Roman" w:cs="Times New Roman"/>
                <w:sz w:val="26"/>
                <w:szCs w:val="26"/>
              </w:rPr>
              <w:t> </w:t>
            </w:r>
            <w:r w:rsidR="008761FF">
              <w:rPr>
                <w:rFonts w:ascii="Times New Roman" w:hAnsi="Times New Roman" w:cs="Times New Roman"/>
                <w:sz w:val="26"/>
                <w:szCs w:val="26"/>
              </w:rPr>
              <w:t>420</w:t>
            </w:r>
          </w:p>
        </w:tc>
      </w:tr>
      <w:tr w14:paraId="1DE74AF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50358852"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3.1. valsts pamatbudžets</w:t>
            </w:r>
          </w:p>
        </w:tc>
        <w:tc>
          <w:tcPr>
            <w:tcW w:w="1082" w:type="dxa"/>
            <w:shd w:val="clear" w:color="auto" w:fill="auto"/>
            <w:vAlign w:val="center"/>
            <w:hideMark/>
          </w:tcPr>
          <w:p w:rsidR="00B4369C" w:rsidRPr="00924BDF" w:rsidP="00E63301" w14:paraId="30BB97D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81" w:type="dxa"/>
            <w:shd w:val="clear" w:color="auto" w:fill="auto"/>
            <w:vAlign w:val="center"/>
            <w:hideMark/>
          </w:tcPr>
          <w:p w:rsidR="00B4369C" w:rsidRPr="00924BDF" w:rsidP="00EA0FC4" w14:paraId="27BCFC15"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- 11 435</w:t>
            </w:r>
          </w:p>
        </w:tc>
        <w:tc>
          <w:tcPr>
            <w:tcW w:w="947" w:type="dxa"/>
            <w:shd w:val="clear" w:color="auto" w:fill="auto"/>
            <w:vAlign w:val="center"/>
            <w:hideMark/>
          </w:tcPr>
          <w:p w:rsidR="00B4369C" w:rsidRPr="00924BDF" w:rsidP="00EA0FC4" w14:paraId="181F7777"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0A36CECD"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- 34 820</w:t>
            </w:r>
          </w:p>
        </w:tc>
        <w:tc>
          <w:tcPr>
            <w:tcW w:w="946" w:type="dxa"/>
            <w:shd w:val="clear" w:color="auto" w:fill="auto"/>
            <w:vAlign w:val="center"/>
            <w:hideMark/>
          </w:tcPr>
          <w:p w:rsidR="00B4369C" w:rsidRPr="00924BDF" w:rsidP="00EA0FC4" w14:paraId="73A8354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EA0FC4" w14:paraId="17110ECF"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- 59 920</w:t>
            </w:r>
          </w:p>
        </w:tc>
        <w:tc>
          <w:tcPr>
            <w:tcW w:w="1002" w:type="dxa"/>
            <w:shd w:val="clear" w:color="auto" w:fill="auto"/>
            <w:vAlign w:val="center"/>
            <w:hideMark/>
          </w:tcPr>
          <w:p w:rsidR="00B4369C" w:rsidRPr="00924BDF" w:rsidP="00110C56" w14:paraId="0471D439" w14:textId="71097733">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 xml:space="preserve">- </w:t>
            </w:r>
            <w:r w:rsidR="008761FF">
              <w:rPr>
                <w:rFonts w:ascii="Times New Roman" w:hAnsi="Times New Roman" w:cs="Times New Roman"/>
                <w:sz w:val="26"/>
                <w:szCs w:val="26"/>
              </w:rPr>
              <w:t>85</w:t>
            </w:r>
            <w:r w:rsidRPr="00924BDF" w:rsidR="008761FF">
              <w:rPr>
                <w:rFonts w:ascii="Times New Roman" w:hAnsi="Times New Roman" w:cs="Times New Roman"/>
                <w:sz w:val="26"/>
                <w:szCs w:val="26"/>
              </w:rPr>
              <w:t> </w:t>
            </w:r>
            <w:r w:rsidR="008761FF">
              <w:rPr>
                <w:rFonts w:ascii="Times New Roman" w:hAnsi="Times New Roman" w:cs="Times New Roman"/>
                <w:sz w:val="26"/>
                <w:szCs w:val="26"/>
              </w:rPr>
              <w:t>420</w:t>
            </w:r>
          </w:p>
        </w:tc>
      </w:tr>
      <w:tr w14:paraId="6D0F013F"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4D33279D"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3.2. speciālais budžets</w:t>
            </w:r>
          </w:p>
        </w:tc>
        <w:tc>
          <w:tcPr>
            <w:tcW w:w="1082" w:type="dxa"/>
            <w:shd w:val="clear" w:color="auto" w:fill="auto"/>
            <w:vAlign w:val="center"/>
            <w:hideMark/>
          </w:tcPr>
          <w:p w:rsidR="00CC730B" w:rsidRPr="00924BDF" w:rsidP="00EA0FC4" w14:paraId="3E839BFC"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5A03E63E"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62A4AE3D"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62BD5291"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141580E9"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17FF2444"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321F1254" w14:textId="77777777">
            <w:pPr>
              <w:spacing w:after="0" w:line="240" w:lineRule="auto"/>
              <w:jc w:val="center"/>
              <w:rPr>
                <w:rFonts w:ascii="Times New Roman" w:hAnsi="Times New Roman" w:cs="Times New Roman"/>
                <w:sz w:val="26"/>
                <w:szCs w:val="26"/>
              </w:rPr>
            </w:pPr>
          </w:p>
        </w:tc>
      </w:tr>
      <w:tr w14:paraId="20FD2FCA"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924BDF" w:rsidP="00EA0FC4" w14:paraId="73AFBAD4"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3.3. pašvaldību budžets</w:t>
            </w:r>
          </w:p>
        </w:tc>
        <w:tc>
          <w:tcPr>
            <w:tcW w:w="1082" w:type="dxa"/>
            <w:shd w:val="clear" w:color="auto" w:fill="auto"/>
            <w:vAlign w:val="center"/>
            <w:hideMark/>
          </w:tcPr>
          <w:p w:rsidR="00CC730B" w:rsidRPr="00924BDF" w:rsidP="00EA0FC4" w14:paraId="379F5B6A"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CC730B" w:rsidRPr="00924BDF" w:rsidP="00EA0FC4" w14:paraId="7782C9D8" w14:textId="77777777">
            <w:pPr>
              <w:spacing w:after="0" w:line="240" w:lineRule="auto"/>
              <w:jc w:val="center"/>
              <w:rPr>
                <w:rFonts w:ascii="Times New Roman" w:hAnsi="Times New Roman" w:cs="Times New Roman"/>
                <w:sz w:val="26"/>
                <w:szCs w:val="26"/>
              </w:rPr>
            </w:pPr>
          </w:p>
        </w:tc>
        <w:tc>
          <w:tcPr>
            <w:tcW w:w="947" w:type="dxa"/>
            <w:shd w:val="clear" w:color="auto" w:fill="auto"/>
            <w:vAlign w:val="center"/>
            <w:hideMark/>
          </w:tcPr>
          <w:p w:rsidR="00CC730B" w:rsidRPr="00924BDF" w:rsidP="00EA0FC4" w14:paraId="6F866996"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128DA518"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5F033819"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CC730B" w:rsidRPr="00924BDF" w:rsidP="00EA0FC4" w14:paraId="198C01A2"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CC730B" w:rsidRPr="00924BDF" w:rsidP="00EA0FC4" w14:paraId="2B276291" w14:textId="77777777">
            <w:pPr>
              <w:spacing w:after="0" w:line="240" w:lineRule="auto"/>
              <w:jc w:val="center"/>
              <w:rPr>
                <w:rFonts w:ascii="Times New Roman" w:hAnsi="Times New Roman" w:cs="Times New Roman"/>
                <w:sz w:val="26"/>
                <w:szCs w:val="26"/>
              </w:rPr>
            </w:pPr>
          </w:p>
        </w:tc>
      </w:tr>
      <w:tr w14:paraId="4C6B941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243916" w14:paraId="2C1F2D6E"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4. Finanšu līdzekļi papildu izdevumu finansēšanai (kompensējošu izdevumu samazinājumu norāda ar "+" zīmi)</w:t>
            </w:r>
          </w:p>
        </w:tc>
        <w:tc>
          <w:tcPr>
            <w:tcW w:w="1082" w:type="dxa"/>
            <w:shd w:val="clear" w:color="auto" w:fill="auto"/>
            <w:vAlign w:val="center"/>
            <w:hideMark/>
          </w:tcPr>
          <w:p w:rsidR="00B4369C" w:rsidRPr="00924BDF" w:rsidP="00243916" w14:paraId="431E8EA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p w:rsidR="00B4369C" w:rsidRPr="00924BDF" w:rsidP="00243916" w14:paraId="065397A1"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B4369C" w:rsidRPr="00924BDF" w:rsidP="00243916" w14:paraId="4FECB1BC"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11 435</w:t>
            </w:r>
          </w:p>
        </w:tc>
        <w:tc>
          <w:tcPr>
            <w:tcW w:w="947" w:type="dxa"/>
            <w:shd w:val="clear" w:color="auto" w:fill="auto"/>
            <w:vAlign w:val="center"/>
          </w:tcPr>
          <w:p w:rsidR="00B4369C" w:rsidRPr="00924BDF" w:rsidP="00243916" w14:paraId="466B669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tcPr>
          <w:p w:rsidR="00B4369C" w:rsidRPr="00924BDF" w:rsidP="00243916" w14:paraId="214C95C4"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34 820</w:t>
            </w:r>
          </w:p>
        </w:tc>
        <w:tc>
          <w:tcPr>
            <w:tcW w:w="946" w:type="dxa"/>
            <w:shd w:val="clear" w:color="auto" w:fill="auto"/>
            <w:vAlign w:val="center"/>
          </w:tcPr>
          <w:p w:rsidR="00B4369C" w:rsidRPr="00924BDF" w:rsidP="00243916" w14:paraId="121A35EE"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shd w:val="clear" w:color="auto" w:fill="auto"/>
            <w:vAlign w:val="center"/>
            <w:hideMark/>
          </w:tcPr>
          <w:p w:rsidR="00B4369C" w:rsidRPr="00924BDF" w:rsidP="00243916" w14:paraId="1293A802"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59 920</w:t>
            </w:r>
          </w:p>
        </w:tc>
        <w:tc>
          <w:tcPr>
            <w:tcW w:w="1002" w:type="dxa"/>
            <w:shd w:val="clear" w:color="auto" w:fill="auto"/>
            <w:vAlign w:val="center"/>
            <w:hideMark/>
          </w:tcPr>
          <w:p w:rsidR="00B4369C" w:rsidRPr="00924BDF" w:rsidP="00243916" w14:paraId="45A0FF36" w14:textId="081EED0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w:t>
            </w:r>
            <w:r w:rsidRPr="00924BDF">
              <w:rPr>
                <w:rFonts w:ascii="Times New Roman" w:hAnsi="Times New Roman" w:cs="Times New Roman"/>
                <w:sz w:val="26"/>
                <w:szCs w:val="26"/>
              </w:rPr>
              <w:t> </w:t>
            </w:r>
            <w:r>
              <w:rPr>
                <w:rFonts w:ascii="Times New Roman" w:hAnsi="Times New Roman" w:cs="Times New Roman"/>
                <w:sz w:val="26"/>
                <w:szCs w:val="26"/>
              </w:rPr>
              <w:t>420</w:t>
            </w:r>
          </w:p>
        </w:tc>
      </w:tr>
      <w:tr w14:paraId="7493AA0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561CBED2"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5. Precizēta finansiālā ietekme</w:t>
            </w:r>
          </w:p>
        </w:tc>
        <w:tc>
          <w:tcPr>
            <w:tcW w:w="1082" w:type="dxa"/>
            <w:vMerge w:val="restart"/>
            <w:shd w:val="clear" w:color="auto" w:fill="auto"/>
            <w:vAlign w:val="center"/>
            <w:hideMark/>
          </w:tcPr>
          <w:p w:rsidR="00B4369C" w:rsidRPr="00924BDF" w:rsidP="00EA0FC4" w14:paraId="27D16C49"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x</w:t>
            </w:r>
          </w:p>
        </w:tc>
        <w:tc>
          <w:tcPr>
            <w:tcW w:w="1081" w:type="dxa"/>
            <w:shd w:val="clear" w:color="auto" w:fill="auto"/>
            <w:vAlign w:val="center"/>
            <w:hideMark/>
          </w:tcPr>
          <w:p w:rsidR="00B4369C" w:rsidRPr="00924BDF" w:rsidP="00EA0FC4" w14:paraId="2833F8E0"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7" w:type="dxa"/>
            <w:vMerge w:val="restart"/>
            <w:shd w:val="clear" w:color="auto" w:fill="auto"/>
            <w:vAlign w:val="center"/>
            <w:hideMark/>
          </w:tcPr>
          <w:p w:rsidR="00B4369C" w:rsidRPr="00924BDF" w:rsidP="00EA0FC4" w14:paraId="6CDF605F"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x</w:t>
            </w:r>
          </w:p>
        </w:tc>
        <w:tc>
          <w:tcPr>
            <w:tcW w:w="946" w:type="dxa"/>
            <w:shd w:val="clear" w:color="auto" w:fill="auto"/>
            <w:vAlign w:val="center"/>
            <w:hideMark/>
          </w:tcPr>
          <w:p w:rsidR="00B4369C" w:rsidRPr="00924BDF" w:rsidP="00EA0FC4" w14:paraId="508102C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vMerge w:val="restart"/>
            <w:shd w:val="clear" w:color="auto" w:fill="auto"/>
            <w:vAlign w:val="center"/>
            <w:hideMark/>
          </w:tcPr>
          <w:p w:rsidR="00B4369C" w:rsidRPr="00924BDF" w:rsidP="00EA0FC4" w14:paraId="0054D6FA"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x</w:t>
            </w:r>
          </w:p>
        </w:tc>
        <w:tc>
          <w:tcPr>
            <w:tcW w:w="946" w:type="dxa"/>
            <w:shd w:val="clear" w:color="auto" w:fill="auto"/>
            <w:vAlign w:val="center"/>
            <w:hideMark/>
          </w:tcPr>
          <w:p w:rsidR="00B4369C" w:rsidRPr="00924BDF" w:rsidP="00EA0FC4" w14:paraId="51C7F542"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02" w:type="dxa"/>
            <w:shd w:val="clear" w:color="auto" w:fill="auto"/>
            <w:vAlign w:val="center"/>
            <w:hideMark/>
          </w:tcPr>
          <w:p w:rsidR="00B4369C" w:rsidRPr="00924BDF" w:rsidP="00EA0FC4" w14:paraId="7F18C6E8"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r>
      <w:tr w14:paraId="184E5206"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5FEE3F7B"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5.1. valsts pamatbudžets</w:t>
            </w:r>
          </w:p>
        </w:tc>
        <w:tc>
          <w:tcPr>
            <w:tcW w:w="1082" w:type="dxa"/>
            <w:vMerge/>
            <w:shd w:val="clear" w:color="auto" w:fill="auto"/>
            <w:vAlign w:val="center"/>
            <w:hideMark/>
          </w:tcPr>
          <w:p w:rsidR="00B4369C" w:rsidRPr="00924BDF" w:rsidP="00EA0FC4" w14:paraId="52063E67"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B4369C" w:rsidRPr="00924BDF" w:rsidP="00EA0FC4" w14:paraId="5494E4C3"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7" w:type="dxa"/>
            <w:vMerge/>
            <w:shd w:val="clear" w:color="auto" w:fill="auto"/>
            <w:vAlign w:val="center"/>
            <w:hideMark/>
          </w:tcPr>
          <w:p w:rsidR="00B4369C" w:rsidRPr="00924BDF" w:rsidP="00EA0FC4" w14:paraId="6F18E388"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28DDB851"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946" w:type="dxa"/>
            <w:vMerge/>
            <w:shd w:val="clear" w:color="auto" w:fill="auto"/>
            <w:vAlign w:val="center"/>
            <w:hideMark/>
          </w:tcPr>
          <w:p w:rsidR="00B4369C" w:rsidRPr="00924BDF" w:rsidP="00EA0FC4" w14:paraId="5CF4C215"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34C6847C"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c>
          <w:tcPr>
            <w:tcW w:w="1002" w:type="dxa"/>
            <w:shd w:val="clear" w:color="auto" w:fill="auto"/>
            <w:vAlign w:val="center"/>
            <w:hideMark/>
          </w:tcPr>
          <w:p w:rsidR="00B4369C" w:rsidRPr="00924BDF" w:rsidP="00EA0FC4" w14:paraId="3ED54F41" w14:textId="77777777">
            <w:pPr>
              <w:spacing w:after="0" w:line="240" w:lineRule="auto"/>
              <w:jc w:val="center"/>
              <w:rPr>
                <w:rFonts w:ascii="Times New Roman" w:hAnsi="Times New Roman" w:cs="Times New Roman"/>
                <w:sz w:val="26"/>
                <w:szCs w:val="26"/>
              </w:rPr>
            </w:pPr>
            <w:r w:rsidRPr="00924BDF">
              <w:rPr>
                <w:rFonts w:ascii="Times New Roman" w:hAnsi="Times New Roman" w:cs="Times New Roman"/>
                <w:sz w:val="26"/>
                <w:szCs w:val="26"/>
              </w:rPr>
              <w:t>0</w:t>
            </w:r>
          </w:p>
        </w:tc>
      </w:tr>
      <w:tr w14:paraId="7DD3F59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0FAD68C1"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5.2. speciālais budžets</w:t>
            </w:r>
          </w:p>
        </w:tc>
        <w:tc>
          <w:tcPr>
            <w:tcW w:w="1082" w:type="dxa"/>
            <w:vMerge/>
            <w:shd w:val="clear" w:color="auto" w:fill="auto"/>
            <w:vAlign w:val="center"/>
            <w:hideMark/>
          </w:tcPr>
          <w:p w:rsidR="00B4369C" w:rsidRPr="00924BDF" w:rsidP="00EA0FC4" w14:paraId="0A986CEA"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B4369C" w:rsidRPr="00924BDF" w:rsidP="00EA0FC4" w14:paraId="1496F459" w14:textId="77777777">
            <w:pPr>
              <w:spacing w:after="0" w:line="240" w:lineRule="auto"/>
              <w:jc w:val="center"/>
              <w:rPr>
                <w:rFonts w:ascii="Times New Roman" w:hAnsi="Times New Roman" w:cs="Times New Roman"/>
                <w:sz w:val="26"/>
                <w:szCs w:val="26"/>
              </w:rPr>
            </w:pPr>
          </w:p>
        </w:tc>
        <w:tc>
          <w:tcPr>
            <w:tcW w:w="947" w:type="dxa"/>
            <w:vMerge/>
            <w:shd w:val="clear" w:color="auto" w:fill="auto"/>
            <w:vAlign w:val="center"/>
            <w:hideMark/>
          </w:tcPr>
          <w:p w:rsidR="00B4369C" w:rsidRPr="00924BDF" w:rsidP="00EA0FC4" w14:paraId="7E28BBAB"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7BB477F1" w14:textId="77777777">
            <w:pPr>
              <w:spacing w:after="0" w:line="240" w:lineRule="auto"/>
              <w:jc w:val="center"/>
              <w:rPr>
                <w:rFonts w:ascii="Times New Roman" w:hAnsi="Times New Roman" w:cs="Times New Roman"/>
                <w:sz w:val="26"/>
                <w:szCs w:val="26"/>
              </w:rPr>
            </w:pPr>
          </w:p>
        </w:tc>
        <w:tc>
          <w:tcPr>
            <w:tcW w:w="946" w:type="dxa"/>
            <w:vMerge/>
            <w:shd w:val="clear" w:color="auto" w:fill="auto"/>
            <w:vAlign w:val="center"/>
            <w:hideMark/>
          </w:tcPr>
          <w:p w:rsidR="00B4369C" w:rsidRPr="00924BDF" w:rsidP="00EA0FC4" w14:paraId="556A5D3F"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6C882E19"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B4369C" w:rsidRPr="00924BDF" w:rsidP="00EA0FC4" w14:paraId="3F5D6AB8" w14:textId="77777777">
            <w:pPr>
              <w:spacing w:after="0" w:line="240" w:lineRule="auto"/>
              <w:jc w:val="center"/>
              <w:rPr>
                <w:rFonts w:ascii="Times New Roman" w:hAnsi="Times New Roman" w:cs="Times New Roman"/>
                <w:sz w:val="26"/>
                <w:szCs w:val="26"/>
              </w:rPr>
            </w:pPr>
          </w:p>
        </w:tc>
      </w:tr>
      <w:tr w14:paraId="3320C548"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4780F559"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5.3. pašvaldību budžets</w:t>
            </w:r>
          </w:p>
        </w:tc>
        <w:tc>
          <w:tcPr>
            <w:tcW w:w="1082" w:type="dxa"/>
            <w:vMerge/>
            <w:shd w:val="clear" w:color="auto" w:fill="auto"/>
            <w:vAlign w:val="center"/>
            <w:hideMark/>
          </w:tcPr>
          <w:p w:rsidR="00B4369C" w:rsidRPr="00924BDF" w:rsidP="00EA0FC4" w14:paraId="3951355E" w14:textId="77777777">
            <w:pPr>
              <w:spacing w:after="0" w:line="240" w:lineRule="auto"/>
              <w:jc w:val="center"/>
              <w:rPr>
                <w:rFonts w:ascii="Times New Roman" w:hAnsi="Times New Roman" w:cs="Times New Roman"/>
                <w:sz w:val="26"/>
                <w:szCs w:val="26"/>
              </w:rPr>
            </w:pPr>
          </w:p>
        </w:tc>
        <w:tc>
          <w:tcPr>
            <w:tcW w:w="1081" w:type="dxa"/>
            <w:shd w:val="clear" w:color="auto" w:fill="auto"/>
            <w:vAlign w:val="center"/>
            <w:hideMark/>
          </w:tcPr>
          <w:p w:rsidR="00B4369C" w:rsidRPr="00924BDF" w:rsidP="00EA0FC4" w14:paraId="7B792F69" w14:textId="77777777">
            <w:pPr>
              <w:spacing w:after="0" w:line="240" w:lineRule="auto"/>
              <w:jc w:val="center"/>
              <w:rPr>
                <w:rFonts w:ascii="Times New Roman" w:hAnsi="Times New Roman" w:cs="Times New Roman"/>
                <w:sz w:val="26"/>
                <w:szCs w:val="26"/>
              </w:rPr>
            </w:pPr>
          </w:p>
        </w:tc>
        <w:tc>
          <w:tcPr>
            <w:tcW w:w="947" w:type="dxa"/>
            <w:vMerge/>
            <w:shd w:val="clear" w:color="auto" w:fill="auto"/>
            <w:vAlign w:val="center"/>
            <w:hideMark/>
          </w:tcPr>
          <w:p w:rsidR="00B4369C" w:rsidRPr="00924BDF" w:rsidP="00EA0FC4" w14:paraId="731CCE4C"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33231CE4" w14:textId="77777777">
            <w:pPr>
              <w:spacing w:after="0" w:line="240" w:lineRule="auto"/>
              <w:jc w:val="center"/>
              <w:rPr>
                <w:rFonts w:ascii="Times New Roman" w:hAnsi="Times New Roman" w:cs="Times New Roman"/>
                <w:sz w:val="26"/>
                <w:szCs w:val="26"/>
              </w:rPr>
            </w:pPr>
          </w:p>
        </w:tc>
        <w:tc>
          <w:tcPr>
            <w:tcW w:w="946" w:type="dxa"/>
            <w:vMerge/>
            <w:shd w:val="clear" w:color="auto" w:fill="auto"/>
            <w:vAlign w:val="center"/>
            <w:hideMark/>
          </w:tcPr>
          <w:p w:rsidR="00B4369C" w:rsidRPr="00924BDF" w:rsidP="00EA0FC4" w14:paraId="6518243A" w14:textId="77777777">
            <w:pPr>
              <w:spacing w:after="0" w:line="240" w:lineRule="auto"/>
              <w:jc w:val="center"/>
              <w:rPr>
                <w:rFonts w:ascii="Times New Roman" w:hAnsi="Times New Roman" w:cs="Times New Roman"/>
                <w:sz w:val="26"/>
                <w:szCs w:val="26"/>
              </w:rPr>
            </w:pPr>
          </w:p>
        </w:tc>
        <w:tc>
          <w:tcPr>
            <w:tcW w:w="946" w:type="dxa"/>
            <w:shd w:val="clear" w:color="auto" w:fill="auto"/>
            <w:vAlign w:val="center"/>
            <w:hideMark/>
          </w:tcPr>
          <w:p w:rsidR="00B4369C" w:rsidRPr="00924BDF" w:rsidP="00EA0FC4" w14:paraId="6A32B742" w14:textId="77777777">
            <w:pPr>
              <w:spacing w:after="0" w:line="240" w:lineRule="auto"/>
              <w:jc w:val="center"/>
              <w:rPr>
                <w:rFonts w:ascii="Times New Roman" w:hAnsi="Times New Roman" w:cs="Times New Roman"/>
                <w:sz w:val="26"/>
                <w:szCs w:val="26"/>
              </w:rPr>
            </w:pPr>
          </w:p>
        </w:tc>
        <w:tc>
          <w:tcPr>
            <w:tcW w:w="1002" w:type="dxa"/>
            <w:shd w:val="clear" w:color="auto" w:fill="auto"/>
            <w:vAlign w:val="center"/>
            <w:hideMark/>
          </w:tcPr>
          <w:p w:rsidR="00B4369C" w:rsidRPr="00924BDF" w:rsidP="00EA0FC4" w14:paraId="36AD5849" w14:textId="77777777">
            <w:pPr>
              <w:spacing w:after="0" w:line="240" w:lineRule="auto"/>
              <w:jc w:val="center"/>
              <w:rPr>
                <w:rFonts w:ascii="Times New Roman" w:hAnsi="Times New Roman" w:cs="Times New Roman"/>
                <w:sz w:val="26"/>
                <w:szCs w:val="26"/>
              </w:rPr>
            </w:pPr>
          </w:p>
        </w:tc>
      </w:tr>
      <w:tr w14:paraId="38B51778"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0B3D300E"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6. Detalizēts ieņēmumu un izdevumu aprēķins (ja nepieciešams, detalizētu ieņēmumu un izdevumu aprēķinu var pievienot anotācijas pielikumā)</w:t>
            </w:r>
          </w:p>
        </w:tc>
        <w:tc>
          <w:tcPr>
            <w:tcW w:w="6950" w:type="dxa"/>
            <w:gridSpan w:val="7"/>
            <w:vMerge w:val="restart"/>
            <w:shd w:val="clear" w:color="auto" w:fill="auto"/>
            <w:hideMark/>
          </w:tcPr>
          <w:p w:rsidR="00B4369C" w:rsidRPr="00924BDF" w:rsidP="00CC730B" w14:paraId="456934D8" w14:textId="22C8BE36">
            <w:pPr>
              <w:spacing w:after="0" w:line="240" w:lineRule="auto"/>
              <w:ind w:firstLine="378"/>
              <w:jc w:val="both"/>
              <w:rPr>
                <w:rFonts w:ascii="Times New Roman" w:hAnsi="Times New Roman" w:cs="Times New Roman"/>
                <w:sz w:val="26"/>
                <w:szCs w:val="26"/>
              </w:rPr>
            </w:pPr>
            <w:r w:rsidRPr="00924BDF">
              <w:rPr>
                <w:rFonts w:ascii="Times New Roman" w:hAnsi="Times New Roman" w:cs="Times New Roman"/>
                <w:sz w:val="26"/>
                <w:szCs w:val="26"/>
              </w:rPr>
              <w:t>2018.</w:t>
            </w:r>
            <w:r w:rsidRPr="00924BDF" w:rsidR="008615B3">
              <w:rPr>
                <w:rFonts w:ascii="Times New Roman" w:hAnsi="Times New Roman" w:cs="Times New Roman"/>
                <w:sz w:val="26"/>
                <w:szCs w:val="26"/>
              </w:rPr>
              <w:t> </w:t>
            </w:r>
            <w:r w:rsidRPr="00924BDF">
              <w:rPr>
                <w:rFonts w:ascii="Times New Roman" w:hAnsi="Times New Roman" w:cs="Times New Roman"/>
                <w:sz w:val="26"/>
                <w:szCs w:val="26"/>
              </w:rPr>
              <w:t>gada septembrī studijas uzsāks kopumā 19 jaunsargu instruktori, no tiem 15 studēs LSPA, divi – Daugavpils Universitātē, divi – Liepājas Universitātē. LSPA studiju maksa semestrī ir 570</w:t>
            </w:r>
            <w:r w:rsidRPr="00924BDF" w:rsidR="00116ABE">
              <w:rPr>
                <w:rFonts w:ascii="Times New Roman" w:hAnsi="Times New Roman" w:cs="Times New Roman"/>
                <w:sz w:val="26"/>
                <w:szCs w:val="26"/>
              </w:rPr>
              <w:t xml:space="preserve"> </w:t>
            </w:r>
            <w:r w:rsidRPr="00924BDF">
              <w:rPr>
                <w:rFonts w:ascii="Times New Roman" w:hAnsi="Times New Roman" w:cs="Times New Roman"/>
                <w:sz w:val="26"/>
                <w:szCs w:val="26"/>
              </w:rPr>
              <w:t>-</w:t>
            </w:r>
            <w:r w:rsidRPr="00924BDF" w:rsidR="00116ABE">
              <w:rPr>
                <w:rFonts w:ascii="Times New Roman" w:hAnsi="Times New Roman" w:cs="Times New Roman"/>
                <w:sz w:val="26"/>
                <w:szCs w:val="26"/>
              </w:rPr>
              <w:t xml:space="preserve"> </w:t>
            </w:r>
            <w:r w:rsidRPr="00924BDF">
              <w:rPr>
                <w:rFonts w:ascii="Times New Roman" w:hAnsi="Times New Roman" w:cs="Times New Roman"/>
                <w:sz w:val="26"/>
                <w:szCs w:val="26"/>
              </w:rPr>
              <w:t>620 EUR (1.-4.sem semestrī 620 EUR, 5.</w:t>
            </w:r>
            <w:r w:rsidRPr="00924BDF" w:rsidR="00116ABE">
              <w:rPr>
                <w:rFonts w:ascii="Times New Roman" w:hAnsi="Times New Roman" w:cs="Times New Roman"/>
                <w:sz w:val="26"/>
                <w:szCs w:val="26"/>
              </w:rPr>
              <w:t> </w:t>
            </w:r>
            <w:r w:rsidRPr="00924BDF">
              <w:rPr>
                <w:rFonts w:ascii="Times New Roman" w:hAnsi="Times New Roman" w:cs="Times New Roman"/>
                <w:sz w:val="26"/>
                <w:szCs w:val="26"/>
              </w:rPr>
              <w:t>-8.</w:t>
            </w:r>
            <w:r w:rsidRPr="00924BDF" w:rsidR="00116ABE">
              <w:rPr>
                <w:rFonts w:ascii="Times New Roman" w:hAnsi="Times New Roman" w:cs="Times New Roman"/>
                <w:sz w:val="26"/>
                <w:szCs w:val="26"/>
              </w:rPr>
              <w:t> </w:t>
            </w:r>
            <w:r w:rsidRPr="00924BDF">
              <w:rPr>
                <w:rFonts w:ascii="Times New Roman" w:hAnsi="Times New Roman" w:cs="Times New Roman"/>
                <w:sz w:val="26"/>
                <w:szCs w:val="26"/>
              </w:rPr>
              <w:t>semestrī 640 EUR, 9.</w:t>
            </w:r>
            <w:r w:rsidRPr="00924BDF" w:rsidR="00116ABE">
              <w:rPr>
                <w:rFonts w:ascii="Times New Roman" w:hAnsi="Times New Roman" w:cs="Times New Roman"/>
                <w:sz w:val="26"/>
                <w:szCs w:val="26"/>
              </w:rPr>
              <w:t> </w:t>
            </w:r>
            <w:r w:rsidRPr="00924BDF">
              <w:rPr>
                <w:rFonts w:ascii="Times New Roman" w:hAnsi="Times New Roman" w:cs="Times New Roman"/>
                <w:sz w:val="26"/>
                <w:szCs w:val="26"/>
              </w:rPr>
              <w:t>semestrī – 570 EUR) Daugavpils universitātē – 450 EUR semestrī, Liepājas Universitātē</w:t>
            </w:r>
            <w:r w:rsidRPr="00924BDF" w:rsidR="00CA5373">
              <w:rPr>
                <w:rFonts w:ascii="Times New Roman" w:hAnsi="Times New Roman" w:cs="Times New Roman"/>
                <w:sz w:val="26"/>
                <w:szCs w:val="26"/>
              </w:rPr>
              <w:t> – 380</w:t>
            </w:r>
            <w:r w:rsidRPr="00924BDF">
              <w:rPr>
                <w:rFonts w:ascii="Times New Roman" w:hAnsi="Times New Roman" w:cs="Times New Roman"/>
                <w:sz w:val="26"/>
                <w:szCs w:val="26"/>
              </w:rPr>
              <w:t> EUR</w:t>
            </w:r>
            <w:r w:rsidRPr="00924BDF" w:rsidR="00CA5373">
              <w:rPr>
                <w:rFonts w:ascii="Times New Roman" w:hAnsi="Times New Roman" w:cs="Times New Roman"/>
                <w:sz w:val="26"/>
                <w:szCs w:val="26"/>
              </w:rPr>
              <w:t xml:space="preserve"> semestrī</w:t>
            </w:r>
            <w:r w:rsidRPr="00924BDF">
              <w:rPr>
                <w:rFonts w:ascii="Times New Roman" w:hAnsi="Times New Roman" w:cs="Times New Roman"/>
                <w:sz w:val="26"/>
                <w:szCs w:val="26"/>
              </w:rPr>
              <w:t>.</w:t>
            </w:r>
          </w:p>
          <w:p w:rsidR="00B4369C" w:rsidRPr="00924BDF" w:rsidP="00CC730B" w14:paraId="701D1F4D" w14:textId="77777777">
            <w:pPr>
              <w:spacing w:after="0" w:line="240" w:lineRule="auto"/>
              <w:ind w:firstLine="378"/>
              <w:jc w:val="both"/>
              <w:rPr>
                <w:rFonts w:ascii="Times New Roman" w:hAnsi="Times New Roman" w:cs="Times New Roman"/>
                <w:sz w:val="26"/>
                <w:szCs w:val="26"/>
              </w:rPr>
            </w:pPr>
            <w:r w:rsidRPr="00924BDF">
              <w:rPr>
                <w:rFonts w:ascii="Times New Roman" w:hAnsi="Times New Roman" w:cs="Times New Roman"/>
                <w:sz w:val="26"/>
                <w:szCs w:val="26"/>
              </w:rPr>
              <w:t>Turpmākajos gados šādi apmācāmas vēl kopumā līdz 80 personām, kas apmācību uzsāks nākamajos četros gados.</w:t>
            </w:r>
          </w:p>
          <w:p w:rsidR="00B4369C" w:rsidRPr="00924BDF" w:rsidP="00CC730B" w14:paraId="2846CF33" w14:textId="77777777">
            <w:pPr>
              <w:spacing w:after="0" w:line="240" w:lineRule="auto"/>
              <w:ind w:firstLine="378"/>
              <w:jc w:val="both"/>
              <w:rPr>
                <w:rFonts w:ascii="Times New Roman" w:hAnsi="Times New Roman" w:cs="Times New Roman"/>
                <w:sz w:val="26"/>
                <w:szCs w:val="26"/>
              </w:rPr>
            </w:pPr>
          </w:p>
          <w:tbl>
            <w:tblPr>
              <w:tblW w:w="6204" w:type="dxa"/>
              <w:tblLayout w:type="fixed"/>
              <w:tblLook w:val="04A0"/>
            </w:tblPr>
            <w:tblGrid>
              <w:gridCol w:w="1243"/>
              <w:gridCol w:w="708"/>
              <w:gridCol w:w="709"/>
              <w:gridCol w:w="709"/>
              <w:gridCol w:w="709"/>
              <w:gridCol w:w="708"/>
              <w:gridCol w:w="709"/>
              <w:gridCol w:w="709"/>
            </w:tblGrid>
            <w:tr w14:paraId="21CF6BA0" w14:textId="77777777" w:rsidTr="00EA0FC4">
              <w:tblPrEx>
                <w:tblW w:w="6204" w:type="dxa"/>
                <w:tblLayout w:type="fixed"/>
                <w:tblLook w:val="04A0"/>
              </w:tblPrEx>
              <w:trPr>
                <w:trHeight w:val="750"/>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69C" w:rsidRPr="00924BDF" w:rsidP="00CC730B" w14:paraId="3F87A5AE"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Apmācāmie</w:t>
                  </w:r>
                  <w:r w:rsidRPr="00924BDF">
                    <w:rPr>
                      <w:rFonts w:ascii="Times New Roman" w:eastAsia="Times New Roman" w:hAnsi="Times New Roman" w:cs="Times New Roman"/>
                      <w:sz w:val="26"/>
                      <w:szCs w:val="26"/>
                      <w:lang w:val="en-GB" w:eastAsia="en-GB"/>
                    </w:rPr>
                    <w:br/>
                    <w:t xml:space="preserve"> JIC </w:t>
                  </w:r>
                  <w:r w:rsidRPr="00924BDF">
                    <w:rPr>
                      <w:rFonts w:ascii="Times New Roman" w:eastAsia="Times New Roman" w:hAnsi="Times New Roman" w:cs="Times New Roman"/>
                      <w:sz w:val="26"/>
                      <w:szCs w:val="26"/>
                      <w:lang w:val="en-GB" w:eastAsia="en-GB"/>
                    </w:rPr>
                    <w:t>instruktori</w:t>
                  </w:r>
                  <w:r w:rsidRPr="00924BDF">
                    <w:rPr>
                      <w:rFonts w:ascii="Times New Roman" w:eastAsia="Times New Roman" w:hAnsi="Times New Roman" w:cs="Times New Roman"/>
                      <w:sz w:val="26"/>
                      <w:szCs w:val="26"/>
                      <w:lang w:val="en-GB" w:eastAsia="en-GB"/>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369C" w:rsidRPr="00924BDF" w:rsidP="00CC730B" w14:paraId="51EBC8FF" w14:textId="77777777">
                  <w:pPr>
                    <w:spacing w:after="0" w:line="240" w:lineRule="auto"/>
                    <w:jc w:val="center"/>
                    <w:rPr>
                      <w:rFonts w:ascii="Times New Roman" w:eastAsia="Times New Roman" w:hAnsi="Times New Roman" w:cs="Times New Roman"/>
                      <w:b/>
                      <w:bCs/>
                      <w:sz w:val="26"/>
                      <w:szCs w:val="26"/>
                      <w:lang w:val="en-GB" w:eastAsia="en-GB"/>
                    </w:rPr>
                  </w:pPr>
                  <w:r w:rsidRPr="00924BDF">
                    <w:rPr>
                      <w:rFonts w:ascii="Times New Roman" w:eastAsia="Times New Roman" w:hAnsi="Times New Roman" w:cs="Times New Roman"/>
                      <w:b/>
                      <w:bCs/>
                      <w:sz w:val="26"/>
                      <w:szCs w:val="26"/>
                      <w:lang w:val="en-GB" w:eastAsia="en-GB"/>
                    </w:rPr>
                    <w:t>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924BDF" w:rsidP="00CC730B" w14:paraId="5D8AAEBC" w14:textId="77777777">
                  <w:pPr>
                    <w:spacing w:after="0" w:line="240" w:lineRule="auto"/>
                    <w:jc w:val="center"/>
                    <w:rPr>
                      <w:rFonts w:ascii="Times New Roman" w:eastAsia="Times New Roman" w:hAnsi="Times New Roman" w:cs="Times New Roman"/>
                      <w:b/>
                      <w:bCs/>
                      <w:sz w:val="26"/>
                      <w:szCs w:val="26"/>
                      <w:lang w:val="en-GB" w:eastAsia="en-GB"/>
                    </w:rPr>
                  </w:pPr>
                  <w:r w:rsidRPr="00924BDF">
                    <w:rPr>
                      <w:rFonts w:ascii="Times New Roman" w:eastAsia="Times New Roman" w:hAnsi="Times New Roman" w:cs="Times New Roman"/>
                      <w:b/>
                      <w:bCs/>
                      <w:sz w:val="26"/>
                      <w:szCs w:val="26"/>
                      <w:lang w:val="en-GB" w:eastAsia="en-GB"/>
                    </w:rPr>
                    <w:t>2019</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924BDF" w:rsidP="00CC730B" w14:paraId="2C5E42CE" w14:textId="77777777">
                  <w:pPr>
                    <w:spacing w:after="0" w:line="240" w:lineRule="auto"/>
                    <w:jc w:val="center"/>
                    <w:rPr>
                      <w:rFonts w:ascii="Times New Roman" w:eastAsia="Times New Roman" w:hAnsi="Times New Roman" w:cs="Times New Roman"/>
                      <w:b/>
                      <w:bCs/>
                      <w:sz w:val="26"/>
                      <w:szCs w:val="26"/>
                      <w:lang w:val="en-GB" w:eastAsia="en-GB"/>
                    </w:rPr>
                  </w:pPr>
                  <w:r w:rsidRPr="00924BDF">
                    <w:rPr>
                      <w:rFonts w:ascii="Times New Roman" w:eastAsia="Times New Roman" w:hAnsi="Times New Roman" w:cs="Times New Roman"/>
                      <w:b/>
                      <w:bCs/>
                      <w:sz w:val="26"/>
                      <w:szCs w:val="26"/>
                      <w:lang w:val="en-GB" w:eastAsia="en-GB"/>
                    </w:rPr>
                    <w:t>2020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924BDF" w:rsidP="00CC730B" w14:paraId="3735B0E1" w14:textId="77777777">
                  <w:pPr>
                    <w:spacing w:after="0" w:line="240" w:lineRule="auto"/>
                    <w:jc w:val="center"/>
                    <w:rPr>
                      <w:rFonts w:ascii="Times New Roman" w:eastAsia="Times New Roman" w:hAnsi="Times New Roman" w:cs="Times New Roman"/>
                      <w:b/>
                      <w:bCs/>
                      <w:sz w:val="26"/>
                      <w:szCs w:val="26"/>
                      <w:lang w:val="en-GB" w:eastAsia="en-GB"/>
                    </w:rPr>
                  </w:pPr>
                  <w:r w:rsidRPr="00924BDF">
                    <w:rPr>
                      <w:rFonts w:ascii="Times New Roman" w:eastAsia="Times New Roman" w:hAnsi="Times New Roman" w:cs="Times New Roman"/>
                      <w:b/>
                      <w:bCs/>
                      <w:sz w:val="26"/>
                      <w:szCs w:val="26"/>
                      <w:lang w:val="en-GB" w:eastAsia="en-GB"/>
                    </w:rPr>
                    <w:t>2021</w:t>
                  </w:r>
                </w:p>
              </w:tc>
            </w:tr>
            <w:tr w14:paraId="5E2A55F5" w14:textId="77777777" w:rsidTr="00EA0FC4">
              <w:tblPrEx>
                <w:tblW w:w="6204" w:type="dxa"/>
                <w:tblLayout w:type="fixed"/>
                <w:tblLook w:val="04A0"/>
              </w:tblPrEx>
              <w:trPr>
                <w:trHeight w:val="6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2D60A255" w14:textId="77777777">
                  <w:pPr>
                    <w:spacing w:after="0" w:line="240" w:lineRule="auto"/>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 </w:t>
                  </w:r>
                </w:p>
              </w:tc>
              <w:tc>
                <w:tcPr>
                  <w:tcW w:w="708" w:type="dxa"/>
                  <w:tcBorders>
                    <w:top w:val="nil"/>
                    <w:left w:val="nil"/>
                    <w:bottom w:val="single" w:sz="4" w:space="0" w:color="auto"/>
                    <w:right w:val="single" w:sz="4" w:space="0" w:color="auto"/>
                  </w:tcBorders>
                  <w:shd w:val="clear" w:color="auto" w:fill="auto"/>
                  <w:vAlign w:val="bottom"/>
                  <w:hideMark/>
                </w:tcPr>
                <w:p w:rsidR="00B4369C" w:rsidRPr="00924BDF" w:rsidP="00CC730B" w14:paraId="6F405C1C"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2018.</w:t>
                  </w:r>
                  <w:r w:rsidRPr="00924BDF">
                    <w:rPr>
                      <w:rFonts w:ascii="Times New Roman" w:eastAsia="Times New Roman" w:hAnsi="Times New Roman" w:cs="Times New Roman"/>
                      <w:sz w:val="26"/>
                      <w:szCs w:val="26"/>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924BDF" w:rsidP="00CC730B" w14:paraId="131A9815"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2019.</w:t>
                  </w:r>
                  <w:r w:rsidRPr="00924BDF">
                    <w:rPr>
                      <w:rFonts w:ascii="Times New Roman" w:eastAsia="Times New Roman" w:hAnsi="Times New Roman" w:cs="Times New Roman"/>
                      <w:sz w:val="26"/>
                      <w:szCs w:val="26"/>
                      <w:lang w:val="en-GB" w:eastAsia="en-GB"/>
                    </w:rPr>
                    <w:br/>
                    <w:t>I</w:t>
                  </w:r>
                </w:p>
              </w:tc>
              <w:tc>
                <w:tcPr>
                  <w:tcW w:w="709" w:type="dxa"/>
                  <w:tcBorders>
                    <w:top w:val="nil"/>
                    <w:left w:val="nil"/>
                    <w:bottom w:val="single" w:sz="4" w:space="0" w:color="auto"/>
                    <w:right w:val="single" w:sz="4" w:space="0" w:color="auto"/>
                  </w:tcBorders>
                  <w:shd w:val="clear" w:color="auto" w:fill="auto"/>
                  <w:vAlign w:val="bottom"/>
                  <w:hideMark/>
                </w:tcPr>
                <w:p w:rsidR="00B4369C" w:rsidRPr="00924BDF" w:rsidP="00CC730B" w14:paraId="7E49257B"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2019.</w:t>
                  </w:r>
                  <w:r w:rsidRPr="00924BDF">
                    <w:rPr>
                      <w:rFonts w:ascii="Times New Roman" w:eastAsia="Times New Roman" w:hAnsi="Times New Roman" w:cs="Times New Roman"/>
                      <w:sz w:val="26"/>
                      <w:szCs w:val="26"/>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924BDF" w:rsidP="00CC730B" w14:paraId="572FE74D"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2020.</w:t>
                  </w:r>
                  <w:r w:rsidRPr="00924BDF">
                    <w:rPr>
                      <w:rFonts w:ascii="Times New Roman" w:eastAsia="Times New Roman" w:hAnsi="Times New Roman" w:cs="Times New Roman"/>
                      <w:sz w:val="26"/>
                      <w:szCs w:val="26"/>
                      <w:lang w:val="en-GB" w:eastAsia="en-GB"/>
                    </w:rPr>
                    <w:br/>
                    <w:t>I</w:t>
                  </w:r>
                </w:p>
              </w:tc>
              <w:tc>
                <w:tcPr>
                  <w:tcW w:w="708" w:type="dxa"/>
                  <w:tcBorders>
                    <w:top w:val="nil"/>
                    <w:left w:val="nil"/>
                    <w:bottom w:val="single" w:sz="4" w:space="0" w:color="auto"/>
                    <w:right w:val="single" w:sz="4" w:space="0" w:color="auto"/>
                  </w:tcBorders>
                  <w:shd w:val="clear" w:color="auto" w:fill="auto"/>
                  <w:vAlign w:val="bottom"/>
                  <w:hideMark/>
                </w:tcPr>
                <w:p w:rsidR="00B4369C" w:rsidRPr="00924BDF" w:rsidP="00CC730B" w14:paraId="63C96C7B"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2020.</w:t>
                  </w:r>
                  <w:r w:rsidRPr="00924BDF">
                    <w:rPr>
                      <w:rFonts w:ascii="Times New Roman" w:eastAsia="Times New Roman" w:hAnsi="Times New Roman" w:cs="Times New Roman"/>
                      <w:sz w:val="26"/>
                      <w:szCs w:val="26"/>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924BDF" w:rsidP="00CC730B" w14:paraId="4153A006"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2021.</w:t>
                  </w:r>
                  <w:r w:rsidRPr="00924BDF">
                    <w:rPr>
                      <w:rFonts w:ascii="Times New Roman" w:eastAsia="Times New Roman" w:hAnsi="Times New Roman" w:cs="Times New Roman"/>
                      <w:sz w:val="26"/>
                      <w:szCs w:val="26"/>
                      <w:lang w:val="en-GB" w:eastAsia="en-GB"/>
                    </w:rPr>
                    <w:br/>
                    <w:t>I</w:t>
                  </w:r>
                </w:p>
              </w:tc>
              <w:tc>
                <w:tcPr>
                  <w:tcW w:w="709" w:type="dxa"/>
                  <w:tcBorders>
                    <w:top w:val="nil"/>
                    <w:left w:val="nil"/>
                    <w:bottom w:val="single" w:sz="4" w:space="0" w:color="auto"/>
                    <w:right w:val="single" w:sz="4" w:space="0" w:color="auto"/>
                  </w:tcBorders>
                  <w:shd w:val="clear" w:color="auto" w:fill="auto"/>
                  <w:vAlign w:val="bottom"/>
                  <w:hideMark/>
                </w:tcPr>
                <w:p w:rsidR="00B4369C" w:rsidRPr="00924BDF" w:rsidP="00CC730B" w14:paraId="402ECAE4" w14:textId="77777777">
                  <w:pPr>
                    <w:spacing w:after="0" w:line="240" w:lineRule="auto"/>
                    <w:jc w:val="center"/>
                    <w:rPr>
                      <w:rFonts w:ascii="Times New Roman" w:eastAsia="Times New Roman" w:hAnsi="Times New Roman" w:cs="Times New Roman"/>
                      <w:sz w:val="26"/>
                      <w:szCs w:val="26"/>
                      <w:lang w:val="en-GB" w:eastAsia="en-GB"/>
                    </w:rPr>
                  </w:pPr>
                  <w:r w:rsidRPr="00924BDF">
                    <w:rPr>
                      <w:rFonts w:ascii="Times New Roman" w:eastAsia="Times New Roman" w:hAnsi="Times New Roman" w:cs="Times New Roman"/>
                      <w:sz w:val="26"/>
                      <w:szCs w:val="26"/>
                      <w:lang w:val="en-GB" w:eastAsia="en-GB"/>
                    </w:rPr>
                    <w:t>2021.</w:t>
                  </w:r>
                  <w:r w:rsidRPr="00924BDF">
                    <w:rPr>
                      <w:rFonts w:ascii="Times New Roman" w:eastAsia="Times New Roman" w:hAnsi="Times New Roman" w:cs="Times New Roman"/>
                      <w:sz w:val="26"/>
                      <w:szCs w:val="26"/>
                      <w:lang w:val="en-GB" w:eastAsia="en-GB"/>
                    </w:rPr>
                    <w:br/>
                    <w:t>II</w:t>
                  </w:r>
                </w:p>
              </w:tc>
            </w:tr>
            <w:tr w14:paraId="435E06C3"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19307CA3"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LSPA</w:t>
                  </w:r>
                </w:p>
                <w:p w:rsidR="00B4369C" w:rsidRPr="00924BDF" w:rsidP="00CC730B" w14:paraId="742A2A84"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(15 pers.)</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10ADF7B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9675*</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7D055217"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9300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502B2D0C"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9300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236C0665"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9300</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023E0CC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9600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217D486C"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9600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5E502310"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9600</w:t>
                  </w:r>
                </w:p>
              </w:tc>
            </w:tr>
            <w:tr w14:paraId="3D3A3542"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09363A8A"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DU (2 pers.)</w:t>
                  </w:r>
                </w:p>
              </w:tc>
              <w:tc>
                <w:tcPr>
                  <w:tcW w:w="708"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00706F7E"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940*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7471E074"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4FBCBE5F"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16E02E09"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c>
                <w:tcPr>
                  <w:tcW w:w="708"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3152DBD9"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52C8DFBC"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924BDF" w:rsidP="00CC730B" w14:paraId="7F3C0935"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900</w:t>
                  </w:r>
                </w:p>
              </w:tc>
            </w:tr>
            <w:tr w14:paraId="7A72461F"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7D19FA51"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LiepU</w:t>
                  </w:r>
                </w:p>
                <w:p w:rsidR="00B4369C" w:rsidRPr="00924BDF" w:rsidP="00CC730B" w14:paraId="68A4F15B"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(2 pers.)</w:t>
                  </w:r>
                </w:p>
              </w:tc>
              <w:tc>
                <w:tcPr>
                  <w:tcW w:w="708"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1ACC1AAF"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820*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23287142"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618DC7F7"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173D4A84"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c>
                <w:tcPr>
                  <w:tcW w:w="708"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25606021"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7D5491F9"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924BDF" w:rsidP="00CC730B" w14:paraId="3071024E"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760</w:t>
                  </w:r>
                </w:p>
              </w:tc>
            </w:tr>
            <w:tr w14:paraId="09661B03"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0CF900A9"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20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479B0E5D"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2282DDC1"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1181F208"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12900*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412EEA3C"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12400</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3FDCC4A8"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1371381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7981F377"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12800</w:t>
                  </w:r>
                </w:p>
              </w:tc>
            </w:tr>
            <w:tr w14:paraId="7F90F1D7"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2D270274"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xml:space="preserve">20 *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4C95F71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30358DEB"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11923250"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30A0D48C"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2506BC27"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12900*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0E6CEDF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03F24014"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12400</w:t>
                  </w:r>
                </w:p>
              </w:tc>
            </w:tr>
            <w:tr w14:paraId="35962FE5"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769AB63F"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20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284E7384"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64B266B1"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2B1A890A"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34081E53"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368019E3"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6B6DFB18"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 </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924BDF" w:rsidP="00CC730B" w14:paraId="7546BB8E"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12900*</w:t>
                  </w:r>
                </w:p>
              </w:tc>
            </w:tr>
            <w:tr w14:paraId="6CE01D61"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5DB84107" w14:textId="77777777">
                  <w:pPr>
                    <w:spacing w:after="0" w:line="240" w:lineRule="auto"/>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Kopā</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00A38569"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11435</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1C41B4C9"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10960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1FC139DF"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23860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52D5DD7D"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23360</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719EF2D0"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36560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79D61B62"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36060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25E56854" w14:textId="77777777">
                  <w:pPr>
                    <w:spacing w:after="0" w:line="240" w:lineRule="auto"/>
                    <w:jc w:val="center"/>
                    <w:rPr>
                      <w:rFonts w:ascii="Times New Roman" w:eastAsia="Times New Roman" w:hAnsi="Times New Roman" w:cs="Times New Roman"/>
                      <w:sz w:val="26"/>
                      <w:szCs w:val="26"/>
                      <w:lang w:eastAsia="en-GB"/>
                    </w:rPr>
                  </w:pPr>
                  <w:r w:rsidRPr="00924BDF">
                    <w:rPr>
                      <w:rFonts w:ascii="Times New Roman" w:eastAsia="Times New Roman" w:hAnsi="Times New Roman" w:cs="Times New Roman"/>
                      <w:sz w:val="26"/>
                      <w:szCs w:val="26"/>
                      <w:lang w:eastAsia="en-GB"/>
                    </w:rPr>
                    <w:t>49360</w:t>
                  </w:r>
                </w:p>
              </w:tc>
            </w:tr>
            <w:tr w14:paraId="42294078"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924BDF" w:rsidP="00CC730B" w14:paraId="6CD3FB49" w14:textId="77777777">
                  <w:pPr>
                    <w:spacing w:after="0" w:line="240" w:lineRule="auto"/>
                    <w:rPr>
                      <w:rFonts w:ascii="Times New Roman" w:eastAsia="Times New Roman" w:hAnsi="Times New Roman" w:cs="Times New Roman"/>
                      <w:b/>
                      <w:bCs/>
                      <w:sz w:val="26"/>
                      <w:szCs w:val="26"/>
                      <w:lang w:eastAsia="en-GB"/>
                    </w:rPr>
                  </w:pPr>
                  <w:r w:rsidRPr="00924BDF">
                    <w:rPr>
                      <w:rFonts w:ascii="Times New Roman" w:eastAsia="Times New Roman" w:hAnsi="Times New Roman" w:cs="Times New Roman"/>
                      <w:b/>
                      <w:bCs/>
                      <w:sz w:val="26"/>
                      <w:szCs w:val="26"/>
                      <w:lang w:eastAsia="en-GB"/>
                    </w:rPr>
                    <w:t xml:space="preserve">Kopā gadā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924BDF" w:rsidP="00CC730B" w14:paraId="1B5C12D6" w14:textId="77777777">
                  <w:pPr>
                    <w:spacing w:after="0" w:line="240" w:lineRule="auto"/>
                    <w:jc w:val="center"/>
                    <w:rPr>
                      <w:rFonts w:ascii="Times New Roman" w:eastAsia="Times New Roman" w:hAnsi="Times New Roman" w:cs="Times New Roman"/>
                      <w:b/>
                      <w:bCs/>
                      <w:sz w:val="26"/>
                      <w:szCs w:val="26"/>
                      <w:lang w:eastAsia="en-GB"/>
                    </w:rPr>
                  </w:pPr>
                  <w:r w:rsidRPr="00924BDF">
                    <w:rPr>
                      <w:rFonts w:ascii="Times New Roman" w:eastAsia="Times New Roman" w:hAnsi="Times New Roman" w:cs="Times New Roman"/>
                      <w:b/>
                      <w:bCs/>
                      <w:sz w:val="26"/>
                      <w:szCs w:val="26"/>
                      <w:lang w:eastAsia="en-GB"/>
                    </w:rPr>
                    <w:t>11435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924BDF" w:rsidP="00CC730B" w14:paraId="364B6433" w14:textId="77777777">
                  <w:pPr>
                    <w:spacing w:after="0" w:line="240" w:lineRule="auto"/>
                    <w:jc w:val="center"/>
                    <w:rPr>
                      <w:rFonts w:ascii="Times New Roman" w:eastAsia="Times New Roman" w:hAnsi="Times New Roman" w:cs="Times New Roman"/>
                      <w:b/>
                      <w:bCs/>
                      <w:sz w:val="26"/>
                      <w:szCs w:val="26"/>
                      <w:lang w:eastAsia="en-GB"/>
                    </w:rPr>
                  </w:pPr>
                  <w:r w:rsidRPr="00924BDF">
                    <w:rPr>
                      <w:rFonts w:ascii="Times New Roman" w:eastAsia="Times New Roman" w:hAnsi="Times New Roman" w:cs="Times New Roman"/>
                      <w:b/>
                      <w:bCs/>
                      <w:sz w:val="26"/>
                      <w:szCs w:val="26"/>
                      <w:lang w:eastAsia="en-GB"/>
                    </w:rPr>
                    <w:t>34820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924BDF" w:rsidP="00CC730B" w14:paraId="054FC4CF" w14:textId="77777777">
                  <w:pPr>
                    <w:spacing w:after="0" w:line="240" w:lineRule="auto"/>
                    <w:jc w:val="center"/>
                    <w:rPr>
                      <w:rFonts w:ascii="Times New Roman" w:eastAsia="Times New Roman" w:hAnsi="Times New Roman" w:cs="Times New Roman"/>
                      <w:b/>
                      <w:bCs/>
                      <w:sz w:val="26"/>
                      <w:szCs w:val="26"/>
                      <w:lang w:eastAsia="en-GB"/>
                    </w:rPr>
                  </w:pPr>
                  <w:r w:rsidRPr="00924BDF">
                    <w:rPr>
                      <w:rFonts w:ascii="Times New Roman" w:eastAsia="Times New Roman" w:hAnsi="Times New Roman" w:cs="Times New Roman"/>
                      <w:b/>
                      <w:bCs/>
                      <w:sz w:val="26"/>
                      <w:szCs w:val="26"/>
                      <w:lang w:eastAsia="en-GB"/>
                    </w:rPr>
                    <w:t>59920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924BDF" w:rsidP="00CC730B" w14:paraId="603DE93A" w14:textId="77777777">
                  <w:pPr>
                    <w:spacing w:after="0" w:line="240" w:lineRule="auto"/>
                    <w:jc w:val="center"/>
                    <w:rPr>
                      <w:rFonts w:ascii="Times New Roman" w:eastAsia="Times New Roman" w:hAnsi="Times New Roman" w:cs="Times New Roman"/>
                      <w:b/>
                      <w:bCs/>
                      <w:sz w:val="26"/>
                      <w:szCs w:val="26"/>
                      <w:lang w:eastAsia="en-GB"/>
                    </w:rPr>
                  </w:pPr>
                  <w:r w:rsidRPr="00924BDF">
                    <w:rPr>
                      <w:rFonts w:ascii="Times New Roman" w:eastAsia="Times New Roman" w:hAnsi="Times New Roman" w:cs="Times New Roman"/>
                      <w:b/>
                      <w:bCs/>
                      <w:sz w:val="26"/>
                      <w:szCs w:val="26"/>
                      <w:lang w:eastAsia="en-GB"/>
                    </w:rPr>
                    <w:t>85420</w:t>
                  </w:r>
                </w:p>
              </w:tc>
            </w:tr>
          </w:tbl>
          <w:p w:rsidR="00B4369C" w:rsidRPr="00924BDF" w:rsidP="00CC730B" w14:paraId="439B12BC" w14:textId="77777777">
            <w:pPr>
              <w:spacing w:after="0"/>
              <w:rPr>
                <w:rFonts w:ascii="Times New Roman" w:hAnsi="Times New Roman" w:cs="Times New Roman"/>
                <w:i/>
                <w:sz w:val="26"/>
                <w:szCs w:val="26"/>
              </w:rPr>
            </w:pPr>
            <w:r w:rsidRPr="00924BDF">
              <w:rPr>
                <w:rFonts w:ascii="Times New Roman" w:hAnsi="Times New Roman" w:cs="Times New Roman"/>
                <w:i/>
                <w:sz w:val="26"/>
                <w:szCs w:val="26"/>
              </w:rPr>
              <w:t>*t.sk. vienreizēja reģistrācijas maksa</w:t>
            </w:r>
          </w:p>
          <w:p w:rsidR="00B4369C" w:rsidRPr="00924BDF" w:rsidP="00CC730B" w14:paraId="2F2A99A7" w14:textId="77777777">
            <w:pPr>
              <w:spacing w:after="0"/>
              <w:rPr>
                <w:rFonts w:ascii="Times New Roman" w:hAnsi="Times New Roman" w:cs="Times New Roman"/>
                <w:i/>
                <w:sz w:val="26"/>
                <w:szCs w:val="26"/>
              </w:rPr>
            </w:pPr>
            <w:r w:rsidRPr="00924BDF">
              <w:rPr>
                <w:rFonts w:ascii="Times New Roman" w:hAnsi="Times New Roman" w:cs="Times New Roman"/>
                <w:i/>
                <w:sz w:val="26"/>
                <w:szCs w:val="26"/>
              </w:rPr>
              <w:t>**prognoze – 20 apmācāmie LSPA</w:t>
            </w:r>
          </w:p>
          <w:p w:rsidR="00B4369C" w:rsidRPr="00924BDF" w:rsidP="00CC730B" w14:paraId="10556FF7" w14:textId="77777777">
            <w:pPr>
              <w:spacing w:after="0" w:line="240" w:lineRule="auto"/>
              <w:ind w:firstLine="378"/>
              <w:jc w:val="both"/>
              <w:rPr>
                <w:rFonts w:ascii="Times New Roman" w:hAnsi="Times New Roman" w:cs="Times New Roman"/>
                <w:sz w:val="26"/>
                <w:szCs w:val="26"/>
              </w:rPr>
            </w:pPr>
            <w:r w:rsidRPr="00924BDF">
              <w:rPr>
                <w:rFonts w:ascii="Times New Roman" w:hAnsi="Times New Roman" w:cs="Times New Roman"/>
                <w:iCs/>
                <w:sz w:val="26"/>
                <w:szCs w:val="26"/>
              </w:rPr>
              <w:t>Rīkojuma projekta izpildi Aizsardzības ministrija nodrošinās no aizsardzības resoram piešķirtajiem budžeta līdzekļiem budžeta programmas 34.00.00 ˝Jaunsardzes centrs˝ ietvaros.</w:t>
            </w:r>
          </w:p>
        </w:tc>
      </w:tr>
      <w:tr w14:paraId="0F224A87"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16522E0A"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6.1. detalizēts ieņēmumu aprēķins</w:t>
            </w:r>
          </w:p>
        </w:tc>
        <w:tc>
          <w:tcPr>
            <w:tcW w:w="6950" w:type="dxa"/>
            <w:gridSpan w:val="7"/>
            <w:vMerge/>
            <w:shd w:val="clear" w:color="auto" w:fill="auto"/>
            <w:vAlign w:val="center"/>
            <w:hideMark/>
          </w:tcPr>
          <w:p w:rsidR="00B4369C" w:rsidRPr="00924BDF" w:rsidP="00EA0FC4" w14:paraId="69BCE822" w14:textId="77777777">
            <w:pPr>
              <w:spacing w:after="0" w:line="240" w:lineRule="auto"/>
              <w:jc w:val="center"/>
              <w:rPr>
                <w:rFonts w:ascii="Times New Roman" w:hAnsi="Times New Roman" w:cs="Times New Roman"/>
                <w:sz w:val="26"/>
                <w:szCs w:val="26"/>
              </w:rPr>
            </w:pPr>
          </w:p>
        </w:tc>
      </w:tr>
      <w:tr w14:paraId="70ADF2C2"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3191DF48"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6.2. detalizēts izdevumu aprēķins</w:t>
            </w:r>
          </w:p>
        </w:tc>
        <w:tc>
          <w:tcPr>
            <w:tcW w:w="6950" w:type="dxa"/>
            <w:gridSpan w:val="7"/>
            <w:vMerge/>
            <w:shd w:val="clear" w:color="auto" w:fill="auto"/>
            <w:vAlign w:val="center"/>
            <w:hideMark/>
          </w:tcPr>
          <w:p w:rsidR="00B4369C" w:rsidRPr="00924BDF" w:rsidP="00EA0FC4" w14:paraId="442F9683" w14:textId="77777777">
            <w:pPr>
              <w:spacing w:after="0" w:line="240" w:lineRule="auto"/>
              <w:jc w:val="center"/>
              <w:rPr>
                <w:rFonts w:ascii="Times New Roman" w:hAnsi="Times New Roman" w:cs="Times New Roman"/>
                <w:sz w:val="26"/>
                <w:szCs w:val="26"/>
              </w:rPr>
            </w:pPr>
          </w:p>
        </w:tc>
      </w:tr>
      <w:tr w14:paraId="0C96089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5C46EE24"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7. Amata vietu skaita izmaiņas</w:t>
            </w:r>
          </w:p>
        </w:tc>
        <w:tc>
          <w:tcPr>
            <w:tcW w:w="6950" w:type="dxa"/>
            <w:gridSpan w:val="7"/>
            <w:shd w:val="clear" w:color="auto" w:fill="auto"/>
            <w:hideMark/>
          </w:tcPr>
          <w:p w:rsidR="00B4369C" w:rsidRPr="00924BDF" w:rsidP="00EA0FC4" w14:paraId="282ACA0C" w14:textId="77777777">
            <w:pPr>
              <w:spacing w:after="0" w:line="240" w:lineRule="auto"/>
              <w:ind w:firstLine="378"/>
              <w:rPr>
                <w:rFonts w:ascii="Times New Roman" w:hAnsi="Times New Roman" w:cs="Times New Roman"/>
                <w:sz w:val="26"/>
                <w:szCs w:val="26"/>
              </w:rPr>
            </w:pPr>
            <w:r w:rsidRPr="00924BDF">
              <w:rPr>
                <w:rFonts w:ascii="Times New Roman" w:eastAsia="Times New Roman" w:hAnsi="Times New Roman" w:cs="Times New Roman"/>
                <w:sz w:val="26"/>
                <w:szCs w:val="26"/>
                <w:lang w:eastAsia="lv-LV"/>
              </w:rPr>
              <w:t>Projekts šo jomu neskar.</w:t>
            </w:r>
          </w:p>
        </w:tc>
      </w:tr>
      <w:tr w14:paraId="0209CDC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924BDF" w:rsidP="00EA0FC4" w14:paraId="72D3BD8D"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8. Cita informācija</w:t>
            </w:r>
          </w:p>
        </w:tc>
        <w:tc>
          <w:tcPr>
            <w:tcW w:w="6950" w:type="dxa"/>
            <w:gridSpan w:val="7"/>
            <w:shd w:val="clear" w:color="auto" w:fill="auto"/>
            <w:hideMark/>
          </w:tcPr>
          <w:p w:rsidR="00B4369C" w:rsidRPr="00924BDF" w:rsidP="00EA0FC4" w14:paraId="401BB55F" w14:textId="77777777">
            <w:pPr>
              <w:spacing w:after="0" w:line="240" w:lineRule="auto"/>
              <w:ind w:firstLine="378"/>
              <w:rPr>
                <w:rFonts w:ascii="Times New Roman" w:hAnsi="Times New Roman" w:cs="Times New Roman"/>
                <w:sz w:val="26"/>
                <w:szCs w:val="26"/>
              </w:rPr>
            </w:pPr>
            <w:r w:rsidRPr="00924BDF">
              <w:rPr>
                <w:rFonts w:ascii="Times New Roman" w:hAnsi="Times New Roman" w:cs="Times New Roman"/>
                <w:sz w:val="26"/>
                <w:szCs w:val="26"/>
              </w:rPr>
              <w:t>Nav.</w:t>
            </w:r>
          </w:p>
        </w:tc>
      </w:tr>
    </w:tbl>
    <w:p w:rsidR="00D84DD9" w:rsidRPr="00924BDF" w:rsidP="00F84EE6" w14:paraId="4D2779EC" w14:textId="77777777">
      <w:pPr>
        <w:spacing w:after="0" w:line="240" w:lineRule="auto"/>
        <w:rPr>
          <w:rFonts w:ascii="Times New Roman" w:hAnsi="Times New Roman" w:cs="Times New Roman"/>
          <w:sz w:val="26"/>
          <w:szCs w:val="26"/>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64"/>
      </w:tblGrid>
      <w:tr w14:paraId="21A2BD69" w14:textId="77777777" w:rsidTr="00D52BE4">
        <w:tblPrEx>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rsidR="00EE3F9E" w:rsidRPr="00924BDF" w:rsidP="00F84EE6" w14:paraId="7E7D2288" w14:textId="77777777">
            <w:pPr>
              <w:spacing w:after="0" w:line="240" w:lineRule="auto"/>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iCs/>
                <w:sz w:val="26"/>
                <w:szCs w:val="26"/>
                <w:lang w:eastAsia="lv-LV"/>
              </w:rPr>
              <w:t xml:space="preserve">  </w:t>
            </w:r>
            <w:r w:rsidRPr="00924BDF">
              <w:rPr>
                <w:rFonts w:ascii="Times New Roman" w:eastAsia="Times New Roman" w:hAnsi="Times New Roman" w:cs="Times New Roman"/>
                <w:b/>
                <w:bCs/>
                <w:iCs/>
                <w:sz w:val="26"/>
                <w:szCs w:val="26"/>
                <w:lang w:eastAsia="lv-LV"/>
              </w:rPr>
              <w:t>IV. Tiesību akta projekta ietekme uz spēkā esošo tiesību normu sistēmu</w:t>
            </w:r>
          </w:p>
        </w:tc>
      </w:tr>
      <w:tr w14:paraId="3F1CD39B" w14:textId="77777777" w:rsidTr="00D52BE4">
        <w:tblPrEx>
          <w:tblW w:w="9064" w:type="dxa"/>
          <w:tblCellSpacing w:w="15" w:type="dxa"/>
          <w:tblCellMar>
            <w:top w:w="30" w:type="dxa"/>
            <w:left w:w="30" w:type="dxa"/>
            <w:bottom w:w="30" w:type="dxa"/>
            <w:right w:w="30" w:type="dxa"/>
          </w:tblCellMar>
          <w:tblLook w:val="04A0"/>
        </w:tblPrEx>
        <w:trPr>
          <w:trHeight w:val="427"/>
          <w:tblCellSpacing w:w="15" w:type="dxa"/>
        </w:trPr>
        <w:tc>
          <w:tcPr>
            <w:tcW w:w="9004" w:type="dxa"/>
            <w:tcBorders>
              <w:top w:val="outset" w:sz="6" w:space="0" w:color="auto"/>
              <w:left w:val="outset" w:sz="6" w:space="0" w:color="auto"/>
              <w:right w:val="outset" w:sz="6" w:space="0" w:color="auto"/>
            </w:tcBorders>
            <w:vAlign w:val="center"/>
            <w:hideMark/>
          </w:tcPr>
          <w:p w:rsidR="00EE3F9E" w:rsidRPr="00924BDF" w:rsidP="00F84EE6" w14:paraId="7B491E50"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Projekts šo jomu neskar.</w:t>
            </w:r>
          </w:p>
        </w:tc>
      </w:tr>
    </w:tbl>
    <w:p w:rsidR="00EE3F9E" w:rsidRPr="00924BDF" w:rsidP="00F84EE6" w14:paraId="4FEEB48E" w14:textId="77777777">
      <w:pPr>
        <w:spacing w:after="0" w:line="240" w:lineRule="auto"/>
        <w:rPr>
          <w:rFonts w:ascii="Times New Roman" w:hAnsi="Times New Roman" w:cs="Times New Roman"/>
          <w:sz w:val="26"/>
          <w:szCs w:val="26"/>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64"/>
      </w:tblGrid>
      <w:tr w14:paraId="4F962555" w14:textId="77777777" w:rsidTr="00D52BE4">
        <w:tblPrEx>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rsidR="00EE3F9E" w:rsidRPr="00924BDF" w:rsidP="00F84EE6" w14:paraId="13917DDC" w14:textId="77777777">
            <w:pPr>
              <w:spacing w:after="0" w:line="240" w:lineRule="auto"/>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b/>
                <w:bCs/>
                <w:iCs/>
                <w:sz w:val="26"/>
                <w:szCs w:val="26"/>
                <w:lang w:eastAsia="lv-LV"/>
              </w:rPr>
              <w:t>V. Tiesību akta projekta atbilstība Latvijas Republikas starptautiskajām saistībām</w:t>
            </w:r>
          </w:p>
        </w:tc>
      </w:tr>
      <w:tr w14:paraId="2FFD5A40" w14:textId="77777777" w:rsidTr="00D52BE4">
        <w:tblPrEx>
          <w:tblW w:w="9064" w:type="dxa"/>
          <w:tblCellSpacing w:w="15" w:type="dxa"/>
          <w:tblCellMar>
            <w:top w:w="30" w:type="dxa"/>
            <w:left w:w="30" w:type="dxa"/>
            <w:bottom w:w="30" w:type="dxa"/>
            <w:right w:w="30" w:type="dxa"/>
          </w:tblCellMar>
          <w:tblLook w:val="04A0"/>
        </w:tblPrEx>
        <w:trPr>
          <w:trHeight w:val="177"/>
          <w:tblCellSpacing w:w="15" w:type="dxa"/>
        </w:trPr>
        <w:tc>
          <w:tcPr>
            <w:tcW w:w="9004" w:type="dxa"/>
            <w:tcBorders>
              <w:top w:val="outset" w:sz="6" w:space="0" w:color="auto"/>
              <w:left w:val="outset" w:sz="6" w:space="0" w:color="auto"/>
              <w:right w:val="outset" w:sz="6" w:space="0" w:color="auto"/>
            </w:tcBorders>
            <w:vAlign w:val="center"/>
            <w:hideMark/>
          </w:tcPr>
          <w:p w:rsidR="00EE3F9E" w:rsidRPr="00924BDF" w:rsidP="00F84EE6" w14:paraId="4E230180"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Projekts šo jomu neskar.</w:t>
            </w:r>
          </w:p>
        </w:tc>
      </w:tr>
    </w:tbl>
    <w:p w:rsidR="00302740" w:rsidRPr="00924BDF" w:rsidP="00F84EE6" w14:paraId="257C1F6B" w14:textId="77777777">
      <w:pPr>
        <w:spacing w:after="0" w:line="240" w:lineRule="auto"/>
        <w:rPr>
          <w:rFonts w:ascii="Times New Roman" w:eastAsia="Times New Roman" w:hAnsi="Times New Roman" w:cs="Times New Roman"/>
          <w:iCs/>
          <w:sz w:val="26"/>
          <w:szCs w:val="26"/>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0"/>
        <w:gridCol w:w="1960"/>
        <w:gridCol w:w="6774"/>
      </w:tblGrid>
      <w:tr w14:paraId="21797B47" w14:textId="77777777" w:rsidTr="00B60A39">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B60A39" w:rsidRPr="00924BDF" w:rsidP="00B60A39" w14:paraId="524E50AA" w14:textId="77777777">
            <w:pPr>
              <w:spacing w:after="0" w:line="240" w:lineRule="auto"/>
              <w:jc w:val="center"/>
              <w:rPr>
                <w:rFonts w:ascii="Times New Roman" w:hAnsi="Times New Roman" w:cs="Times New Roman"/>
                <w:b/>
                <w:sz w:val="26"/>
                <w:szCs w:val="26"/>
              </w:rPr>
            </w:pPr>
            <w:r w:rsidRPr="00924BDF">
              <w:rPr>
                <w:rFonts w:ascii="Times New Roman" w:hAnsi="Times New Roman" w:cs="Times New Roman"/>
                <w:b/>
                <w:sz w:val="26"/>
                <w:szCs w:val="26"/>
              </w:rPr>
              <w:t>VI. Sabiedrības līdzdalība un komunikācijas aktivitātes</w:t>
            </w:r>
          </w:p>
        </w:tc>
      </w:tr>
      <w:tr w14:paraId="691A1C15" w14:textId="77777777" w:rsidTr="00B60A39">
        <w:tblPrEx>
          <w:tblW w:w="5005"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blCellSpacing w:w="15" w:type="dxa"/>
        </w:trPr>
        <w:tc>
          <w:tcPr>
            <w:tcW w:w="14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4C7B0D63" w14:textId="77777777">
            <w:pPr>
              <w:pStyle w:val="tvhtml"/>
              <w:spacing w:line="293" w:lineRule="atLeast"/>
              <w:jc w:val="center"/>
              <w:rPr>
                <w:sz w:val="26"/>
                <w:szCs w:val="26"/>
              </w:rPr>
            </w:pPr>
            <w:r w:rsidRPr="00924BDF">
              <w:rPr>
                <w:sz w:val="26"/>
                <w:szCs w:val="26"/>
              </w:rPr>
              <w:t>1.</w:t>
            </w:r>
          </w:p>
        </w:tc>
        <w:tc>
          <w:tcPr>
            <w:tcW w:w="108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27BD6A74"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Plānotās sabiedrības līdzdalības un komunikācijas aktivitātes saistībā ar projektu</w:t>
            </w:r>
          </w:p>
        </w:tc>
        <w:tc>
          <w:tcPr>
            <w:tcW w:w="3712"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11AB0637" w14:textId="695BEFFF">
            <w:pPr>
              <w:spacing w:after="0" w:line="240" w:lineRule="auto"/>
              <w:ind w:right="102"/>
              <w:jc w:val="both"/>
              <w:rPr>
                <w:rFonts w:ascii="Times New Roman" w:hAnsi="Times New Roman" w:cs="Times New Roman"/>
                <w:sz w:val="26"/>
                <w:szCs w:val="26"/>
              </w:rPr>
            </w:pPr>
            <w:r w:rsidRPr="00924BDF">
              <w:rPr>
                <w:rFonts w:ascii="Times New Roman" w:hAnsi="Times New Roman" w:cs="Times New Roman"/>
                <w:sz w:val="26"/>
                <w:szCs w:val="26"/>
              </w:rPr>
              <w:t xml:space="preserve">Atsaucoties uz </w:t>
            </w:r>
            <w:r w:rsidRPr="00924BDF">
              <w:rPr>
                <w:rFonts w:ascii="Times New Roman" w:eastAsia="Times New Roman" w:hAnsi="Times New Roman" w:cs="Times New Roman"/>
                <w:iCs/>
                <w:sz w:val="26"/>
                <w:szCs w:val="26"/>
                <w:lang w:eastAsia="lv-LV"/>
              </w:rPr>
              <w:t>Valsts sekretāru sanāksmes 2018. gada 30. </w:t>
            </w:r>
            <w:r w:rsidRPr="00924BDF">
              <w:rPr>
                <w:rFonts w:ascii="Times New Roman" w:hAnsi="Times New Roman" w:cs="Times New Roman"/>
                <w:sz w:val="26"/>
                <w:szCs w:val="26"/>
              </w:rPr>
              <w:t xml:space="preserve">augusta protokola Nr. 34 56.§ "Rīkojuma projekts "Par valsts aizsardzības mācības skolotāju sagatavošanu" 2. punktā dotā uzdevuma saturu un noteiktajiem termiņiem, </w:t>
            </w:r>
            <w:r w:rsidRPr="00924BDF" w:rsidR="00614640">
              <w:rPr>
                <w:rFonts w:ascii="Times New Roman" w:hAnsi="Times New Roman" w:cs="Times New Roman"/>
                <w:sz w:val="26"/>
                <w:szCs w:val="26"/>
              </w:rPr>
              <w:t>sabiedrības informēšanu saistībā ar projekta izstrādi nebija iespējams nodrošināt.</w:t>
            </w:r>
          </w:p>
        </w:tc>
      </w:tr>
      <w:tr w14:paraId="36313D88" w14:textId="77777777" w:rsidTr="00B60A39">
        <w:tblPrEx>
          <w:tblW w:w="5005"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blCellSpacing w:w="15" w:type="dxa"/>
        </w:trPr>
        <w:tc>
          <w:tcPr>
            <w:tcW w:w="14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29B442FF" w14:textId="77777777">
            <w:pPr>
              <w:pStyle w:val="tvhtml"/>
              <w:spacing w:line="293" w:lineRule="atLeast"/>
              <w:jc w:val="center"/>
              <w:rPr>
                <w:sz w:val="26"/>
                <w:szCs w:val="26"/>
              </w:rPr>
            </w:pPr>
            <w:r w:rsidRPr="00924BDF">
              <w:rPr>
                <w:sz w:val="26"/>
                <w:szCs w:val="26"/>
              </w:rPr>
              <w:t>2.</w:t>
            </w:r>
          </w:p>
        </w:tc>
        <w:tc>
          <w:tcPr>
            <w:tcW w:w="108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037B03A9"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Sabiedrības līdzdalība projekta izstrādē</w:t>
            </w:r>
          </w:p>
        </w:tc>
        <w:tc>
          <w:tcPr>
            <w:tcW w:w="3712" w:type="pct"/>
            <w:tcBorders>
              <w:top w:val="outset" w:sz="6" w:space="0" w:color="414142"/>
              <w:left w:val="outset" w:sz="6" w:space="0" w:color="414142"/>
              <w:bottom w:val="outset" w:sz="6" w:space="0" w:color="414142"/>
              <w:right w:val="outset" w:sz="6" w:space="0" w:color="414142"/>
            </w:tcBorders>
            <w:hideMark/>
          </w:tcPr>
          <w:p w:rsidR="00B60A39" w:rsidRPr="00924BDF" w:rsidP="00614640" w14:paraId="682A349C" w14:textId="44EB759B">
            <w:pPr>
              <w:spacing w:after="0" w:line="240" w:lineRule="auto"/>
              <w:ind w:right="102"/>
              <w:jc w:val="both"/>
              <w:rPr>
                <w:rFonts w:ascii="Times New Roman" w:hAnsi="Times New Roman" w:cs="Times New Roman"/>
                <w:sz w:val="26"/>
                <w:szCs w:val="26"/>
              </w:rPr>
            </w:pPr>
            <w:r w:rsidRPr="00924BDF">
              <w:rPr>
                <w:rFonts w:ascii="Times New Roman" w:hAnsi="Times New Roman" w:cs="Times New Roman"/>
                <w:sz w:val="26"/>
                <w:szCs w:val="26"/>
              </w:rPr>
              <w:t xml:space="preserve">Atsaucoties uz </w:t>
            </w:r>
            <w:r w:rsidRPr="00924BDF">
              <w:rPr>
                <w:rFonts w:ascii="Times New Roman" w:eastAsia="Times New Roman" w:hAnsi="Times New Roman" w:cs="Times New Roman"/>
                <w:iCs/>
                <w:sz w:val="26"/>
                <w:szCs w:val="26"/>
                <w:lang w:eastAsia="lv-LV"/>
              </w:rPr>
              <w:t>Valsts sekretāru sanāksmes 2018. gada 30. </w:t>
            </w:r>
            <w:r w:rsidRPr="00924BDF">
              <w:rPr>
                <w:rFonts w:ascii="Times New Roman" w:hAnsi="Times New Roman" w:cs="Times New Roman"/>
                <w:sz w:val="26"/>
                <w:szCs w:val="26"/>
              </w:rPr>
              <w:t>augusta protokola Nr. 34 56.§ "Rīkojuma projekts "Par valsts aizsardzības mācības skolotāju sagatavošanu" 2. punktā dotā uzdevuma saturu un noteiktajiem termiņiem, sabiedrības līdzdalību saistībā ar projekta izstrādi nebija iespējams nodrošināt.</w:t>
            </w:r>
          </w:p>
        </w:tc>
      </w:tr>
      <w:tr w14:paraId="33B1376A" w14:textId="77777777" w:rsidTr="00B60A39">
        <w:tblPrEx>
          <w:tblW w:w="5005"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blCellSpacing w:w="15" w:type="dxa"/>
        </w:trPr>
        <w:tc>
          <w:tcPr>
            <w:tcW w:w="14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1A1263B9" w14:textId="77777777">
            <w:pPr>
              <w:pStyle w:val="tvhtml"/>
              <w:spacing w:line="293" w:lineRule="atLeast"/>
              <w:jc w:val="center"/>
              <w:rPr>
                <w:sz w:val="26"/>
                <w:szCs w:val="26"/>
              </w:rPr>
            </w:pPr>
            <w:r w:rsidRPr="00924BDF">
              <w:rPr>
                <w:sz w:val="26"/>
                <w:szCs w:val="26"/>
              </w:rPr>
              <w:t>3.</w:t>
            </w:r>
          </w:p>
        </w:tc>
        <w:tc>
          <w:tcPr>
            <w:tcW w:w="108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4E887777"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Sabiedrības līdzdalības rezultāti</w:t>
            </w:r>
          </w:p>
        </w:tc>
        <w:tc>
          <w:tcPr>
            <w:tcW w:w="3712" w:type="pct"/>
            <w:tcBorders>
              <w:top w:val="outset" w:sz="6" w:space="0" w:color="414142"/>
              <w:left w:val="outset" w:sz="6" w:space="0" w:color="414142"/>
              <w:bottom w:val="outset" w:sz="6" w:space="0" w:color="414142"/>
              <w:right w:val="outset" w:sz="6" w:space="0" w:color="414142"/>
            </w:tcBorders>
            <w:hideMark/>
          </w:tcPr>
          <w:p w:rsidR="00B60A39" w:rsidRPr="00924BDF" w:rsidP="00614640" w14:paraId="645BE01A" w14:textId="0E50ECB2">
            <w:pPr>
              <w:spacing w:after="0" w:line="240" w:lineRule="auto"/>
              <w:jc w:val="both"/>
              <w:rPr>
                <w:rFonts w:ascii="Times New Roman" w:hAnsi="Times New Roman" w:cs="Times New Roman"/>
                <w:sz w:val="26"/>
                <w:szCs w:val="26"/>
              </w:rPr>
            </w:pPr>
            <w:r w:rsidRPr="00924BDF">
              <w:rPr>
                <w:rStyle w:val="Emphasis"/>
                <w:rFonts w:ascii="Times New Roman" w:hAnsi="Times New Roman" w:cs="Times New Roman"/>
                <w:bCs/>
                <w:i w:val="0"/>
                <w:sz w:val="26"/>
                <w:szCs w:val="26"/>
              </w:rPr>
              <w:t xml:space="preserve">Atsaucoties uz šīs anotācijas VI. sadaļas 1. un 2. punktā norādīto, </w:t>
            </w:r>
            <w:r w:rsidRPr="00924BDF">
              <w:rPr>
                <w:rStyle w:val="Emphasis"/>
                <w:bCs/>
              </w:rPr>
              <w:t xml:space="preserve"> </w:t>
            </w:r>
            <w:r w:rsidRPr="00924BDF">
              <w:rPr>
                <w:rFonts w:ascii="Times New Roman" w:hAnsi="Times New Roman" w:cs="Times New Roman"/>
                <w:sz w:val="26"/>
                <w:szCs w:val="26"/>
                <w:shd w:val="clear" w:color="auto" w:fill="FFFFFF"/>
              </w:rPr>
              <w:t xml:space="preserve"> netika saņemti iebildumi vai priekšlikumi par Ministru kabineta noteikumu projektu.</w:t>
            </w:r>
          </w:p>
        </w:tc>
      </w:tr>
      <w:tr w14:paraId="53741D1C" w14:textId="77777777" w:rsidTr="00B60A39">
        <w:tblPrEx>
          <w:tblW w:w="5005"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blCellSpacing w:w="15" w:type="dxa"/>
        </w:trPr>
        <w:tc>
          <w:tcPr>
            <w:tcW w:w="14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30A79B8D" w14:textId="77777777">
            <w:pPr>
              <w:pStyle w:val="tvhtml"/>
              <w:spacing w:line="293" w:lineRule="atLeast"/>
              <w:jc w:val="center"/>
              <w:rPr>
                <w:sz w:val="26"/>
                <w:szCs w:val="26"/>
              </w:rPr>
            </w:pPr>
            <w:r w:rsidRPr="00924BDF">
              <w:rPr>
                <w:sz w:val="26"/>
                <w:szCs w:val="26"/>
              </w:rPr>
              <w:t>4.</w:t>
            </w:r>
          </w:p>
        </w:tc>
        <w:tc>
          <w:tcPr>
            <w:tcW w:w="1081"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290732FC"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Cita informācija</w:t>
            </w:r>
          </w:p>
        </w:tc>
        <w:tc>
          <w:tcPr>
            <w:tcW w:w="3712" w:type="pct"/>
            <w:tcBorders>
              <w:top w:val="outset" w:sz="6" w:space="0" w:color="414142"/>
              <w:left w:val="outset" w:sz="6" w:space="0" w:color="414142"/>
              <w:bottom w:val="outset" w:sz="6" w:space="0" w:color="414142"/>
              <w:right w:val="outset" w:sz="6" w:space="0" w:color="414142"/>
            </w:tcBorders>
            <w:hideMark/>
          </w:tcPr>
          <w:p w:rsidR="00B60A39" w:rsidRPr="00924BDF" w:rsidP="00AE7E55" w14:paraId="143BC152" w14:textId="77777777">
            <w:pPr>
              <w:spacing w:after="0" w:line="240" w:lineRule="auto"/>
              <w:rPr>
                <w:rFonts w:ascii="Times New Roman" w:hAnsi="Times New Roman" w:cs="Times New Roman"/>
                <w:sz w:val="26"/>
                <w:szCs w:val="26"/>
              </w:rPr>
            </w:pPr>
            <w:r w:rsidRPr="00924BDF">
              <w:rPr>
                <w:rFonts w:ascii="Times New Roman" w:hAnsi="Times New Roman" w:cs="Times New Roman"/>
                <w:sz w:val="26"/>
                <w:szCs w:val="26"/>
              </w:rPr>
              <w:t>Nav</w:t>
            </w:r>
          </w:p>
        </w:tc>
      </w:tr>
    </w:tbl>
    <w:p w:rsidR="00302740" w:rsidRPr="00924BDF" w:rsidP="00F84EE6" w14:paraId="101F66D5" w14:textId="77777777">
      <w:pPr>
        <w:spacing w:after="0" w:line="240" w:lineRule="auto"/>
        <w:rPr>
          <w:rFonts w:ascii="Times New Roman" w:hAnsi="Times New Roman" w:cs="Times New Roman"/>
          <w:sz w:val="26"/>
          <w:szCs w:val="26"/>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1"/>
        <w:gridCol w:w="3008"/>
        <w:gridCol w:w="5485"/>
      </w:tblGrid>
      <w:tr w14:paraId="0A08A807" w14:textId="77777777" w:rsidTr="00D52BE4">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924BDF" w:rsidP="00F84EE6" w14:paraId="1FB8A7C3" w14:textId="77777777">
            <w:pPr>
              <w:spacing w:after="0" w:line="240" w:lineRule="auto"/>
              <w:jc w:val="center"/>
              <w:rPr>
                <w:rFonts w:ascii="Times New Roman" w:eastAsia="Times New Roman" w:hAnsi="Times New Roman" w:cs="Times New Roman"/>
                <w:b/>
                <w:bCs/>
                <w:iCs/>
                <w:sz w:val="26"/>
                <w:szCs w:val="26"/>
                <w:lang w:eastAsia="lv-LV"/>
              </w:rPr>
            </w:pPr>
            <w:r w:rsidRPr="00924BDF">
              <w:rPr>
                <w:rFonts w:ascii="Times New Roman" w:eastAsia="Times New Roman" w:hAnsi="Times New Roman" w:cs="Times New Roman"/>
                <w:iCs/>
                <w:sz w:val="26"/>
                <w:szCs w:val="26"/>
                <w:lang w:eastAsia="lv-LV"/>
              </w:rPr>
              <w:t xml:space="preserve">  </w:t>
            </w:r>
            <w:r w:rsidRPr="00924BDF">
              <w:rPr>
                <w:rFonts w:ascii="Times New Roman" w:eastAsia="Times New Roman" w:hAnsi="Times New Roman" w:cs="Times New Roman"/>
                <w:b/>
                <w:bCs/>
                <w:iCs/>
                <w:sz w:val="26"/>
                <w:szCs w:val="26"/>
                <w:lang w:eastAsia="lv-LV"/>
              </w:rPr>
              <w:t>VII. Tiesību akta projekta izpildes nodrošināšana un tās ietekme uz institūcijām</w:t>
            </w:r>
          </w:p>
        </w:tc>
      </w:tr>
      <w:tr w14:paraId="36F50A1D" w14:textId="77777777" w:rsidTr="00D52BE4">
        <w:tblPrEx>
          <w:tblW w:w="5005" w:type="pct"/>
          <w:tblCellSpacing w:w="15" w:type="dxa"/>
          <w:tblCellMar>
            <w:top w:w="30" w:type="dxa"/>
            <w:left w:w="30" w:type="dxa"/>
            <w:bottom w:w="30" w:type="dxa"/>
            <w:right w:w="30" w:type="dxa"/>
          </w:tblCellMar>
          <w:tblLook w:val="04A0"/>
        </w:tblPrEx>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924BDF" w:rsidP="00F84EE6" w14:paraId="0922D343"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rsidR="00EE3F9E" w:rsidRPr="00924BDF" w:rsidP="00F84EE6" w14:paraId="180F6618"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rsidR="00EE3F9E" w:rsidRPr="00924BDF" w:rsidP="00B1555A" w14:paraId="21CC5567" w14:textId="27F6726C">
            <w:pPr>
              <w:spacing w:after="0" w:line="240" w:lineRule="auto"/>
              <w:ind w:left="128" w:right="140"/>
              <w:jc w:val="both"/>
              <w:rPr>
                <w:rFonts w:ascii="Times New Roman" w:eastAsia="Times New Roman" w:hAnsi="Times New Roman" w:cs="Times New Roman"/>
                <w:iCs/>
                <w:sz w:val="26"/>
                <w:szCs w:val="26"/>
                <w:lang w:eastAsia="lv-LV"/>
              </w:rPr>
            </w:pPr>
            <w:r w:rsidRPr="00924BDF">
              <w:rPr>
                <w:rFonts w:ascii="Times New Roman" w:hAnsi="Times New Roman" w:cs="Times New Roman"/>
                <w:sz w:val="26"/>
                <w:szCs w:val="26"/>
              </w:rPr>
              <w:t xml:space="preserve">Aizsardzības ministrija, </w:t>
            </w:r>
            <w:r w:rsidRPr="00924BDF" w:rsidR="00B1555A">
              <w:rPr>
                <w:rFonts w:ascii="Times New Roman" w:hAnsi="Times New Roman" w:cs="Times New Roman"/>
                <w:sz w:val="26"/>
                <w:szCs w:val="26"/>
              </w:rPr>
              <w:t>Nacionālie bruņotie spēki, Jaunsardzes un informācijas centrs</w:t>
            </w:r>
            <w:r w:rsidRPr="00924BDF">
              <w:rPr>
                <w:rFonts w:ascii="Times New Roman" w:hAnsi="Times New Roman" w:cs="Times New Roman"/>
                <w:sz w:val="26"/>
                <w:szCs w:val="26"/>
              </w:rPr>
              <w:t xml:space="preserve">. </w:t>
            </w:r>
          </w:p>
        </w:tc>
      </w:tr>
      <w:tr w14:paraId="20337349" w14:textId="77777777" w:rsidTr="00D52BE4">
        <w:tblPrEx>
          <w:tblW w:w="5005" w:type="pct"/>
          <w:tblCellSpacing w:w="15" w:type="dxa"/>
          <w:tblCellMar>
            <w:top w:w="30" w:type="dxa"/>
            <w:left w:w="30" w:type="dxa"/>
            <w:bottom w:w="30" w:type="dxa"/>
            <w:right w:w="30" w:type="dxa"/>
          </w:tblCellMar>
          <w:tblLook w:val="04A0"/>
        </w:tblPrEx>
        <w:trPr>
          <w:trHeight w:val="1040"/>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924BDF" w:rsidP="00F84EE6" w14:paraId="7191CF20"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rsidR="00EE3F9E" w:rsidRPr="00924BDF" w:rsidP="00F84EE6" w14:paraId="01C4019B"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Projekta izpildes ietekme uz pārvaldes funkcijām un institucionālo struktūru.</w:t>
            </w:r>
            <w:r w:rsidRPr="00924BDF">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rsidR="00EE3F9E" w:rsidRPr="00924BDF" w:rsidP="005A26DB" w14:paraId="577E37E7" w14:textId="1DFCE410">
            <w:pPr>
              <w:spacing w:after="0" w:line="240" w:lineRule="auto"/>
              <w:ind w:left="128" w:right="140"/>
              <w:jc w:val="both"/>
              <w:rPr>
                <w:rFonts w:ascii="Times New Roman" w:eastAsia="Times New Roman" w:hAnsi="Times New Roman" w:cs="Times New Roman"/>
                <w:iCs/>
                <w:sz w:val="26"/>
                <w:szCs w:val="26"/>
                <w:lang w:eastAsia="lv-LV"/>
              </w:rPr>
            </w:pPr>
            <w:r w:rsidRPr="00924BDF">
              <w:rPr>
                <w:rFonts w:ascii="Times New Roman" w:eastAsia="Calibri" w:hAnsi="Times New Roman" w:cs="Times New Roman"/>
                <w:iCs/>
                <w:sz w:val="26"/>
                <w:szCs w:val="26"/>
              </w:rPr>
              <w:t>Ministru kabineta noteikumu projekta izpildes procesā netiks izveidotas jaunas institūcijas un netiks likvidētas vai reorganizētas esošās institūcijas. Ministru kabineta noteikumu projekta izpilde tiks realizēta esošo pārvaldes funkciju ietvaros, palielinot administratīvo slogu Jaunsardzes un informācijas centram, slēdzot līgumus ar jaunsargiem instruktoriem un izglītības iestādēm par mācību izdevumu kompensēšanu</w:t>
            </w:r>
            <w:r w:rsidRPr="00924BDF" w:rsidR="005A26DB">
              <w:rPr>
                <w:rFonts w:ascii="Times New Roman" w:eastAsia="Calibri" w:hAnsi="Times New Roman" w:cs="Times New Roman"/>
                <w:iCs/>
                <w:sz w:val="26"/>
                <w:szCs w:val="26"/>
              </w:rPr>
              <w:t>, administrējot un kontrolējot to izpildi, kā arī Ministru kabineta noteikumu projektā norādītajos gadījumos atgūstot no jaunsargiem instruktoriem kompensētos mācību izdevumus.</w:t>
            </w:r>
          </w:p>
        </w:tc>
      </w:tr>
      <w:tr w14:paraId="29ADFEC9" w14:textId="77777777" w:rsidTr="00D52BE4">
        <w:tblPrEx>
          <w:tblW w:w="5005" w:type="pct"/>
          <w:tblCellSpacing w:w="15" w:type="dxa"/>
          <w:tblCellMar>
            <w:top w:w="30" w:type="dxa"/>
            <w:left w:w="30" w:type="dxa"/>
            <w:bottom w:w="30" w:type="dxa"/>
            <w:right w:w="30" w:type="dxa"/>
          </w:tblCellMar>
          <w:tblLook w:val="04A0"/>
        </w:tblPrEx>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924BDF" w:rsidP="00F84EE6" w14:paraId="70DA843E" w14:textId="77777777">
            <w:pPr>
              <w:spacing w:after="0" w:line="240" w:lineRule="auto"/>
              <w:jc w:val="center"/>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rsidR="00EE3F9E" w:rsidRPr="00924BDF" w:rsidP="00F84EE6" w14:paraId="0A103EBB" w14:textId="77777777">
            <w:pPr>
              <w:spacing w:after="0" w:line="240" w:lineRule="auto"/>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iCs/>
                <w:sz w:val="26"/>
                <w:szCs w:val="26"/>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rsidR="00EE3F9E" w:rsidRPr="00924BDF" w:rsidP="00F84EE6" w14:paraId="2C433752" w14:textId="77777777">
            <w:pPr>
              <w:spacing w:after="0" w:line="240" w:lineRule="auto"/>
              <w:ind w:left="128" w:right="140"/>
              <w:rPr>
                <w:rFonts w:ascii="Times New Roman" w:eastAsia="Times New Roman" w:hAnsi="Times New Roman" w:cs="Times New Roman"/>
                <w:iCs/>
                <w:sz w:val="26"/>
                <w:szCs w:val="26"/>
                <w:lang w:eastAsia="lv-LV"/>
              </w:rPr>
            </w:pPr>
            <w:r w:rsidRPr="00924BDF">
              <w:rPr>
                <w:rFonts w:ascii="Times New Roman" w:eastAsia="Times New Roman" w:hAnsi="Times New Roman" w:cs="Times New Roman"/>
                <w:sz w:val="26"/>
                <w:szCs w:val="26"/>
              </w:rPr>
              <w:t>Nav</w:t>
            </w:r>
          </w:p>
        </w:tc>
      </w:tr>
    </w:tbl>
    <w:p w:rsidR="00EE3F9E" w:rsidRPr="00924BDF" w:rsidP="00F84EE6" w14:paraId="13142F20" w14:textId="77777777">
      <w:pPr>
        <w:pStyle w:val="StyleRight"/>
        <w:spacing w:after="0"/>
        <w:ind w:firstLine="0"/>
        <w:jc w:val="both"/>
        <w:rPr>
          <w:sz w:val="26"/>
          <w:szCs w:val="26"/>
        </w:rPr>
      </w:pPr>
    </w:p>
    <w:p w:rsidR="0033165C" w:rsidRPr="00924BDF" w:rsidP="00F84EE6" w14:paraId="7F837691" w14:textId="0A31A507">
      <w:pPr>
        <w:tabs>
          <w:tab w:val="left" w:pos="6096"/>
        </w:tabs>
        <w:suppressAutoHyphens/>
        <w:spacing w:after="0" w:line="240" w:lineRule="auto"/>
        <w:rPr>
          <w:rFonts w:ascii="Times New Roman" w:eastAsia="Times New Roman" w:hAnsi="Times New Roman" w:cs="Times New Roman"/>
          <w:sz w:val="26"/>
          <w:szCs w:val="26"/>
          <w:lang w:eastAsia="ar-SA"/>
        </w:rPr>
      </w:pPr>
    </w:p>
    <w:p w:rsidR="00022F61" w:rsidRPr="00E3640C" w:rsidP="00E3640C" w14:paraId="14ACA700" w14:textId="22F63F36">
      <w:pPr>
        <w:tabs>
          <w:tab w:val="left" w:pos="6096"/>
        </w:tabs>
        <w:suppressAutoHyphens/>
        <w:spacing w:after="0" w:line="240" w:lineRule="auto"/>
        <w:rPr>
          <w:rFonts w:ascii="Times New Roman" w:eastAsia="Times New Roman" w:hAnsi="Times New Roman" w:cs="Times New Roman"/>
          <w:i/>
          <w:sz w:val="26"/>
          <w:szCs w:val="26"/>
          <w:lang w:eastAsia="ar-SA"/>
        </w:rPr>
      </w:pPr>
      <w:r w:rsidRPr="00924BDF">
        <w:rPr>
          <w:rFonts w:ascii="Times New Roman" w:eastAsia="Times New Roman" w:hAnsi="Times New Roman" w:cs="Times New Roman"/>
          <w:sz w:val="26"/>
          <w:szCs w:val="26"/>
          <w:lang w:eastAsia="ar-SA"/>
        </w:rPr>
        <w:t xml:space="preserve">Aizsardzības ministrs </w:t>
      </w:r>
      <w:r w:rsidRPr="00924BDF">
        <w:rPr>
          <w:rFonts w:ascii="Times New Roman" w:eastAsia="Times New Roman" w:hAnsi="Times New Roman" w:cs="Times New Roman"/>
          <w:sz w:val="26"/>
          <w:szCs w:val="26"/>
          <w:lang w:eastAsia="ar-SA"/>
        </w:rPr>
        <w:tab/>
      </w:r>
      <w:r w:rsidRPr="00924BDF">
        <w:rPr>
          <w:rFonts w:ascii="Times New Roman" w:eastAsia="Times New Roman" w:hAnsi="Times New Roman" w:cs="Times New Roman"/>
          <w:sz w:val="26"/>
          <w:szCs w:val="26"/>
          <w:lang w:eastAsia="ar-SA"/>
        </w:rPr>
        <w:t xml:space="preserve">           </w:t>
      </w:r>
      <w:r w:rsidRPr="00924BDF">
        <w:rPr>
          <w:rFonts w:ascii="Times New Roman" w:eastAsia="Times New Roman" w:hAnsi="Times New Roman" w:cs="Times New Roman"/>
          <w:sz w:val="26"/>
          <w:szCs w:val="26"/>
          <w:lang w:eastAsia="ar-SA"/>
        </w:rPr>
        <w:t>Raimonds Bergmanis</w:t>
      </w:r>
    </w:p>
    <w:p w:rsidR="00022F61" w:rsidRPr="00924BDF" w:rsidP="00F84EE6" w14:paraId="3E8F6286" w14:textId="77777777">
      <w:pPr>
        <w:spacing w:after="0" w:line="240" w:lineRule="auto"/>
        <w:jc w:val="both"/>
        <w:rPr>
          <w:rFonts w:ascii="Times New Roman" w:eastAsia="Times New Roman" w:hAnsi="Times New Roman" w:cs="Times New Roman"/>
          <w:sz w:val="20"/>
          <w:szCs w:val="20"/>
        </w:rPr>
      </w:pPr>
    </w:p>
    <w:p w:rsidR="00294CDE" w:rsidRPr="00924BDF" w:rsidP="00F84EE6" w14:paraId="382AC0C9" w14:textId="30399CA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I.Gulbe</w:t>
      </w:r>
      <w:r w:rsidRPr="00924BDF" w:rsidR="00EE787E">
        <w:rPr>
          <w:rFonts w:ascii="Times New Roman" w:eastAsia="Times New Roman" w:hAnsi="Times New Roman" w:cs="Times New Roman"/>
          <w:sz w:val="20"/>
          <w:szCs w:val="20"/>
        </w:rPr>
        <w:t>, 67335</w:t>
      </w:r>
      <w:r>
        <w:rPr>
          <w:rFonts w:ascii="Times New Roman" w:eastAsia="Times New Roman" w:hAnsi="Times New Roman" w:cs="Times New Roman"/>
          <w:sz w:val="20"/>
          <w:szCs w:val="20"/>
        </w:rPr>
        <w:t>127</w:t>
      </w:r>
    </w:p>
    <w:p w:rsidR="00F461EC" w:rsidRPr="00924BDF" w:rsidP="00F84EE6" w14:paraId="5B32B569" w14:textId="3726F73E">
      <w:pPr>
        <w:spacing w:after="0" w:line="240" w:lineRule="auto"/>
        <w:jc w:val="both"/>
        <w:rPr>
          <w:rFonts w:ascii="Times New Roman" w:hAnsi="Times New Roman" w:cs="Times New Roman"/>
          <w:sz w:val="20"/>
          <w:szCs w:val="20"/>
        </w:rPr>
      </w:pPr>
      <w:r>
        <w:fldChar w:fldCharType="begin"/>
      </w:r>
      <w:r>
        <w:instrText xml:space="preserve"> HYPERLINK "mailto:ieva.gulbe@mod.gov.lv" </w:instrText>
      </w:r>
      <w:r>
        <w:fldChar w:fldCharType="separate"/>
      </w:r>
      <w:r w:rsidRPr="0077650A" w:rsidR="00B80BFF">
        <w:rPr>
          <w:rStyle w:val="Hyperlink"/>
          <w:rFonts w:ascii="Times New Roman" w:eastAsia="Times New Roman" w:hAnsi="Times New Roman" w:cs="Times New Roman"/>
          <w:sz w:val="20"/>
          <w:szCs w:val="20"/>
        </w:rPr>
        <w:t>ieva.gulbe@mod.gov.lv</w:t>
      </w:r>
      <w:r>
        <w:fldChar w:fldCharType="end"/>
      </w:r>
      <w:bookmarkStart w:id="10" w:name="_GoBack"/>
      <w:bookmarkEnd w:id="10"/>
    </w:p>
    <w:sectPr w:rsidSect="009E3CE2">
      <w:headerReference w:type="default" r:id="rId6"/>
      <w:footerReference w:type="default" r:id="rId7"/>
      <w:footerReference w:type="first" r:id="rId8"/>
      <w:pgSz w:w="11906" w:h="16838"/>
      <w:pgMar w:top="1418"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8682120"/>
      <w:docPartObj>
        <w:docPartGallery w:val="Page Numbers (Bottom of Page)"/>
        <w:docPartUnique/>
      </w:docPartObj>
    </w:sdtPr>
    <w:sdtEndPr>
      <w:rPr>
        <w:noProof/>
      </w:rPr>
    </w:sdtEndPr>
    <w:sdtContent>
      <w:p w:rsidR="00AE7E55" w14:paraId="24C7FBC0" w14:textId="30FBD969">
        <w:pPr>
          <w:pStyle w:val="Footer"/>
          <w:jc w:val="right"/>
        </w:pPr>
        <w:r>
          <w:fldChar w:fldCharType="begin"/>
        </w:r>
        <w:r>
          <w:instrText xml:space="preserve"> PAGE   \* MERGEFORMAT </w:instrText>
        </w:r>
        <w:r>
          <w:fldChar w:fldCharType="separate"/>
        </w:r>
        <w:r w:rsidR="00E3640C">
          <w:rPr>
            <w:noProof/>
          </w:rPr>
          <w:t>15</w:t>
        </w:r>
        <w:r>
          <w:rPr>
            <w:noProof/>
          </w:rPr>
          <w:fldChar w:fldCharType="end"/>
        </w:r>
      </w:p>
    </w:sdtContent>
  </w:sdt>
  <w:p w:rsidR="00AE7E55" w:rsidP="009E3CE2" w14:paraId="2711B437" w14:textId="725D1322">
    <w:pPr>
      <w:pStyle w:val="Footer"/>
    </w:pPr>
    <w:r>
      <w:rPr>
        <w:rFonts w:ascii="Times New Roman" w:hAnsi="Times New Roman" w:cs="Times New Roman"/>
        <w:sz w:val="20"/>
        <w:szCs w:val="20"/>
      </w:rPr>
      <w:t>A</w:t>
    </w:r>
    <w:r w:rsidR="00BF1232">
      <w:rPr>
        <w:rFonts w:ascii="Times New Roman" w:hAnsi="Times New Roman" w:cs="Times New Roman"/>
        <w:sz w:val="20"/>
        <w:szCs w:val="20"/>
      </w:rPr>
      <w:t>I</w:t>
    </w:r>
    <w:r>
      <w:rPr>
        <w:rFonts w:ascii="Times New Roman" w:hAnsi="Times New Roman" w:cs="Times New Roman"/>
        <w:sz w:val="20"/>
        <w:szCs w:val="20"/>
      </w:rPr>
      <w:t>Manot_</w:t>
    </w:r>
    <w:r w:rsidR="00E3640C">
      <w:rPr>
        <w:rFonts w:ascii="Times New Roman" w:hAnsi="Times New Roman" w:cs="Times New Roman"/>
        <w:sz w:val="20"/>
        <w:szCs w:val="20"/>
      </w:rPr>
      <w:t>0310</w:t>
    </w:r>
    <w:r>
      <w:rPr>
        <w:rFonts w:ascii="Times New Roman" w:hAnsi="Times New Roman" w:cs="Times New Roman"/>
        <w:sz w:val="20"/>
        <w:szCs w:val="20"/>
      </w:rPr>
      <w:t>18_izgl.komp.JIC</w:t>
    </w:r>
  </w:p>
  <w:p w:rsidR="00AE7E55" w14:paraId="6D3B76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E55" w:rsidRPr="00F01769" w:rsidP="00B8047B" w14:paraId="5472F540" w14:textId="6ABAAD4B">
    <w:pPr>
      <w:pStyle w:val="Footer"/>
      <w:rPr>
        <w:rFonts w:ascii="Times New Roman" w:hAnsi="Times New Roman" w:cs="Times New Roman"/>
        <w:sz w:val="20"/>
        <w:szCs w:val="20"/>
      </w:rPr>
    </w:pPr>
    <w:r>
      <w:rPr>
        <w:rFonts w:ascii="Times New Roman" w:hAnsi="Times New Roman" w:cs="Times New Roman"/>
        <w:sz w:val="20"/>
        <w:szCs w:val="20"/>
      </w:rPr>
      <w:t>A</w:t>
    </w:r>
    <w:r w:rsidR="00BF1232">
      <w:rPr>
        <w:rFonts w:ascii="Times New Roman" w:hAnsi="Times New Roman" w:cs="Times New Roman"/>
        <w:sz w:val="20"/>
        <w:szCs w:val="20"/>
      </w:rPr>
      <w:t>I</w:t>
    </w:r>
    <w:r>
      <w:rPr>
        <w:rFonts w:ascii="Times New Roman" w:hAnsi="Times New Roman" w:cs="Times New Roman"/>
        <w:sz w:val="20"/>
        <w:szCs w:val="20"/>
      </w:rPr>
      <w:t>Manot_</w:t>
    </w:r>
    <w:r w:rsidR="00E3640C">
      <w:rPr>
        <w:rFonts w:ascii="Times New Roman" w:hAnsi="Times New Roman" w:cs="Times New Roman"/>
        <w:sz w:val="20"/>
        <w:szCs w:val="20"/>
      </w:rPr>
      <w:t>0310</w:t>
    </w:r>
    <w:r>
      <w:rPr>
        <w:rFonts w:ascii="Times New Roman" w:hAnsi="Times New Roman" w:cs="Times New Roman"/>
        <w:sz w:val="20"/>
        <w:szCs w:val="20"/>
      </w:rPr>
      <w:t>18_izgl.komp.JIC</w:t>
    </w:r>
  </w:p>
  <w:p w:rsidR="00AE7E55" w14:paraId="593776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7E55" w14:paraId="6688ADB5" w14:textId="77777777">
      <w:pPr>
        <w:spacing w:after="0" w:line="240" w:lineRule="auto"/>
      </w:pPr>
      <w:r>
        <w:separator/>
      </w:r>
    </w:p>
  </w:footnote>
  <w:footnote w:type="continuationSeparator" w:id="1">
    <w:p w:rsidR="00AE7E55" w14:paraId="6933E300" w14:textId="77777777">
      <w:pPr>
        <w:spacing w:after="0" w:line="240" w:lineRule="auto"/>
      </w:pPr>
      <w:r>
        <w:continuationSeparator/>
      </w:r>
    </w:p>
  </w:footnote>
  <w:footnote w:id="2">
    <w:p w:rsidR="00AE7E55" w:rsidP="007927E3" w14:paraId="58B9CB3A" w14:textId="77777777">
      <w:pPr>
        <w:pStyle w:val="FootnoteText"/>
        <w:jc w:val="both"/>
      </w:pPr>
      <w:r>
        <w:rPr>
          <w:rStyle w:val="FootnoteReference"/>
        </w:rPr>
        <w:footnoteRef/>
      </w:r>
      <w:r>
        <w:t xml:space="preserve"> </w:t>
      </w:r>
      <w:r w:rsidRPr="000C358B">
        <w:rPr>
          <w:rFonts w:ascii="Times New Roman" w:hAnsi="Times New Roman" w:cs="Times New Roman"/>
          <w:sz w:val="20"/>
          <w:szCs w:val="20"/>
        </w:rPr>
        <w:t>Detalizēti prasības noteiktas Ministru kabineta 2014.gada 28.oktobra noteikumu Nr.662 ˝Noteikumi par pedagogiem nepieciešamo izglītību un profesionālo kvalifikāciju un pedagogu profesionālās kompetences pilnveides kārtību˝</w:t>
      </w:r>
      <w:r w:rsidRPr="000C358B">
        <w:rPr>
          <w:rFonts w:ascii="Times New Roman" w:eastAsia="Times New Roman" w:hAnsi="Times New Roman" w:cs="Times New Roman"/>
          <w:iCs/>
          <w:sz w:val="20"/>
          <w:szCs w:val="20"/>
          <w:lang w:eastAsia="lv-LV"/>
        </w:rPr>
        <w:t xml:space="preserve"> 1.pielikuma 9.punkt</w:t>
      </w:r>
      <w:r>
        <w:rPr>
          <w:rFonts w:ascii="Times New Roman" w:eastAsia="Times New Roman" w:hAnsi="Times New Roman" w:cs="Times New Roman"/>
          <w:iCs/>
          <w:sz w:val="20"/>
          <w:szCs w:val="20"/>
          <w:lang w:eastAsia="lv-LV"/>
        </w:rPr>
        <w:t>ā</w:t>
      </w:r>
    </w:p>
  </w:footnote>
  <w:footnote w:id="3">
    <w:p w:rsidR="00AE7E55" w:rsidRPr="00A613AF" w14:paraId="6AB66375" w14:textId="77777777">
      <w:pPr>
        <w:pStyle w:val="FootnoteText"/>
        <w:rPr>
          <w:rFonts w:ascii="Times New Roman" w:hAnsi="Times New Roman" w:cs="Times New Roman"/>
          <w:sz w:val="20"/>
          <w:szCs w:val="20"/>
        </w:rPr>
      </w:pPr>
      <w:r>
        <w:rPr>
          <w:rStyle w:val="FootnoteReference"/>
        </w:rPr>
        <w:footnoteRef/>
      </w:r>
      <w:r>
        <w:t xml:space="preserve"> </w:t>
      </w:r>
      <w:r w:rsidRPr="00A613AF">
        <w:rPr>
          <w:rFonts w:ascii="Times New Roman" w:hAnsi="Times New Roman" w:cs="Times New Roman"/>
          <w:sz w:val="20"/>
          <w:szCs w:val="20"/>
        </w:rPr>
        <w:t>Autoru kolektīvs. Latvijas Republikas Satversmes komentāri VIII nodaļa. Cilvēka pamattiesības. Latvijas Vēstnesis, 2011. 89.lpp.</w:t>
      </w:r>
    </w:p>
  </w:footnote>
  <w:footnote w:id="4">
    <w:p w:rsidR="00617EEA" w14:paraId="452CF82C" w14:textId="45317ECD">
      <w:pPr>
        <w:pStyle w:val="FootnoteText"/>
      </w:pPr>
      <w:r>
        <w:rPr>
          <w:rStyle w:val="FootnoteReference"/>
        </w:rPr>
        <w:footnoteRef/>
      </w:r>
      <w:r>
        <w:t xml:space="preserve"> </w:t>
      </w:r>
      <w:r w:rsidRPr="007407A9">
        <w:rPr>
          <w:rFonts w:ascii="Times New Roman" w:hAnsi="Times New Roman" w:cs="Times New Roman"/>
        </w:rPr>
        <w:t>LR Satversmes tiesas 2001. gada 3. aprīļa spriedums lietā Nr. 2000-07-0409</w:t>
      </w:r>
      <w:r w:rsidRPr="007407A9" w:rsidR="00377059">
        <w:rPr>
          <w:rFonts w:ascii="Times New Roman" w:hAnsi="Times New Roman" w:cs="Times New Roman"/>
        </w:rPr>
        <w:t xml:space="preserve"> 1. punkts, 7.lpp.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E55" w:rsidRPr="00125F9B" w14:paraId="596A0BE3" w14:textId="77777777">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E7E2059"/>
    <w:multiLevelType w:val="hybridMultilevel"/>
    <w:tmpl w:val="3A3A3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FD912B3"/>
    <w:multiLevelType w:val="hybridMultilevel"/>
    <w:tmpl w:val="5958DBA8"/>
    <w:lvl w:ilvl="0">
      <w:start w:val="1"/>
      <w:numFmt w:val="decimal"/>
      <w:lvlText w:val="%1."/>
      <w:lvlJc w:val="left"/>
      <w:pPr>
        <w:ind w:left="720" w:hanging="375"/>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2"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420D391E"/>
    <w:multiLevelType w:val="hybridMultilevel"/>
    <w:tmpl w:val="E048B04C"/>
    <w:lvl w:ilvl="0">
      <w:start w:val="1"/>
      <w:numFmt w:val="decimal"/>
      <w:lvlText w:val="%1."/>
      <w:lvlJc w:val="left"/>
      <w:pPr>
        <w:ind w:left="800" w:hanging="435"/>
      </w:pPr>
      <w:rPr>
        <w:rFonts w:asciiTheme="minorHAnsi" w:eastAsiaTheme="minorHAnsi" w:hAnsiTheme="minorHAnsi" w:hint="default"/>
      </w:rPr>
    </w:lvl>
    <w:lvl w:ilvl="1" w:tentative="1">
      <w:start w:val="1"/>
      <w:numFmt w:val="lowerLetter"/>
      <w:lvlText w:val="%2."/>
      <w:lvlJc w:val="left"/>
      <w:pPr>
        <w:ind w:left="1445" w:hanging="360"/>
      </w:pPr>
    </w:lvl>
    <w:lvl w:ilvl="2" w:tentative="1">
      <w:start w:val="1"/>
      <w:numFmt w:val="lowerRoman"/>
      <w:lvlText w:val="%3."/>
      <w:lvlJc w:val="right"/>
      <w:pPr>
        <w:ind w:left="2165" w:hanging="180"/>
      </w:pPr>
    </w:lvl>
    <w:lvl w:ilvl="3" w:tentative="1">
      <w:start w:val="1"/>
      <w:numFmt w:val="decimal"/>
      <w:lvlText w:val="%4."/>
      <w:lvlJc w:val="left"/>
      <w:pPr>
        <w:ind w:left="2885" w:hanging="360"/>
      </w:pPr>
    </w:lvl>
    <w:lvl w:ilvl="4" w:tentative="1">
      <w:start w:val="1"/>
      <w:numFmt w:val="lowerLetter"/>
      <w:lvlText w:val="%5."/>
      <w:lvlJc w:val="left"/>
      <w:pPr>
        <w:ind w:left="3605" w:hanging="360"/>
      </w:pPr>
    </w:lvl>
    <w:lvl w:ilvl="5" w:tentative="1">
      <w:start w:val="1"/>
      <w:numFmt w:val="lowerRoman"/>
      <w:lvlText w:val="%6."/>
      <w:lvlJc w:val="right"/>
      <w:pPr>
        <w:ind w:left="4325" w:hanging="180"/>
      </w:pPr>
    </w:lvl>
    <w:lvl w:ilvl="6" w:tentative="1">
      <w:start w:val="1"/>
      <w:numFmt w:val="decimal"/>
      <w:lvlText w:val="%7."/>
      <w:lvlJc w:val="left"/>
      <w:pPr>
        <w:ind w:left="5045" w:hanging="360"/>
      </w:pPr>
    </w:lvl>
    <w:lvl w:ilvl="7" w:tentative="1">
      <w:start w:val="1"/>
      <w:numFmt w:val="lowerLetter"/>
      <w:lvlText w:val="%8."/>
      <w:lvlJc w:val="left"/>
      <w:pPr>
        <w:ind w:left="5765" w:hanging="360"/>
      </w:pPr>
    </w:lvl>
    <w:lvl w:ilvl="8" w:tentative="1">
      <w:start w:val="1"/>
      <w:numFmt w:val="lowerRoman"/>
      <w:lvlText w:val="%9."/>
      <w:lvlJc w:val="right"/>
      <w:pPr>
        <w:ind w:left="6485" w:hanging="180"/>
      </w:pPr>
    </w:lvl>
  </w:abstractNum>
  <w:abstractNum w:abstractNumId="4" w15:restartNumberingAfterBreak="1">
    <w:nsid w:val="65F3728D"/>
    <w:multiLevelType w:val="hybridMultilevel"/>
    <w:tmpl w:val="13306424"/>
    <w:lvl w:ilvl="0">
      <w:start w:val="88"/>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3FEB"/>
    <w:rsid w:val="00006A20"/>
    <w:rsid w:val="000169BE"/>
    <w:rsid w:val="00022AAC"/>
    <w:rsid w:val="00022F61"/>
    <w:rsid w:val="0003368A"/>
    <w:rsid w:val="00037DBD"/>
    <w:rsid w:val="00040B1C"/>
    <w:rsid w:val="00043F0C"/>
    <w:rsid w:val="00043F10"/>
    <w:rsid w:val="000530A0"/>
    <w:rsid w:val="00060A41"/>
    <w:rsid w:val="00061748"/>
    <w:rsid w:val="00070FE6"/>
    <w:rsid w:val="0007739C"/>
    <w:rsid w:val="000869D5"/>
    <w:rsid w:val="00090AD2"/>
    <w:rsid w:val="00096FB3"/>
    <w:rsid w:val="000A345A"/>
    <w:rsid w:val="000B4408"/>
    <w:rsid w:val="000B5184"/>
    <w:rsid w:val="000B5337"/>
    <w:rsid w:val="000C358B"/>
    <w:rsid w:val="000E1369"/>
    <w:rsid w:val="000E4F25"/>
    <w:rsid w:val="000E7B13"/>
    <w:rsid w:val="000F5E97"/>
    <w:rsid w:val="00105443"/>
    <w:rsid w:val="00106ED0"/>
    <w:rsid w:val="00107B3B"/>
    <w:rsid w:val="00110C56"/>
    <w:rsid w:val="00116ABE"/>
    <w:rsid w:val="00125F9B"/>
    <w:rsid w:val="00130460"/>
    <w:rsid w:val="001334C6"/>
    <w:rsid w:val="001554E7"/>
    <w:rsid w:val="00182F27"/>
    <w:rsid w:val="001A599A"/>
    <w:rsid w:val="001B7853"/>
    <w:rsid w:val="001D2694"/>
    <w:rsid w:val="001E7459"/>
    <w:rsid w:val="001F0013"/>
    <w:rsid w:val="001F3F07"/>
    <w:rsid w:val="001F7917"/>
    <w:rsid w:val="00220D9B"/>
    <w:rsid w:val="0022182C"/>
    <w:rsid w:val="0023009E"/>
    <w:rsid w:val="0024184D"/>
    <w:rsid w:val="00243916"/>
    <w:rsid w:val="00245CBE"/>
    <w:rsid w:val="00247BEA"/>
    <w:rsid w:val="00252517"/>
    <w:rsid w:val="002646D1"/>
    <w:rsid w:val="00294CAC"/>
    <w:rsid w:val="00294CDE"/>
    <w:rsid w:val="002A3107"/>
    <w:rsid w:val="002A3FAD"/>
    <w:rsid w:val="002A5E4A"/>
    <w:rsid w:val="002A7122"/>
    <w:rsid w:val="002C34B5"/>
    <w:rsid w:val="002D7686"/>
    <w:rsid w:val="002E256F"/>
    <w:rsid w:val="002E3142"/>
    <w:rsid w:val="002F05C9"/>
    <w:rsid w:val="00302740"/>
    <w:rsid w:val="00306F51"/>
    <w:rsid w:val="00312733"/>
    <w:rsid w:val="0032414A"/>
    <w:rsid w:val="0033165C"/>
    <w:rsid w:val="00332DA5"/>
    <w:rsid w:val="0033764F"/>
    <w:rsid w:val="00341BBA"/>
    <w:rsid w:val="00352186"/>
    <w:rsid w:val="0035410D"/>
    <w:rsid w:val="00357978"/>
    <w:rsid w:val="00362412"/>
    <w:rsid w:val="00363BFC"/>
    <w:rsid w:val="003650BA"/>
    <w:rsid w:val="0037011B"/>
    <w:rsid w:val="00370D9B"/>
    <w:rsid w:val="0037326F"/>
    <w:rsid w:val="00377059"/>
    <w:rsid w:val="00384E7F"/>
    <w:rsid w:val="00387C39"/>
    <w:rsid w:val="003915A9"/>
    <w:rsid w:val="003A1FC2"/>
    <w:rsid w:val="003A51E6"/>
    <w:rsid w:val="003A6179"/>
    <w:rsid w:val="003B2D8B"/>
    <w:rsid w:val="003D0FEC"/>
    <w:rsid w:val="003D5840"/>
    <w:rsid w:val="003D7FD7"/>
    <w:rsid w:val="003E058A"/>
    <w:rsid w:val="003E47E0"/>
    <w:rsid w:val="00404A82"/>
    <w:rsid w:val="00404DDD"/>
    <w:rsid w:val="00411418"/>
    <w:rsid w:val="004139EB"/>
    <w:rsid w:val="00414EE6"/>
    <w:rsid w:val="00424CFC"/>
    <w:rsid w:val="0043408F"/>
    <w:rsid w:val="00441163"/>
    <w:rsid w:val="00444B07"/>
    <w:rsid w:val="004629BB"/>
    <w:rsid w:val="00471D0C"/>
    <w:rsid w:val="00472B47"/>
    <w:rsid w:val="00487A41"/>
    <w:rsid w:val="004C35A4"/>
    <w:rsid w:val="004D6622"/>
    <w:rsid w:val="004E7992"/>
    <w:rsid w:val="004F6ACD"/>
    <w:rsid w:val="00500318"/>
    <w:rsid w:val="00507EAC"/>
    <w:rsid w:val="0051746D"/>
    <w:rsid w:val="005310C7"/>
    <w:rsid w:val="005372FC"/>
    <w:rsid w:val="00543EAE"/>
    <w:rsid w:val="00555D2C"/>
    <w:rsid w:val="00555D9E"/>
    <w:rsid w:val="00573750"/>
    <w:rsid w:val="00585CB7"/>
    <w:rsid w:val="005A26DB"/>
    <w:rsid w:val="005D25A2"/>
    <w:rsid w:val="005D25A3"/>
    <w:rsid w:val="005D3700"/>
    <w:rsid w:val="005D6D40"/>
    <w:rsid w:val="005F1632"/>
    <w:rsid w:val="005F35F8"/>
    <w:rsid w:val="005F452D"/>
    <w:rsid w:val="006045CB"/>
    <w:rsid w:val="006105FE"/>
    <w:rsid w:val="00614640"/>
    <w:rsid w:val="00615DF4"/>
    <w:rsid w:val="00617756"/>
    <w:rsid w:val="00617EEA"/>
    <w:rsid w:val="00622CC3"/>
    <w:rsid w:val="006421A2"/>
    <w:rsid w:val="0065044E"/>
    <w:rsid w:val="00650BF0"/>
    <w:rsid w:val="006568C7"/>
    <w:rsid w:val="0066033A"/>
    <w:rsid w:val="00660A17"/>
    <w:rsid w:val="006902D8"/>
    <w:rsid w:val="006C2409"/>
    <w:rsid w:val="006C3E48"/>
    <w:rsid w:val="006D5DB5"/>
    <w:rsid w:val="006D5E94"/>
    <w:rsid w:val="006E555B"/>
    <w:rsid w:val="006F2B43"/>
    <w:rsid w:val="006F6C11"/>
    <w:rsid w:val="007004BB"/>
    <w:rsid w:val="007036B4"/>
    <w:rsid w:val="00711F75"/>
    <w:rsid w:val="00714DC2"/>
    <w:rsid w:val="007159AB"/>
    <w:rsid w:val="00723E35"/>
    <w:rsid w:val="00724456"/>
    <w:rsid w:val="00727638"/>
    <w:rsid w:val="00730520"/>
    <w:rsid w:val="00731741"/>
    <w:rsid w:val="00733CCE"/>
    <w:rsid w:val="007407A9"/>
    <w:rsid w:val="00743645"/>
    <w:rsid w:val="00743AAE"/>
    <w:rsid w:val="0074606C"/>
    <w:rsid w:val="00760340"/>
    <w:rsid w:val="00762E3F"/>
    <w:rsid w:val="00774A8C"/>
    <w:rsid w:val="0077650A"/>
    <w:rsid w:val="007927E3"/>
    <w:rsid w:val="007A7719"/>
    <w:rsid w:val="007A7D2B"/>
    <w:rsid w:val="007B00C9"/>
    <w:rsid w:val="007B4DCB"/>
    <w:rsid w:val="007C6AC0"/>
    <w:rsid w:val="007D4953"/>
    <w:rsid w:val="007D6686"/>
    <w:rsid w:val="007D6F0D"/>
    <w:rsid w:val="007F2563"/>
    <w:rsid w:val="007F2AFA"/>
    <w:rsid w:val="008105C7"/>
    <w:rsid w:val="00827DB2"/>
    <w:rsid w:val="0083089E"/>
    <w:rsid w:val="00831A6C"/>
    <w:rsid w:val="00831C0E"/>
    <w:rsid w:val="00831EC9"/>
    <w:rsid w:val="00835257"/>
    <w:rsid w:val="00847901"/>
    <w:rsid w:val="00853C03"/>
    <w:rsid w:val="008551F1"/>
    <w:rsid w:val="008615B3"/>
    <w:rsid w:val="008618E3"/>
    <w:rsid w:val="0087335C"/>
    <w:rsid w:val="00874535"/>
    <w:rsid w:val="008761FF"/>
    <w:rsid w:val="00881618"/>
    <w:rsid w:val="00892BA2"/>
    <w:rsid w:val="00896037"/>
    <w:rsid w:val="008A2B90"/>
    <w:rsid w:val="008B0610"/>
    <w:rsid w:val="008B2561"/>
    <w:rsid w:val="008B48FF"/>
    <w:rsid w:val="008B4E91"/>
    <w:rsid w:val="008C6303"/>
    <w:rsid w:val="008D0BD3"/>
    <w:rsid w:val="008E68E3"/>
    <w:rsid w:val="008F04D3"/>
    <w:rsid w:val="0090339F"/>
    <w:rsid w:val="009041C0"/>
    <w:rsid w:val="009048C7"/>
    <w:rsid w:val="00905EB5"/>
    <w:rsid w:val="00906A94"/>
    <w:rsid w:val="00923595"/>
    <w:rsid w:val="00923B14"/>
    <w:rsid w:val="00924BDF"/>
    <w:rsid w:val="009525A1"/>
    <w:rsid w:val="00953914"/>
    <w:rsid w:val="00955CD9"/>
    <w:rsid w:val="009643C3"/>
    <w:rsid w:val="00972433"/>
    <w:rsid w:val="00975263"/>
    <w:rsid w:val="009757C1"/>
    <w:rsid w:val="00976696"/>
    <w:rsid w:val="009768F5"/>
    <w:rsid w:val="00977F0A"/>
    <w:rsid w:val="00987EB6"/>
    <w:rsid w:val="00993287"/>
    <w:rsid w:val="00994BB5"/>
    <w:rsid w:val="00997222"/>
    <w:rsid w:val="009A0DB7"/>
    <w:rsid w:val="009A14CA"/>
    <w:rsid w:val="009A2FFD"/>
    <w:rsid w:val="009A6D12"/>
    <w:rsid w:val="009B117A"/>
    <w:rsid w:val="009B5054"/>
    <w:rsid w:val="009B7EF5"/>
    <w:rsid w:val="009D6F67"/>
    <w:rsid w:val="009E226C"/>
    <w:rsid w:val="009E2C34"/>
    <w:rsid w:val="009E3CE2"/>
    <w:rsid w:val="009F10CB"/>
    <w:rsid w:val="009F4344"/>
    <w:rsid w:val="009F5084"/>
    <w:rsid w:val="00A02EE4"/>
    <w:rsid w:val="00A058E8"/>
    <w:rsid w:val="00A1235D"/>
    <w:rsid w:val="00A125AB"/>
    <w:rsid w:val="00A21A11"/>
    <w:rsid w:val="00A333B0"/>
    <w:rsid w:val="00A46D3A"/>
    <w:rsid w:val="00A5494E"/>
    <w:rsid w:val="00A56EF4"/>
    <w:rsid w:val="00A57789"/>
    <w:rsid w:val="00A613AF"/>
    <w:rsid w:val="00A64F79"/>
    <w:rsid w:val="00A76FC8"/>
    <w:rsid w:val="00A93E55"/>
    <w:rsid w:val="00AD149A"/>
    <w:rsid w:val="00AE157C"/>
    <w:rsid w:val="00AE2AF0"/>
    <w:rsid w:val="00AE2EE9"/>
    <w:rsid w:val="00AE7A6D"/>
    <w:rsid w:val="00AE7E55"/>
    <w:rsid w:val="00B026BE"/>
    <w:rsid w:val="00B1108C"/>
    <w:rsid w:val="00B1555A"/>
    <w:rsid w:val="00B2194A"/>
    <w:rsid w:val="00B27659"/>
    <w:rsid w:val="00B417FB"/>
    <w:rsid w:val="00B4369C"/>
    <w:rsid w:val="00B46085"/>
    <w:rsid w:val="00B52505"/>
    <w:rsid w:val="00B60A39"/>
    <w:rsid w:val="00B64E77"/>
    <w:rsid w:val="00B712DC"/>
    <w:rsid w:val="00B714DD"/>
    <w:rsid w:val="00B8047B"/>
    <w:rsid w:val="00B80BFF"/>
    <w:rsid w:val="00BA0A94"/>
    <w:rsid w:val="00BB4B33"/>
    <w:rsid w:val="00BC5749"/>
    <w:rsid w:val="00BD5EA9"/>
    <w:rsid w:val="00BE386B"/>
    <w:rsid w:val="00BF1232"/>
    <w:rsid w:val="00BF38DC"/>
    <w:rsid w:val="00BF5F32"/>
    <w:rsid w:val="00C11132"/>
    <w:rsid w:val="00C138B0"/>
    <w:rsid w:val="00C1730B"/>
    <w:rsid w:val="00C22597"/>
    <w:rsid w:val="00C33321"/>
    <w:rsid w:val="00C34B11"/>
    <w:rsid w:val="00C34F1D"/>
    <w:rsid w:val="00C464FF"/>
    <w:rsid w:val="00C5533C"/>
    <w:rsid w:val="00C55DCA"/>
    <w:rsid w:val="00C56AE3"/>
    <w:rsid w:val="00C82BC0"/>
    <w:rsid w:val="00C91B5A"/>
    <w:rsid w:val="00C92D3F"/>
    <w:rsid w:val="00C95FBC"/>
    <w:rsid w:val="00CA0124"/>
    <w:rsid w:val="00CA5373"/>
    <w:rsid w:val="00CA7E95"/>
    <w:rsid w:val="00CC54C9"/>
    <w:rsid w:val="00CC730B"/>
    <w:rsid w:val="00CD1304"/>
    <w:rsid w:val="00CD1365"/>
    <w:rsid w:val="00CD1F16"/>
    <w:rsid w:val="00CE5830"/>
    <w:rsid w:val="00CF1FD6"/>
    <w:rsid w:val="00D22500"/>
    <w:rsid w:val="00D26698"/>
    <w:rsid w:val="00D27C16"/>
    <w:rsid w:val="00D44E08"/>
    <w:rsid w:val="00D4778A"/>
    <w:rsid w:val="00D52BE4"/>
    <w:rsid w:val="00D52FD9"/>
    <w:rsid w:val="00D57FBE"/>
    <w:rsid w:val="00D629D3"/>
    <w:rsid w:val="00D62F87"/>
    <w:rsid w:val="00D742D3"/>
    <w:rsid w:val="00D7548F"/>
    <w:rsid w:val="00D756C4"/>
    <w:rsid w:val="00D7570F"/>
    <w:rsid w:val="00D80BA7"/>
    <w:rsid w:val="00D80DC4"/>
    <w:rsid w:val="00D844C6"/>
    <w:rsid w:val="00D84DD9"/>
    <w:rsid w:val="00D856B4"/>
    <w:rsid w:val="00D91686"/>
    <w:rsid w:val="00DA2743"/>
    <w:rsid w:val="00DC5EE8"/>
    <w:rsid w:val="00DD09CD"/>
    <w:rsid w:val="00DD1AA6"/>
    <w:rsid w:val="00DD7142"/>
    <w:rsid w:val="00DD79E5"/>
    <w:rsid w:val="00DE0371"/>
    <w:rsid w:val="00DF6E44"/>
    <w:rsid w:val="00E0031B"/>
    <w:rsid w:val="00E00411"/>
    <w:rsid w:val="00E0337E"/>
    <w:rsid w:val="00E10003"/>
    <w:rsid w:val="00E15870"/>
    <w:rsid w:val="00E20A38"/>
    <w:rsid w:val="00E26F86"/>
    <w:rsid w:val="00E2788C"/>
    <w:rsid w:val="00E3640C"/>
    <w:rsid w:val="00E56A5E"/>
    <w:rsid w:val="00E63301"/>
    <w:rsid w:val="00E65AE7"/>
    <w:rsid w:val="00E65FA7"/>
    <w:rsid w:val="00E67F3F"/>
    <w:rsid w:val="00E80F71"/>
    <w:rsid w:val="00E85615"/>
    <w:rsid w:val="00E86BB5"/>
    <w:rsid w:val="00E8757A"/>
    <w:rsid w:val="00E91DEB"/>
    <w:rsid w:val="00E9283A"/>
    <w:rsid w:val="00E93DA5"/>
    <w:rsid w:val="00E96099"/>
    <w:rsid w:val="00E97626"/>
    <w:rsid w:val="00EA0FC4"/>
    <w:rsid w:val="00EA352C"/>
    <w:rsid w:val="00EB254E"/>
    <w:rsid w:val="00EC32F5"/>
    <w:rsid w:val="00ED1848"/>
    <w:rsid w:val="00EE3F9E"/>
    <w:rsid w:val="00EE75C2"/>
    <w:rsid w:val="00EE787E"/>
    <w:rsid w:val="00EF2DD2"/>
    <w:rsid w:val="00EF34A9"/>
    <w:rsid w:val="00F01769"/>
    <w:rsid w:val="00F01E2D"/>
    <w:rsid w:val="00F04C46"/>
    <w:rsid w:val="00F2129B"/>
    <w:rsid w:val="00F30AD8"/>
    <w:rsid w:val="00F37355"/>
    <w:rsid w:val="00F403F6"/>
    <w:rsid w:val="00F44BD3"/>
    <w:rsid w:val="00F45EBF"/>
    <w:rsid w:val="00F461EC"/>
    <w:rsid w:val="00F63921"/>
    <w:rsid w:val="00F74531"/>
    <w:rsid w:val="00F7641F"/>
    <w:rsid w:val="00F81AAE"/>
    <w:rsid w:val="00F84EE6"/>
    <w:rsid w:val="00F8641A"/>
    <w:rsid w:val="00F90439"/>
    <w:rsid w:val="00FA2163"/>
    <w:rsid w:val="00FB1BB4"/>
    <w:rsid w:val="00FC0F46"/>
    <w:rsid w:val="00FC232D"/>
    <w:rsid w:val="00FC7A2D"/>
    <w:rsid w:val="00FD130B"/>
    <w:rsid w:val="00FE6C9A"/>
    <w:rsid w:val="00FF0F08"/>
    <w:rsid w:val="00FF3999"/>
    <w:rsid w:val="00FF46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25996FA-FEFD-490E-B6B9-B49D598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370D9B"/>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370D9B"/>
    <w:pPr>
      <w:spacing w:after="0" w:line="240" w:lineRule="auto"/>
    </w:pPr>
    <w:rPr>
      <w:rFonts w:ascii="Dutch TL" w:hAnsi="Dutch TL"/>
      <w:lang w:eastAsia="zh-TW"/>
    </w:rPr>
  </w:style>
  <w:style w:type="character" w:customStyle="1" w:styleId="FootnoteTextChar1">
    <w:name w:val="Footnote Text Char1"/>
    <w:basedOn w:val="DefaultParagraphFont"/>
    <w:uiPriority w:val="99"/>
    <w:semiHidden/>
    <w:rsid w:val="00370D9B"/>
    <w:rPr>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370D9B"/>
    <w:rPr>
      <w:vertAlign w:val="superscript"/>
    </w:rPr>
  </w:style>
  <w:style w:type="paragraph" w:customStyle="1" w:styleId="CharCharCharChar">
    <w:name w:val="Char Char Char Char"/>
    <w:aliases w:val="Char2"/>
    <w:basedOn w:val="Normal"/>
    <w:next w:val="Normal"/>
    <w:link w:val="FootnoteReference"/>
    <w:uiPriority w:val="99"/>
    <w:rsid w:val="00370D9B"/>
    <w:pPr>
      <w:spacing w:line="240" w:lineRule="exact"/>
      <w:jc w:val="both"/>
    </w:pPr>
    <w:rPr>
      <w:vertAlign w:val="superscript"/>
    </w:rPr>
  </w:style>
  <w:style w:type="paragraph" w:styleId="NormalWeb">
    <w:name w:val="Normal (Web)"/>
    <w:basedOn w:val="Normal"/>
    <w:uiPriority w:val="99"/>
    <w:unhideWhenUsed/>
    <w:rsid w:val="00555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F04D3"/>
    <w:pPr>
      <w:spacing w:after="0" w:line="240" w:lineRule="auto"/>
      <w:ind w:left="720"/>
      <w:contextualSpacing/>
    </w:pPr>
    <w:rPr>
      <w:rFonts w:ascii="Times New Roman" w:eastAsia="Times New Roman" w:hAnsi="Times New Roman" w:cs="Arial Unicode MS"/>
      <w:sz w:val="20"/>
      <w:szCs w:val="20"/>
      <w:lang w:bidi="lo-LA"/>
    </w:rPr>
  </w:style>
  <w:style w:type="paragraph" w:customStyle="1" w:styleId="tv2132">
    <w:name w:val="tv2132"/>
    <w:basedOn w:val="Normal"/>
    <w:rsid w:val="00760340"/>
    <w:pPr>
      <w:spacing w:after="0" w:line="360" w:lineRule="auto"/>
      <w:ind w:firstLine="300"/>
    </w:pPr>
    <w:rPr>
      <w:rFonts w:ascii="Times New Roman" w:eastAsia="Times New Roman" w:hAnsi="Times New Roman" w:cs="Times New Roman"/>
      <w:color w:val="414142"/>
      <w:sz w:val="20"/>
      <w:szCs w:val="20"/>
      <w:lang w:val="en-GB" w:eastAsia="en-GB"/>
    </w:rPr>
  </w:style>
  <w:style w:type="paragraph" w:customStyle="1" w:styleId="tv213">
    <w:name w:val="tv213"/>
    <w:basedOn w:val="Normal"/>
    <w:rsid w:val="009768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bojumupamats1">
    <w:name w:val="labojumu_pamats1"/>
    <w:basedOn w:val="Normal"/>
    <w:rsid w:val="007159AB"/>
    <w:pPr>
      <w:spacing w:before="45" w:after="0" w:line="360" w:lineRule="auto"/>
      <w:ind w:firstLine="300"/>
    </w:pPr>
    <w:rPr>
      <w:rFonts w:ascii="Times New Roman" w:eastAsia="Times New Roman" w:hAnsi="Times New Roman" w:cs="Times New Roman"/>
      <w:i/>
      <w:iCs/>
      <w:color w:val="414142"/>
      <w:sz w:val="20"/>
      <w:szCs w:val="20"/>
      <w:lang w:val="en-GB" w:eastAsia="en-GB"/>
    </w:rPr>
  </w:style>
  <w:style w:type="paragraph" w:customStyle="1" w:styleId="Default">
    <w:name w:val="Default"/>
    <w:rsid w:val="007159A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tvhtml">
    <w:name w:val="tv_html"/>
    <w:basedOn w:val="Normal"/>
    <w:rsid w:val="00B60A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0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B7D5-F306-439A-9D84-F0E21492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20205</Words>
  <Characters>11518</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vector>
  </TitlesOfParts>
  <Company>LR Kultūras Ministrija</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LIene Liepina</dc:creator>
  <dc:description>67301100,
olga.leskina@vamoic.gov.lv</dc:description>
  <cp:lastModifiedBy>Ieva Gulbe</cp:lastModifiedBy>
  <cp:revision>4</cp:revision>
  <cp:lastPrinted>2018-07-17T07:21:00Z</cp:lastPrinted>
  <dcterms:created xsi:type="dcterms:W3CDTF">2018-10-02T12:37:00Z</dcterms:created>
  <dcterms:modified xsi:type="dcterms:W3CDTF">2018-10-02T12:39:00Z</dcterms:modified>
</cp:coreProperties>
</file>