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36C67" w:rsidP="00440733" w14:paraId="7EA6CBA8" w14:textId="77777777">
      <w:pPr>
        <w:spacing w:before="80" w:after="80"/>
        <w:jc w:val="center"/>
        <w:rPr>
          <w:b/>
        </w:rPr>
      </w:pPr>
      <w:r>
        <w:rPr>
          <w:b/>
        </w:rPr>
        <w:t>I</w:t>
      </w:r>
      <w:r w:rsidRPr="009E13B4" w:rsidR="009E13B4">
        <w:rPr>
          <w:b/>
        </w:rPr>
        <w:t>nformatīv</w:t>
      </w:r>
      <w:r>
        <w:rPr>
          <w:b/>
        </w:rPr>
        <w:t>ais ziņojums</w:t>
      </w:r>
    </w:p>
    <w:p w:rsidR="00A36C67" w:rsidP="00440733" w14:paraId="5FDFD7DA" w14:textId="77777777">
      <w:pPr>
        <w:spacing w:before="80" w:after="80"/>
        <w:jc w:val="center"/>
        <w:rPr>
          <w:b/>
        </w:rPr>
      </w:pPr>
    </w:p>
    <w:p w:rsidR="00331E5C" w:rsidRPr="00E87D3F" w:rsidP="00E87D3F" w14:paraId="2968AEB9" w14:textId="77777777">
      <w:pPr>
        <w:spacing w:before="80" w:after="80"/>
        <w:jc w:val="center"/>
        <w:rPr>
          <w:b/>
        </w:rPr>
      </w:pPr>
      <w:r w:rsidRPr="00E87D3F">
        <w:rPr>
          <w:b/>
        </w:rPr>
        <w:t xml:space="preserve">Par </w:t>
      </w:r>
      <w:r>
        <w:rPr>
          <w:b/>
        </w:rPr>
        <w:t>f</w:t>
      </w:r>
      <w:r w:rsidRPr="00E87D3F">
        <w:rPr>
          <w:b/>
        </w:rPr>
        <w:t>inansējuma iekļaušanu likumprojektā “Par valsts budžetu 2019.gadam” un likumprojektā “Par vidēja termiņa budžeta ietvaru 2019., 2020. un 2021.gadam”</w:t>
      </w:r>
      <w:r w:rsidRPr="00E87D3F" w:rsidR="008A2FF7">
        <w:rPr>
          <w:b/>
        </w:rPr>
        <w:t>, nodrošin</w:t>
      </w:r>
      <w:r w:rsidRPr="00E87D3F">
        <w:rPr>
          <w:b/>
        </w:rPr>
        <w:t>ot</w:t>
      </w:r>
      <w:r w:rsidRPr="00E87D3F" w:rsidR="008A2FF7">
        <w:rPr>
          <w:b/>
        </w:rPr>
        <w:t xml:space="preserve"> </w:t>
      </w:r>
      <w:r w:rsidRPr="00E87D3F">
        <w:rPr>
          <w:b/>
        </w:rPr>
        <w:t>obligātā iepirkuma komponen</w:t>
      </w:r>
      <w:r w:rsidR="009D02EA">
        <w:rPr>
          <w:b/>
        </w:rPr>
        <w:t>tes vidēja līmeņa ierobežošanu</w:t>
      </w:r>
      <w:r w:rsidR="00CC6EA8">
        <w:rPr>
          <w:b/>
        </w:rPr>
        <w:t xml:space="preserve"> u</w:t>
      </w:r>
      <w:r w:rsidR="006A195C">
        <w:rPr>
          <w:b/>
        </w:rPr>
        <w:t>n aizsargāto lietotāju atbalstu</w:t>
      </w:r>
    </w:p>
    <w:p w:rsidR="00331E5C" w:rsidP="00440733" w14:paraId="3003B198" w14:textId="77777777">
      <w:pPr>
        <w:spacing w:before="80" w:after="80"/>
        <w:jc w:val="both"/>
      </w:pPr>
    </w:p>
    <w:p w:rsidR="00AB53DC" w:rsidP="00440733" w14:paraId="18C0EB83" w14:textId="779052A8">
      <w:pPr>
        <w:spacing w:before="80" w:after="80"/>
        <w:ind w:firstLine="720"/>
        <w:jc w:val="both"/>
      </w:pPr>
      <w:r w:rsidRPr="00D8327A">
        <w:t>Informatīvais ziņojums sagatavots</w:t>
      </w:r>
      <w:r w:rsidRPr="00D8327A" w:rsidR="00467B1F">
        <w:t xml:space="preserve"> ar mērķi </w:t>
      </w:r>
      <w:r w:rsidRPr="00D8327A" w:rsidR="00F55D84">
        <w:t xml:space="preserve">iekļaut likumprojektā “Par valsts budžetu 2019.gadam” un likumprojektā “Par vidēja termiņa budžeta ietvaru 2019., 2020. un 2021.gadam” finansējumu </w:t>
      </w:r>
      <w:r w:rsidRPr="00D8327A" w:rsidR="00054BC0">
        <w:t>akciju sabiedrīb</w:t>
      </w:r>
      <w:r>
        <w:t>ai</w:t>
      </w:r>
      <w:r w:rsidRPr="00D8327A" w:rsidR="00F55D84">
        <w:t xml:space="preserve"> “Enerģijas publiskais tirgotājs” par </w:t>
      </w:r>
      <w:r w:rsidRPr="00D8327A" w:rsidR="009E1BF2">
        <w:t xml:space="preserve">obligātā iepirkuma komponentes </w:t>
      </w:r>
      <w:r w:rsidRPr="00D8327A">
        <w:t xml:space="preserve">(turpmāk </w:t>
      </w:r>
      <w:r w:rsidR="00A16996">
        <w:t xml:space="preserve">- </w:t>
      </w:r>
      <w:r w:rsidRPr="00D8327A">
        <w:t>OIK)</w:t>
      </w:r>
      <w:r>
        <w:t xml:space="preserve"> </w:t>
      </w:r>
      <w:r w:rsidRPr="00D8327A" w:rsidR="009E1BF2">
        <w:t>vidēja līmeņa</w:t>
      </w:r>
      <w:r w:rsidRPr="00D8327A" w:rsidR="00331E5C">
        <w:t xml:space="preserve"> ierobežošanu, </w:t>
      </w:r>
      <w:r w:rsidRPr="00D8327A">
        <w:t>tai skaitā atbalsta izdevumu kompensēšanu par 2017.gadu</w:t>
      </w:r>
      <w:r w:rsidR="00817C7E">
        <w:t>.</w:t>
      </w:r>
      <w:r>
        <w:t xml:space="preserve"> </w:t>
      </w:r>
    </w:p>
    <w:p w:rsidR="0076180D" w:rsidP="00A86AFF" w14:paraId="3C17CB85" w14:textId="4E4D1C1E">
      <w:pPr>
        <w:spacing w:before="80" w:after="80"/>
        <w:ind w:firstLine="720"/>
        <w:jc w:val="both"/>
      </w:pPr>
      <w:r w:rsidRPr="00D8327A">
        <w:rPr>
          <w:iCs/>
        </w:rPr>
        <w:t>Ministru kabineta 2017.gada 22.septembra rīkojuma Nr.530 “Par konceptuālo ziņojumu “</w:t>
      </w:r>
      <w:r w:rsidRPr="00D8327A">
        <w:t xml:space="preserve">Kompleksi pasākumi elektroenerģijas tirgus attīstībai”” 2.2.apakšpunkts paredzēja likumprojektā “Par valsts budžetu 2018.gadam” un likumprojektā “Par vidēja termiņa budžeta ietvaru 2018., 2019. un 2020.gadam” </w:t>
      </w:r>
      <w:r w:rsidR="00E66DA9">
        <w:t xml:space="preserve">tajā skaitā </w:t>
      </w:r>
      <w:r w:rsidRPr="00D8327A">
        <w:t xml:space="preserve">iekļaut finansējumu </w:t>
      </w:r>
      <w:r w:rsidR="00AB53DC">
        <w:t>OIK</w:t>
      </w:r>
      <w:r w:rsidRPr="00D8327A">
        <w:t xml:space="preserve"> vidējā līmeņa ierobežošanai. Saskaņā ar minēto rīkojumu OIK vidējā līmeņa ierobežošana tika paredzēta 25,79 </w:t>
      </w:r>
      <w:r w:rsidRPr="003470A9" w:rsidR="00E571D6">
        <w:rPr>
          <w:i/>
        </w:rPr>
        <w:t>euro</w:t>
      </w:r>
      <w:r w:rsidRPr="00D8327A">
        <w:t>/</w:t>
      </w:r>
      <w:r w:rsidRPr="00D8327A">
        <w:t>MWh</w:t>
      </w:r>
      <w:r w:rsidRPr="00D8327A">
        <w:t xml:space="preserve"> apmērā, kas noteica šiem pasākumiem nepieciešamo finansējumu 2018.gadā – 79 952 223 </w:t>
      </w:r>
      <w:r w:rsidRPr="003470A9">
        <w:rPr>
          <w:i/>
        </w:rPr>
        <w:t>euro</w:t>
      </w:r>
      <w:r w:rsidRPr="00D8327A">
        <w:t xml:space="preserve"> apmērā. Saskaņā ar minētā rīkojuma 4.punktu, gadījumā, ja likumā “Par valsts budžetu 2018.gadam” Ekonomikas ministrijas budžeta apakšprogrammā 29.02.00 “Elektroenerģijas lietotāju atbalsts” paredzētais finansējums ir mazāks par faktiski nepieciešamo, papildus nepieciešamais finansējums tiek nodrošināts, veicot apropriācijas pārdali no citām valsts budžeta </w:t>
      </w:r>
      <w:bookmarkStart w:id="0" w:name="_GoBack"/>
      <w:bookmarkEnd w:id="0"/>
      <w:r w:rsidRPr="00D8327A">
        <w:t xml:space="preserve">programmām. </w:t>
      </w:r>
    </w:p>
    <w:p w:rsidR="0076180D" w:rsidP="00A86AFF" w14:paraId="77E7795E" w14:textId="77777777">
      <w:pPr>
        <w:spacing w:before="80" w:after="80"/>
        <w:ind w:firstLine="720"/>
        <w:jc w:val="both"/>
      </w:pPr>
      <w:r w:rsidRPr="00D8327A">
        <w:t>Saskaņā ar revidēto akciju sabiedrības “Enerģijas publiskais tirgotājs” 2017.gada pārskatu faktiskais 2017.gada obligātā iepirkuma izmaksu pārsniegums pār ieņēmumiem ir 89 150 943 </w:t>
      </w:r>
      <w:r w:rsidRPr="003470A9">
        <w:rPr>
          <w:i/>
        </w:rPr>
        <w:t>euro</w:t>
      </w:r>
      <w:r w:rsidRPr="00D8327A">
        <w:t>. Akciju sabiedrībai “Enerģijas publiskais tirgotājs” ir veikta samaksa 79 952 223 </w:t>
      </w:r>
      <w:r w:rsidRPr="003470A9">
        <w:rPr>
          <w:i/>
        </w:rPr>
        <w:t>euro</w:t>
      </w:r>
      <w:r w:rsidRPr="00D8327A">
        <w:t xml:space="preserve"> apmērā piešķirto valsts budžeta līdzekļu ietvaros un iztrūkstošā /nesaņemtā daļa par obligātā iepirkuma izdevumu kompensāciju par 2017.gadu ir </w:t>
      </w:r>
      <w:r w:rsidRPr="00D8327A">
        <w:rPr>
          <w:b/>
        </w:rPr>
        <w:t>9 198 720 </w:t>
      </w:r>
      <w:r w:rsidRPr="003470A9">
        <w:rPr>
          <w:b/>
          <w:i/>
        </w:rPr>
        <w:t>euro</w:t>
      </w:r>
      <w:r w:rsidRPr="00D8327A">
        <w:t xml:space="preserve">. </w:t>
      </w:r>
    </w:p>
    <w:p w:rsidR="0057618E" w:rsidP="00A86AFF" w14:paraId="260696DC" w14:textId="57AD936C">
      <w:pPr>
        <w:spacing w:before="80" w:after="80"/>
        <w:ind w:firstLine="720"/>
        <w:jc w:val="both"/>
      </w:pPr>
      <w:r w:rsidRPr="00D8327A">
        <w:t xml:space="preserve">Faktiskais 2017.gada obligātā iepirkuma izmaksu pārsniegums pār ieņēmumiem, galvenokārt, saistīts ar zemāku kā prognozēts elektroenerģijas patēriņu Latvijā, atšķirībām starp prognozētajām un faktiskajām elektroenerģijas cenām </w:t>
      </w:r>
      <w:r w:rsidRPr="00D8327A">
        <w:rPr>
          <w:i/>
        </w:rPr>
        <w:t xml:space="preserve">Nord </w:t>
      </w:r>
      <w:r w:rsidRPr="00D8327A">
        <w:rPr>
          <w:i/>
        </w:rPr>
        <w:t>Pool</w:t>
      </w:r>
      <w:r w:rsidRPr="00D8327A">
        <w:t xml:space="preserve"> elektroenerģijas biržā</w:t>
      </w:r>
      <w:r>
        <w:rPr>
          <w:vertAlign w:val="superscript"/>
        </w:rPr>
        <w:footnoteReference w:id="2"/>
      </w:r>
      <w:r w:rsidRPr="00D8327A">
        <w:t xml:space="preserve"> un lielākiem iepirktajiem elektroenerģijas apjomiem obligātā iepirkuma ietvaros.</w:t>
      </w:r>
      <w:r>
        <w:t xml:space="preserve"> </w:t>
      </w:r>
    </w:p>
    <w:p w:rsidR="00A86AFF" w:rsidP="00A86AFF" w14:paraId="0627F301" w14:textId="3E8AF264">
      <w:pPr>
        <w:spacing w:before="80" w:after="80"/>
        <w:ind w:firstLine="720"/>
        <w:jc w:val="both"/>
      </w:pPr>
      <w:r>
        <w:t>A</w:t>
      </w:r>
      <w:r w:rsidRPr="00450DBD">
        <w:t>kciju sabiedrība “Enerģijas publiskais tirgotājs”</w:t>
      </w:r>
      <w:r>
        <w:t xml:space="preserve"> ir veikusi obligātā iepirku</w:t>
      </w:r>
      <w:r w:rsidR="00D96230">
        <w:t>ma izmaksu pārrēķinu (skatīt T</w:t>
      </w:r>
      <w:r>
        <w:t>abulu)</w:t>
      </w:r>
      <w:r w:rsidRPr="00656B48">
        <w:t>,</w:t>
      </w:r>
      <w:r>
        <w:t xml:space="preserve"> ņemot vērā atjaunotās obligātā iepirkuma </w:t>
      </w:r>
      <w:r>
        <w:rPr>
          <w:i/>
        </w:rPr>
        <w:t>Nord </w:t>
      </w:r>
      <w:r>
        <w:rPr>
          <w:i/>
        </w:rPr>
        <w:t>Pool</w:t>
      </w:r>
      <w:r>
        <w:rPr>
          <w:i/>
        </w:rPr>
        <w:t> </w:t>
      </w:r>
      <w:r w:rsidRPr="002C0BB9">
        <w:rPr>
          <w:i/>
        </w:rPr>
        <w:t>Spot</w:t>
      </w:r>
      <w:r>
        <w:t xml:space="preserve"> cenu, ele</w:t>
      </w:r>
      <w:r w:rsidR="009D435D">
        <w:t>ktroenerģijas patēriņu</w:t>
      </w:r>
      <w:r>
        <w:t xml:space="preserve"> un citus obligātā </w:t>
      </w:r>
      <w:r>
        <w:t>iepirkuma izmaksas ietekmējošus faktorus, atbilstoši spēkā esošajam regulējumam.</w:t>
      </w:r>
    </w:p>
    <w:p w:rsidR="003470A9" w:rsidRPr="00DB6C92" w:rsidP="00DB6C92" w14:paraId="4405CFB3" w14:textId="632C0AFC">
      <w:pPr>
        <w:spacing w:before="80" w:after="80"/>
        <w:ind w:firstLine="720"/>
        <w:jc w:val="right"/>
        <w:rPr>
          <w:sz w:val="24"/>
          <w:szCs w:val="24"/>
        </w:rPr>
      </w:pPr>
      <w:r>
        <w:rPr>
          <w:sz w:val="24"/>
          <w:szCs w:val="24"/>
        </w:rPr>
        <w:t>T</w:t>
      </w:r>
      <w:r w:rsidRPr="00DB6C92" w:rsidR="00DB6C92">
        <w:rPr>
          <w:sz w:val="24"/>
          <w:szCs w:val="24"/>
        </w:rPr>
        <w:t>abula</w:t>
      </w:r>
    </w:p>
    <w:p w:rsidR="0057618E" w:rsidP="00DB6C92" w14:paraId="4A1CA5B2" w14:textId="28CC5DA4">
      <w:pPr>
        <w:spacing w:before="80" w:after="80"/>
        <w:ind w:firstLine="720"/>
        <w:jc w:val="center"/>
        <w:rPr>
          <w:b/>
        </w:rPr>
      </w:pPr>
      <w:r w:rsidRPr="00DB6C92">
        <w:rPr>
          <w:b/>
        </w:rPr>
        <w:t>Obligātā iepirkuma izmaksu pārrēķins</w:t>
      </w:r>
    </w:p>
    <w:tbl>
      <w:tblPr>
        <w:tblStyle w:val="TableGrid"/>
        <w:tblW w:w="5000" w:type="pct"/>
        <w:tblLook w:val="04A0"/>
      </w:tblPr>
      <w:tblGrid>
        <w:gridCol w:w="7541"/>
        <w:gridCol w:w="1520"/>
      </w:tblGrid>
      <w:tr w14:paraId="2A2AE419" w14:textId="77777777" w:rsidTr="00A47B19">
        <w:tblPrEx>
          <w:tblW w:w="5000" w:type="pct"/>
          <w:tblLook w:val="04A0"/>
        </w:tblPrEx>
        <w:tc>
          <w:tcPr>
            <w:tcW w:w="4161" w:type="pct"/>
          </w:tcPr>
          <w:p w:rsidR="00A47B19" w:rsidRPr="00CC0E8A" w:rsidP="00A86AFF" w14:paraId="0B131CDE" w14:textId="77777777">
            <w:pPr>
              <w:spacing w:before="80" w:after="80"/>
              <w:jc w:val="both"/>
              <w:rPr>
                <w:b/>
                <w:sz w:val="24"/>
                <w:szCs w:val="24"/>
              </w:rPr>
            </w:pPr>
          </w:p>
        </w:tc>
        <w:tc>
          <w:tcPr>
            <w:tcW w:w="839" w:type="pct"/>
            <w:vAlign w:val="center"/>
          </w:tcPr>
          <w:p w:rsidR="00A47B19" w:rsidRPr="00CC0E8A" w:rsidP="00CC0E8A" w14:paraId="77471702" w14:textId="7ACD8896">
            <w:pPr>
              <w:spacing w:before="80" w:after="80"/>
              <w:jc w:val="center"/>
              <w:rPr>
                <w:b/>
                <w:sz w:val="24"/>
                <w:szCs w:val="24"/>
              </w:rPr>
            </w:pPr>
            <w:r w:rsidRPr="00CC0E8A">
              <w:rPr>
                <w:b/>
                <w:sz w:val="24"/>
                <w:szCs w:val="24"/>
              </w:rPr>
              <w:t>2017 fakts</w:t>
            </w:r>
          </w:p>
        </w:tc>
      </w:tr>
      <w:tr w14:paraId="5DC8083B" w14:textId="77777777" w:rsidTr="00A47B19">
        <w:tblPrEx>
          <w:tblW w:w="5000" w:type="pct"/>
          <w:tblLook w:val="04A0"/>
        </w:tblPrEx>
        <w:tc>
          <w:tcPr>
            <w:tcW w:w="4161" w:type="pct"/>
          </w:tcPr>
          <w:p w:rsidR="00A47B19" w:rsidRPr="00DB6C92" w:rsidP="00A86AFF" w14:paraId="4A7D5BE9" w14:textId="3A88C1E8">
            <w:pPr>
              <w:spacing w:before="80" w:after="80"/>
              <w:jc w:val="both"/>
              <w:rPr>
                <w:sz w:val="24"/>
                <w:szCs w:val="24"/>
              </w:rPr>
            </w:pPr>
            <w:r>
              <w:rPr>
                <w:sz w:val="24"/>
                <w:szCs w:val="24"/>
              </w:rPr>
              <w:t xml:space="preserve">OIK ieņēmumi, milj. </w:t>
            </w:r>
            <w:r w:rsidRPr="00CC0E8A">
              <w:rPr>
                <w:i/>
                <w:sz w:val="24"/>
                <w:szCs w:val="24"/>
              </w:rPr>
              <w:t>euro</w:t>
            </w:r>
            <w:r>
              <w:rPr>
                <w:i/>
                <w:sz w:val="24"/>
                <w:szCs w:val="24"/>
              </w:rPr>
              <w:t>,</w:t>
            </w:r>
            <w:r>
              <w:rPr>
                <w:sz w:val="24"/>
                <w:szCs w:val="24"/>
              </w:rPr>
              <w:t xml:space="preserve"> </w:t>
            </w:r>
          </w:p>
        </w:tc>
        <w:tc>
          <w:tcPr>
            <w:tcW w:w="839" w:type="pct"/>
          </w:tcPr>
          <w:p w:rsidR="00A47B19" w:rsidRPr="00DB6C92" w:rsidP="00DB6C92" w14:paraId="463BE8C3" w14:textId="63769BE2">
            <w:pPr>
              <w:spacing w:before="80" w:after="80"/>
              <w:jc w:val="center"/>
              <w:rPr>
                <w:sz w:val="24"/>
                <w:szCs w:val="24"/>
              </w:rPr>
            </w:pPr>
            <w:r>
              <w:rPr>
                <w:sz w:val="24"/>
                <w:szCs w:val="24"/>
              </w:rPr>
              <w:t>177,8</w:t>
            </w:r>
          </w:p>
        </w:tc>
      </w:tr>
      <w:tr w14:paraId="41A0B44D" w14:textId="77777777" w:rsidTr="00A47B19">
        <w:tblPrEx>
          <w:tblW w:w="5000" w:type="pct"/>
          <w:tblLook w:val="04A0"/>
        </w:tblPrEx>
        <w:tc>
          <w:tcPr>
            <w:tcW w:w="4161" w:type="pct"/>
          </w:tcPr>
          <w:p w:rsidR="00A47B19" w:rsidRPr="00DB6C92" w:rsidP="00A86AFF" w14:paraId="5DF09B38" w14:textId="1054BAD1">
            <w:pPr>
              <w:spacing w:before="80" w:after="80"/>
              <w:jc w:val="both"/>
              <w:rPr>
                <w:sz w:val="24"/>
                <w:szCs w:val="24"/>
              </w:rPr>
            </w:pPr>
            <w:r>
              <w:rPr>
                <w:sz w:val="24"/>
                <w:szCs w:val="24"/>
              </w:rPr>
              <w:t xml:space="preserve">Elektroenerģijas realizācijas neto ieņēmumi </w:t>
            </w:r>
            <w:r>
              <w:rPr>
                <w:i/>
                <w:sz w:val="24"/>
                <w:szCs w:val="24"/>
              </w:rPr>
              <w:t>Nord </w:t>
            </w:r>
            <w:r w:rsidRPr="00CC0E8A">
              <w:rPr>
                <w:i/>
                <w:sz w:val="24"/>
                <w:szCs w:val="24"/>
              </w:rPr>
              <w:t>Pool</w:t>
            </w:r>
            <w:r>
              <w:rPr>
                <w:sz w:val="24"/>
                <w:szCs w:val="24"/>
              </w:rPr>
              <w:t xml:space="preserve"> elektroenerģijas biržā, milj. </w:t>
            </w:r>
            <w:r w:rsidRPr="00CC0E8A">
              <w:rPr>
                <w:i/>
                <w:sz w:val="24"/>
                <w:szCs w:val="24"/>
              </w:rPr>
              <w:t>euro</w:t>
            </w:r>
          </w:p>
        </w:tc>
        <w:tc>
          <w:tcPr>
            <w:tcW w:w="839" w:type="pct"/>
          </w:tcPr>
          <w:p w:rsidR="00A47B19" w:rsidRPr="00DB6C92" w:rsidP="00DB6C92" w14:paraId="727FA0BC" w14:textId="5AF427E9">
            <w:pPr>
              <w:spacing w:before="80" w:after="80"/>
              <w:jc w:val="center"/>
              <w:rPr>
                <w:sz w:val="24"/>
                <w:szCs w:val="24"/>
              </w:rPr>
            </w:pPr>
            <w:r>
              <w:rPr>
                <w:sz w:val="24"/>
                <w:szCs w:val="24"/>
              </w:rPr>
              <w:t>53,5</w:t>
            </w:r>
          </w:p>
        </w:tc>
      </w:tr>
      <w:tr w14:paraId="54497E95" w14:textId="77777777" w:rsidTr="00A47B19">
        <w:tblPrEx>
          <w:tblW w:w="5000" w:type="pct"/>
          <w:tblLook w:val="04A0"/>
        </w:tblPrEx>
        <w:tc>
          <w:tcPr>
            <w:tcW w:w="4161" w:type="pct"/>
          </w:tcPr>
          <w:p w:rsidR="00A47B19" w:rsidRPr="00DB6C92" w:rsidP="003B749D" w14:paraId="4D31C184" w14:textId="2E30D486">
            <w:pPr>
              <w:spacing w:before="80" w:after="80"/>
              <w:jc w:val="both"/>
              <w:rPr>
                <w:sz w:val="24"/>
                <w:szCs w:val="24"/>
              </w:rPr>
            </w:pPr>
            <w:r>
              <w:rPr>
                <w:sz w:val="24"/>
                <w:szCs w:val="24"/>
              </w:rPr>
              <w:t>Elektroenerģijas iepirkuma izmaksas, milj. </w:t>
            </w:r>
            <w:r w:rsidRPr="00CC0E8A">
              <w:rPr>
                <w:i/>
                <w:sz w:val="24"/>
                <w:szCs w:val="24"/>
              </w:rPr>
              <w:t>euro</w:t>
            </w:r>
            <w:r>
              <w:rPr>
                <w:i/>
                <w:sz w:val="24"/>
                <w:szCs w:val="24"/>
              </w:rPr>
              <w:t xml:space="preserve">, </w:t>
            </w:r>
          </w:p>
        </w:tc>
        <w:tc>
          <w:tcPr>
            <w:tcW w:w="839" w:type="pct"/>
          </w:tcPr>
          <w:p w:rsidR="00A47B19" w:rsidRPr="00DB6C92" w:rsidP="00DB6C92" w14:paraId="08D9D31A" w14:textId="13C22953">
            <w:pPr>
              <w:spacing w:before="80" w:after="80"/>
              <w:jc w:val="center"/>
              <w:rPr>
                <w:sz w:val="24"/>
                <w:szCs w:val="24"/>
              </w:rPr>
            </w:pPr>
            <w:r>
              <w:rPr>
                <w:sz w:val="24"/>
                <w:szCs w:val="24"/>
              </w:rPr>
              <w:t>320,2</w:t>
            </w:r>
          </w:p>
        </w:tc>
      </w:tr>
      <w:tr w14:paraId="57E7A641" w14:textId="77777777" w:rsidTr="00A47B19">
        <w:tblPrEx>
          <w:tblW w:w="5000" w:type="pct"/>
          <w:tblLook w:val="04A0"/>
        </w:tblPrEx>
        <w:tc>
          <w:tcPr>
            <w:tcW w:w="4161" w:type="pct"/>
          </w:tcPr>
          <w:p w:rsidR="00A47B19" w:rsidRPr="00DB6C92" w:rsidP="00E22E03" w14:paraId="228A03EE" w14:textId="1BCAEB94">
            <w:pPr>
              <w:spacing w:before="80" w:after="80"/>
              <w:ind w:left="313"/>
              <w:jc w:val="both"/>
              <w:rPr>
                <w:sz w:val="24"/>
                <w:szCs w:val="24"/>
              </w:rPr>
            </w:pPr>
            <w:r>
              <w:rPr>
                <w:i/>
                <w:sz w:val="24"/>
                <w:szCs w:val="24"/>
              </w:rPr>
              <w:t xml:space="preserve">t.sk. </w:t>
            </w:r>
            <w:r>
              <w:rPr>
                <w:sz w:val="24"/>
                <w:szCs w:val="24"/>
              </w:rPr>
              <w:t xml:space="preserve">obligātā iepirkuma neto izmaksas, milj. </w:t>
            </w:r>
            <w:r w:rsidRPr="00CC0E8A">
              <w:rPr>
                <w:i/>
                <w:sz w:val="24"/>
                <w:szCs w:val="24"/>
              </w:rPr>
              <w:t>euro</w:t>
            </w:r>
          </w:p>
        </w:tc>
        <w:tc>
          <w:tcPr>
            <w:tcW w:w="839" w:type="pct"/>
          </w:tcPr>
          <w:p w:rsidR="00A47B19" w:rsidRPr="00DB6C92" w:rsidP="00DB6C92" w14:paraId="23C58739" w14:textId="2AF21734">
            <w:pPr>
              <w:spacing w:before="80" w:after="80"/>
              <w:jc w:val="center"/>
              <w:rPr>
                <w:sz w:val="24"/>
                <w:szCs w:val="24"/>
              </w:rPr>
            </w:pPr>
            <w:r>
              <w:rPr>
                <w:sz w:val="24"/>
                <w:szCs w:val="24"/>
              </w:rPr>
              <w:t>267,0</w:t>
            </w:r>
          </w:p>
        </w:tc>
      </w:tr>
      <w:tr w14:paraId="75AAD06F" w14:textId="77777777" w:rsidTr="00A47B19">
        <w:tblPrEx>
          <w:tblW w:w="5000" w:type="pct"/>
          <w:tblLook w:val="04A0"/>
        </w:tblPrEx>
        <w:tc>
          <w:tcPr>
            <w:tcW w:w="4161" w:type="pct"/>
          </w:tcPr>
          <w:p w:rsidR="00A47B19" w:rsidRPr="00DB6C92" w:rsidP="00A86AFF" w14:paraId="6CE1E992" w14:textId="475FB8C4">
            <w:pPr>
              <w:spacing w:before="80" w:after="80"/>
              <w:jc w:val="both"/>
              <w:rPr>
                <w:sz w:val="24"/>
                <w:szCs w:val="24"/>
              </w:rPr>
            </w:pPr>
            <w:r>
              <w:rPr>
                <w:sz w:val="24"/>
                <w:szCs w:val="24"/>
              </w:rPr>
              <w:t xml:space="preserve">Obligāta iepirkuma neto izmaksu pārsniegums pār ieņēmumiem, milj. </w:t>
            </w:r>
            <w:r w:rsidRPr="003B749D">
              <w:rPr>
                <w:i/>
                <w:sz w:val="24"/>
                <w:szCs w:val="24"/>
              </w:rPr>
              <w:t>euro</w:t>
            </w:r>
            <w:r>
              <w:rPr>
                <w:sz w:val="24"/>
                <w:szCs w:val="24"/>
              </w:rPr>
              <w:t xml:space="preserve">  </w:t>
            </w:r>
          </w:p>
        </w:tc>
        <w:tc>
          <w:tcPr>
            <w:tcW w:w="839" w:type="pct"/>
          </w:tcPr>
          <w:p w:rsidR="00A47B19" w:rsidRPr="00DB6C92" w:rsidP="00DB6C92" w14:paraId="31CA7DB3" w14:textId="745D24DD">
            <w:pPr>
              <w:spacing w:before="80" w:after="80"/>
              <w:jc w:val="center"/>
              <w:rPr>
                <w:sz w:val="24"/>
                <w:szCs w:val="24"/>
              </w:rPr>
            </w:pPr>
            <w:r>
              <w:rPr>
                <w:sz w:val="24"/>
                <w:szCs w:val="24"/>
              </w:rPr>
              <w:t>-</w:t>
            </w:r>
            <w:r>
              <w:rPr>
                <w:sz w:val="24"/>
                <w:szCs w:val="24"/>
              </w:rPr>
              <w:t>89,2</w:t>
            </w:r>
          </w:p>
        </w:tc>
      </w:tr>
      <w:tr w14:paraId="7D6E6DC2" w14:textId="77777777" w:rsidTr="00A47B19">
        <w:tblPrEx>
          <w:tblW w:w="5000" w:type="pct"/>
          <w:tblLook w:val="04A0"/>
        </w:tblPrEx>
        <w:tc>
          <w:tcPr>
            <w:tcW w:w="4161" w:type="pct"/>
          </w:tcPr>
          <w:p w:rsidR="00A47B19" w:rsidRPr="002924CB" w:rsidP="002924CB" w14:paraId="350B3599" w14:textId="709B7702">
            <w:pPr>
              <w:spacing w:before="80" w:after="80"/>
              <w:jc w:val="both"/>
              <w:rPr>
                <w:sz w:val="24"/>
                <w:szCs w:val="24"/>
              </w:rPr>
            </w:pPr>
            <w:r>
              <w:rPr>
                <w:sz w:val="24"/>
                <w:szCs w:val="24"/>
              </w:rPr>
              <w:t>2017.gadā v</w:t>
            </w:r>
            <w:r w:rsidRPr="00A47B19">
              <w:rPr>
                <w:sz w:val="24"/>
                <w:szCs w:val="24"/>
              </w:rPr>
              <w:t>eikt</w:t>
            </w:r>
            <w:r>
              <w:rPr>
                <w:sz w:val="24"/>
                <w:szCs w:val="24"/>
              </w:rPr>
              <w:t>ā</w:t>
            </w:r>
            <w:r w:rsidRPr="00A47B19">
              <w:rPr>
                <w:sz w:val="24"/>
                <w:szCs w:val="24"/>
              </w:rPr>
              <w:t xml:space="preserve"> samaksa</w:t>
            </w:r>
            <w:r w:rsidR="00263B85">
              <w:rPr>
                <w:sz w:val="24"/>
                <w:szCs w:val="24"/>
              </w:rPr>
              <w:t xml:space="preserve"> AS</w:t>
            </w:r>
            <w:r w:rsidRPr="00263B85" w:rsidR="00263B85">
              <w:rPr>
                <w:sz w:val="24"/>
                <w:szCs w:val="24"/>
              </w:rPr>
              <w:t xml:space="preserve"> “Enerģijas publiskais tirgotājs” par obligātā iepirkuma izdevumu kompensāciju</w:t>
            </w:r>
          </w:p>
        </w:tc>
        <w:tc>
          <w:tcPr>
            <w:tcW w:w="839" w:type="pct"/>
          </w:tcPr>
          <w:p w:rsidR="00A47B19" w:rsidRPr="00DB6C92" w:rsidP="002924CB" w14:paraId="0A14116B" w14:textId="7DF61433">
            <w:pPr>
              <w:spacing w:before="80" w:after="80"/>
              <w:jc w:val="center"/>
              <w:rPr>
                <w:sz w:val="24"/>
                <w:szCs w:val="24"/>
              </w:rPr>
            </w:pPr>
            <w:r>
              <w:rPr>
                <w:sz w:val="24"/>
                <w:szCs w:val="24"/>
              </w:rPr>
              <w:t>79,95</w:t>
            </w:r>
          </w:p>
        </w:tc>
      </w:tr>
      <w:tr w14:paraId="09998859" w14:textId="77777777" w:rsidTr="00A47B19">
        <w:tblPrEx>
          <w:tblW w:w="5000" w:type="pct"/>
          <w:tblLook w:val="04A0"/>
        </w:tblPrEx>
        <w:tc>
          <w:tcPr>
            <w:tcW w:w="4161" w:type="pct"/>
          </w:tcPr>
          <w:p w:rsidR="00A47B19" w:rsidRPr="002924CB" w:rsidP="002924CB" w14:paraId="29B9FFAF" w14:textId="2C8FE640">
            <w:pPr>
              <w:spacing w:before="80" w:after="80"/>
              <w:jc w:val="both"/>
              <w:rPr>
                <w:sz w:val="24"/>
                <w:szCs w:val="24"/>
              </w:rPr>
            </w:pPr>
            <w:r>
              <w:rPr>
                <w:sz w:val="24"/>
                <w:szCs w:val="24"/>
              </w:rPr>
              <w:t>Atlikušais dotācijas maksājums par 2017.gadu</w:t>
            </w:r>
          </w:p>
        </w:tc>
        <w:tc>
          <w:tcPr>
            <w:tcW w:w="839" w:type="pct"/>
          </w:tcPr>
          <w:p w:rsidR="00A47B19" w:rsidRPr="00DB6C92" w:rsidP="002924CB" w14:paraId="5F92996A" w14:textId="26C75E1B">
            <w:pPr>
              <w:spacing w:before="80" w:after="80"/>
              <w:jc w:val="center"/>
              <w:rPr>
                <w:sz w:val="24"/>
                <w:szCs w:val="24"/>
              </w:rPr>
            </w:pPr>
            <w:r>
              <w:rPr>
                <w:sz w:val="24"/>
                <w:szCs w:val="24"/>
              </w:rPr>
              <w:t>9,2</w:t>
            </w:r>
          </w:p>
        </w:tc>
      </w:tr>
    </w:tbl>
    <w:p w:rsidR="00DB6C92" w:rsidRPr="00DB6C92" w:rsidP="00A86AFF" w14:paraId="5B6BD17A" w14:textId="68CECB7E">
      <w:pPr>
        <w:spacing w:before="80" w:after="80"/>
        <w:ind w:firstLine="720"/>
        <w:jc w:val="both"/>
        <w:rPr>
          <w:sz w:val="24"/>
          <w:szCs w:val="24"/>
        </w:rPr>
      </w:pPr>
      <w:r w:rsidRPr="00DB6C92">
        <w:rPr>
          <w:sz w:val="24"/>
          <w:szCs w:val="24"/>
        </w:rPr>
        <w:t>Avots: akciju sabiedrība “Enerģijas publiskais tirgotājs”</w:t>
      </w:r>
    </w:p>
    <w:p w:rsidR="00061205" w:rsidP="00A86AFF" w14:paraId="6F7AE03E" w14:textId="77777777">
      <w:pPr>
        <w:spacing w:before="80" w:after="80"/>
        <w:ind w:firstLine="720"/>
        <w:jc w:val="both"/>
      </w:pPr>
    </w:p>
    <w:p w:rsidR="0076180D" w:rsidRPr="00D8327A" w:rsidP="009B2012" w14:paraId="766E39D0" w14:textId="77777777">
      <w:pPr>
        <w:spacing w:before="80" w:after="80"/>
        <w:ind w:firstLine="720"/>
        <w:jc w:val="both"/>
      </w:pPr>
      <w:r w:rsidRPr="00D8327A">
        <w:t>Tā kā akciju sabiedrība “Enerģijas publiskais tirgotājs” ir iekļauta pie vispārējā valdības institucionālā sektora komersantiem</w:t>
      </w:r>
      <w:r>
        <w:rPr>
          <w:vertAlign w:val="superscript"/>
        </w:rPr>
        <w:footnoteReference w:id="3"/>
      </w:r>
      <w:r w:rsidRPr="00D8327A">
        <w:t xml:space="preserve"> un tā veiktās aktivitātes saistībā ar obligātā iepirkuma īstenošanu un OIK ieņēmumu saņemšanu no klientiem ir pieklasificētas kā valsts budžeta ieņēmumi un izdevumi to rašanās gadā, OIK vidējā līmeņa ierobežošanas un energoietilpīgo uzņēmumu atbalsta izdevumu kompensēšana par 2017.gadu akciju sabiedrībai “Enerģijas publiskais tirgotājs” ir klasificējami kā budžeta izdevumi</w:t>
      </w:r>
      <w:r>
        <w:t xml:space="preserve"> 2017.gadā</w:t>
      </w:r>
      <w:r w:rsidR="009B2012">
        <w:t>.</w:t>
      </w:r>
      <w:r>
        <w:t xml:space="preserve"> </w:t>
      </w:r>
      <w:r w:rsidRPr="00D8327A" w:rsidR="00A86AFF">
        <w:t>Obligātā iepirkuma izdevumu kompensācija akciju sabiedrībai “Enerģijas publiskais tirgotā</w:t>
      </w:r>
      <w:r w:rsidR="009B2012">
        <w:t>js” par 2017.gadu pilnā apmērā</w:t>
      </w:r>
      <w:r w:rsidRPr="00D8327A" w:rsidR="00A86AFF">
        <w:t xml:space="preserve"> uz </w:t>
      </w:r>
      <w:r w:rsidR="009B2012">
        <w:t xml:space="preserve">2019.gada </w:t>
      </w:r>
      <w:r w:rsidRPr="00D8327A" w:rsidR="00A86AFF">
        <w:t xml:space="preserve">valsts budžetu </w:t>
      </w:r>
      <w:r w:rsidRPr="00D8327A" w:rsidR="008C7FA4">
        <w:t xml:space="preserve">negatīvo </w:t>
      </w:r>
      <w:r w:rsidR="009B2012">
        <w:t>iespaidu neatstās</w:t>
      </w:r>
      <w:r w:rsidRPr="00D8327A" w:rsidR="00A86AFF">
        <w:t xml:space="preserve">. </w:t>
      </w:r>
    </w:p>
    <w:p w:rsidR="00A86AFF" w:rsidP="00A86AFF" w14:paraId="7DACC63D" w14:textId="77777777">
      <w:pPr>
        <w:spacing w:before="80" w:after="80"/>
        <w:ind w:firstLine="720"/>
        <w:jc w:val="both"/>
      </w:pPr>
      <w:r w:rsidRPr="00D8327A">
        <w:t>Izdevumu kompensācijas nesaņemšanas pilnā apmērā gadījumā, pieaugs finanšu izmaksas, kas palielinās obligātā iepirkuma administrēšanas izmaksas, kā arī radīs grūtības auditoriem pamatot t.s. “aģenta principa” saglabāšanu akciju sabiedrības darbībā, kas ļauj obligātā iepirkuma ieņēmumus un izdevum</w:t>
      </w:r>
      <w:r w:rsidR="007C73F3">
        <w:t>u</w:t>
      </w:r>
      <w:r w:rsidRPr="00D8327A">
        <w:t>s atspoguļot akciju sabiedrības “Enerģijas publiskais tirgotājs” bilancē, nevis peļņas un zaudējumu aprēķinā, kas ietekmētu visa koncerna peļņas rādītājus, apgrūtinot dividenžu izmaksu.</w:t>
      </w:r>
    </w:p>
    <w:p w:rsidR="00D8327A" w:rsidRPr="00441773" w:rsidP="00895A2C" w14:paraId="04A81766" w14:textId="77777777">
      <w:pPr>
        <w:spacing w:before="80" w:after="80"/>
        <w:jc w:val="both"/>
        <w:rPr>
          <w:b/>
        </w:rPr>
      </w:pPr>
      <w:r w:rsidRPr="00441773">
        <w:rPr>
          <w:b/>
        </w:rPr>
        <w:t>Priekšlikumi</w:t>
      </w:r>
      <w:r w:rsidR="00441773">
        <w:rPr>
          <w:b/>
        </w:rPr>
        <w:t xml:space="preserve"> turpmākai rīcībai</w:t>
      </w:r>
      <w:r w:rsidRPr="00441773">
        <w:rPr>
          <w:b/>
        </w:rPr>
        <w:t>:</w:t>
      </w:r>
    </w:p>
    <w:p w:rsidR="003E181E" w:rsidRPr="003E181E" w:rsidP="003E181E" w14:paraId="2F6F40C4" w14:textId="48CEEABF">
      <w:pPr>
        <w:pStyle w:val="ListParagraph"/>
        <w:numPr>
          <w:ilvl w:val="0"/>
          <w:numId w:val="4"/>
        </w:numPr>
        <w:spacing w:before="60" w:after="60"/>
        <w:ind w:hanging="11"/>
        <w:contextualSpacing w:val="0"/>
        <w:jc w:val="both"/>
      </w:pPr>
      <w:r w:rsidRPr="00A87C87">
        <w:rPr>
          <w:bCs/>
          <w:szCs w:val="24"/>
        </w:rPr>
        <w:t xml:space="preserve">Likumprojekta “Par valsts budžetu 2019.gadam” </w:t>
      </w:r>
      <w:r w:rsidR="009A776A">
        <w:rPr>
          <w:bCs/>
          <w:szCs w:val="24"/>
        </w:rPr>
        <w:t>un l</w:t>
      </w:r>
      <w:r w:rsidR="009A776A">
        <w:t>ikumprojekta “</w:t>
      </w:r>
      <w:r w:rsidRPr="00D8327A" w:rsidR="009A776A">
        <w:t>Par vidēja termiņa budžeta ietvaru</w:t>
      </w:r>
      <w:r w:rsidR="009A776A">
        <w:t xml:space="preserve"> 2019., 2020. un 2021.gadam” </w:t>
      </w:r>
      <w:r w:rsidRPr="00A87C87">
        <w:rPr>
          <w:bCs/>
          <w:szCs w:val="24"/>
        </w:rPr>
        <w:t xml:space="preserve">sagatavošanas procesā Finanšu ministrijai </w:t>
      </w:r>
      <w:r>
        <w:rPr>
          <w:bCs/>
          <w:szCs w:val="24"/>
        </w:rPr>
        <w:t xml:space="preserve">nepieciešams </w:t>
      </w:r>
      <w:r w:rsidRPr="00A87C87">
        <w:rPr>
          <w:bCs/>
          <w:szCs w:val="24"/>
        </w:rPr>
        <w:t>palielināt valsts budžeta dotāciju no vispārējiem ieņēmumiem un attiecīgi izdevumus</w:t>
      </w:r>
      <w:r w:rsidR="009A776A">
        <w:rPr>
          <w:bCs/>
          <w:szCs w:val="24"/>
        </w:rPr>
        <w:t xml:space="preserve"> </w:t>
      </w:r>
      <w:r w:rsidR="009A776A">
        <w:rPr>
          <w:bCs/>
          <w:szCs w:val="24"/>
        </w:rPr>
        <w:t>2019.gadā par</w:t>
      </w:r>
      <w:r w:rsidRPr="00A87C87">
        <w:rPr>
          <w:bCs/>
          <w:szCs w:val="24"/>
        </w:rPr>
        <w:t xml:space="preserve"> 9 198 720 </w:t>
      </w:r>
      <w:r w:rsidRPr="00A87C87">
        <w:rPr>
          <w:bCs/>
          <w:i/>
          <w:iCs/>
          <w:szCs w:val="24"/>
        </w:rPr>
        <w:t>euro</w:t>
      </w:r>
      <w:r w:rsidRPr="00A87C87">
        <w:rPr>
          <w:bCs/>
          <w:szCs w:val="24"/>
        </w:rPr>
        <w:t xml:space="preserve"> Ekonomikas ministrijas budžeta apakšprogrammā 29.02.00 “Elektroenerģijas lietotāju atbalsts”, lai nodrošinātu OIK vidējā līmeņa ierobežošanas izdevumu kompensēšanu par 2017.gadu.</w:t>
      </w:r>
    </w:p>
    <w:p w:rsidR="003E181E" w:rsidRPr="003E181E" w:rsidP="003E181E" w14:paraId="7F970D6A" w14:textId="0F62C689">
      <w:pPr>
        <w:pStyle w:val="ListParagraph"/>
        <w:numPr>
          <w:ilvl w:val="0"/>
          <w:numId w:val="4"/>
        </w:numPr>
        <w:spacing w:before="60" w:after="60"/>
        <w:ind w:hanging="11"/>
        <w:contextualSpacing w:val="0"/>
        <w:jc w:val="both"/>
      </w:pPr>
      <w:r>
        <w:rPr>
          <w:bCs/>
          <w:szCs w:val="24"/>
        </w:rPr>
        <w:t>P</w:t>
      </w:r>
      <w:r w:rsidRPr="003E181E">
        <w:rPr>
          <w:bCs/>
          <w:szCs w:val="24"/>
        </w:rPr>
        <w:t xml:space="preserve">apildu izdevumi 9 198 720 </w:t>
      </w:r>
      <w:r w:rsidRPr="003E181E">
        <w:rPr>
          <w:bCs/>
          <w:i/>
          <w:iCs/>
          <w:szCs w:val="24"/>
        </w:rPr>
        <w:t>euro</w:t>
      </w:r>
      <w:r w:rsidRPr="003E181E">
        <w:rPr>
          <w:bCs/>
          <w:szCs w:val="24"/>
        </w:rPr>
        <w:t xml:space="preserve"> apmērā OIK līmeņa ierobežošanai tika uzskaitīti kā vispārējās valdības izdevumi 2017.gadā, tādējādi </w:t>
      </w:r>
      <w:r>
        <w:rPr>
          <w:bCs/>
          <w:szCs w:val="24"/>
        </w:rPr>
        <w:t>priekšlikuma 1</w:t>
      </w:r>
      <w:r w:rsidRPr="003E181E">
        <w:rPr>
          <w:bCs/>
          <w:szCs w:val="24"/>
        </w:rPr>
        <w:t>.punktā noteiktais uzdevums nerada negatīvu ietekmi uz vispārējās valdības budžeta bilanci 2019.gadā.</w:t>
      </w:r>
    </w:p>
    <w:p w:rsidR="00061205" w:rsidRPr="00964877" w:rsidP="00895A2C" w14:paraId="46250853" w14:textId="3E850B9E">
      <w:pPr>
        <w:spacing w:before="80" w:after="80"/>
        <w:jc w:val="both"/>
      </w:pPr>
    </w:p>
    <w:sectPr w:rsidSect="0076180D">
      <w:headerReference w:type="default" r:id="rId6"/>
      <w:footerReference w:type="default" r:id="rId7"/>
      <w:footerReference w:type="first" r:id="rId8"/>
      <w:pgSz w:w="11906" w:h="16838"/>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MT">
    <w:altName w:val="Arial"/>
    <w:panose1 w:val="00000000000000000000"/>
    <w:charset w:val="BA"/>
    <w:family w:val="auto"/>
    <w:notTrueType/>
    <w:pitch w:val="default"/>
    <w:sig w:usb0="00000005" w:usb1="00000000" w:usb2="00000000" w:usb3="00000000" w:csb0="0000008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2536" w:rsidRPr="00F82536" w14:paraId="565C6B37" w14:textId="22CD634A">
    <w:pPr>
      <w:pStyle w:val="Footer"/>
      <w:rPr>
        <w:sz w:val="20"/>
        <w:szCs w:val="20"/>
      </w:rPr>
    </w:pPr>
    <w:r>
      <w:rPr>
        <w:sz w:val="20"/>
        <w:szCs w:val="20"/>
      </w:rPr>
      <w:t>EMZin_</w:t>
    </w:r>
    <w:r w:rsidR="00A9162F">
      <w:rPr>
        <w:sz w:val="20"/>
        <w:szCs w:val="20"/>
      </w:rPr>
      <w:t>20</w:t>
    </w:r>
    <w:r w:rsidR="00ED447E">
      <w:rPr>
        <w:sz w:val="20"/>
        <w:szCs w:val="20"/>
      </w:rPr>
      <w:t>09</w:t>
    </w:r>
    <w:r w:rsidR="00C6660A">
      <w:rPr>
        <w:sz w:val="20"/>
        <w:szCs w:val="20"/>
      </w:rPr>
      <w:t>18_OIK_komp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80D" w:rsidRPr="0076180D" w14:paraId="708F9650" w14:textId="3F0D3266">
    <w:pPr>
      <w:pStyle w:val="Footer"/>
      <w:rPr>
        <w:sz w:val="20"/>
        <w:szCs w:val="20"/>
      </w:rPr>
    </w:pPr>
    <w:r>
      <w:rPr>
        <w:sz w:val="20"/>
        <w:szCs w:val="20"/>
      </w:rPr>
      <w:t>EMZin_</w:t>
    </w:r>
    <w:r w:rsidR="00A9162F">
      <w:rPr>
        <w:sz w:val="20"/>
        <w:szCs w:val="20"/>
      </w:rPr>
      <w:t>20</w:t>
    </w:r>
    <w:r w:rsidR="00ED447E">
      <w:rPr>
        <w:sz w:val="20"/>
        <w:szCs w:val="20"/>
      </w:rPr>
      <w:t>09</w:t>
    </w:r>
    <w:r w:rsidR="00C6660A">
      <w:rPr>
        <w:sz w:val="20"/>
        <w:szCs w:val="20"/>
      </w:rPr>
      <w:t>18_OIK_komp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4E38" w:rsidP="00A86AFF" w14:paraId="7A7578AD" w14:textId="77777777">
      <w:r>
        <w:separator/>
      </w:r>
    </w:p>
  </w:footnote>
  <w:footnote w:type="continuationSeparator" w:id="1">
    <w:p w:rsidR="00784E38" w:rsidP="00A86AFF" w14:paraId="2895A5A4" w14:textId="77777777">
      <w:r>
        <w:continuationSeparator/>
      </w:r>
    </w:p>
  </w:footnote>
  <w:footnote w:id="2">
    <w:p w:rsidR="00A86AFF" w:rsidP="006608CD" w14:paraId="78CDABEC" w14:textId="77777777">
      <w:pPr>
        <w:pStyle w:val="FootnoteText"/>
        <w:jc w:val="both"/>
      </w:pPr>
      <w:r>
        <w:rPr>
          <w:rStyle w:val="FootnoteReference"/>
        </w:rPr>
        <w:footnoteRef/>
      </w:r>
      <w:r>
        <w:t xml:space="preserve"> Informāciju par </w:t>
      </w:r>
      <w:r w:rsidRPr="00A3753C">
        <w:t xml:space="preserve">faktiskajām elektroenerģijas cenām </w:t>
      </w:r>
      <w:r w:rsidRPr="002C3DCF">
        <w:rPr>
          <w:i/>
        </w:rPr>
        <w:t xml:space="preserve">Nord </w:t>
      </w:r>
      <w:r w:rsidRPr="002C3DCF">
        <w:rPr>
          <w:i/>
        </w:rPr>
        <w:t>Pool</w:t>
      </w:r>
      <w:r w:rsidRPr="00A3753C">
        <w:t xml:space="preserve"> elektroenerģijas biržā</w:t>
      </w:r>
      <w:r>
        <w:t xml:space="preserve"> var aplūkot šajā vietnē: </w:t>
      </w:r>
      <w:r>
        <w:fldChar w:fldCharType="begin"/>
      </w:r>
      <w:r>
        <w:instrText xml:space="preserve"> HYPERLINK "https://www.nordpoolgroup.com/Market-data1/Dayahead/Area-Prices/LV/Hourly/?view=table" </w:instrText>
      </w:r>
      <w:r>
        <w:fldChar w:fldCharType="separate"/>
      </w:r>
      <w:r w:rsidRPr="008B2C65">
        <w:rPr>
          <w:rStyle w:val="Hyperlink"/>
        </w:rPr>
        <w:t>https://www.nordpoolgroup.com/Market-data1/Dayahead/Area-Prices/LV/Hourly/?view=table</w:t>
      </w:r>
      <w:r>
        <w:fldChar w:fldCharType="end"/>
      </w:r>
      <w:r>
        <w:t xml:space="preserve"> </w:t>
      </w:r>
    </w:p>
  </w:footnote>
  <w:footnote w:id="3">
    <w:p w:rsidR="00AB53DC" w:rsidP="00AB53DC" w14:paraId="05497EBD" w14:textId="77777777">
      <w:pPr>
        <w:pStyle w:val="FootnoteText"/>
        <w:jc w:val="both"/>
      </w:pPr>
      <w:r>
        <w:rPr>
          <w:rStyle w:val="FootnoteReference"/>
        </w:rPr>
        <w:footnoteRef/>
      </w:r>
      <w:r>
        <w:t xml:space="preserve"> Centrālās statistikas pārvaldes publicētais </w:t>
      </w:r>
      <w:r>
        <w:rPr>
          <w:rStyle w:val="cspisklasifikatorsnosaukums"/>
        </w:rPr>
        <w:t>Valsts struktūru kontrolēto un finansēto komercsabiedrību saraksts (</w:t>
      </w:r>
      <w:r>
        <w:t xml:space="preserve">ISK2013 kods - </w:t>
      </w:r>
      <w:r>
        <w:rPr>
          <w:rStyle w:val="cspisklasifikatorskods"/>
        </w:rPr>
        <w:t>S130130</w:t>
      </w:r>
      <w:r>
        <w:rPr>
          <w:rStyle w:val="cspisklasifikatorsnosaukums"/>
        </w:rPr>
        <w:t xml:space="preserve">), </w:t>
      </w:r>
      <w:r>
        <w:fldChar w:fldCharType="begin"/>
      </w:r>
      <w:r>
        <w:instrText xml:space="preserve"> HYPERLINK "http://www.csb.gov.lv/isk2013/org/S130130" </w:instrText>
      </w:r>
      <w:r>
        <w:fldChar w:fldCharType="separate"/>
      </w:r>
      <w:r w:rsidRPr="00D00AFC">
        <w:rPr>
          <w:rStyle w:val="Hyperlink"/>
        </w:rPr>
        <w:t>http://www.csb.gov.lv/isk2013/org/S130130</w:t>
      </w:r>
      <w:r>
        <w:fldChar w:fldCharType="end"/>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84546398"/>
      <w:docPartObj>
        <w:docPartGallery w:val="Page Numbers (Top of Page)"/>
        <w:docPartUnique/>
      </w:docPartObj>
    </w:sdtPr>
    <w:sdtEndPr>
      <w:rPr>
        <w:noProof/>
        <w:sz w:val="24"/>
        <w:szCs w:val="24"/>
      </w:rPr>
    </w:sdtEndPr>
    <w:sdtContent>
      <w:p w:rsidR="0076180D" w:rsidRPr="00C6660A" w14:paraId="29BA38D2" w14:textId="7C7A63E9">
        <w:pPr>
          <w:pStyle w:val="Header"/>
          <w:jc w:val="center"/>
          <w:rPr>
            <w:sz w:val="24"/>
            <w:szCs w:val="24"/>
          </w:rPr>
        </w:pPr>
        <w:r w:rsidRPr="00C6660A">
          <w:rPr>
            <w:sz w:val="24"/>
            <w:szCs w:val="24"/>
          </w:rPr>
          <w:fldChar w:fldCharType="begin"/>
        </w:r>
        <w:r w:rsidRPr="00C6660A">
          <w:rPr>
            <w:sz w:val="24"/>
            <w:szCs w:val="24"/>
          </w:rPr>
          <w:instrText xml:space="preserve"> PAGE   \* MERGEFORMAT </w:instrText>
        </w:r>
        <w:r w:rsidRPr="00C6660A">
          <w:rPr>
            <w:sz w:val="24"/>
            <w:szCs w:val="24"/>
          </w:rPr>
          <w:fldChar w:fldCharType="separate"/>
        </w:r>
        <w:r w:rsidR="00A9162F">
          <w:rPr>
            <w:noProof/>
            <w:sz w:val="24"/>
            <w:szCs w:val="24"/>
          </w:rPr>
          <w:t>3</w:t>
        </w:r>
        <w:r w:rsidRPr="00C6660A">
          <w:rPr>
            <w:noProof/>
            <w:sz w:val="24"/>
            <w:szCs w:val="24"/>
          </w:rPr>
          <w:fldChar w:fldCharType="end"/>
        </w:r>
      </w:p>
    </w:sdtContent>
  </w:sdt>
  <w:p w:rsidR="0076180D" w14:paraId="68229B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3282376"/>
    <w:multiLevelType w:val="hybridMultilevel"/>
    <w:tmpl w:val="350466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48192311"/>
    <w:multiLevelType w:val="hybridMultilevel"/>
    <w:tmpl w:val="6A9AF626"/>
    <w:lvl w:ilvl="0">
      <w:start w:val="2020"/>
      <w:numFmt w:val="bullet"/>
      <w:lvlText w:val=""/>
      <w:lvlJc w:val="left"/>
      <w:pPr>
        <w:ind w:left="720" w:hanging="360"/>
      </w:pPr>
      <w:rPr>
        <w:rFonts w:ascii="Symbol" w:hAnsi="Symbol" w:eastAsiaTheme="minorHAnsi" w:cs="ArialMT"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4F0C573F"/>
    <w:multiLevelType w:val="hybridMultilevel"/>
    <w:tmpl w:val="96500BF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1">
    <w:nsid w:val="58FA2ADC"/>
    <w:multiLevelType w:val="hybridMultilevel"/>
    <w:tmpl w:val="824870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D0"/>
    <w:rsid w:val="00011DA5"/>
    <w:rsid w:val="000373B8"/>
    <w:rsid w:val="00037CF9"/>
    <w:rsid w:val="000451ED"/>
    <w:rsid w:val="00054BC0"/>
    <w:rsid w:val="0005523A"/>
    <w:rsid w:val="00060DB1"/>
    <w:rsid w:val="00061205"/>
    <w:rsid w:val="000725E9"/>
    <w:rsid w:val="00085196"/>
    <w:rsid w:val="000A16F0"/>
    <w:rsid w:val="000A34BC"/>
    <w:rsid w:val="000B7A8D"/>
    <w:rsid w:val="00127823"/>
    <w:rsid w:val="00161411"/>
    <w:rsid w:val="0016724E"/>
    <w:rsid w:val="001764A2"/>
    <w:rsid w:val="001827E0"/>
    <w:rsid w:val="001A3A9C"/>
    <w:rsid w:val="001D0AD8"/>
    <w:rsid w:val="001E6115"/>
    <w:rsid w:val="001F2D1C"/>
    <w:rsid w:val="001F69FE"/>
    <w:rsid w:val="002557E1"/>
    <w:rsid w:val="00263B85"/>
    <w:rsid w:val="00280AF3"/>
    <w:rsid w:val="002924CB"/>
    <w:rsid w:val="002964B5"/>
    <w:rsid w:val="002B0E86"/>
    <w:rsid w:val="002C0BB9"/>
    <w:rsid w:val="002C3DCF"/>
    <w:rsid w:val="002D6BEB"/>
    <w:rsid w:val="002E3D48"/>
    <w:rsid w:val="002E64FD"/>
    <w:rsid w:val="002E70B0"/>
    <w:rsid w:val="00320DBE"/>
    <w:rsid w:val="003231E5"/>
    <w:rsid w:val="00331AFA"/>
    <w:rsid w:val="00331E5C"/>
    <w:rsid w:val="00332755"/>
    <w:rsid w:val="003470A9"/>
    <w:rsid w:val="00352C49"/>
    <w:rsid w:val="003572B5"/>
    <w:rsid w:val="00360FC6"/>
    <w:rsid w:val="00370663"/>
    <w:rsid w:val="00375333"/>
    <w:rsid w:val="0038204E"/>
    <w:rsid w:val="00394EB9"/>
    <w:rsid w:val="003B749D"/>
    <w:rsid w:val="003C2BC1"/>
    <w:rsid w:val="003C6739"/>
    <w:rsid w:val="003E181E"/>
    <w:rsid w:val="003F203F"/>
    <w:rsid w:val="003F54AC"/>
    <w:rsid w:val="003F7678"/>
    <w:rsid w:val="00417D68"/>
    <w:rsid w:val="00433E68"/>
    <w:rsid w:val="00440733"/>
    <w:rsid w:val="00441773"/>
    <w:rsid w:val="00450DBD"/>
    <w:rsid w:val="00467B1F"/>
    <w:rsid w:val="004B7F57"/>
    <w:rsid w:val="004C3FCE"/>
    <w:rsid w:val="004D226D"/>
    <w:rsid w:val="004D2326"/>
    <w:rsid w:val="004D66A2"/>
    <w:rsid w:val="004F66F6"/>
    <w:rsid w:val="005018AF"/>
    <w:rsid w:val="0050779D"/>
    <w:rsid w:val="00547F99"/>
    <w:rsid w:val="00557C2E"/>
    <w:rsid w:val="00574479"/>
    <w:rsid w:val="00576057"/>
    <w:rsid w:val="0057618E"/>
    <w:rsid w:val="00582407"/>
    <w:rsid w:val="00590D5D"/>
    <w:rsid w:val="005A5D4A"/>
    <w:rsid w:val="005B3A0B"/>
    <w:rsid w:val="005B3F3D"/>
    <w:rsid w:val="005C0F04"/>
    <w:rsid w:val="00634E39"/>
    <w:rsid w:val="0065693F"/>
    <w:rsid w:val="00656B48"/>
    <w:rsid w:val="006608CD"/>
    <w:rsid w:val="00693328"/>
    <w:rsid w:val="0069680A"/>
    <w:rsid w:val="006A195C"/>
    <w:rsid w:val="006E047C"/>
    <w:rsid w:val="00702630"/>
    <w:rsid w:val="00726F52"/>
    <w:rsid w:val="0074629C"/>
    <w:rsid w:val="00746505"/>
    <w:rsid w:val="00755510"/>
    <w:rsid w:val="0076180D"/>
    <w:rsid w:val="0077255A"/>
    <w:rsid w:val="00784E38"/>
    <w:rsid w:val="00794D65"/>
    <w:rsid w:val="007B0883"/>
    <w:rsid w:val="007C73F3"/>
    <w:rsid w:val="007E7356"/>
    <w:rsid w:val="00805E97"/>
    <w:rsid w:val="00817C7E"/>
    <w:rsid w:val="00835813"/>
    <w:rsid w:val="00847C2E"/>
    <w:rsid w:val="00862FBA"/>
    <w:rsid w:val="008848DD"/>
    <w:rsid w:val="00895A2C"/>
    <w:rsid w:val="008A1BF1"/>
    <w:rsid w:val="008A2FF7"/>
    <w:rsid w:val="008B25F7"/>
    <w:rsid w:val="008B2C65"/>
    <w:rsid w:val="008C35E6"/>
    <w:rsid w:val="008C39DE"/>
    <w:rsid w:val="008C7FA4"/>
    <w:rsid w:val="008D12D1"/>
    <w:rsid w:val="008D4BF4"/>
    <w:rsid w:val="008D543B"/>
    <w:rsid w:val="008F1A6F"/>
    <w:rsid w:val="008F68C6"/>
    <w:rsid w:val="0091503F"/>
    <w:rsid w:val="009347BA"/>
    <w:rsid w:val="00943ECC"/>
    <w:rsid w:val="009468F2"/>
    <w:rsid w:val="0095086C"/>
    <w:rsid w:val="009535DD"/>
    <w:rsid w:val="00961CE1"/>
    <w:rsid w:val="00964877"/>
    <w:rsid w:val="009723CE"/>
    <w:rsid w:val="00981DDF"/>
    <w:rsid w:val="009A776A"/>
    <w:rsid w:val="009B2012"/>
    <w:rsid w:val="009C07E0"/>
    <w:rsid w:val="009D02EA"/>
    <w:rsid w:val="009D435D"/>
    <w:rsid w:val="009D5376"/>
    <w:rsid w:val="009E13B4"/>
    <w:rsid w:val="009E1BF2"/>
    <w:rsid w:val="009E2881"/>
    <w:rsid w:val="009F1797"/>
    <w:rsid w:val="00A00992"/>
    <w:rsid w:val="00A02979"/>
    <w:rsid w:val="00A16996"/>
    <w:rsid w:val="00A36C67"/>
    <w:rsid w:val="00A3753C"/>
    <w:rsid w:val="00A475FB"/>
    <w:rsid w:val="00A47B19"/>
    <w:rsid w:val="00A812E5"/>
    <w:rsid w:val="00A83FB4"/>
    <w:rsid w:val="00A86AFF"/>
    <w:rsid w:val="00A87C87"/>
    <w:rsid w:val="00A9162F"/>
    <w:rsid w:val="00A9619B"/>
    <w:rsid w:val="00AB53DC"/>
    <w:rsid w:val="00AD14A3"/>
    <w:rsid w:val="00AE2424"/>
    <w:rsid w:val="00B15E46"/>
    <w:rsid w:val="00B376B1"/>
    <w:rsid w:val="00B44CB1"/>
    <w:rsid w:val="00B562AF"/>
    <w:rsid w:val="00B64DC9"/>
    <w:rsid w:val="00B93263"/>
    <w:rsid w:val="00BA3127"/>
    <w:rsid w:val="00BE1F78"/>
    <w:rsid w:val="00BF7584"/>
    <w:rsid w:val="00C04F97"/>
    <w:rsid w:val="00C07027"/>
    <w:rsid w:val="00C255AE"/>
    <w:rsid w:val="00C33C43"/>
    <w:rsid w:val="00C47F13"/>
    <w:rsid w:val="00C5606A"/>
    <w:rsid w:val="00C6660A"/>
    <w:rsid w:val="00C66C25"/>
    <w:rsid w:val="00C66C2E"/>
    <w:rsid w:val="00C76758"/>
    <w:rsid w:val="00CA23B0"/>
    <w:rsid w:val="00CC0E8A"/>
    <w:rsid w:val="00CC6619"/>
    <w:rsid w:val="00CC6EA8"/>
    <w:rsid w:val="00CF632C"/>
    <w:rsid w:val="00D00AFC"/>
    <w:rsid w:val="00D010D1"/>
    <w:rsid w:val="00D17401"/>
    <w:rsid w:val="00D23CF9"/>
    <w:rsid w:val="00D2440A"/>
    <w:rsid w:val="00D3322D"/>
    <w:rsid w:val="00D33ECF"/>
    <w:rsid w:val="00D6315B"/>
    <w:rsid w:val="00D77A6D"/>
    <w:rsid w:val="00D8327A"/>
    <w:rsid w:val="00D96230"/>
    <w:rsid w:val="00DA17B5"/>
    <w:rsid w:val="00DB069A"/>
    <w:rsid w:val="00DB22BD"/>
    <w:rsid w:val="00DB3A40"/>
    <w:rsid w:val="00DB6C92"/>
    <w:rsid w:val="00DE1667"/>
    <w:rsid w:val="00DF4F57"/>
    <w:rsid w:val="00E04C5E"/>
    <w:rsid w:val="00E1028B"/>
    <w:rsid w:val="00E22E03"/>
    <w:rsid w:val="00E36F6F"/>
    <w:rsid w:val="00E571D6"/>
    <w:rsid w:val="00E66DA9"/>
    <w:rsid w:val="00E778D0"/>
    <w:rsid w:val="00E87D3F"/>
    <w:rsid w:val="00EA63FF"/>
    <w:rsid w:val="00EA674A"/>
    <w:rsid w:val="00EB6A65"/>
    <w:rsid w:val="00EC0481"/>
    <w:rsid w:val="00EC2369"/>
    <w:rsid w:val="00EC3088"/>
    <w:rsid w:val="00ED447E"/>
    <w:rsid w:val="00EE09FB"/>
    <w:rsid w:val="00F13C70"/>
    <w:rsid w:val="00F221F9"/>
    <w:rsid w:val="00F2626B"/>
    <w:rsid w:val="00F36FBC"/>
    <w:rsid w:val="00F43277"/>
    <w:rsid w:val="00F47852"/>
    <w:rsid w:val="00F55D84"/>
    <w:rsid w:val="00F60969"/>
    <w:rsid w:val="00F63747"/>
    <w:rsid w:val="00F82536"/>
    <w:rsid w:val="00FA2BC1"/>
    <w:rsid w:val="00FB1BD0"/>
    <w:rsid w:val="00FD5C0E"/>
    <w:rsid w:val="00FF3318"/>
    <w:rsid w:val="00FF6D2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12FE2E1F-2843-4F3B-919B-12050E52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571D6"/>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C67"/>
    <w:pPr>
      <w:ind w:left="720"/>
      <w:contextualSpacing/>
    </w:pPr>
  </w:style>
  <w:style w:type="paragraph" w:styleId="BalloonText">
    <w:name w:val="Balloon Text"/>
    <w:basedOn w:val="Normal"/>
    <w:link w:val="BalloonTextChar"/>
    <w:uiPriority w:val="99"/>
    <w:semiHidden/>
    <w:unhideWhenUsed/>
    <w:rsid w:val="001D0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AD8"/>
    <w:rPr>
      <w:rFonts w:ascii="Segoe UI" w:hAnsi="Segoe UI" w:cs="Segoe UI"/>
      <w:sz w:val="18"/>
      <w:szCs w:val="18"/>
    </w:rPr>
  </w:style>
  <w:style w:type="character" w:styleId="Hyperlink">
    <w:name w:val="Hyperlink"/>
    <w:uiPriority w:val="99"/>
    <w:unhideWhenUsed/>
    <w:rsid w:val="00A86AFF"/>
    <w:rPr>
      <w:color w:val="0000FF"/>
      <w:u w:val="single"/>
    </w:rPr>
  </w:style>
  <w:style w:type="paragraph" w:customStyle="1" w:styleId="naislab">
    <w:name w:val="naislab"/>
    <w:basedOn w:val="Normal"/>
    <w:rsid w:val="00A86AFF"/>
    <w:pPr>
      <w:spacing w:before="75" w:after="75"/>
      <w:jc w:val="right"/>
    </w:pPr>
    <w:rPr>
      <w:rFonts w:eastAsia="Times New Roman" w:cs="Times New Roman"/>
      <w:sz w:val="24"/>
      <w:szCs w:val="24"/>
      <w:lang w:eastAsia="lv-LV"/>
    </w:rPr>
  </w:style>
  <w:style w:type="paragraph" w:styleId="FootnoteText">
    <w:name w:val="footnote text"/>
    <w:basedOn w:val="Normal"/>
    <w:link w:val="FootnoteTextChar"/>
    <w:uiPriority w:val="99"/>
    <w:semiHidden/>
    <w:unhideWhenUsed/>
    <w:rsid w:val="00A86AFF"/>
    <w:rPr>
      <w:sz w:val="20"/>
      <w:szCs w:val="20"/>
    </w:rPr>
  </w:style>
  <w:style w:type="character" w:customStyle="1" w:styleId="FootnoteTextChar">
    <w:name w:val="Footnote Text Char"/>
    <w:basedOn w:val="DefaultParagraphFont"/>
    <w:link w:val="FootnoteText"/>
    <w:uiPriority w:val="99"/>
    <w:semiHidden/>
    <w:rsid w:val="00A86AFF"/>
    <w:rPr>
      <w:sz w:val="20"/>
      <w:szCs w:val="20"/>
    </w:rPr>
  </w:style>
  <w:style w:type="character" w:styleId="FootnoteReference">
    <w:name w:val="footnote reference"/>
    <w:basedOn w:val="DefaultParagraphFont"/>
    <w:uiPriority w:val="99"/>
    <w:semiHidden/>
    <w:unhideWhenUsed/>
    <w:rsid w:val="00A86AFF"/>
    <w:rPr>
      <w:vertAlign w:val="superscript"/>
    </w:rPr>
  </w:style>
  <w:style w:type="character" w:customStyle="1" w:styleId="cspisklasifikatorsnosaukums">
    <w:name w:val="csp_isklasifikators_nosaukums"/>
    <w:basedOn w:val="DefaultParagraphFont"/>
    <w:rsid w:val="00A86AFF"/>
  </w:style>
  <w:style w:type="character" w:customStyle="1" w:styleId="cspisklasifikatorskods">
    <w:name w:val="csp_isklasifikators_kods"/>
    <w:basedOn w:val="DefaultParagraphFont"/>
    <w:rsid w:val="00A86AFF"/>
  </w:style>
  <w:style w:type="table" w:styleId="TableGrid">
    <w:name w:val="Table Grid"/>
    <w:basedOn w:val="TableNormal"/>
    <w:uiPriority w:val="39"/>
    <w:rsid w:val="0059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80D"/>
    <w:pPr>
      <w:tabs>
        <w:tab w:val="center" w:pos="4153"/>
        <w:tab w:val="right" w:pos="8306"/>
      </w:tabs>
    </w:pPr>
  </w:style>
  <w:style w:type="character" w:customStyle="1" w:styleId="HeaderChar">
    <w:name w:val="Header Char"/>
    <w:basedOn w:val="DefaultParagraphFont"/>
    <w:link w:val="Header"/>
    <w:uiPriority w:val="99"/>
    <w:rsid w:val="0076180D"/>
  </w:style>
  <w:style w:type="paragraph" w:styleId="Footer">
    <w:name w:val="footer"/>
    <w:basedOn w:val="Normal"/>
    <w:link w:val="FooterChar"/>
    <w:uiPriority w:val="99"/>
    <w:unhideWhenUsed/>
    <w:rsid w:val="0076180D"/>
    <w:pPr>
      <w:tabs>
        <w:tab w:val="center" w:pos="4153"/>
        <w:tab w:val="right" w:pos="8306"/>
      </w:tabs>
    </w:pPr>
  </w:style>
  <w:style w:type="character" w:customStyle="1" w:styleId="FooterChar">
    <w:name w:val="Footer Char"/>
    <w:basedOn w:val="DefaultParagraphFont"/>
    <w:link w:val="Footer"/>
    <w:uiPriority w:val="99"/>
    <w:rsid w:val="0076180D"/>
  </w:style>
  <w:style w:type="paragraph" w:customStyle="1" w:styleId="tvhtml">
    <w:name w:val="tv_html"/>
    <w:basedOn w:val="Normal"/>
    <w:rsid w:val="0074629C"/>
    <w:pPr>
      <w:spacing w:before="100" w:beforeAutospacing="1" w:after="100" w:afterAutospacing="1"/>
    </w:pPr>
    <w:rPr>
      <w:rFonts w:eastAsia="Times New Roman" w:cs="Times New Roman"/>
      <w:sz w:val="24"/>
      <w:szCs w:val="24"/>
      <w:lang w:eastAsia="lv-LV"/>
    </w:rPr>
  </w:style>
  <w:style w:type="character" w:customStyle="1" w:styleId="Heading3Char">
    <w:name w:val="Heading 3 Char"/>
    <w:basedOn w:val="DefaultParagraphFont"/>
    <w:link w:val="Heading3"/>
    <w:uiPriority w:val="9"/>
    <w:rsid w:val="00E571D6"/>
    <w:rPr>
      <w:rFonts w:eastAsia="Times New Roman" w:cs="Times New Roman"/>
      <w:b/>
      <w:bCs/>
      <w:sz w:val="27"/>
      <w:szCs w:val="27"/>
      <w:lang w:eastAsia="lv-LV"/>
    </w:rPr>
  </w:style>
  <w:style w:type="paragraph" w:styleId="NormalWeb">
    <w:name w:val="Normal (Web)"/>
    <w:basedOn w:val="Normal"/>
    <w:uiPriority w:val="99"/>
    <w:semiHidden/>
    <w:unhideWhenUsed/>
    <w:rsid w:val="00E571D6"/>
    <w:pPr>
      <w:spacing w:before="100" w:beforeAutospacing="1" w:after="100" w:afterAutospacing="1"/>
    </w:pPr>
    <w:rPr>
      <w:rFonts w:eastAsia="Times New Roman" w:cs="Times New Roman"/>
      <w:sz w:val="24"/>
      <w:szCs w:val="24"/>
      <w:lang w:eastAsia="lv-LV"/>
    </w:rPr>
  </w:style>
  <w:style w:type="paragraph" w:customStyle="1" w:styleId="liknoteik">
    <w:name w:val="lik_noteik"/>
    <w:basedOn w:val="Normal"/>
    <w:rsid w:val="00DB069A"/>
    <w:pPr>
      <w:spacing w:before="100" w:beforeAutospacing="1" w:after="100" w:afterAutospacing="1"/>
    </w:pPr>
    <w:rPr>
      <w:rFonts w:eastAsia="Times New Roman" w:cs="Times New Roman"/>
      <w:sz w:val="24"/>
      <w:szCs w:val="24"/>
      <w:lang w:eastAsia="lv-LV"/>
    </w:rPr>
  </w:style>
  <w:style w:type="paragraph" w:customStyle="1" w:styleId="likdat">
    <w:name w:val="lik_dat"/>
    <w:basedOn w:val="Normal"/>
    <w:rsid w:val="00DB069A"/>
    <w:pPr>
      <w:spacing w:before="100" w:beforeAutospacing="1" w:after="100" w:afterAutospacing="1"/>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8C35E6"/>
    <w:rPr>
      <w:sz w:val="16"/>
      <w:szCs w:val="16"/>
    </w:rPr>
  </w:style>
  <w:style w:type="paragraph" w:styleId="CommentText">
    <w:name w:val="annotation text"/>
    <w:basedOn w:val="Normal"/>
    <w:link w:val="CommentTextChar"/>
    <w:uiPriority w:val="99"/>
    <w:semiHidden/>
    <w:unhideWhenUsed/>
    <w:rsid w:val="008C35E6"/>
    <w:rPr>
      <w:sz w:val="20"/>
      <w:szCs w:val="20"/>
    </w:rPr>
  </w:style>
  <w:style w:type="character" w:customStyle="1" w:styleId="CommentTextChar">
    <w:name w:val="Comment Text Char"/>
    <w:basedOn w:val="DefaultParagraphFont"/>
    <w:link w:val="CommentText"/>
    <w:uiPriority w:val="99"/>
    <w:semiHidden/>
    <w:rsid w:val="008C35E6"/>
    <w:rPr>
      <w:sz w:val="20"/>
      <w:szCs w:val="20"/>
    </w:rPr>
  </w:style>
  <w:style w:type="paragraph" w:styleId="CommentSubject">
    <w:name w:val="annotation subject"/>
    <w:basedOn w:val="CommentText"/>
    <w:next w:val="CommentText"/>
    <w:link w:val="CommentSubjectChar"/>
    <w:uiPriority w:val="99"/>
    <w:semiHidden/>
    <w:unhideWhenUsed/>
    <w:rsid w:val="008C35E6"/>
    <w:rPr>
      <w:b/>
      <w:bCs/>
    </w:rPr>
  </w:style>
  <w:style w:type="character" w:customStyle="1" w:styleId="CommentSubjectChar">
    <w:name w:val="Comment Subject Char"/>
    <w:basedOn w:val="CommentTextChar"/>
    <w:link w:val="CommentSubject"/>
    <w:uiPriority w:val="99"/>
    <w:semiHidden/>
    <w:rsid w:val="008C35E6"/>
    <w:rPr>
      <w:b/>
      <w:bCs/>
      <w:sz w:val="20"/>
      <w:szCs w:val="20"/>
    </w:rPr>
  </w:style>
  <w:style w:type="paragraph" w:styleId="Revision">
    <w:name w:val="Revision"/>
    <w:hidden/>
    <w:uiPriority w:val="99"/>
    <w:semiHidden/>
    <w:rsid w:val="00F2626B"/>
  </w:style>
  <w:style w:type="paragraph" w:customStyle="1" w:styleId="naisc">
    <w:name w:val="naisc"/>
    <w:basedOn w:val="Normal"/>
    <w:rsid w:val="00061205"/>
    <w:pPr>
      <w:spacing w:before="75" w:after="75"/>
      <w:jc w:val="center"/>
    </w:pPr>
    <w:rPr>
      <w:rFonts w:eastAsia="Times New Roman" w:cs="Times New Roman"/>
      <w:sz w:val="24"/>
      <w:szCs w:val="24"/>
      <w:lang w:eastAsia="lv-LV"/>
    </w:rPr>
  </w:style>
  <w:style w:type="paragraph" w:styleId="BodyText">
    <w:name w:val="Body Text"/>
    <w:basedOn w:val="Normal"/>
    <w:link w:val="BodyTextChar"/>
    <w:uiPriority w:val="99"/>
    <w:unhideWhenUsed/>
    <w:rsid w:val="00061205"/>
    <w:pPr>
      <w:spacing w:after="120"/>
      <w:jc w:val="both"/>
    </w:pPr>
    <w:rPr>
      <w:rFonts w:eastAsia="Times New Roman" w:cs="Times New Roman"/>
      <w:sz w:val="24"/>
      <w:szCs w:val="20"/>
    </w:rPr>
  </w:style>
  <w:style w:type="character" w:customStyle="1" w:styleId="BodyTextChar">
    <w:name w:val="Body Text Char"/>
    <w:basedOn w:val="DefaultParagraphFont"/>
    <w:link w:val="BodyText"/>
    <w:uiPriority w:val="99"/>
    <w:rsid w:val="00061205"/>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9BF3-8F24-4A46-9299-7D85DB2F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3298</Words>
  <Characters>1881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Irēna Bērziņa</dc:creator>
  <cp:lastModifiedBy>Irēna Bērziņa</cp:lastModifiedBy>
  <cp:revision>12</cp:revision>
  <cp:lastPrinted>2018-07-18T10:36:00Z</cp:lastPrinted>
  <dcterms:created xsi:type="dcterms:W3CDTF">2018-09-04T10:33:00Z</dcterms:created>
  <dcterms:modified xsi:type="dcterms:W3CDTF">2018-09-20T07:58:00Z</dcterms:modified>
</cp:coreProperties>
</file>