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B28D" w14:textId="77777777" w:rsidR="00BD5588" w:rsidRPr="00204B33" w:rsidRDefault="00BD5588" w:rsidP="00E273A1">
      <w:pPr>
        <w:pStyle w:val="Title"/>
        <w:spacing w:before="130" w:line="260" w:lineRule="exact"/>
        <w:ind w:firstLine="539"/>
        <w:jc w:val="both"/>
        <w:rPr>
          <w:sz w:val="19"/>
          <w:szCs w:val="19"/>
        </w:rPr>
      </w:pPr>
      <w:bookmarkStart w:id="0" w:name="_GoBack"/>
      <w:bookmarkEnd w:id="0"/>
    </w:p>
    <w:p w14:paraId="4E003319" w14:textId="02D0312C" w:rsidR="00907EFE" w:rsidRPr="00204B33" w:rsidRDefault="00E5254C" w:rsidP="00E5254C">
      <w:pPr>
        <w:pStyle w:val="NormalWeb"/>
        <w:spacing w:before="0" w:beforeAutospacing="0" w:after="0" w:afterAutospacing="0"/>
        <w:jc w:val="center"/>
        <w:rPr>
          <w:rFonts w:ascii="Times New Roman" w:hAnsi="Times New Roman"/>
          <w:b/>
          <w:color w:val="000000"/>
          <w:sz w:val="24"/>
          <w:szCs w:val="24"/>
          <w:lang w:val="lv-LV"/>
        </w:rPr>
      </w:pPr>
      <w:bookmarkStart w:id="1" w:name="_Hlk518293810"/>
      <w:bookmarkStart w:id="2" w:name="_Hlk527449726"/>
      <w:r w:rsidRPr="00204B33">
        <w:rPr>
          <w:rFonts w:ascii="Times New Roman" w:hAnsi="Times New Roman"/>
          <w:b/>
          <w:bCs/>
          <w:color w:val="000000"/>
          <w:sz w:val="24"/>
          <w:szCs w:val="24"/>
          <w:lang w:val="lv-LV"/>
        </w:rPr>
        <w:t xml:space="preserve">Likumprojekta </w:t>
      </w:r>
      <w:bookmarkStart w:id="3" w:name="_Hlk526878637"/>
      <w:r w:rsidRPr="00204B33">
        <w:rPr>
          <w:rFonts w:ascii="Times New Roman" w:hAnsi="Times New Roman"/>
          <w:b/>
          <w:bCs/>
          <w:color w:val="000000"/>
          <w:sz w:val="24"/>
          <w:szCs w:val="24"/>
          <w:lang w:val="lv-LV"/>
        </w:rPr>
        <w:t>“</w:t>
      </w:r>
      <w:r w:rsidRPr="00204B33">
        <w:rPr>
          <w:rStyle w:val="Strong"/>
          <w:rFonts w:ascii="Times New Roman" w:hAnsi="Times New Roman"/>
          <w:sz w:val="24"/>
          <w:szCs w:val="24"/>
          <w:lang w:val="lv-LV"/>
        </w:rPr>
        <w:t xml:space="preserve">Grozījumi likumā „Par palīdzību dzīvokļa jautājumu risināšanā”” </w:t>
      </w:r>
      <w:bookmarkEnd w:id="1"/>
      <w:bookmarkEnd w:id="3"/>
      <w:r w:rsidR="00907EFE" w:rsidRPr="00204B33">
        <w:rPr>
          <w:rFonts w:ascii="Times New Roman" w:hAnsi="Times New Roman"/>
          <w:b/>
          <w:color w:val="000000"/>
          <w:sz w:val="24"/>
          <w:szCs w:val="24"/>
          <w:lang w:val="lv-LV"/>
        </w:rPr>
        <w:t>sākotnējās ietekmes novērtējuma ziņojums (anotācija)</w:t>
      </w:r>
    </w:p>
    <w:bookmarkEnd w:id="2"/>
    <w:p w14:paraId="6CDDC03B" w14:textId="0D418DB7" w:rsidR="004E4DD9" w:rsidRPr="00204B33" w:rsidRDefault="004E4DD9" w:rsidP="00907EFE">
      <w:pPr>
        <w:pStyle w:val="Title"/>
        <w:spacing w:before="130" w:line="260" w:lineRule="exact"/>
        <w:ind w:right="-908"/>
        <w:jc w:val="both"/>
        <w:rPr>
          <w:sz w:val="24"/>
          <w:szCs w:val="24"/>
        </w:rPr>
      </w:pPr>
    </w:p>
    <w:p w14:paraId="024390AF" w14:textId="7512399A" w:rsidR="00161647" w:rsidRPr="00204B33" w:rsidRDefault="00161647" w:rsidP="00161647">
      <w:pPr>
        <w:pStyle w:val="Title"/>
        <w:spacing w:before="130" w:line="260" w:lineRule="exact"/>
        <w:jc w:val="both"/>
        <w:rPr>
          <w:sz w:val="24"/>
          <w:szCs w:val="24"/>
        </w:rPr>
      </w:pPr>
    </w:p>
    <w:tbl>
      <w:tblPr>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5"/>
        <w:gridCol w:w="6658"/>
      </w:tblGrid>
      <w:tr w:rsidR="00BD5588" w:rsidRPr="00204B33" w14:paraId="10E9FCEA" w14:textId="77777777" w:rsidTr="00FF1CB3">
        <w:trPr>
          <w:cantSplit/>
        </w:trPr>
        <w:tc>
          <w:tcPr>
            <w:tcW w:w="9634" w:type="dxa"/>
            <w:gridSpan w:val="2"/>
            <w:shd w:val="clear" w:color="auto" w:fill="FFFFFF"/>
            <w:vAlign w:val="center"/>
            <w:hideMark/>
          </w:tcPr>
          <w:p w14:paraId="133C71E4" w14:textId="77777777" w:rsidR="00BD5588" w:rsidRPr="00204B33" w:rsidRDefault="00BD5588" w:rsidP="00E273A1">
            <w:pPr>
              <w:jc w:val="center"/>
              <w:rPr>
                <w:b/>
                <w:iCs/>
                <w:lang w:eastAsia="en-US"/>
              </w:rPr>
            </w:pPr>
            <w:r w:rsidRPr="00204B33">
              <w:rPr>
                <w:b/>
                <w:iCs/>
                <w:lang w:eastAsia="en-US"/>
              </w:rPr>
              <w:t>Tiesību akta projekta anotācijas kopsavilkums</w:t>
            </w:r>
          </w:p>
        </w:tc>
      </w:tr>
      <w:tr w:rsidR="00BD5588" w:rsidRPr="00204B33" w14:paraId="035F7F18" w14:textId="77777777" w:rsidTr="00FF1CB3">
        <w:trPr>
          <w:cantSplit/>
        </w:trPr>
        <w:tc>
          <w:tcPr>
            <w:tcW w:w="2975" w:type="dxa"/>
            <w:shd w:val="clear" w:color="auto" w:fill="FFFFFF"/>
            <w:hideMark/>
          </w:tcPr>
          <w:p w14:paraId="7B98629D" w14:textId="77777777" w:rsidR="00BD5588" w:rsidRPr="00204B33" w:rsidRDefault="00BD5588" w:rsidP="00E273A1">
            <w:pPr>
              <w:rPr>
                <w:iCs/>
                <w:lang w:eastAsia="en-US"/>
              </w:rPr>
            </w:pPr>
            <w:r w:rsidRPr="00204B33">
              <w:rPr>
                <w:iCs/>
                <w:lang w:eastAsia="en-US"/>
              </w:rPr>
              <w:t>Mērķis, risinājums un projekta spēkā stāšanās laiks (500 zīmes bez atstarpēm)</w:t>
            </w:r>
          </w:p>
        </w:tc>
        <w:tc>
          <w:tcPr>
            <w:tcW w:w="6659" w:type="dxa"/>
            <w:shd w:val="clear" w:color="auto" w:fill="FFFFFF"/>
            <w:hideMark/>
          </w:tcPr>
          <w:p w14:paraId="59A73A6C" w14:textId="46E76DD3" w:rsidR="00E5254C" w:rsidRPr="00204B33" w:rsidRDefault="00E5254C" w:rsidP="00E5254C">
            <w:pPr>
              <w:widowControl w:val="0"/>
              <w:jc w:val="both"/>
              <w:rPr>
                <w:shd w:val="clear" w:color="auto" w:fill="FFFFFF"/>
              </w:rPr>
            </w:pPr>
            <w:r w:rsidRPr="00204B33">
              <w:t xml:space="preserve">Likumprojekta </w:t>
            </w:r>
            <w:r w:rsidRPr="00204B33">
              <w:rPr>
                <w:bCs/>
                <w:color w:val="000000"/>
              </w:rPr>
              <w:t>“</w:t>
            </w:r>
            <w:r w:rsidRPr="00204B33">
              <w:rPr>
                <w:rStyle w:val="Strong"/>
                <w:b w:val="0"/>
              </w:rPr>
              <w:t>Grozījumi likumā „Par palīdzību dzīvokļa jautājumu risināšanā”” (turpmāk – Likumprojekts)</w:t>
            </w:r>
            <w:r w:rsidRPr="00204B33">
              <w:rPr>
                <w:rStyle w:val="Strong"/>
              </w:rPr>
              <w:t xml:space="preserve"> </w:t>
            </w:r>
            <w:r w:rsidRPr="00204B33">
              <w:t xml:space="preserve"> </w:t>
            </w:r>
            <w:r w:rsidR="00E9202C" w:rsidRPr="00204B33">
              <w:t xml:space="preserve">mērķis ir </w:t>
            </w:r>
            <w:r w:rsidRPr="00204B33">
              <w:t>ietvert deleģējumu ministru kabineta noteikumu</w:t>
            </w:r>
            <w:r w:rsidR="0076162F">
              <w:t xml:space="preserve"> izstrādei</w:t>
            </w:r>
            <w:r w:rsidRPr="00204B33">
              <w:t xml:space="preserve"> </w:t>
            </w:r>
            <w:bookmarkStart w:id="4" w:name="_Hlk526495775"/>
            <w:r w:rsidRPr="00204B33">
              <w:rPr>
                <w:bCs/>
              </w:rPr>
              <w:t xml:space="preserve">par aizdevumiem dzīvojamo īres māju būvniecībai, atjaunošanai, pārbūvei vai jaunuzceltu, atjaunotu vai pārbūvētu dzīvojamo īres māju iegādei izdošanai, lai izpildītu Ministru kabineta </w:t>
            </w:r>
            <w:r w:rsidRPr="00204B33">
              <w:t>2018.gada 2.</w:t>
            </w:r>
            <w:r w:rsidR="00354DD5">
              <w:t>oktobra</w:t>
            </w:r>
            <w:r w:rsidRPr="00204B33">
              <w:t xml:space="preserve"> protokola (</w:t>
            </w:r>
            <w:r w:rsidRPr="00204B33">
              <w:rPr>
                <w:shd w:val="clear" w:color="auto" w:fill="FFFFFF"/>
              </w:rPr>
              <w:t xml:space="preserve">Nr.45, </w:t>
            </w:r>
            <w:r w:rsidRPr="00204B33">
              <w:rPr>
                <w:bCs/>
                <w:shd w:val="clear" w:color="auto" w:fill="FFFFFF"/>
              </w:rPr>
              <w:t>44.§) 2.punktu, kurš paredz uzdevumu</w:t>
            </w:r>
            <w:r w:rsidRPr="00204B33">
              <w:rPr>
                <w:shd w:val="clear" w:color="auto" w:fill="FFFFFF"/>
              </w:rPr>
              <w:t>, sagatavot atbilstošu Ministru kabineta noteikumu projektu.</w:t>
            </w:r>
          </w:p>
          <w:p w14:paraId="5C85E091" w14:textId="419DB14A" w:rsidR="00E5254C" w:rsidRPr="00204B33" w:rsidRDefault="00E5254C" w:rsidP="00E5254C">
            <w:pPr>
              <w:shd w:val="clear" w:color="auto" w:fill="FFFFFF"/>
              <w:jc w:val="both"/>
              <w:rPr>
                <w:bCs/>
              </w:rPr>
            </w:pPr>
          </w:p>
          <w:p w14:paraId="0AEB63C7" w14:textId="7249BE11" w:rsidR="00161647" w:rsidRPr="00204B33" w:rsidRDefault="00E5254C" w:rsidP="00403BAF">
            <w:pPr>
              <w:pStyle w:val="tv213"/>
              <w:shd w:val="clear" w:color="auto" w:fill="FFFFFF"/>
              <w:spacing w:before="0" w:beforeAutospacing="0" w:after="0" w:afterAutospacing="0" w:line="293" w:lineRule="atLeast"/>
              <w:jc w:val="both"/>
              <w:rPr>
                <w:bCs/>
                <w:lang w:val="lv-LV" w:eastAsia="lv-LV"/>
              </w:rPr>
            </w:pPr>
            <w:r w:rsidRPr="00204B33">
              <w:rPr>
                <w:bCs/>
                <w:lang w:val="lv-LV" w:eastAsia="lv-LV"/>
              </w:rPr>
              <w:t xml:space="preserve">Tāpat līdz ar Likumprojektu tiek izslēgta </w:t>
            </w:r>
            <w:r w:rsidR="0076162F">
              <w:rPr>
                <w:bCs/>
                <w:lang w:val="lv-LV" w:eastAsia="lv-LV"/>
              </w:rPr>
              <w:t>l</w:t>
            </w:r>
            <w:r w:rsidRPr="00204B33">
              <w:rPr>
                <w:bCs/>
                <w:lang w:val="lv-LV" w:eastAsia="lv-LV"/>
              </w:rPr>
              <w:t>ikuma “Par palīdzību dzīvokļa jautājumu risināšanā” 25.panta otr</w:t>
            </w:r>
            <w:r w:rsidR="0076162F">
              <w:rPr>
                <w:bCs/>
                <w:lang w:val="lv-LV" w:eastAsia="lv-LV"/>
              </w:rPr>
              <w:t>ā</w:t>
            </w:r>
            <w:r w:rsidRPr="00204B33">
              <w:rPr>
                <w:bCs/>
                <w:lang w:val="lv-LV" w:eastAsia="lv-LV"/>
              </w:rPr>
              <w:t xml:space="preserve"> daļ</w:t>
            </w:r>
            <w:r w:rsidR="0076162F">
              <w:rPr>
                <w:bCs/>
                <w:lang w:val="lv-LV" w:eastAsia="lv-LV"/>
              </w:rPr>
              <w:t>a</w:t>
            </w:r>
            <w:r w:rsidRPr="00204B33">
              <w:rPr>
                <w:bCs/>
                <w:lang w:val="lv-LV" w:eastAsia="lv-LV"/>
              </w:rPr>
              <w:t xml:space="preserve"> a mērķi atvieglot pašvaldības iespējas nodrošināt dzīvokļa pabalstu ne tikai personām, kas atbilstoši likuma normām ir </w:t>
            </w:r>
            <w:r w:rsidR="00403BAF" w:rsidRPr="00204B33">
              <w:rPr>
                <w:bCs/>
                <w:lang w:val="lv-LV" w:eastAsia="lv-LV"/>
              </w:rPr>
              <w:t xml:space="preserve">noteiktas par tiesīgām izīrēt pašvaldībai piederošu vai tās nomātu dzīvojamo telpu vai sociālo dzīvokli, bet arī citām personu grupām, kuras saskaņā ar minētā panta pirmo daļu pašvaldība </w:t>
            </w:r>
            <w:r w:rsidR="0076162F">
              <w:rPr>
                <w:bCs/>
                <w:lang w:val="lv-LV" w:eastAsia="lv-LV"/>
              </w:rPr>
              <w:t xml:space="preserve">ir noteikusi </w:t>
            </w:r>
            <w:r w:rsidR="00403BAF" w:rsidRPr="00204B33">
              <w:rPr>
                <w:bCs/>
                <w:lang w:val="lv-LV" w:eastAsia="lv-LV"/>
              </w:rPr>
              <w:t>saistošajos noteikumos.</w:t>
            </w:r>
            <w:bookmarkEnd w:id="4"/>
            <w:r w:rsidR="00E9202C" w:rsidRPr="00204B33">
              <w:rPr>
                <w:lang w:val="lv-LV"/>
              </w:rPr>
              <w:t xml:space="preserve"> </w:t>
            </w:r>
          </w:p>
        </w:tc>
      </w:tr>
    </w:tbl>
    <w:p w14:paraId="35452530" w14:textId="38B083B2" w:rsidR="00161647" w:rsidRPr="00204B33" w:rsidRDefault="00161647" w:rsidP="00161647">
      <w:pPr>
        <w:pStyle w:val="Title"/>
        <w:spacing w:before="130" w:line="260" w:lineRule="exact"/>
        <w:jc w:val="both"/>
        <w:rPr>
          <w:sz w:val="32"/>
          <w:szCs w:val="24"/>
        </w:rPr>
      </w:pPr>
    </w:p>
    <w:tbl>
      <w:tblPr>
        <w:tblW w:w="5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firstRow="1" w:lastRow="0" w:firstColumn="1" w:lastColumn="0" w:noHBand="1" w:noVBand="1"/>
      </w:tblPr>
      <w:tblGrid>
        <w:gridCol w:w="420"/>
        <w:gridCol w:w="2077"/>
        <w:gridCol w:w="7175"/>
        <w:gridCol w:w="14"/>
      </w:tblGrid>
      <w:tr w:rsidR="00BD5588" w:rsidRPr="00204B33" w14:paraId="792149BB" w14:textId="77777777" w:rsidTr="00E12430">
        <w:tc>
          <w:tcPr>
            <w:tcW w:w="5000" w:type="pct"/>
            <w:gridSpan w:val="4"/>
            <w:vAlign w:val="center"/>
            <w:hideMark/>
          </w:tcPr>
          <w:p w14:paraId="456CC729" w14:textId="77777777" w:rsidR="00BD5588" w:rsidRPr="00204B33" w:rsidRDefault="00BD5588" w:rsidP="00793205">
            <w:pPr>
              <w:widowControl w:val="0"/>
              <w:jc w:val="center"/>
              <w:rPr>
                <w:b/>
                <w:bCs/>
              </w:rPr>
            </w:pPr>
            <w:r w:rsidRPr="00204B33">
              <w:rPr>
                <w:b/>
                <w:bCs/>
              </w:rPr>
              <w:t>I. Tiesību akta projekta izstrādes nepieciešamība</w:t>
            </w:r>
          </w:p>
        </w:tc>
      </w:tr>
      <w:tr w:rsidR="00BD5588" w:rsidRPr="00204B33" w14:paraId="058E7E1A" w14:textId="77777777" w:rsidTr="00FC4A80">
        <w:trPr>
          <w:gridAfter w:val="1"/>
          <w:wAfter w:w="7" w:type="pct"/>
        </w:trPr>
        <w:tc>
          <w:tcPr>
            <w:tcW w:w="217" w:type="pct"/>
            <w:hideMark/>
          </w:tcPr>
          <w:p w14:paraId="0D168E70" w14:textId="77777777" w:rsidR="00BD5588" w:rsidRPr="00204B33" w:rsidRDefault="00BD5588" w:rsidP="00793205">
            <w:pPr>
              <w:widowControl w:val="0"/>
              <w:jc w:val="center"/>
            </w:pPr>
            <w:r w:rsidRPr="00204B33">
              <w:t>1.</w:t>
            </w:r>
          </w:p>
        </w:tc>
        <w:tc>
          <w:tcPr>
            <w:tcW w:w="1072" w:type="pct"/>
            <w:hideMark/>
          </w:tcPr>
          <w:p w14:paraId="356309C6" w14:textId="77777777" w:rsidR="00BD5588" w:rsidRPr="00204B33" w:rsidRDefault="00BD5588" w:rsidP="00793205">
            <w:pPr>
              <w:widowControl w:val="0"/>
            </w:pPr>
            <w:r w:rsidRPr="00204B33">
              <w:t>Pamatojums</w:t>
            </w:r>
          </w:p>
        </w:tc>
        <w:tc>
          <w:tcPr>
            <w:tcW w:w="3704" w:type="pct"/>
            <w:hideMark/>
          </w:tcPr>
          <w:p w14:paraId="064E4908" w14:textId="7BC49A3F" w:rsidR="00E5254C" w:rsidRPr="0076162F" w:rsidRDefault="00E5254C" w:rsidP="0076162F">
            <w:pPr>
              <w:pStyle w:val="ListParagraph"/>
              <w:numPr>
                <w:ilvl w:val="0"/>
                <w:numId w:val="29"/>
              </w:numPr>
              <w:shd w:val="clear" w:color="auto" w:fill="FFFFFF"/>
              <w:jc w:val="both"/>
              <w:rPr>
                <w:bCs/>
              </w:rPr>
            </w:pPr>
            <w:bookmarkStart w:id="5" w:name="_Hlk526155784"/>
            <w:r w:rsidRPr="0076162F">
              <w:rPr>
                <w:bCs/>
              </w:rPr>
              <w:t xml:space="preserve">Ministru kabineta </w:t>
            </w:r>
            <w:r w:rsidR="0076162F" w:rsidRPr="0076162F">
              <w:rPr>
                <w:bCs/>
              </w:rPr>
              <w:t>2016.gada 3.maij</w:t>
            </w:r>
            <w:r w:rsidR="0076162F">
              <w:rPr>
                <w:bCs/>
              </w:rPr>
              <w:t>a</w:t>
            </w:r>
            <w:r w:rsidR="0076162F" w:rsidRPr="0076162F">
              <w:rPr>
                <w:bCs/>
              </w:rPr>
              <w:t xml:space="preserve"> </w:t>
            </w:r>
            <w:r w:rsidRPr="0076162F">
              <w:rPr>
                <w:bCs/>
              </w:rPr>
              <w:t>rīkojuma Nr. 275 „Par Valdības rīcības plānu Deklarācijas par Māra Kučinska vadītā Ministru kabineta iecerēto darbību īstenošanai” 39.punkt</w:t>
            </w:r>
            <w:bookmarkEnd w:id="5"/>
            <w:r w:rsidR="0076162F">
              <w:rPr>
                <w:bCs/>
              </w:rPr>
              <w:t>s</w:t>
            </w:r>
            <w:r w:rsidRPr="0076162F">
              <w:rPr>
                <w:bCs/>
              </w:rPr>
              <w:t xml:space="preserve">; </w:t>
            </w:r>
          </w:p>
          <w:p w14:paraId="337AB56A" w14:textId="1EB410B5" w:rsidR="00430299" w:rsidRPr="00204B33" w:rsidRDefault="0076162F" w:rsidP="00E5254C">
            <w:pPr>
              <w:pStyle w:val="ListParagraph"/>
              <w:widowControl w:val="0"/>
              <w:numPr>
                <w:ilvl w:val="0"/>
                <w:numId w:val="29"/>
              </w:numPr>
              <w:jc w:val="both"/>
              <w:rPr>
                <w:sz w:val="14"/>
              </w:rPr>
            </w:pPr>
            <w:bookmarkStart w:id="6" w:name="_Hlk526883958"/>
            <w:bookmarkStart w:id="7" w:name="_Hlk526884964"/>
            <w:r w:rsidRPr="00204B33">
              <w:t xml:space="preserve">Ministru kabineta </w:t>
            </w:r>
            <w:r w:rsidR="00E5254C" w:rsidRPr="00204B33">
              <w:t>2018.gada 2.</w:t>
            </w:r>
            <w:r w:rsidR="00354DD5">
              <w:t>oktobra</w:t>
            </w:r>
            <w:r w:rsidR="00E5254C" w:rsidRPr="00204B33">
              <w:t xml:space="preserve"> sēdes </w:t>
            </w:r>
            <w:r w:rsidR="00E9202C" w:rsidRPr="00204B33">
              <w:t xml:space="preserve"> </w:t>
            </w:r>
            <w:bookmarkStart w:id="8" w:name="_Hlk526884046"/>
            <w:bookmarkEnd w:id="6"/>
            <w:r w:rsidR="00E5254C" w:rsidRPr="00204B33">
              <w:t>(</w:t>
            </w:r>
            <w:r w:rsidR="00E5254C" w:rsidRPr="00204B33">
              <w:rPr>
                <w:shd w:val="clear" w:color="auto" w:fill="FFFFFF"/>
              </w:rPr>
              <w:t xml:space="preserve">Nr.45, </w:t>
            </w:r>
            <w:bookmarkStart w:id="9" w:name="44"/>
            <w:r w:rsidR="00E5254C" w:rsidRPr="00204B33">
              <w:rPr>
                <w:bCs/>
                <w:shd w:val="clear" w:color="auto" w:fill="FFFFFF"/>
              </w:rPr>
              <w:t>44.§</w:t>
            </w:r>
            <w:bookmarkEnd w:id="9"/>
            <w:r w:rsidR="00E5254C" w:rsidRPr="00204B33">
              <w:rPr>
                <w:bCs/>
                <w:shd w:val="clear" w:color="auto" w:fill="FFFFFF"/>
              </w:rPr>
              <w:t xml:space="preserve">) </w:t>
            </w:r>
            <w:bookmarkEnd w:id="8"/>
            <w:r w:rsidR="00E5254C" w:rsidRPr="00204B33">
              <w:rPr>
                <w:bCs/>
                <w:shd w:val="clear" w:color="auto" w:fill="FFFFFF"/>
              </w:rPr>
              <w:t>2.punkts.</w:t>
            </w:r>
            <w:r w:rsidR="00E5254C" w:rsidRPr="00204B33">
              <w:rPr>
                <w:b/>
                <w:bCs/>
                <w:sz w:val="20"/>
                <w:szCs w:val="20"/>
                <w:shd w:val="clear" w:color="auto" w:fill="FFFFFF"/>
              </w:rPr>
              <w:t xml:space="preserve"> </w:t>
            </w:r>
            <w:bookmarkEnd w:id="7"/>
          </w:p>
        </w:tc>
      </w:tr>
      <w:tr w:rsidR="00FC4A80" w:rsidRPr="00E12430" w14:paraId="6265A49B" w14:textId="77777777" w:rsidTr="00FC4A80">
        <w:trPr>
          <w:gridAfter w:val="1"/>
          <w:wAfter w:w="7" w:type="pct"/>
        </w:trPr>
        <w:tc>
          <w:tcPr>
            <w:tcW w:w="217" w:type="pct"/>
            <w:hideMark/>
          </w:tcPr>
          <w:p w14:paraId="46884FB6" w14:textId="77777777" w:rsidR="00FC4A80" w:rsidRPr="00204B33" w:rsidRDefault="00FC4A80" w:rsidP="00793205">
            <w:pPr>
              <w:widowControl w:val="0"/>
            </w:pPr>
            <w:r w:rsidRPr="00204B33">
              <w:t>2.</w:t>
            </w:r>
          </w:p>
        </w:tc>
        <w:tc>
          <w:tcPr>
            <w:tcW w:w="4775" w:type="pct"/>
            <w:gridSpan w:val="2"/>
            <w:hideMark/>
          </w:tcPr>
          <w:p w14:paraId="2A1313BC" w14:textId="77777777" w:rsidR="00FC4A80" w:rsidRPr="00204B33" w:rsidRDefault="00FC4A80" w:rsidP="00793205">
            <w:pPr>
              <w:widowControl w:val="0"/>
            </w:pPr>
            <w:r w:rsidRPr="00204B33">
              <w:t>Pašreizējā situācija un problēmas, kuru risināšanai tiesību akta projekts izstrādāts, tiesiskā regulējuma mērķis un būtība</w:t>
            </w:r>
          </w:p>
          <w:p w14:paraId="763973C9" w14:textId="772D90A5" w:rsidR="00FC4A80" w:rsidRDefault="00FC4A80" w:rsidP="0086088D">
            <w:pPr>
              <w:pStyle w:val="ListParagraph"/>
              <w:ind w:left="0" w:right="109"/>
              <w:jc w:val="center"/>
              <w:rPr>
                <w:b/>
                <w:bCs/>
              </w:rPr>
            </w:pPr>
          </w:p>
          <w:p w14:paraId="37AB4760" w14:textId="15764B75" w:rsidR="00FC4A80" w:rsidRPr="00FF1CB3" w:rsidRDefault="00FC4A80" w:rsidP="0086088D">
            <w:pPr>
              <w:pStyle w:val="ListParagraph"/>
              <w:ind w:left="0" w:right="109"/>
              <w:jc w:val="center"/>
              <w:rPr>
                <w:b/>
                <w:bCs/>
              </w:rPr>
            </w:pPr>
            <w:r w:rsidRPr="00FF1CB3">
              <w:rPr>
                <w:b/>
                <w:bCs/>
              </w:rPr>
              <w:t>1.Tirgus situācija</w:t>
            </w:r>
          </w:p>
          <w:p w14:paraId="2724A4A2" w14:textId="77777777" w:rsidR="00FC4A80" w:rsidRPr="00E12430" w:rsidRDefault="00FC4A80" w:rsidP="0086088D">
            <w:pPr>
              <w:ind w:right="109"/>
              <w:jc w:val="both"/>
              <w:rPr>
                <w:bCs/>
              </w:rPr>
            </w:pPr>
          </w:p>
          <w:p w14:paraId="70C7F981" w14:textId="011A9897" w:rsidR="00FC4A80" w:rsidRDefault="00FC4A80" w:rsidP="0086088D">
            <w:pPr>
              <w:ind w:right="109"/>
              <w:jc w:val="both"/>
              <w:rPr>
                <w:bCs/>
              </w:rPr>
            </w:pPr>
            <w:r w:rsidRPr="00E12430">
              <w:rPr>
                <w:bCs/>
              </w:rPr>
              <w:t>Šī brīža dzīvojamais fonds ir būtiski novecojis, kas palielina tā uzturēšanas izmaksas un, nepalielinoties mājsaimniecību ienākumiem, attālina tā atjaunošanās perspektīvas. Līdz 1941.gadam Latvijā uzbūvēti 45% no visa daudzdzīvokļu ēku skaita, savukārt no 1961. līdz 1992. gadam Latvijā uzcelti 53% no dzīvojamā fonda, bet kopš 1993.gada no jauna uzbūvēto daudzdzīvokļu dzīvojamo māju īpatsvars ir tikai 2%</w:t>
            </w:r>
            <w:r w:rsidRPr="00E12430">
              <w:rPr>
                <w:bCs/>
              </w:rPr>
              <w:footnoteReference w:id="1"/>
            </w:r>
            <w:r w:rsidRPr="00E12430">
              <w:rPr>
                <w:bCs/>
              </w:rPr>
              <w:t>. Latvijā novērojama ļoti lēna daudzdzīvokļu dzīvojamā fonda atjaunošanās, gadā tiek uzbūvēti tikai 0,2% no kopējā dzīvokļu skaita Latvijā.</w:t>
            </w:r>
          </w:p>
          <w:p w14:paraId="745C8C07" w14:textId="1D74EB12" w:rsidR="00FC4A80" w:rsidRDefault="00FC4A80" w:rsidP="0086088D">
            <w:pPr>
              <w:ind w:right="109"/>
              <w:jc w:val="both"/>
              <w:rPr>
                <w:bCs/>
              </w:rPr>
            </w:pPr>
          </w:p>
          <w:p w14:paraId="296AE097" w14:textId="1A8005AF" w:rsidR="00FC4A80" w:rsidRPr="00E12430" w:rsidRDefault="00FC4A80" w:rsidP="0086088D">
            <w:pPr>
              <w:ind w:right="109"/>
              <w:jc w:val="both"/>
              <w:rPr>
                <w:bCs/>
              </w:rPr>
            </w:pPr>
            <w:r>
              <w:rPr>
                <w:rFonts w:asciiTheme="majorHAnsi" w:hAnsiTheme="majorHAnsi"/>
                <w:noProof/>
              </w:rPr>
              <w:lastRenderedPageBreak/>
              <mc:AlternateContent>
                <mc:Choice Requires="wps">
                  <w:drawing>
                    <wp:inline distT="0" distB="0" distL="0" distR="0" wp14:anchorId="3C66D953" wp14:editId="7B6EFBF8">
                      <wp:extent cx="5868035" cy="2514600"/>
                      <wp:effectExtent l="0" t="0" r="0" b="0"/>
                      <wp:docPr id="200" name="Rectangle: Rounded Corners 200"/>
                      <wp:cNvGraphicFramePr/>
                      <a:graphic xmlns:a="http://schemas.openxmlformats.org/drawingml/2006/main">
                        <a:graphicData uri="http://schemas.microsoft.com/office/word/2010/wordprocessingShape">
                          <wps:wsp>
                            <wps:cNvSpPr/>
                            <wps:spPr>
                              <a:xfrm>
                                <a:off x="0" y="0"/>
                                <a:ext cx="5868035" cy="2514600"/>
                              </a:xfrm>
                              <a:prstGeom prst="roundRect">
                                <a:avLst>
                                  <a:gd name="adj" fmla="val 4926"/>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5EA4C" w14:textId="77777777" w:rsidR="00FC4A80" w:rsidRDefault="00FC4A80" w:rsidP="00FC4A80">
                                  <w:pPr>
                                    <w:jc w:val="center"/>
                                    <w:rPr>
                                      <w:rFonts w:asciiTheme="majorHAnsi" w:hAnsiTheme="majorHAnsi"/>
                                      <w:color w:val="984806" w:themeColor="accent6" w:themeShade="80"/>
                                    </w:rPr>
                                  </w:pPr>
                                  <w:r w:rsidRPr="006A69B4">
                                    <w:rPr>
                                      <w:rFonts w:asciiTheme="majorHAnsi" w:hAnsiTheme="majorHAnsi"/>
                                      <w:color w:val="984806" w:themeColor="accent6" w:themeShade="80"/>
                                    </w:rPr>
                                    <w:t>Daudzdzīvokļu namu sadalījums pēc to ekspluatācijā nodošanas gada</w:t>
                                  </w:r>
                                  <w:r>
                                    <w:rPr>
                                      <w:rFonts w:asciiTheme="majorHAnsi" w:hAnsiTheme="majorHAnsi"/>
                                      <w:color w:val="984806" w:themeColor="accent6" w:themeShade="80"/>
                                    </w:rPr>
                                    <w:t>,</w:t>
                                  </w:r>
                                </w:p>
                                <w:p w14:paraId="005A33C4" w14:textId="77777777" w:rsidR="00FC4A80" w:rsidRPr="006A69B4" w:rsidRDefault="00FC4A80" w:rsidP="00FC4A80">
                                  <w:pPr>
                                    <w:jc w:val="center"/>
                                    <w:rPr>
                                      <w:rFonts w:asciiTheme="majorHAnsi" w:hAnsiTheme="majorHAnsi"/>
                                      <w:color w:val="984806" w:themeColor="accent6" w:themeShade="80"/>
                                    </w:rPr>
                                  </w:pPr>
                                  <w:r>
                                    <w:rPr>
                                      <w:rFonts w:asciiTheme="majorHAnsi" w:hAnsiTheme="majorHAnsi"/>
                                      <w:color w:val="984806" w:themeColor="accent6" w:themeShade="80"/>
                                    </w:rPr>
                                    <w:t>%</w:t>
                                  </w:r>
                                </w:p>
                                <w:p w14:paraId="1F8084A0" w14:textId="77777777" w:rsidR="00FC4A80" w:rsidRPr="006A69B4" w:rsidRDefault="00FC4A80" w:rsidP="00FC4A80">
                                  <w:pPr>
                                    <w:jc w:val="center"/>
                                    <w:rPr>
                                      <w:rFonts w:asciiTheme="majorHAnsi" w:hAnsiTheme="majorHAnsi"/>
                                      <w:color w:val="984806" w:themeColor="accent6" w:themeShade="80"/>
                                    </w:rPr>
                                  </w:pPr>
                                  <w:r w:rsidRPr="00003C43">
                                    <w:rPr>
                                      <w:rFonts w:asciiTheme="majorHAnsi" w:hAnsiTheme="majorHAnsi"/>
                                      <w:noProof/>
                                    </w:rPr>
                                    <w:drawing>
                                      <wp:inline distT="0" distB="0" distL="0" distR="0" wp14:anchorId="6129CC12" wp14:editId="1B86B950">
                                        <wp:extent cx="4095750" cy="2733675"/>
                                        <wp:effectExtent l="0" t="0" r="0" b="0"/>
                                        <wp:docPr id="25" name="Chart 25">
                                          <a:extLst xmlns:a="http://schemas.openxmlformats.org/drawingml/2006/main">
                                            <a:ext uri="{FF2B5EF4-FFF2-40B4-BE49-F238E27FC236}">
                                              <a16:creationId xmlns:a16="http://schemas.microsoft.com/office/drawing/2014/main" id="{1B90B66C-C084-497D-8E3C-3F3F48345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6CBE3A" w14:textId="77777777" w:rsidR="00FC4A80" w:rsidRPr="006A69B4" w:rsidRDefault="00FC4A80" w:rsidP="00FC4A80">
                                  <w:pPr>
                                    <w:jc w:val="center"/>
                                    <w:rPr>
                                      <w:color w:val="984806" w:themeColor="accent6" w:themeShade="80"/>
                                    </w:rPr>
                                  </w:pPr>
                                </w:p>
                                <w:p w14:paraId="06CA7F9B" w14:textId="77777777" w:rsidR="00FC4A80" w:rsidRPr="006A69B4" w:rsidRDefault="00FC4A80" w:rsidP="00FC4A80">
                                  <w:pPr>
                                    <w:jc w:val="center"/>
                                    <w:rPr>
                                      <w:color w:val="984806" w:themeColor="accent6" w:themeShade="80"/>
                                      <w:sz w:val="16"/>
                                    </w:rPr>
                                  </w:pPr>
                                  <w:r w:rsidRPr="006A69B4">
                                    <w:rPr>
                                      <w:color w:val="984806" w:themeColor="accent6" w:themeShade="80"/>
                                      <w:sz w:val="16"/>
                                    </w:rPr>
                                    <w:t>Avots:</w:t>
                                  </w:r>
                                  <w:r>
                                    <w:rPr>
                                      <w:color w:val="984806" w:themeColor="accent6" w:themeShade="80"/>
                                      <w:sz w:val="16"/>
                                    </w:rPr>
                                    <w:t xml:space="preserve"> CSB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66D953" id="Rectangle: Rounded Corners 200" o:spid="_x0000_s1026" style="width:462.05pt;height:198pt;visibility:visible;mso-wrap-style:square;mso-left-percent:-10001;mso-top-percent:-10001;mso-position-horizontal:absolute;mso-position-horizontal-relative:char;mso-position-vertical:absolute;mso-position-vertical-relative:line;mso-left-percent:-10001;mso-top-percent:-10001;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" fillcolor="#eeece1 [3214]" stroked="f" strokeweight="2pt">
                      <v:textbox>
                        <w:txbxContent>
                          <w:p w14:paraId="25E5EA4C" w14:textId="77777777" w:rsidR="00FC4A80" w:rsidRDefault="00FC4A80" w:rsidP="00FC4A80">
                            <w:pPr>
                              <w:jc w:val="center"/>
                              <w:rPr>
                                <w:rFonts w:asciiTheme="majorHAnsi" w:hAnsiTheme="majorHAnsi"/>
                                <w:color w:val="984806" w:themeColor="accent6" w:themeShade="80"/>
                              </w:rPr>
                            </w:pPr>
                            <w:r w:rsidRPr="006A69B4">
                              <w:rPr>
                                <w:rFonts w:asciiTheme="majorHAnsi" w:hAnsiTheme="majorHAnsi"/>
                                <w:color w:val="984806" w:themeColor="accent6" w:themeShade="80"/>
                              </w:rPr>
                              <w:t>Daudzdzīvokļu namu sadalījums pēc to ekspluatācijā nodošanas gada</w:t>
                            </w:r>
                            <w:r>
                              <w:rPr>
                                <w:rFonts w:asciiTheme="majorHAnsi" w:hAnsiTheme="majorHAnsi"/>
                                <w:color w:val="984806" w:themeColor="accent6" w:themeShade="80"/>
                              </w:rPr>
                              <w:t>,</w:t>
                            </w:r>
                          </w:p>
                          <w:p w14:paraId="005A33C4" w14:textId="77777777" w:rsidR="00FC4A80" w:rsidRPr="006A69B4" w:rsidRDefault="00FC4A80" w:rsidP="00FC4A80">
                            <w:pPr>
                              <w:jc w:val="center"/>
                              <w:rPr>
                                <w:rFonts w:asciiTheme="majorHAnsi" w:hAnsiTheme="majorHAnsi"/>
                                <w:color w:val="984806" w:themeColor="accent6" w:themeShade="80"/>
                              </w:rPr>
                            </w:pPr>
                            <w:r>
                              <w:rPr>
                                <w:rFonts w:asciiTheme="majorHAnsi" w:hAnsiTheme="majorHAnsi"/>
                                <w:color w:val="984806" w:themeColor="accent6" w:themeShade="80"/>
                              </w:rPr>
                              <w:t>%</w:t>
                            </w:r>
                          </w:p>
                          <w:p w14:paraId="1F8084A0" w14:textId="77777777" w:rsidR="00FC4A80" w:rsidRPr="006A69B4" w:rsidRDefault="00FC4A80" w:rsidP="00FC4A80">
                            <w:pPr>
                              <w:jc w:val="center"/>
                              <w:rPr>
                                <w:rFonts w:asciiTheme="majorHAnsi" w:hAnsiTheme="majorHAnsi"/>
                                <w:color w:val="984806" w:themeColor="accent6" w:themeShade="80"/>
                              </w:rPr>
                            </w:pPr>
                            <w:r w:rsidRPr="00003C43">
                              <w:rPr>
                                <w:rFonts w:asciiTheme="majorHAnsi" w:hAnsiTheme="majorHAnsi"/>
                                <w:noProof/>
                              </w:rPr>
                              <w:drawing>
                                <wp:inline distT="0" distB="0" distL="0" distR="0" wp14:anchorId="6129CC12" wp14:editId="1B86B950">
                                  <wp:extent cx="4095750" cy="2733675"/>
                                  <wp:effectExtent l="0" t="0" r="0" b="0"/>
                                  <wp:docPr id="25" name="Chart 25">
                                    <a:extLst xmlns:a="http://schemas.openxmlformats.org/drawingml/2006/main">
                                      <a:ext uri="{FF2B5EF4-FFF2-40B4-BE49-F238E27FC236}">
                                        <a16:creationId xmlns:a16="http://schemas.microsoft.com/office/drawing/2014/main" id="{1B90B66C-C084-497D-8E3C-3F3F48345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6CBE3A" w14:textId="77777777" w:rsidR="00FC4A80" w:rsidRPr="006A69B4" w:rsidRDefault="00FC4A80" w:rsidP="00FC4A80">
                            <w:pPr>
                              <w:jc w:val="center"/>
                              <w:rPr>
                                <w:color w:val="984806" w:themeColor="accent6" w:themeShade="80"/>
                              </w:rPr>
                            </w:pPr>
                          </w:p>
                          <w:p w14:paraId="06CA7F9B" w14:textId="77777777" w:rsidR="00FC4A80" w:rsidRPr="006A69B4" w:rsidRDefault="00FC4A80" w:rsidP="00FC4A80">
                            <w:pPr>
                              <w:jc w:val="center"/>
                              <w:rPr>
                                <w:color w:val="984806" w:themeColor="accent6" w:themeShade="80"/>
                                <w:sz w:val="16"/>
                              </w:rPr>
                            </w:pPr>
                            <w:r w:rsidRPr="006A69B4">
                              <w:rPr>
                                <w:color w:val="984806" w:themeColor="accent6" w:themeShade="80"/>
                                <w:sz w:val="16"/>
                              </w:rPr>
                              <w:t>Avots:</w:t>
                            </w:r>
                            <w:r>
                              <w:rPr>
                                <w:color w:val="984806" w:themeColor="accent6" w:themeShade="80"/>
                                <w:sz w:val="16"/>
                              </w:rPr>
                              <w:t xml:space="preserve"> CSB</w:t>
                            </w:r>
                          </w:p>
                        </w:txbxContent>
                      </v:textbox>
                      <w10:anchorlock/>
                    </v:roundrect>
                  </w:pict>
                </mc:Fallback>
              </mc:AlternateContent>
            </w:r>
          </w:p>
          <w:p w14:paraId="28CE066C" w14:textId="77777777" w:rsidR="00FC4A80" w:rsidRPr="00E12430" w:rsidRDefault="00FC4A80" w:rsidP="0086088D">
            <w:pPr>
              <w:ind w:right="109"/>
              <w:jc w:val="both"/>
              <w:rPr>
                <w:bCs/>
              </w:rPr>
            </w:pPr>
          </w:p>
          <w:p w14:paraId="42BBB071" w14:textId="77777777" w:rsidR="00FC4A80" w:rsidRPr="00E12430" w:rsidRDefault="00FC4A80" w:rsidP="0086088D">
            <w:pPr>
              <w:ind w:right="109"/>
              <w:jc w:val="both"/>
              <w:rPr>
                <w:bCs/>
              </w:rPr>
            </w:pPr>
            <w:r w:rsidRPr="00E12430">
              <w:rPr>
                <w:bCs/>
              </w:rPr>
              <w:t xml:space="preserve">Šobrīd privātā sektora investīcijas īres namu būvniecībā uz tirgus nosacījumiem ir nepietiekamas. Pieejamie kreditēšanas termiņi ir būtiski īsāki par ēkas ekspluatācijas termiņu, kas palielina izmaksas par dzīvojamo telpu. </w:t>
            </w:r>
          </w:p>
          <w:p w14:paraId="356CAC27" w14:textId="77777777" w:rsidR="00FC4A80" w:rsidRPr="00E12430" w:rsidRDefault="00FC4A80" w:rsidP="0086088D">
            <w:pPr>
              <w:ind w:right="109"/>
              <w:jc w:val="both"/>
              <w:rPr>
                <w:bCs/>
              </w:rPr>
            </w:pPr>
          </w:p>
          <w:p w14:paraId="34FDB595" w14:textId="32ACC10E" w:rsidR="00FC4A80" w:rsidRPr="00E12430" w:rsidRDefault="00FC4A80" w:rsidP="0086088D">
            <w:pPr>
              <w:ind w:right="109"/>
              <w:jc w:val="both"/>
              <w:rPr>
                <w:bCs/>
              </w:rPr>
            </w:pPr>
            <w:r w:rsidRPr="00E12430">
              <w:rPr>
                <w:bCs/>
              </w:rPr>
              <w:t>Privāto investīciju apmērā daudzdzīvokļu namu būvniecībā Latvija ievērojami atpaliek no Igaunijas un Lietuvas. Ja 2017.gadā Latvijā uzbūvēti 1155 dzīvokļi, tad gan Igaunijā, gan Lietuvā uzbūvēti trīs ar pusi reizes vairāk dzīvokļi jeb 4307 dzīvokļi Igaunijā un 4024 dzīvokļi Lietuvā.</w:t>
            </w:r>
            <w:r w:rsidRPr="00E12430">
              <w:rPr>
                <w:bCs/>
              </w:rPr>
              <w:footnoteReference w:id="2"/>
            </w:r>
            <w:r w:rsidRPr="00E12430">
              <w:rPr>
                <w:bCs/>
              </w:rPr>
              <w:t xml:space="preserve"> </w:t>
            </w:r>
          </w:p>
          <w:p w14:paraId="620306FF" w14:textId="77777777" w:rsidR="00FC4A80" w:rsidRPr="00E12430" w:rsidRDefault="00FC4A80" w:rsidP="0086088D">
            <w:pPr>
              <w:ind w:right="109"/>
              <w:jc w:val="both"/>
              <w:rPr>
                <w:bCs/>
              </w:rPr>
            </w:pPr>
          </w:p>
          <w:p w14:paraId="042BF81D" w14:textId="77777777" w:rsidR="00FC4A80" w:rsidRPr="00E12430" w:rsidRDefault="00FC4A80" w:rsidP="0076162F">
            <w:pPr>
              <w:ind w:right="109"/>
              <w:jc w:val="both"/>
              <w:rPr>
                <w:bCs/>
              </w:rPr>
            </w:pPr>
            <w:r w:rsidRPr="00E12430">
              <w:rPr>
                <w:bCs/>
              </w:rPr>
              <w:br w:type="page"/>
              <w:t xml:space="preserve">Salīdzinājumā ar citām OECD dalībvalstīm, Latvijā jau ilgstoši ir viens no zemākajiem ekspluatācijā nodoto dzīvokļu īpatsvariem pret kopējo dzīvojamo fondu. 2015.gadā ekspluatācijā tika nodoti tikai 0,2% dzīvokļu no kopējā dzīvokļu fonda. Salīdzinājuma pārējās Baltijas valstīs – Lietuvā un Igaunijā šis rādītājs bija 0,6 procenti.  </w:t>
            </w:r>
          </w:p>
          <w:p w14:paraId="6680DF2E" w14:textId="77777777" w:rsidR="00FC4A80" w:rsidRPr="00E12430" w:rsidRDefault="00FC4A80" w:rsidP="0086088D">
            <w:pPr>
              <w:ind w:right="109"/>
              <w:jc w:val="both"/>
              <w:rPr>
                <w:bCs/>
              </w:rPr>
            </w:pPr>
          </w:p>
          <w:p w14:paraId="78FED22E" w14:textId="77777777" w:rsidR="00FC4A80" w:rsidRPr="00E12430" w:rsidRDefault="00FC4A80" w:rsidP="0086088D">
            <w:pPr>
              <w:ind w:right="109"/>
              <w:jc w:val="both"/>
              <w:rPr>
                <w:bCs/>
              </w:rPr>
            </w:pPr>
            <w:r w:rsidRPr="00E12430">
              <w:rPr>
                <w:bCs/>
              </w:rPr>
              <w:t>Pašlaik privātais sektors nav ieinteresēts veikt investīcijas īres namu būvniecībā reģionos, jo, ņemot vērā augstās būvniecības izmaksas un attīstītāja vēlamo investīciju atmaksāšanās periodu, īres maksa no jauna uzbūvētos mājokļos pārsniedz vidējo īres maksas līmeni pašvaldībās un reģionos dzīvojošo iedzīvotāju maksātspēju. To parāda statistika par uzbūvētās dzīvojamās platības apmēriem kopš 2010. līdz 2017. gadam – 91,8% no jaunu mājokļu dzīvojamās platības uzbūvēti Rīgā, Jūrmalā un Pierīgas pašvaldībās.</w:t>
            </w:r>
          </w:p>
          <w:p w14:paraId="62D2332F" w14:textId="77777777" w:rsidR="00FC4A80" w:rsidRPr="00E12430" w:rsidRDefault="00FC4A80" w:rsidP="0086088D">
            <w:pPr>
              <w:ind w:right="109"/>
              <w:jc w:val="center"/>
              <w:rPr>
                <w:bCs/>
              </w:rPr>
            </w:pPr>
          </w:p>
          <w:p w14:paraId="1ADCB5C6" w14:textId="5B891B7A" w:rsidR="00FC4A80" w:rsidRDefault="00FC4A80" w:rsidP="0086088D">
            <w:pPr>
              <w:ind w:right="109"/>
              <w:jc w:val="both"/>
              <w:rPr>
                <w:bCs/>
              </w:rPr>
            </w:pPr>
            <w:r w:rsidRPr="00E12430">
              <w:rPr>
                <w:bCs/>
              </w:rPr>
              <w:t>No Latvijas reģionālajiem centriem zināma aktivitāte ir vērojama Liepājā, Siguldā, Tukumā un Ogrē. Savukārt 17 reģionālajos centros kopš 2010.gada praktiski nav būvēti un nodoti ekspluatācijā jauni dzīvokļi.</w:t>
            </w:r>
          </w:p>
          <w:p w14:paraId="60D7A6E9" w14:textId="27D1B14C" w:rsidR="00FC4A80" w:rsidRDefault="00FC4A80" w:rsidP="0086088D">
            <w:pPr>
              <w:ind w:right="109"/>
              <w:jc w:val="both"/>
              <w:rPr>
                <w:bCs/>
              </w:rPr>
            </w:pPr>
            <w:r>
              <w:rPr>
                <w:rFonts w:asciiTheme="majorHAnsi" w:hAnsiTheme="majorHAnsi"/>
                <w:noProof/>
              </w:rPr>
              <w:lastRenderedPageBreak/>
              <mc:AlternateContent>
                <mc:Choice Requires="wps">
                  <w:drawing>
                    <wp:anchor distT="0" distB="0" distL="114300" distR="114300" simplePos="0" relativeHeight="251660288" behindDoc="1" locked="0" layoutInCell="1" allowOverlap="1" wp14:anchorId="2F0894F5" wp14:editId="5A265C30">
                      <wp:simplePos x="0" y="0"/>
                      <wp:positionH relativeFrom="column">
                        <wp:posOffset>-12700</wp:posOffset>
                      </wp:positionH>
                      <wp:positionV relativeFrom="paragraph">
                        <wp:posOffset>247015</wp:posOffset>
                      </wp:positionV>
                      <wp:extent cx="5829300" cy="2809875"/>
                      <wp:effectExtent l="0" t="0" r="0" b="9525"/>
                      <wp:wrapTight wrapText="bothSides">
                        <wp:wrapPolygon edited="0">
                          <wp:start x="141" y="0"/>
                          <wp:lineTo x="0" y="293"/>
                          <wp:lineTo x="0" y="21234"/>
                          <wp:lineTo x="71" y="21527"/>
                          <wp:lineTo x="21459" y="21527"/>
                          <wp:lineTo x="21529" y="21234"/>
                          <wp:lineTo x="21529" y="293"/>
                          <wp:lineTo x="21388" y="0"/>
                          <wp:lineTo x="141" y="0"/>
                        </wp:wrapPolygon>
                      </wp:wrapTight>
                      <wp:docPr id="199" name="Rectangle: Rounded Corners 199"/>
                      <wp:cNvGraphicFramePr/>
                      <a:graphic xmlns:a="http://schemas.openxmlformats.org/drawingml/2006/main">
                        <a:graphicData uri="http://schemas.microsoft.com/office/word/2010/wordprocessingShape">
                          <wps:wsp>
                            <wps:cNvSpPr/>
                            <wps:spPr>
                              <a:xfrm>
                                <a:off x="0" y="0"/>
                                <a:ext cx="5829300" cy="2809875"/>
                              </a:xfrm>
                              <a:prstGeom prst="roundRect">
                                <a:avLst>
                                  <a:gd name="adj" fmla="val 4926"/>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6B166" w14:textId="77777777" w:rsidR="00FC4A80" w:rsidRDefault="00FC4A80" w:rsidP="00FC4A80">
                                  <w:pPr>
                                    <w:jc w:val="center"/>
                                    <w:rPr>
                                      <w:rFonts w:asciiTheme="majorHAnsi" w:hAnsiTheme="majorHAnsi"/>
                                      <w:color w:val="984806" w:themeColor="accent6" w:themeShade="80"/>
                                    </w:rPr>
                                  </w:pPr>
                                  <w:r>
                                    <w:rPr>
                                      <w:rFonts w:asciiTheme="majorHAnsi" w:hAnsiTheme="majorHAnsi"/>
                                      <w:color w:val="984806" w:themeColor="accent6" w:themeShade="80"/>
                                    </w:rPr>
                                    <w:t>E</w:t>
                                  </w:r>
                                  <w:r w:rsidRPr="006A69B4">
                                    <w:rPr>
                                      <w:rFonts w:asciiTheme="majorHAnsi" w:hAnsiTheme="majorHAnsi"/>
                                      <w:color w:val="984806" w:themeColor="accent6" w:themeShade="80"/>
                                    </w:rPr>
                                    <w:t xml:space="preserve">kspluatācijā pieņemto jauno dzīvokļu platība republikas pilsētās un novados, </w:t>
                                  </w:r>
                                </w:p>
                                <w:p w14:paraId="3D50584B" w14:textId="77777777" w:rsidR="00FC4A80" w:rsidRPr="009D7EAB" w:rsidRDefault="00FC4A80" w:rsidP="00FC4A80">
                                  <w:pPr>
                                    <w:jc w:val="center"/>
                                    <w:rPr>
                                      <w:rFonts w:asciiTheme="majorHAnsi" w:hAnsiTheme="majorHAnsi"/>
                                      <w:color w:val="984806" w:themeColor="accent6" w:themeShade="80"/>
                                      <w:sz w:val="20"/>
                                    </w:rPr>
                                  </w:pPr>
                                  <w:r w:rsidRPr="009D7EAB">
                                    <w:rPr>
                                      <w:rFonts w:asciiTheme="majorHAnsi" w:hAnsiTheme="majorHAnsi"/>
                                      <w:color w:val="984806" w:themeColor="accent6" w:themeShade="80"/>
                                      <w:sz w:val="20"/>
                                    </w:rPr>
                                    <w:t>No 2010.-2017.gadam, tūkst. m2.</w:t>
                                  </w:r>
                                </w:p>
                                <w:p w14:paraId="4E57FE9A" w14:textId="77777777" w:rsidR="00FC4A80" w:rsidRPr="006A69B4" w:rsidRDefault="00FC4A80" w:rsidP="00FC4A80">
                                  <w:pPr>
                                    <w:jc w:val="center"/>
                                    <w:rPr>
                                      <w:color w:val="984806" w:themeColor="accent6" w:themeShade="80"/>
                                    </w:rPr>
                                  </w:pPr>
                                  <w:r w:rsidRPr="00003C43">
                                    <w:rPr>
                                      <w:rFonts w:asciiTheme="majorHAnsi" w:hAnsiTheme="majorHAnsi"/>
                                      <w:noProof/>
                                    </w:rPr>
                                    <w:drawing>
                                      <wp:inline distT="0" distB="0" distL="0" distR="0" wp14:anchorId="4702A334" wp14:editId="051D84B8">
                                        <wp:extent cx="5248275" cy="1933575"/>
                                        <wp:effectExtent l="0" t="0" r="0" b="0"/>
                                        <wp:docPr id="12" name="Chart 12">
                                          <a:extLst xmlns:a="http://schemas.openxmlformats.org/drawingml/2006/main">
                                            <a:ext uri="{FF2B5EF4-FFF2-40B4-BE49-F238E27FC236}">
                                              <a16:creationId xmlns:a16="http://schemas.microsoft.com/office/drawing/2014/main" id="{521B72FD-7912-4865-95CE-D33812A8A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CF2D1E" w14:textId="77777777" w:rsidR="00FC4A80" w:rsidRPr="006A69B4" w:rsidRDefault="00FC4A80" w:rsidP="00FC4A80">
                                  <w:pPr>
                                    <w:rPr>
                                      <w:color w:val="984806" w:themeColor="accent6" w:themeShade="80"/>
                                      <w:sz w:val="16"/>
                                    </w:rPr>
                                  </w:pPr>
                                  <w:r w:rsidRPr="006A69B4">
                                    <w:rPr>
                                      <w:color w:val="984806" w:themeColor="accent6" w:themeShade="80"/>
                                      <w:sz w:val="16"/>
                                    </w:rPr>
                                    <w:t>Avots:</w:t>
                                  </w:r>
                                  <w:r>
                                    <w:rPr>
                                      <w:color w:val="984806" w:themeColor="accent6" w:themeShade="80"/>
                                      <w:sz w:val="16"/>
                                    </w:rPr>
                                    <w:t xml:space="preserve"> CSP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F0894F5" id="Rectangle: Rounded Corners 199" o:spid="_x0000_s1027" style="position:absolute;left:0;text-align:left;margin-left:-1pt;margin-top:19.45pt;width:459pt;height:2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" fillcolor="#eeece1 [3214]" stroked="f" strokeweight="2pt">
                      <v:textbox>
                        <w:txbxContent>
                          <w:p w14:paraId="0F86B166" w14:textId="77777777" w:rsidR="00FC4A80" w:rsidRDefault="00FC4A80" w:rsidP="00FC4A80">
                            <w:pPr>
                              <w:jc w:val="center"/>
                              <w:rPr>
                                <w:rFonts w:asciiTheme="majorHAnsi" w:hAnsiTheme="majorHAnsi"/>
                                <w:color w:val="984806" w:themeColor="accent6" w:themeShade="80"/>
                              </w:rPr>
                            </w:pPr>
                            <w:r>
                              <w:rPr>
                                <w:rFonts w:asciiTheme="majorHAnsi" w:hAnsiTheme="majorHAnsi"/>
                                <w:color w:val="984806" w:themeColor="accent6" w:themeShade="80"/>
                              </w:rPr>
                              <w:t>E</w:t>
                            </w:r>
                            <w:r w:rsidRPr="006A69B4">
                              <w:rPr>
                                <w:rFonts w:asciiTheme="majorHAnsi" w:hAnsiTheme="majorHAnsi"/>
                                <w:color w:val="984806" w:themeColor="accent6" w:themeShade="80"/>
                              </w:rPr>
                              <w:t xml:space="preserve">kspluatācijā pieņemto jauno dzīvokļu platība republikas pilsētās un novados, </w:t>
                            </w:r>
                          </w:p>
                          <w:p w14:paraId="3D50584B" w14:textId="77777777" w:rsidR="00FC4A80" w:rsidRPr="009D7EAB" w:rsidRDefault="00FC4A80" w:rsidP="00FC4A80">
                            <w:pPr>
                              <w:jc w:val="center"/>
                              <w:rPr>
                                <w:rFonts w:asciiTheme="majorHAnsi" w:hAnsiTheme="majorHAnsi"/>
                                <w:color w:val="984806" w:themeColor="accent6" w:themeShade="80"/>
                                <w:sz w:val="20"/>
                              </w:rPr>
                            </w:pPr>
                            <w:r w:rsidRPr="009D7EAB">
                              <w:rPr>
                                <w:rFonts w:asciiTheme="majorHAnsi" w:hAnsiTheme="majorHAnsi"/>
                                <w:color w:val="984806" w:themeColor="accent6" w:themeShade="80"/>
                                <w:sz w:val="20"/>
                              </w:rPr>
                              <w:t>No 2010.-2017.gadam, tūkst. m2.</w:t>
                            </w:r>
                          </w:p>
                          <w:p w14:paraId="4E57FE9A" w14:textId="77777777" w:rsidR="00FC4A80" w:rsidRPr="006A69B4" w:rsidRDefault="00FC4A80" w:rsidP="00FC4A80">
                            <w:pPr>
                              <w:jc w:val="center"/>
                              <w:rPr>
                                <w:color w:val="984806" w:themeColor="accent6" w:themeShade="80"/>
                              </w:rPr>
                            </w:pPr>
                            <w:r w:rsidRPr="00003C43">
                              <w:rPr>
                                <w:rFonts w:asciiTheme="majorHAnsi" w:hAnsiTheme="majorHAnsi"/>
                                <w:noProof/>
                              </w:rPr>
                              <w:drawing>
                                <wp:inline distT="0" distB="0" distL="0" distR="0" wp14:anchorId="4702A334" wp14:editId="051D84B8">
                                  <wp:extent cx="5248275" cy="1933575"/>
                                  <wp:effectExtent l="0" t="0" r="0" b="0"/>
                                  <wp:docPr id="12" name="Chart 12">
                                    <a:extLst xmlns:a="http://schemas.openxmlformats.org/drawingml/2006/main">
                                      <a:ext uri="{FF2B5EF4-FFF2-40B4-BE49-F238E27FC236}">
                                        <a16:creationId xmlns:a16="http://schemas.microsoft.com/office/drawing/2014/main" id="{521B72FD-7912-4865-95CE-D33812A8A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CF2D1E" w14:textId="77777777" w:rsidR="00FC4A80" w:rsidRPr="006A69B4" w:rsidRDefault="00FC4A80" w:rsidP="00FC4A80">
                            <w:pPr>
                              <w:rPr>
                                <w:color w:val="984806" w:themeColor="accent6" w:themeShade="80"/>
                                <w:sz w:val="16"/>
                              </w:rPr>
                            </w:pPr>
                            <w:r w:rsidRPr="006A69B4">
                              <w:rPr>
                                <w:color w:val="984806" w:themeColor="accent6" w:themeShade="80"/>
                                <w:sz w:val="16"/>
                              </w:rPr>
                              <w:t>Avots:</w:t>
                            </w:r>
                            <w:r>
                              <w:rPr>
                                <w:color w:val="984806" w:themeColor="accent6" w:themeShade="80"/>
                                <w:sz w:val="16"/>
                              </w:rPr>
                              <w:t xml:space="preserve"> CSP</w:t>
                            </w:r>
                          </w:p>
                        </w:txbxContent>
                      </v:textbox>
                      <w10:wrap type="tight"/>
                    </v:roundrect>
                  </w:pict>
                </mc:Fallback>
              </mc:AlternateContent>
            </w:r>
          </w:p>
          <w:p w14:paraId="79E3CCB5" w14:textId="0F3CBAA9" w:rsidR="00FC4A80" w:rsidRDefault="00FC4A80" w:rsidP="0086088D">
            <w:pPr>
              <w:ind w:right="109"/>
              <w:jc w:val="both"/>
              <w:rPr>
                <w:bCs/>
              </w:rPr>
            </w:pPr>
          </w:p>
          <w:p w14:paraId="2036214F" w14:textId="1D059F22" w:rsidR="00FC4A80" w:rsidRPr="00E12430" w:rsidRDefault="00FC4A80" w:rsidP="0086088D">
            <w:pPr>
              <w:ind w:right="109"/>
              <w:rPr>
                <w:bCs/>
              </w:rPr>
            </w:pPr>
            <w:r w:rsidRPr="00E12430">
              <w:rPr>
                <w:bCs/>
              </w:rPr>
              <w:br w:type="page"/>
            </w:r>
          </w:p>
          <w:p w14:paraId="5F3BFB9B" w14:textId="1D71D623" w:rsidR="00FC4A80" w:rsidRPr="00FF1CB3" w:rsidRDefault="00FC4A80" w:rsidP="0086088D">
            <w:pPr>
              <w:ind w:right="109"/>
              <w:jc w:val="center"/>
              <w:rPr>
                <w:b/>
                <w:bCs/>
              </w:rPr>
            </w:pPr>
            <w:r w:rsidRPr="00FF1CB3">
              <w:rPr>
                <w:b/>
                <w:bCs/>
              </w:rPr>
              <w:t>2.Iedzīvotāju pirktspēja</w:t>
            </w:r>
          </w:p>
          <w:p w14:paraId="3330CA91" w14:textId="77777777" w:rsidR="00FC4A80" w:rsidRPr="00E12430" w:rsidRDefault="00FC4A80" w:rsidP="0086088D">
            <w:pPr>
              <w:ind w:right="109"/>
              <w:jc w:val="center"/>
              <w:rPr>
                <w:bCs/>
              </w:rPr>
            </w:pPr>
          </w:p>
          <w:p w14:paraId="1B305489" w14:textId="6743E08B" w:rsidR="00FC4A80" w:rsidRPr="00E12430" w:rsidRDefault="00FC4A80" w:rsidP="0086088D">
            <w:pPr>
              <w:ind w:right="109"/>
              <w:jc w:val="both"/>
              <w:rPr>
                <w:bCs/>
              </w:rPr>
            </w:pPr>
            <w:r w:rsidRPr="00E12430">
              <w:rPr>
                <w:bCs/>
              </w:rPr>
              <w:t>Lai noteiktu mājokļu pieejamību īres dzīvokļiem ēkā, kas atbilst būvniecības un energoefektivitātes prasībām, Ekonomikas ministrija veica tirgus aptauju, kuras mērķis bija noskaidrot 50 m</w:t>
            </w:r>
            <w:r w:rsidRPr="0076162F">
              <w:rPr>
                <w:bCs/>
                <w:vertAlign w:val="superscript"/>
              </w:rPr>
              <w:t>2</w:t>
            </w:r>
            <w:r w:rsidRPr="00E12430">
              <w:rPr>
                <w:bCs/>
              </w:rPr>
              <w:t xml:space="preserve"> liela dzīvokļa izmaksas mājsaimniecībai. Vienlaikus gadījumu skaits, kuros nekustamā īpašuma attīstītāji piedāvā dzīvokļus jaunajā projektā izīrēt ir ļoti ierobežots, piemēram, vairāki nekustamo īpašumu attīstītāji jaunajos projektos dzīvokļus īrei nepiedāvā. Mājsaimniecībām, lai izīrētu 50 m</w:t>
            </w:r>
            <w:r w:rsidRPr="0076162F">
              <w:rPr>
                <w:bCs/>
                <w:vertAlign w:val="superscript"/>
              </w:rPr>
              <w:t>2</w:t>
            </w:r>
            <w:r w:rsidRPr="00E12430">
              <w:rPr>
                <w:bCs/>
              </w:rPr>
              <w:t xml:space="preserve"> dzīvokli, sedzot komunālos un apsaimniekošanas izdevumus ir jārēķinās ar 450 </w:t>
            </w:r>
            <w:r w:rsidRPr="0076162F">
              <w:rPr>
                <w:bCs/>
                <w:i/>
              </w:rPr>
              <w:t>euro</w:t>
            </w:r>
            <w:r w:rsidRPr="00E12430">
              <w:rPr>
                <w:bCs/>
              </w:rPr>
              <w:t xml:space="preserve"> līdz 530 </w:t>
            </w:r>
            <w:r w:rsidRPr="0076162F">
              <w:rPr>
                <w:bCs/>
                <w:i/>
              </w:rPr>
              <w:t>euro</w:t>
            </w:r>
            <w:r w:rsidRPr="00E12430">
              <w:rPr>
                <w:bCs/>
              </w:rPr>
              <w:t xml:space="preserve"> lielām izmaksām (jeb 9 – 10,6 EUR/ m2). Mājokļa izdevumiem nevajadzētu pārsniegt 30% no mājsaimniecības ienākumiem</w:t>
            </w:r>
            <w:r w:rsidRPr="00E12430">
              <w:rPr>
                <w:bCs/>
              </w:rPr>
              <w:footnoteReference w:id="3"/>
            </w:r>
            <w:r w:rsidRPr="00E12430">
              <w:rPr>
                <w:bCs/>
              </w:rPr>
              <w:t xml:space="preserve">. Saskaņā ar Ekonomikas ministrijas veikto aptauju un aprēķiniem, lai mājsaimniecība varētu atļauties īrēt būvniecības un energoefektivitātes prasībām atbilstošu dzīvokli ievērojot minēto izdevumu proporciju par mājokli no rīcība esošajiem ienākumiem, mājsaimniecības ieņēmumiem ir jābūt sākot no 1600 </w:t>
            </w:r>
            <w:r w:rsidRPr="0076162F">
              <w:rPr>
                <w:bCs/>
                <w:i/>
              </w:rPr>
              <w:t>euro</w:t>
            </w:r>
            <w:r w:rsidRPr="00E12430">
              <w:rPr>
                <w:bCs/>
              </w:rPr>
              <w:t>.</w:t>
            </w:r>
          </w:p>
          <w:p w14:paraId="320A1D06" w14:textId="77777777" w:rsidR="00FC4A80" w:rsidRPr="00E12430" w:rsidRDefault="00FC4A80" w:rsidP="0086088D">
            <w:pPr>
              <w:ind w:right="109"/>
              <w:jc w:val="both"/>
              <w:rPr>
                <w:bCs/>
              </w:rPr>
            </w:pPr>
          </w:p>
          <w:p w14:paraId="2827C7F0" w14:textId="77777777" w:rsidR="00FC4A80" w:rsidRPr="0076162F" w:rsidRDefault="00FC4A80" w:rsidP="0086088D">
            <w:pPr>
              <w:ind w:right="109"/>
              <w:jc w:val="both"/>
              <w:rPr>
                <w:b/>
                <w:bCs/>
              </w:rPr>
            </w:pPr>
            <w:r w:rsidRPr="00E12430">
              <w:rPr>
                <w:bCs/>
              </w:rPr>
              <w:t>Iespēja īrēt mājokli, kas atbilst mūsdienu būvniecības standartiem un energoefektivitātes prasībām, ir liegta 80%</w:t>
            </w:r>
            <w:r w:rsidRPr="0076162F">
              <w:rPr>
                <w:bCs/>
                <w:vertAlign w:val="superscript"/>
              </w:rPr>
              <w:footnoteReference w:id="4"/>
            </w:r>
            <w:r w:rsidRPr="00E12430">
              <w:rPr>
                <w:bCs/>
              </w:rPr>
              <w:t xml:space="preserve"> mājsaimniecību, jo to ienākumi ir zemāki par 1600 </w:t>
            </w:r>
            <w:r w:rsidRPr="0076162F">
              <w:rPr>
                <w:bCs/>
                <w:i/>
              </w:rPr>
              <w:t>euro</w:t>
            </w:r>
            <w:r w:rsidRPr="00E12430">
              <w:rPr>
                <w:bCs/>
              </w:rPr>
              <w:t xml:space="preserve"> mēnesī. Papildus jāņem vērā, ka 50% mājsaimniecību ienākumi mēnesī nepārsniedz 700 </w:t>
            </w:r>
            <w:r w:rsidRPr="0076162F">
              <w:rPr>
                <w:bCs/>
                <w:i/>
              </w:rPr>
              <w:t>euro</w:t>
            </w:r>
            <w:r w:rsidRPr="00E12430">
              <w:rPr>
                <w:bCs/>
              </w:rPr>
              <w:t xml:space="preserve"> mēnesī. Tādejādi pusei no Latvijas mājsaimniecībām mēneša ienākumi būtu jādubulto, lai tās spētu atļauties īrēt mājokli, kas atbilst mūsdienu būvniecības standartiem un energoefektivitātes prasībām. </w:t>
            </w:r>
            <w:r w:rsidRPr="0076162F">
              <w:rPr>
                <w:b/>
                <w:bCs/>
              </w:rPr>
              <w:t>Kā alternatīva ir nodrošināt atbalsta risinājumu, lai veicinātu lētu īres dzīvokļu būvniecība reģionos, kur līdz šim dzīvojamo māju būvniecības tirgus nedarbojas, sasniedzot ievērojami zemāku īres cenu (~5 EUR/ m2).</w:t>
            </w:r>
          </w:p>
          <w:p w14:paraId="192E168F" w14:textId="77777777" w:rsidR="00FC4A80" w:rsidRPr="00E12430" w:rsidRDefault="00FC4A80" w:rsidP="0086088D">
            <w:pPr>
              <w:ind w:right="109" w:firstLine="720"/>
              <w:jc w:val="both"/>
              <w:rPr>
                <w:bCs/>
              </w:rPr>
            </w:pPr>
          </w:p>
          <w:p w14:paraId="56FB60EF" w14:textId="650750B0" w:rsidR="00FC4A80" w:rsidRPr="00E12430" w:rsidRDefault="00FC4A80" w:rsidP="0086088D">
            <w:pPr>
              <w:ind w:right="109"/>
              <w:jc w:val="both"/>
              <w:rPr>
                <w:bCs/>
              </w:rPr>
            </w:pPr>
            <w:r w:rsidRPr="00E12430">
              <w:rPr>
                <w:bCs/>
              </w:rPr>
              <w:t xml:space="preserve">Mājokļa pieejamība uzsvērta arī </w:t>
            </w:r>
            <w:r w:rsidRPr="00204B33">
              <w:rPr>
                <w:bCs/>
              </w:rPr>
              <w:t xml:space="preserve">OECD </w:t>
            </w:r>
            <w:r w:rsidRPr="00E12430">
              <w:rPr>
                <w:bCs/>
              </w:rPr>
              <w:t xml:space="preserve">Ekonomikas pārskatā par Latviju, kur statistika par iedzīvotāju labklājību Latvijā, salīdzinājumā ar OECD vidējo rādītāju, ir viena no zemākajām </w:t>
            </w:r>
            <w:r w:rsidRPr="00E12430">
              <w:rPr>
                <w:bCs/>
              </w:rPr>
              <w:lastRenderedPageBreak/>
              <w:t>tieši ienākumu un mājokļu pieejamības kategorijās</w:t>
            </w:r>
            <w:r w:rsidRPr="0076162F">
              <w:rPr>
                <w:bCs/>
                <w:vertAlign w:val="superscript"/>
              </w:rPr>
              <w:footnoteReference w:id="5"/>
            </w:r>
            <w:r w:rsidRPr="00E12430">
              <w:rPr>
                <w:bCs/>
              </w:rPr>
              <w:t xml:space="preserve">. Zemie iedzīvotāju ienākumi, īpaši lauku teritorijās, kombinācijā ar īres mājokļu deficītu reģionu centros un augstajām īres tirgus cenām ierobežo iedzīvotāju mobilitāti uz vietām, kur attīstās uzņēmējdarbība un pieaug pieprasījums pēc darbaspēka. </w:t>
            </w:r>
          </w:p>
          <w:p w14:paraId="6351ECB7" w14:textId="58F3041E" w:rsidR="00FC4A80" w:rsidRPr="00E12430" w:rsidRDefault="00FC4A80" w:rsidP="0086088D">
            <w:pPr>
              <w:ind w:right="109"/>
              <w:jc w:val="both"/>
              <w:rPr>
                <w:bCs/>
              </w:rPr>
            </w:pPr>
          </w:p>
          <w:p w14:paraId="7DF1D25B" w14:textId="281F9459" w:rsidR="00FC4A80" w:rsidRPr="00FF1CB3" w:rsidRDefault="00FC4A80" w:rsidP="0086088D">
            <w:pPr>
              <w:ind w:right="109"/>
              <w:jc w:val="center"/>
              <w:rPr>
                <w:b/>
                <w:bCs/>
              </w:rPr>
            </w:pPr>
            <w:r w:rsidRPr="00FF1CB3">
              <w:rPr>
                <w:b/>
                <w:bCs/>
              </w:rPr>
              <w:t>3.Teritoriālais griezums, atbalsta ierobežojumi</w:t>
            </w:r>
          </w:p>
          <w:p w14:paraId="04C2977B" w14:textId="77777777" w:rsidR="00FC4A80" w:rsidRPr="00E12430" w:rsidRDefault="00FC4A80" w:rsidP="00403BAF">
            <w:pPr>
              <w:ind w:right="-1"/>
              <w:jc w:val="both"/>
              <w:rPr>
                <w:bCs/>
              </w:rPr>
            </w:pPr>
          </w:p>
          <w:p w14:paraId="228AE8D8" w14:textId="118CE744" w:rsidR="00FC4A80" w:rsidRPr="00E12430" w:rsidRDefault="00FC4A80" w:rsidP="00403BAF">
            <w:pPr>
              <w:ind w:right="-1"/>
              <w:jc w:val="both"/>
              <w:rPr>
                <w:bCs/>
              </w:rPr>
            </w:pPr>
            <w:r w:rsidRPr="00E12430">
              <w:rPr>
                <w:bCs/>
              </w:rPr>
              <w:t>Saskaņā ar ES Teritoriālās attīstības darba kārtību policentriskas attīstības modelis - t.i. nozīmīgāko pilsētu nostiprināšana un izaugsmes veicināšana visā valsts teritorijā - paver iespējas mazināt teritoriālās atšķirības, nodrošinot līdzvērtīgus un kvalitatīvus dzīves apstākļus iedzīvotājiem neatkarīgi no dzīvesvietas un tādā veidā ierobežojot iedzīvotāju pārlieku lielo koncentrāciju galvaspilsētā.</w:t>
            </w:r>
          </w:p>
          <w:p w14:paraId="6590D911" w14:textId="77777777" w:rsidR="00FC4A80" w:rsidRPr="00E12430" w:rsidRDefault="00FC4A80" w:rsidP="00403BAF">
            <w:pPr>
              <w:ind w:right="-1"/>
              <w:jc w:val="both"/>
              <w:rPr>
                <w:bCs/>
              </w:rPr>
            </w:pPr>
          </w:p>
          <w:p w14:paraId="46136EED" w14:textId="00E45851" w:rsidR="00FC4A80" w:rsidRPr="00E12430" w:rsidRDefault="00FC4A80" w:rsidP="00403BAF">
            <w:pPr>
              <w:ind w:right="-1"/>
              <w:jc w:val="both"/>
              <w:rPr>
                <w:bCs/>
              </w:rPr>
            </w:pPr>
            <w:r w:rsidRPr="00E12430">
              <w:rPr>
                <w:bCs/>
              </w:rPr>
              <w:t>Latvijas ilgtspējīgas attīstības stratēģija līdz 2030.gadam definē 30 starptautiskas, nacionālas un reģionālas nozīmes attīstības centru tīklu (9+21) kā valsts apdzīvojuma struktūras pamatu</w:t>
            </w:r>
            <w:r w:rsidRPr="00E12430">
              <w:rPr>
                <w:bCs/>
              </w:rPr>
              <w:footnoteReference w:id="6"/>
            </w:r>
            <w:r w:rsidRPr="00E12430">
              <w:rPr>
                <w:bCs/>
              </w:rPr>
              <w:t>, ko nepieciešams stiprināt, lai veicinātu reģionu attīstību un samazinātu pašreizējo pārmērīgo resursu koncentrāciju ap galvaspilsētu. Atbilstoši šim politikas uzstādījumam reģionālās attīstības atbalsta pasākumu ietvaros notiek investīciju koncentrācija starptautiskas, nacionālas un reģionālas nozīmes attīstības centros kā reģionu izaugsmes virzītājspēkos. Tas kalpo kā galvenais instruments teritoriju līdzsvarotāku attīstības rādītāju sasniegšanai visā valstī, novēršot pastāvošās pārmērīgās disproporcijas. Spēcīgāki attīstības centri spēs arī sniegt lielāku pozitīvu ietekmi uz apkārtējās teritorijās attīstību.</w:t>
            </w:r>
          </w:p>
          <w:p w14:paraId="531CC78F" w14:textId="77777777" w:rsidR="00FC4A80" w:rsidRPr="00E12430" w:rsidRDefault="00FC4A80" w:rsidP="00403BAF">
            <w:pPr>
              <w:ind w:right="-1"/>
              <w:jc w:val="both"/>
              <w:rPr>
                <w:bCs/>
              </w:rPr>
            </w:pPr>
          </w:p>
          <w:p w14:paraId="7293465F" w14:textId="77777777" w:rsidR="00FC4A80" w:rsidRPr="00E12430" w:rsidRDefault="00FC4A80" w:rsidP="00403BAF">
            <w:pPr>
              <w:ind w:right="-1"/>
              <w:jc w:val="both"/>
              <w:rPr>
                <w:bCs/>
              </w:rPr>
            </w:pPr>
            <w:r w:rsidRPr="00E12430">
              <w:rPr>
                <w:bCs/>
              </w:rPr>
              <w:t xml:space="preserve">Lai arī kopumā Latvijā joprojām saglabājas negatīvas demogrāfijas tendences, atsevišķos reģionālajos attīstības centros procesi nav tik krasi, kā valstī kopumā. Reģionālos centros attīstās uzņēmējdarbība un aug darba vietas.  </w:t>
            </w:r>
          </w:p>
          <w:p w14:paraId="16FFA745" w14:textId="77777777" w:rsidR="00FC4A80" w:rsidRPr="00E12430" w:rsidRDefault="00FC4A80" w:rsidP="00403BAF">
            <w:pPr>
              <w:ind w:right="-1"/>
              <w:jc w:val="both"/>
              <w:rPr>
                <w:bCs/>
              </w:rPr>
            </w:pPr>
          </w:p>
          <w:p w14:paraId="7183EC54" w14:textId="77777777" w:rsidR="00FC4A80" w:rsidRPr="00E12430" w:rsidRDefault="00FC4A80" w:rsidP="00403BAF">
            <w:pPr>
              <w:ind w:right="-1"/>
              <w:jc w:val="both"/>
              <w:rPr>
                <w:bCs/>
              </w:rPr>
            </w:pPr>
            <w:r w:rsidRPr="00E12430">
              <w:rPr>
                <w:bCs/>
              </w:rPr>
              <w:t>Resursu koncentrācijas nacionālas un reģionālas nozīmes attīstības centros ir vērtējama pozitīvi, jo dod iespēju efektīvi izlietot publisko finansējumu sabiedrisko pakalpojumu sniegšanai iedzīvotājiem. Vienlaikus, kā atzīmēts iepriekš, zemie iedzīvotāju ienākumi un lētu īres mājokļu trūkums būtiski bremzē iedzīvotāju iekšzemes mobilitāti.</w:t>
            </w:r>
          </w:p>
          <w:p w14:paraId="553E1FFE" w14:textId="0228D244" w:rsidR="00FC4A80" w:rsidRPr="00E12430" w:rsidRDefault="00FC4A80" w:rsidP="00403BAF">
            <w:pPr>
              <w:ind w:right="-1" w:firstLine="720"/>
              <w:jc w:val="both"/>
              <w:rPr>
                <w:bCs/>
              </w:rPr>
            </w:pPr>
          </w:p>
          <w:p w14:paraId="3C0402B2" w14:textId="77777777" w:rsidR="00FC4A80" w:rsidRPr="00E12430" w:rsidRDefault="00FC4A80" w:rsidP="00403BAF">
            <w:pPr>
              <w:jc w:val="both"/>
              <w:rPr>
                <w:bCs/>
              </w:rPr>
            </w:pPr>
            <w:r w:rsidRPr="00E12430">
              <w:rPr>
                <w:bCs/>
              </w:rPr>
              <w:t>OECD savos pētījumos norāda, ka veiksmīgi funkcionējošs mājokļu tirgus veicina mobilitāti, kas attiecīgi nodrošina efektīvu cilvēkresursu un darba vietu sadali darba tirgū.</w:t>
            </w:r>
            <w:r w:rsidRPr="00E12430">
              <w:rPr>
                <w:bCs/>
              </w:rPr>
              <w:footnoteReference w:id="7"/>
            </w:r>
            <w:r w:rsidRPr="00E12430">
              <w:rPr>
                <w:bCs/>
              </w:rPr>
              <w:t xml:space="preserve"> Arī 2017.gada OECD Ekonomikas pārskatā par Latviju norādīts, ka tikai neliela daļa Latvijas iedzīvotāju dzīvo īrētos dzīvokļos, kas mazina darbaspēka mobilitāti un neļauj mazināt augsto bezdarba līmeni atsevišķos reģionos, kā arī nerisina darbaspēka trūkuma problēmu reģionos, kas attīstās. Jaunu īres mājokļu attīstība reģionos ir nepietiekoša un pieejamu mājokļu piedāvājums ir ļoti ierobežots. Norādīts, ka iespēja iegūt pieejamu mājokli rajonos, kur pieejamas plašas nodarbinātības iespējas ir svarīgs iekļaujošas attīstības un mobilitātes dzinējspēks. No tā arī izriet viena no pārskatā norādītajā galvenajām rekomendācijām - palielināt finansējumu zemo izmaksu īres mājokļiem teritorijās ar pieaugošo nodarbinātību.</w:t>
            </w:r>
            <w:r w:rsidRPr="00E12430">
              <w:rPr>
                <w:bCs/>
              </w:rPr>
              <w:footnoteReference w:id="8"/>
            </w:r>
          </w:p>
          <w:p w14:paraId="00E84A8C" w14:textId="77777777" w:rsidR="00FC4A80" w:rsidRPr="00E12430" w:rsidRDefault="00FC4A80" w:rsidP="00403BAF">
            <w:pPr>
              <w:ind w:right="-1"/>
              <w:jc w:val="both"/>
              <w:rPr>
                <w:bCs/>
              </w:rPr>
            </w:pPr>
          </w:p>
          <w:p w14:paraId="6A809534" w14:textId="170FA475" w:rsidR="00FC4A80" w:rsidRPr="00E12430" w:rsidRDefault="00FC4A80" w:rsidP="00403BAF">
            <w:pPr>
              <w:ind w:right="-1"/>
              <w:jc w:val="both"/>
              <w:rPr>
                <w:bCs/>
              </w:rPr>
            </w:pPr>
            <w:r w:rsidRPr="00E12430">
              <w:rPr>
                <w:bCs/>
              </w:rPr>
              <w:lastRenderedPageBreak/>
              <w:t xml:space="preserve">Lai arī iedzīvotāju skaita pieaugums kopš 2010.gada galvenokārt ir novērojams tikai Pierīgā, svarīgs faktors ir iedzīvotāju iekšzemes migrācija, kas, lai arī lielākoties norāda uz tendenci iedzīvotājiem pārvietoties no reģioniem uz Rīgu vai no Rīgas uz Pierīgu, parāda arī reģionālās migrācijas tendences, cilvēkiem migrējot uz un no reģionālajiem centriem. Neapmierinātība ar mājokļu pieejamību reģionos  un augstais izdevumu īpatsvars mājoklim no ienākumiem Latvijā, ir viens no būtiskiem iemesliem iedzīvotāju emigrācijai uz ārvalstīm un nespējai darbaspēku noturēt Latvijā. Lai arī ikgadējais no Latvijas izbraukušo iedzīvotāju skaits ir samazinājies pēc finanšu krīzes pārvarēšanas, vēl joprojām gadā no Latvijas izbrauc ap 20 tūkstoši iedzīvotāju. Negatīvais migrācijas saldo rada arī ievērojamus ekonomiskos zaudējumus. </w:t>
            </w:r>
          </w:p>
          <w:p w14:paraId="61E8DC82" w14:textId="77777777" w:rsidR="00FC4A80" w:rsidRPr="00E12430" w:rsidRDefault="00FC4A80" w:rsidP="00403BAF">
            <w:pPr>
              <w:jc w:val="both"/>
              <w:rPr>
                <w:bCs/>
              </w:rPr>
            </w:pPr>
          </w:p>
          <w:p w14:paraId="2A08B72B" w14:textId="5D7A60E2" w:rsidR="00FC4A80" w:rsidRPr="00FF1CB3" w:rsidRDefault="00FC4A80" w:rsidP="0086088D">
            <w:pPr>
              <w:jc w:val="center"/>
              <w:rPr>
                <w:b/>
                <w:bCs/>
              </w:rPr>
            </w:pPr>
            <w:r w:rsidRPr="00FF1CB3">
              <w:rPr>
                <w:b/>
                <w:bCs/>
              </w:rPr>
              <w:t>4.Mērķa grupas</w:t>
            </w:r>
          </w:p>
          <w:p w14:paraId="2B67A891" w14:textId="3AE3B071" w:rsidR="00FC4A80" w:rsidRPr="00E12430" w:rsidRDefault="00FC4A80" w:rsidP="00403BAF">
            <w:pPr>
              <w:rPr>
                <w:bCs/>
              </w:rPr>
            </w:pPr>
            <w:r w:rsidRPr="00E12430">
              <w:rPr>
                <w:bCs/>
              </w:rPr>
              <w:br w:type="page"/>
            </w:r>
          </w:p>
          <w:p w14:paraId="03E7B1F1" w14:textId="795CF49D" w:rsidR="00FC4A80" w:rsidRPr="00E12430" w:rsidRDefault="00FC4A80" w:rsidP="0086088D">
            <w:pPr>
              <w:spacing w:after="40"/>
              <w:jc w:val="both"/>
              <w:rPr>
                <w:bCs/>
              </w:rPr>
            </w:pPr>
            <w:r w:rsidRPr="00E12430">
              <w:rPr>
                <w:bCs/>
              </w:rPr>
              <w:t>Atbalstu plānots sniegt ar mērķi novērst tirgu nepilnību mājokļa pieejamības nodrošināšanā mājsaimniecībām, kurām uz atbalsta piešķiršanas brīdi ir noteikts ienākumu slieksnis un kuras atbilst noteiktai  valsts noteiktai mērķgrupām</w:t>
            </w:r>
            <w:r>
              <w:rPr>
                <w:bCs/>
              </w:rPr>
              <w:t>.</w:t>
            </w:r>
          </w:p>
          <w:p w14:paraId="082BCC25" w14:textId="77777777" w:rsidR="00FC4A80" w:rsidRPr="00E12430" w:rsidRDefault="00FC4A80" w:rsidP="00403BAF">
            <w:pPr>
              <w:shd w:val="clear" w:color="auto" w:fill="FFFFFF"/>
              <w:tabs>
                <w:tab w:val="left" w:pos="426"/>
                <w:tab w:val="left" w:pos="851"/>
              </w:tabs>
              <w:jc w:val="both"/>
              <w:rPr>
                <w:bCs/>
              </w:rPr>
            </w:pPr>
          </w:p>
          <w:p w14:paraId="13435AC5" w14:textId="28D9B3B0" w:rsidR="00FC4A80" w:rsidRPr="00E12430" w:rsidRDefault="00FC4A80" w:rsidP="00403BAF">
            <w:pPr>
              <w:jc w:val="both"/>
              <w:rPr>
                <w:bCs/>
              </w:rPr>
            </w:pPr>
            <w:r w:rsidRPr="0076162F">
              <w:rPr>
                <w:b/>
                <w:bCs/>
              </w:rPr>
              <w:t>Ienākumu slieksnis</w:t>
            </w:r>
            <w:r w:rsidRPr="00E12430">
              <w:rPr>
                <w:bCs/>
              </w:rPr>
              <w:t xml:space="preserve"> tiks noteikts, vērtējot pašreizējās dzīvokļu īres cenas jaunajos projektos Rīgā un nosacījumam, ka mājokļa izdevumiem nevajadzētu pārsniegt 30% no mājsaimniecības ienākumiem. Tādējādi atbalsts tiek liegts iedzīvotāju grupām, kuru ienākumi atļauj iegādāties vai īrēt mājokli par tirgus cenām, vienlaikus motivējot arī iedzīvotājus pārcelties no Rīgas uz labi apmaksātām darba vietām reģionos.</w:t>
            </w:r>
          </w:p>
          <w:p w14:paraId="19FDFB4E" w14:textId="6685CB36" w:rsidR="00FC4A80" w:rsidRPr="00E12430" w:rsidRDefault="00FC4A80" w:rsidP="00403BAF">
            <w:pPr>
              <w:jc w:val="both"/>
              <w:rPr>
                <w:bCs/>
              </w:rPr>
            </w:pPr>
          </w:p>
          <w:p w14:paraId="3F9E9A9B" w14:textId="52446801" w:rsidR="00FC4A80" w:rsidRPr="00E12430" w:rsidRDefault="00FC4A80" w:rsidP="00403BAF">
            <w:pPr>
              <w:spacing w:after="40"/>
              <w:jc w:val="both"/>
              <w:rPr>
                <w:bCs/>
              </w:rPr>
            </w:pPr>
            <w:r w:rsidRPr="0076162F">
              <w:rPr>
                <w:b/>
                <w:bCs/>
              </w:rPr>
              <w:t>Iespējamās mērķgrupas:</w:t>
            </w:r>
            <w:r>
              <w:rPr>
                <w:bCs/>
              </w:rPr>
              <w:t xml:space="preserve"> v</w:t>
            </w:r>
            <w:r w:rsidRPr="00E12430">
              <w:rPr>
                <w:bCs/>
              </w:rPr>
              <w:t xml:space="preserve">iens no visbiežāk minētajiem uzņēmējdarbību kavējošiem faktoriem Latvijā tostarp tiek minēts neatbilstoši kvalificēts darba spēks. Izrietoši mājokļa pieejamības veicināšana </w:t>
            </w:r>
            <w:r>
              <w:rPr>
                <w:bCs/>
              </w:rPr>
              <w:t xml:space="preserve">speciālistiem </w:t>
            </w:r>
            <w:r w:rsidRPr="00E12430">
              <w:rPr>
                <w:bCs/>
              </w:rPr>
              <w:t>ir viens no faktoriem, kas veicina uzņēmējdarbības attīstību. Kā ir norādīts OECD pētījumā „</w:t>
            </w:r>
            <w:r w:rsidRPr="0076162F">
              <w:rPr>
                <w:bCs/>
                <w:i/>
              </w:rPr>
              <w:t>The future of productivity</w:t>
            </w:r>
            <w:r w:rsidRPr="00E12430">
              <w:rPr>
                <w:bCs/>
              </w:rPr>
              <w:t>”  produktivitātes rādītāju kontekstā būtiska ietekme ir arī valsts veidotajai politikai un tam, cik liela ir personu mobilitāte dzīvesvietas aspektā. Zema vai ierobežota iedzīvotāju mobilitāte un augstas cenas dzīvojamās telpas iegādei rada draudus prasmju neatbilstībai konkrētā darba vidē. Pazeminoties darījumu cenām, kā arī pieaugot iedzīvotāju mobilitātei, tiek nodrošināta atbilstošu speciālistu piesaiste konkrētam darbam, tādā veidā veicinot vairākus būtiskus ekonomiskās izaugsmes rādītājus. Tāpat, kā norādīts  minētajā pētījumā, politika, kas ierobežo piedāvājumu mājokļu jomā rada draudus atbilstoši kvalificēta darba spēka piesaistei.</w:t>
            </w:r>
          </w:p>
          <w:p w14:paraId="4A11D72A" w14:textId="77777777" w:rsidR="00FC4A80" w:rsidRPr="00E12430" w:rsidRDefault="00FC4A80" w:rsidP="00403BAF">
            <w:pPr>
              <w:spacing w:after="40"/>
              <w:jc w:val="both"/>
              <w:rPr>
                <w:bCs/>
              </w:rPr>
            </w:pPr>
          </w:p>
          <w:p w14:paraId="429DF9C9" w14:textId="7E001C75" w:rsidR="00FC4A80" w:rsidRPr="00E12430" w:rsidRDefault="00FC4A80" w:rsidP="00403BAF">
            <w:pPr>
              <w:spacing w:after="40"/>
              <w:jc w:val="both"/>
              <w:rPr>
                <w:bCs/>
              </w:rPr>
            </w:pPr>
            <w:r w:rsidRPr="00E12430">
              <w:rPr>
                <w:bCs/>
              </w:rPr>
              <w:t xml:space="preserve">Vienlaikus, radot atbalsta mehānismu personām, kas ieguvušas profesionālo vai augstāko izglītību, tiek stimulēts viens no cilvēkkapitāla ietekmējošiem faktoriem, proti – izglītība, kas  sekmē cilvēkkapitāla veidošanos kvantitatīvā līmenī. Personas tiks motivētas iegūt augstāko vai profesionālo izglītību, vienlaikus izvēli par labo konkrētai kvalifikācijai izdarot, ievērojot pieprasījumu pēc speciālistiem konkrētā nozarē. </w:t>
            </w:r>
          </w:p>
          <w:p w14:paraId="6550A891" w14:textId="77777777" w:rsidR="00FC4A80" w:rsidRPr="00E12430" w:rsidRDefault="00FC4A80" w:rsidP="00403BAF">
            <w:pPr>
              <w:spacing w:after="40"/>
              <w:jc w:val="both"/>
              <w:rPr>
                <w:bCs/>
              </w:rPr>
            </w:pPr>
          </w:p>
          <w:p w14:paraId="418466D1" w14:textId="79BB7497" w:rsidR="00FC4A80" w:rsidRPr="00E12430" w:rsidRDefault="00FC4A80" w:rsidP="00403BAF">
            <w:pPr>
              <w:spacing w:after="40"/>
              <w:jc w:val="both"/>
              <w:rPr>
                <w:bCs/>
              </w:rPr>
            </w:pPr>
            <w:r w:rsidRPr="00E12430">
              <w:rPr>
                <w:bCs/>
              </w:rPr>
              <w:t>Mājokļu pieejamības veicināšana personām</w:t>
            </w:r>
            <w:r>
              <w:rPr>
                <w:bCs/>
              </w:rPr>
              <w:t xml:space="preserve"> </w:t>
            </w:r>
            <w:r w:rsidRPr="00E12430">
              <w:rPr>
                <w:bCs/>
              </w:rPr>
              <w:t>sekmēs jaunu saimnieciskās darbības veicēju (nodokļu rezidentu (maksātāju)) un privātpersonu piesaisti reālai saimnieciskai darbībai un rezidencei Latvijā gan nacionālā, gan reģionālā mērogā.  Uzņēmējdarbības attīstība un jaunu darbavietu radīšana ir uzsvērta arī Reģionālās politikas pamatnostādnes 2013.-2019.gadam, izvirzot kā vienu no uzdevumiem sekmēt teritorijās uzņēmējdarbības attīstību un darbavietu radīšanu, veicināt darbavietu un pakalpojumu sasniedzamību, kā arī uzlabot pakalpojumu kvalitāti un pieejamību.</w:t>
            </w:r>
          </w:p>
          <w:p w14:paraId="31041823" w14:textId="77777777" w:rsidR="00FC4A80" w:rsidRDefault="00FC4A80" w:rsidP="00403BAF">
            <w:pPr>
              <w:spacing w:after="40"/>
              <w:jc w:val="both"/>
              <w:rPr>
                <w:bCs/>
              </w:rPr>
            </w:pPr>
          </w:p>
          <w:p w14:paraId="0F692EC1" w14:textId="36B97888" w:rsidR="00FC4A80" w:rsidRPr="00E12430" w:rsidRDefault="00FC4A80" w:rsidP="00403BAF">
            <w:pPr>
              <w:spacing w:after="40"/>
              <w:jc w:val="both"/>
              <w:rPr>
                <w:bCs/>
              </w:rPr>
            </w:pPr>
            <w:r>
              <w:rPr>
                <w:bCs/>
              </w:rPr>
              <w:lastRenderedPageBreak/>
              <w:t xml:space="preserve">Vienlaikus kā vienu no mērķgrupām plānots noteikt ģimenes ar bērniem, kas </w:t>
            </w:r>
            <w:r w:rsidRPr="00E12430">
              <w:rPr>
                <w:bCs/>
              </w:rPr>
              <w:t>ir cieši saistīts ar Latvijas demogrāfisko situāciju un nepieciešamību sniegt atbalstu jaunajām ģimenēm.</w:t>
            </w:r>
          </w:p>
          <w:p w14:paraId="0B1AED93" w14:textId="2318D42E" w:rsidR="00FC4A80" w:rsidRPr="00E12430" w:rsidRDefault="00FC4A80" w:rsidP="00403BAF">
            <w:pPr>
              <w:spacing w:after="40"/>
              <w:jc w:val="both"/>
              <w:rPr>
                <w:bCs/>
              </w:rPr>
            </w:pPr>
          </w:p>
          <w:p w14:paraId="3316A943" w14:textId="19FB7C3B" w:rsidR="00FC4A80" w:rsidRPr="00E12430" w:rsidRDefault="00FC4A80" w:rsidP="0086088D">
            <w:pPr>
              <w:widowControl w:val="0"/>
              <w:ind w:right="109"/>
              <w:jc w:val="center"/>
              <w:rPr>
                <w:b/>
                <w:bCs/>
              </w:rPr>
            </w:pPr>
            <w:r w:rsidRPr="00E12430">
              <w:rPr>
                <w:b/>
                <w:bCs/>
              </w:rPr>
              <w:t>5.Turpmākā rīcība</w:t>
            </w:r>
          </w:p>
          <w:p w14:paraId="0E08993F" w14:textId="77777777" w:rsidR="00FC4A80" w:rsidRPr="00E12430" w:rsidRDefault="00FC4A80" w:rsidP="0086088D">
            <w:pPr>
              <w:widowControl w:val="0"/>
              <w:ind w:right="109"/>
              <w:jc w:val="center"/>
              <w:rPr>
                <w:bCs/>
              </w:rPr>
            </w:pPr>
          </w:p>
          <w:p w14:paraId="42CA1689" w14:textId="74CF9891" w:rsidR="00FC4A80" w:rsidRPr="00B06408" w:rsidRDefault="00FC4A80" w:rsidP="00457547">
            <w:pPr>
              <w:shd w:val="clear" w:color="auto" w:fill="FFFFFF"/>
              <w:tabs>
                <w:tab w:val="left" w:pos="426"/>
                <w:tab w:val="left" w:pos="851"/>
              </w:tabs>
              <w:jc w:val="both"/>
              <w:rPr>
                <w:b/>
                <w:bCs/>
              </w:rPr>
            </w:pPr>
            <w:r w:rsidRPr="00B06408">
              <w:rPr>
                <w:b/>
                <w:bCs/>
              </w:rPr>
              <w:t>Ievērojot 2018.gada 2.</w:t>
            </w:r>
            <w:r>
              <w:rPr>
                <w:b/>
                <w:bCs/>
              </w:rPr>
              <w:t xml:space="preserve">oktobra </w:t>
            </w:r>
            <w:r w:rsidRPr="00B06408">
              <w:rPr>
                <w:b/>
                <w:bCs/>
              </w:rPr>
              <w:t>Ministru kabineta sēdē (protokols Nr.45, 44.§)  apstiprināto pieeju:</w:t>
            </w:r>
          </w:p>
          <w:p w14:paraId="27353B2A" w14:textId="19933AC3" w:rsidR="00FC4A80" w:rsidRPr="00B06408" w:rsidRDefault="00FC4A80" w:rsidP="00457547">
            <w:pPr>
              <w:pStyle w:val="ListParagraph"/>
              <w:widowControl w:val="0"/>
              <w:numPr>
                <w:ilvl w:val="0"/>
                <w:numId w:val="35"/>
              </w:numPr>
              <w:shd w:val="clear" w:color="auto" w:fill="FFFFFF"/>
              <w:tabs>
                <w:tab w:val="left" w:pos="426"/>
                <w:tab w:val="left" w:pos="851"/>
              </w:tabs>
              <w:ind w:right="109"/>
              <w:jc w:val="both"/>
              <w:rPr>
                <w:b/>
                <w:bCs/>
              </w:rPr>
            </w:pPr>
            <w:r w:rsidRPr="00B06408">
              <w:rPr>
                <w:b/>
                <w:bCs/>
              </w:rPr>
              <w:t xml:space="preserve">atbalsta mehānisms tiek plānots kā </w:t>
            </w:r>
            <w:r>
              <w:rPr>
                <w:b/>
                <w:bCs/>
              </w:rPr>
              <w:t>v</w:t>
            </w:r>
            <w:r w:rsidRPr="00B06408">
              <w:rPr>
                <w:b/>
                <w:bCs/>
              </w:rPr>
              <w:t>alsts ilgtermiņa aizdevum</w:t>
            </w:r>
            <w:r>
              <w:rPr>
                <w:b/>
                <w:bCs/>
              </w:rPr>
              <w:t>s</w:t>
            </w:r>
            <w:r w:rsidRPr="00B06408">
              <w:rPr>
                <w:b/>
                <w:bCs/>
              </w:rPr>
              <w:t xml:space="preserve"> pašvaldības kapitālsabiedrībai ar </w:t>
            </w:r>
            <w:r>
              <w:rPr>
                <w:b/>
                <w:bCs/>
              </w:rPr>
              <w:t>pašvaldības galvojumu;</w:t>
            </w:r>
          </w:p>
          <w:p w14:paraId="46840786" w14:textId="1D5D8147" w:rsidR="00FC4A80" w:rsidRPr="00B06408" w:rsidRDefault="00FC4A80" w:rsidP="00457547">
            <w:pPr>
              <w:pStyle w:val="ListParagraph"/>
              <w:widowControl w:val="0"/>
              <w:shd w:val="clear" w:color="auto" w:fill="FFFFFF"/>
              <w:tabs>
                <w:tab w:val="left" w:pos="426"/>
                <w:tab w:val="left" w:pos="851"/>
              </w:tabs>
              <w:ind w:right="109"/>
              <w:jc w:val="both"/>
              <w:rPr>
                <w:b/>
                <w:bCs/>
              </w:rPr>
            </w:pPr>
            <w:r w:rsidRPr="00B06408">
              <w:rPr>
                <w:b/>
                <w:bCs/>
              </w:rPr>
              <w:t xml:space="preserve"> </w:t>
            </w:r>
          </w:p>
          <w:p w14:paraId="4D3AF0E3" w14:textId="7B139BC4" w:rsidR="00FC4A80" w:rsidRPr="00B06408" w:rsidRDefault="00FC4A80" w:rsidP="00457547">
            <w:pPr>
              <w:pStyle w:val="ListParagraph"/>
              <w:numPr>
                <w:ilvl w:val="0"/>
                <w:numId w:val="34"/>
              </w:numPr>
              <w:shd w:val="clear" w:color="auto" w:fill="FFFFFF"/>
              <w:tabs>
                <w:tab w:val="left" w:pos="426"/>
                <w:tab w:val="left" w:pos="851"/>
              </w:tabs>
              <w:ind w:left="766" w:hanging="340"/>
              <w:jc w:val="both"/>
              <w:rPr>
                <w:b/>
                <w:bCs/>
              </w:rPr>
            </w:pPr>
            <w:r w:rsidRPr="00B06408">
              <w:rPr>
                <w:b/>
                <w:bCs/>
              </w:rPr>
              <w:t xml:space="preserve">ar mērķi sniegt iespēju pašvaldību kapitālsabiedrībām piesaistīt finanšu resursu valsts aizdevuma veidā, valsts aizdevumam nepiemērojot riska procentu likmi, mājokļa pieejamību noteiktām mērķgrupām ar noteiktu ienākumu slieksni ir nepieciešams  noteikt kā sabiedrisko pakalpojumu saskaņā ar Eiropas Komisijas lēmumu (2011. gada 20. decembris) par Līguma par Eiropas Savienības darbību 106. panta 2. punkta piemērošanu valsts atbalstam attiecībā uz kompensāciju par sabiedriskajiem pakalpojumiem dažiem uzņēmumiem, kuriem uzticēts sniegt pakalpojumus ar vispārēju tautsaimniecisku nozīmi (2012/21/ES). </w:t>
            </w:r>
          </w:p>
          <w:p w14:paraId="7891478A" w14:textId="4C4C73FF" w:rsidR="00FC4A80" w:rsidRPr="00E12430" w:rsidRDefault="00FC4A80" w:rsidP="00457547">
            <w:pPr>
              <w:pStyle w:val="ListParagraph"/>
              <w:shd w:val="clear" w:color="auto" w:fill="FFFFFF"/>
              <w:spacing w:after="80"/>
              <w:jc w:val="both"/>
              <w:rPr>
                <w:bCs/>
              </w:rPr>
            </w:pPr>
          </w:p>
          <w:p w14:paraId="17737F25" w14:textId="79A8A719" w:rsidR="00FC4A80" w:rsidRPr="00E12430" w:rsidRDefault="00FC4A80" w:rsidP="00457547">
            <w:pPr>
              <w:shd w:val="clear" w:color="auto" w:fill="FFFFFF"/>
              <w:jc w:val="both"/>
              <w:rPr>
                <w:bCs/>
              </w:rPr>
            </w:pPr>
            <w:r w:rsidRPr="00E12430">
              <w:rPr>
                <w:bCs/>
              </w:rPr>
              <w:t xml:space="preserve">Tomēr šobrīd diskusijās ar iesaistītajām pusēm ir secināts, </w:t>
            </w:r>
            <w:bookmarkStart w:id="10" w:name="_Hlk526884201"/>
            <w:r w:rsidRPr="00E12430">
              <w:rPr>
                <w:bCs/>
              </w:rPr>
              <w:t xml:space="preserve">ka </w:t>
            </w:r>
            <w:bookmarkStart w:id="11" w:name="_Hlk526884387"/>
            <w:r w:rsidRPr="00E12430">
              <w:rPr>
                <w:bCs/>
              </w:rPr>
              <w:t>neviens normatīvais akts</w:t>
            </w:r>
            <w:r w:rsidRPr="00C46D9F">
              <w:rPr>
                <w:bCs/>
              </w:rPr>
              <w:t xml:space="preserve"> nesatur tiešu deleģējumu Ministru kabinetam noteikt nosacījumus valsts aizdevumu piešķiršanai pašvaldību kapitālsabiedrībām dzīvojamo īres māju būvniecībai, atjaunošanai, pārbūvei vai jaunuzceltu, atjaunotu vai pārbūvētu dzīvojamo īres māju iegādei</w:t>
            </w:r>
            <w:r>
              <w:rPr>
                <w:bCs/>
              </w:rPr>
              <w:t>.</w:t>
            </w:r>
          </w:p>
          <w:bookmarkEnd w:id="10"/>
          <w:bookmarkEnd w:id="11"/>
          <w:p w14:paraId="1861A46C" w14:textId="77777777" w:rsidR="00FC4A80" w:rsidRPr="00E12430" w:rsidRDefault="00FC4A80" w:rsidP="00457547">
            <w:pPr>
              <w:shd w:val="clear" w:color="auto" w:fill="FFFFFF"/>
              <w:jc w:val="both"/>
              <w:rPr>
                <w:bCs/>
              </w:rPr>
            </w:pPr>
          </w:p>
          <w:p w14:paraId="0C519ACC" w14:textId="0146E1F3" w:rsidR="00FC4A80" w:rsidRPr="00E12430" w:rsidRDefault="00FC4A80" w:rsidP="00457547">
            <w:pPr>
              <w:pStyle w:val="naisf"/>
              <w:spacing w:before="0" w:after="0"/>
              <w:ind w:firstLine="0"/>
              <w:rPr>
                <w:bCs/>
              </w:rPr>
            </w:pPr>
            <w:r w:rsidRPr="00E12430">
              <w:rPr>
                <w:bCs/>
              </w:rPr>
              <w:t xml:space="preserve">Ievērojot minēto, Likumprojekts paredz papildināt likumu </w:t>
            </w:r>
            <w:r>
              <w:rPr>
                <w:bCs/>
              </w:rPr>
              <w:t>„</w:t>
            </w:r>
            <w:r w:rsidRPr="00E12430">
              <w:rPr>
                <w:bCs/>
              </w:rPr>
              <w:t>Par palīdzību dzīvokļa jautājumu risināšana” ar jaunu 27.</w:t>
            </w:r>
            <w:r w:rsidRPr="00E12430">
              <w:rPr>
                <w:bCs/>
                <w:vertAlign w:val="superscript"/>
              </w:rPr>
              <w:t>3</w:t>
            </w:r>
            <w:r w:rsidRPr="00E12430">
              <w:rPr>
                <w:bCs/>
              </w:rPr>
              <w:t xml:space="preserve"> pantu, kas noteiktu atbalsta dzīvojamo īres māju būvniecībai, atjaunošanai, pārbūvei vai jaunuzceltu, atjaunotu vai pārbūvētu dzīvojamo īres māju iegādei sniegšanas veidu, kārtību, nosacījumus, grupas, kurām sniedzams atbalsts, kā arī piemērojamo komercdarbības atbalsta regulējumu. </w:t>
            </w:r>
          </w:p>
          <w:p w14:paraId="36254F71" w14:textId="77777777" w:rsidR="00FC4A80" w:rsidRPr="00E12430" w:rsidRDefault="00FC4A80" w:rsidP="00457547">
            <w:pPr>
              <w:pStyle w:val="naisf"/>
              <w:spacing w:before="0" w:after="0"/>
              <w:ind w:firstLine="0"/>
              <w:rPr>
                <w:bCs/>
              </w:rPr>
            </w:pPr>
          </w:p>
          <w:p w14:paraId="306F8DA0" w14:textId="7769AE6F" w:rsidR="00FC4A80" w:rsidRPr="00E12430" w:rsidRDefault="00FC4A80" w:rsidP="00E12430">
            <w:pPr>
              <w:pStyle w:val="tv213"/>
              <w:shd w:val="clear" w:color="auto" w:fill="FFFFFF"/>
              <w:spacing w:before="0" w:beforeAutospacing="0" w:after="0" w:afterAutospacing="0" w:line="293" w:lineRule="atLeast"/>
              <w:jc w:val="both"/>
              <w:rPr>
                <w:bCs/>
                <w:lang w:val="lv-LV" w:eastAsia="lv-LV"/>
              </w:rPr>
            </w:pPr>
            <w:r w:rsidRPr="00E12430">
              <w:rPr>
                <w:bCs/>
                <w:lang w:val="lv-LV" w:eastAsia="lv-LV"/>
              </w:rPr>
              <w:t xml:space="preserve">Vienlaikus </w:t>
            </w:r>
            <w:r>
              <w:rPr>
                <w:bCs/>
                <w:lang w:val="lv-LV" w:eastAsia="lv-LV"/>
              </w:rPr>
              <w:t>l</w:t>
            </w:r>
            <w:r w:rsidRPr="00E12430">
              <w:rPr>
                <w:bCs/>
                <w:lang w:val="lv-LV" w:eastAsia="lv-LV"/>
              </w:rPr>
              <w:t xml:space="preserve">ikuma “Par palīdzību dzīvokļa jautājumu risināšanā” 25.pants nosaka, ka pašvaldībai ir tiesības domes saistošajos noteikumos noteiktajā kārtībā un apmērā maksāt dzīvokļa pabalstu personām, kas denacionalizētā vai likumīgajam īpašniekam atdotā mājā lieto dzīvojamo telpu, kuru tās ir lietojušas līdz īpašuma tiesību atjaunošanai. </w:t>
            </w:r>
          </w:p>
          <w:p w14:paraId="02EF844A" w14:textId="77777777" w:rsidR="00FC4A80" w:rsidRPr="00E12430" w:rsidRDefault="00FC4A80" w:rsidP="00457547">
            <w:pPr>
              <w:pStyle w:val="tv213"/>
              <w:shd w:val="clear" w:color="auto" w:fill="FFFFFF"/>
              <w:spacing w:before="0" w:beforeAutospacing="0" w:after="0" w:afterAutospacing="0" w:line="293" w:lineRule="atLeast"/>
              <w:jc w:val="both"/>
              <w:rPr>
                <w:bCs/>
                <w:lang w:val="lv-LV" w:eastAsia="lv-LV"/>
              </w:rPr>
            </w:pPr>
          </w:p>
          <w:p w14:paraId="40375B8C" w14:textId="77777777" w:rsidR="00FC4A80" w:rsidRDefault="00FC4A80" w:rsidP="00E12430">
            <w:pPr>
              <w:pStyle w:val="tv213"/>
              <w:shd w:val="clear" w:color="auto" w:fill="FFFFFF"/>
              <w:spacing w:before="0" w:beforeAutospacing="0" w:after="0" w:afterAutospacing="0" w:line="293" w:lineRule="atLeast"/>
              <w:jc w:val="both"/>
              <w:rPr>
                <w:bCs/>
                <w:lang w:val="lv-LV"/>
              </w:rPr>
            </w:pPr>
            <w:r w:rsidRPr="00E12430">
              <w:rPr>
                <w:bCs/>
                <w:lang w:val="lv-LV" w:eastAsia="lv-LV"/>
              </w:rPr>
              <w:t xml:space="preserve">Vienlaikus pašvaldības dome saistošajos noteikumos var noteikt arī citas personu kategorijas, kurām ir tiesības saņemt dzīvokļa pabalstu, </w:t>
            </w:r>
            <w:r w:rsidRPr="0076162F">
              <w:rPr>
                <w:b/>
                <w:bCs/>
                <w:lang w:val="lv-LV" w:eastAsia="lv-LV"/>
              </w:rPr>
              <w:t>taču šādu pabalstu var saņemt tikai tās personas, kas atbilstoši likuma normām ir noteiktas par tiesīgām izīrēt pašvaldībai piederošu vai tās nomātu dzīvojamo telpu vai sociālo dzīvokli.</w:t>
            </w:r>
            <w:r>
              <w:rPr>
                <w:bCs/>
                <w:lang w:val="lv-LV" w:eastAsia="lv-LV"/>
              </w:rPr>
              <w:t xml:space="preserve"> Ievērojot to, ka mājokļa pieejamība ir nodrošināma ne tikai tām personām, kas atzītas par tiesīgām </w:t>
            </w:r>
            <w:r w:rsidRPr="00204B33">
              <w:rPr>
                <w:bCs/>
                <w:lang w:val="lv-LV" w:eastAsia="lv-LV"/>
              </w:rPr>
              <w:t>izīrēt pašvaldībai piederošu vai tās nomātu dzīvojamo telpu vai sociālo dzīvokli</w:t>
            </w:r>
            <w:r>
              <w:rPr>
                <w:bCs/>
                <w:lang w:val="lv-LV" w:eastAsia="lv-LV"/>
              </w:rPr>
              <w:t xml:space="preserve">, </w:t>
            </w:r>
            <w:r w:rsidRPr="00204B33">
              <w:rPr>
                <w:bCs/>
                <w:lang w:val="lv-LV" w:eastAsia="lv-LV"/>
              </w:rPr>
              <w:t xml:space="preserve">bet </w:t>
            </w:r>
            <w:r>
              <w:rPr>
                <w:bCs/>
                <w:lang w:val="lv-LV" w:eastAsia="lv-LV"/>
              </w:rPr>
              <w:t xml:space="preserve">plašākam sabiedrības lokam, </w:t>
            </w:r>
            <w:r w:rsidRPr="0076162F">
              <w:rPr>
                <w:bCs/>
                <w:lang w:val="lv-LV"/>
              </w:rPr>
              <w:t>Likumprojekts paredz izslēgt likumu “Par palīdzību dzīvokļa jautājumu risināšana” 25.panta otro daļu.</w:t>
            </w:r>
          </w:p>
          <w:p w14:paraId="2858D52E" w14:textId="77777777" w:rsidR="00FC4A80" w:rsidRDefault="00FC4A80" w:rsidP="00E12430">
            <w:pPr>
              <w:pStyle w:val="tv213"/>
              <w:shd w:val="clear" w:color="auto" w:fill="FFFFFF"/>
              <w:spacing w:before="0" w:beforeAutospacing="0" w:after="0" w:afterAutospacing="0" w:line="293" w:lineRule="atLeast"/>
              <w:jc w:val="both"/>
              <w:rPr>
                <w:bCs/>
                <w:lang w:val="lv-LV" w:eastAsia="lv-LV"/>
              </w:rPr>
            </w:pPr>
          </w:p>
          <w:p w14:paraId="31153771" w14:textId="68D14CB7" w:rsidR="00FC4A80" w:rsidRDefault="00FC4A80" w:rsidP="00E12430">
            <w:pPr>
              <w:pStyle w:val="tv213"/>
              <w:shd w:val="clear" w:color="auto" w:fill="FFFFFF"/>
              <w:spacing w:before="0" w:beforeAutospacing="0" w:after="0" w:afterAutospacing="0" w:line="293" w:lineRule="atLeast"/>
              <w:jc w:val="both"/>
              <w:rPr>
                <w:bCs/>
                <w:lang w:val="lv-LV" w:eastAsia="lv-LV"/>
              </w:rPr>
            </w:pPr>
            <w:r>
              <w:rPr>
                <w:bCs/>
                <w:lang w:val="lv-LV" w:eastAsia="lv-LV"/>
              </w:rPr>
              <w:t xml:space="preserve">Šobrīd, lai izmaksātu dzīvokļa pabalstu, piemēram personām, kas izīrēs dzīvojamo telpu, kas izveidota, pamatojoties uz iepriekš minēto mehānismu, pašvaldībai sākotnēji šādas personas būs jāatzīst par tiesīgām izīrēt </w:t>
            </w:r>
            <w:r w:rsidRPr="00204B33">
              <w:rPr>
                <w:bCs/>
                <w:lang w:val="lv-LV" w:eastAsia="lv-LV"/>
              </w:rPr>
              <w:t>pašvaldībai piederošu vai tās nomātu dzīvojamo telpu vai sociālo dzīvokli</w:t>
            </w:r>
            <w:r>
              <w:rPr>
                <w:bCs/>
                <w:lang w:val="lv-LV" w:eastAsia="lv-LV"/>
              </w:rPr>
              <w:t xml:space="preserve"> (lai gan tām šāda telpa nav nepieciešama, un personas izīrēs pašvaldības kapitālsabiedrībai piederošu dzīvojamo telpu) un tikai pēc tam, varēs tikt lemts par dzīvokļa </w:t>
            </w:r>
            <w:r>
              <w:rPr>
                <w:bCs/>
                <w:lang w:val="lv-LV" w:eastAsia="lv-LV"/>
              </w:rPr>
              <w:lastRenderedPageBreak/>
              <w:t>pabalsta izmaksu. Jāņem vērā, ka ne visos gadījumos, personām pašvaldības dzīvojamā telpa būs nepieciešama, kas palielinās cilvēku skaitu kas attiecīgajās rindās ir reģistrētas.</w:t>
            </w:r>
          </w:p>
          <w:p w14:paraId="3AAEE3CB" w14:textId="3F2E1ADB" w:rsidR="00FC4A80" w:rsidRPr="00E12430" w:rsidRDefault="00FC4A80" w:rsidP="00E12430">
            <w:pPr>
              <w:pStyle w:val="naisf"/>
              <w:spacing w:before="0" w:after="0"/>
              <w:ind w:firstLine="0"/>
              <w:rPr>
                <w:bCs/>
              </w:rPr>
            </w:pPr>
            <w:r>
              <w:rPr>
                <w:bCs/>
              </w:rPr>
              <w:t xml:space="preserve">Ievērojot minēto, </w:t>
            </w:r>
            <w:r w:rsidRPr="00E12430">
              <w:rPr>
                <w:bCs/>
              </w:rPr>
              <w:t>Likumprojekts paredz izslēgt likumu “Par palīdzību dzīvokļa jautājumu risināšana” 25.panta otro daļu.</w:t>
            </w:r>
          </w:p>
        </w:tc>
      </w:tr>
      <w:tr w:rsidR="00BD5588" w:rsidRPr="00204B33" w14:paraId="3C32C9BB" w14:textId="77777777" w:rsidTr="00FC4A80">
        <w:trPr>
          <w:gridAfter w:val="1"/>
          <w:wAfter w:w="7" w:type="pct"/>
        </w:trPr>
        <w:tc>
          <w:tcPr>
            <w:tcW w:w="217" w:type="pct"/>
            <w:hideMark/>
          </w:tcPr>
          <w:p w14:paraId="7068C18C" w14:textId="77777777" w:rsidR="00BD5588" w:rsidRPr="00204B33" w:rsidRDefault="00BD5588" w:rsidP="00793205">
            <w:pPr>
              <w:widowControl w:val="0"/>
              <w:jc w:val="center"/>
            </w:pPr>
            <w:r w:rsidRPr="00204B33">
              <w:lastRenderedPageBreak/>
              <w:t>3.</w:t>
            </w:r>
          </w:p>
        </w:tc>
        <w:tc>
          <w:tcPr>
            <w:tcW w:w="1072" w:type="pct"/>
            <w:hideMark/>
          </w:tcPr>
          <w:p w14:paraId="7DD5FFA2" w14:textId="77777777" w:rsidR="00BD5588" w:rsidRPr="00204B33" w:rsidRDefault="00BD5588" w:rsidP="00793205">
            <w:pPr>
              <w:widowControl w:val="0"/>
            </w:pPr>
            <w:r w:rsidRPr="00204B33">
              <w:t>Projekta izstrādē iesaistītās institūcijas un publiskas personas kapitālsabiedrības</w:t>
            </w:r>
          </w:p>
        </w:tc>
        <w:tc>
          <w:tcPr>
            <w:tcW w:w="3704" w:type="pct"/>
            <w:hideMark/>
          </w:tcPr>
          <w:p w14:paraId="7A0CEDE3" w14:textId="633F2530" w:rsidR="00E9202C" w:rsidRPr="00204B33" w:rsidRDefault="00E9202C" w:rsidP="00E9202C">
            <w:pPr>
              <w:pStyle w:val="Heading3"/>
              <w:shd w:val="clear" w:color="auto" w:fill="FFFFFF"/>
              <w:ind w:firstLine="0"/>
              <w:rPr>
                <w:sz w:val="24"/>
                <w:szCs w:val="24"/>
                <w:lang w:eastAsia="lv-LV"/>
              </w:rPr>
            </w:pPr>
            <w:r w:rsidRPr="00204B33">
              <w:rPr>
                <w:sz w:val="24"/>
                <w:szCs w:val="24"/>
                <w:lang w:eastAsia="lv-LV"/>
              </w:rPr>
              <w:t xml:space="preserve">Ekonomikas ministrija, </w:t>
            </w:r>
            <w:r w:rsidR="00E12430">
              <w:rPr>
                <w:sz w:val="24"/>
                <w:szCs w:val="24"/>
                <w:lang w:eastAsia="lv-LV"/>
              </w:rPr>
              <w:t xml:space="preserve">Finanšu ministrija, Tieslietu ministrija, </w:t>
            </w:r>
            <w:r w:rsidRPr="00204B33">
              <w:rPr>
                <w:sz w:val="24"/>
                <w:szCs w:val="24"/>
                <w:lang w:eastAsia="lv-LV"/>
              </w:rPr>
              <w:t xml:space="preserve">akciju sabiedrība </w:t>
            </w:r>
            <w:r w:rsidR="00AB5EB4">
              <w:rPr>
                <w:sz w:val="24"/>
                <w:szCs w:val="24"/>
                <w:lang w:eastAsia="lv-LV"/>
              </w:rPr>
              <w:t>„</w:t>
            </w:r>
            <w:r w:rsidRPr="00204B33">
              <w:rPr>
                <w:sz w:val="24"/>
                <w:szCs w:val="24"/>
                <w:lang w:eastAsia="lv-LV"/>
              </w:rPr>
              <w:t xml:space="preserve">Attīstības finanšu institūcija Altum", </w:t>
            </w:r>
            <w:hyperlink r:id="rId10" w:history="1">
              <w:r w:rsidRPr="00204B33">
                <w:rPr>
                  <w:sz w:val="24"/>
                  <w:szCs w:val="24"/>
                  <w:lang w:eastAsia="lv-LV"/>
                </w:rPr>
                <w:t>Latvijas Lielo pilsētu asociācija</w:t>
              </w:r>
            </w:hyperlink>
            <w:r w:rsidR="00E12430">
              <w:rPr>
                <w:sz w:val="24"/>
                <w:szCs w:val="24"/>
                <w:lang w:eastAsia="lv-LV"/>
              </w:rPr>
              <w:t>, Latvijas Pašvaldību savienība</w:t>
            </w:r>
            <w:r w:rsidR="00EA18EB">
              <w:rPr>
                <w:sz w:val="24"/>
                <w:szCs w:val="24"/>
                <w:lang w:eastAsia="lv-LV"/>
              </w:rPr>
              <w:t>.</w:t>
            </w:r>
          </w:p>
          <w:p w14:paraId="58CFEFE3" w14:textId="72D10678" w:rsidR="00161647" w:rsidRPr="00204B33" w:rsidRDefault="00161647" w:rsidP="00161647">
            <w:pPr>
              <w:widowControl w:val="0"/>
              <w:rPr>
                <w:sz w:val="14"/>
              </w:rPr>
            </w:pPr>
          </w:p>
        </w:tc>
      </w:tr>
      <w:tr w:rsidR="00BD5588" w:rsidRPr="00204B33" w14:paraId="3C9FB3AC" w14:textId="77777777" w:rsidTr="00FC4A80">
        <w:trPr>
          <w:gridAfter w:val="1"/>
          <w:wAfter w:w="7" w:type="pct"/>
        </w:trPr>
        <w:tc>
          <w:tcPr>
            <w:tcW w:w="217" w:type="pct"/>
            <w:hideMark/>
          </w:tcPr>
          <w:p w14:paraId="0371E4DA" w14:textId="77777777" w:rsidR="00BD5588" w:rsidRPr="00204B33" w:rsidRDefault="00BD5588" w:rsidP="00793205">
            <w:pPr>
              <w:widowControl w:val="0"/>
              <w:jc w:val="center"/>
            </w:pPr>
            <w:r w:rsidRPr="00204B33">
              <w:t>4.</w:t>
            </w:r>
          </w:p>
        </w:tc>
        <w:tc>
          <w:tcPr>
            <w:tcW w:w="1072" w:type="pct"/>
            <w:hideMark/>
          </w:tcPr>
          <w:p w14:paraId="43653179" w14:textId="77777777" w:rsidR="00BD5588" w:rsidRPr="00204B33" w:rsidRDefault="00BD5588" w:rsidP="00793205">
            <w:pPr>
              <w:widowControl w:val="0"/>
            </w:pPr>
            <w:r w:rsidRPr="00204B33">
              <w:t>Cita informācija</w:t>
            </w:r>
          </w:p>
        </w:tc>
        <w:tc>
          <w:tcPr>
            <w:tcW w:w="3704" w:type="pct"/>
            <w:hideMark/>
          </w:tcPr>
          <w:p w14:paraId="1C27C43A" w14:textId="1EF31810" w:rsidR="00BD5588" w:rsidRPr="00204B33" w:rsidRDefault="00FC4A80" w:rsidP="00FC4A80">
            <w:pPr>
              <w:shd w:val="clear" w:color="auto" w:fill="FFFFFF"/>
              <w:jc w:val="both"/>
            </w:pPr>
            <w:bookmarkStart w:id="12" w:name="_Hlk527449363"/>
            <w:r>
              <w:t xml:space="preserve">Papildus detalizētāks tirgus nepilnības izvērtējums tiks iesniegts līdz ar ministru kabineta noteikumu projektu </w:t>
            </w:r>
            <w:bookmarkStart w:id="13" w:name="_Hlk526878391"/>
            <w:r>
              <w:t>„</w:t>
            </w:r>
            <w:r w:rsidRPr="00FC4A80">
              <w:t>Noteikumi par atbalstu dzīvojamo īres māju būvniecībai, atjaunošanai, pārbūvei vai jaunuzceltu, atjaunotu vai pārbūvētu dzīvojamo īres māju iegādei” pēc tā saskaņošanas ar Eiropas Komisiju</w:t>
            </w:r>
            <w:r>
              <w:t>.</w:t>
            </w:r>
            <w:bookmarkEnd w:id="12"/>
            <w:bookmarkEnd w:id="13"/>
          </w:p>
        </w:tc>
      </w:tr>
    </w:tbl>
    <w:p w14:paraId="3760D661" w14:textId="193510FE" w:rsidR="004E4DD9" w:rsidRPr="00204B33" w:rsidRDefault="004E4DD9" w:rsidP="004E4DD9">
      <w:pPr>
        <w:pStyle w:val="Title"/>
        <w:spacing w:before="130" w:line="260" w:lineRule="exact"/>
        <w:jc w:val="both"/>
        <w:rPr>
          <w:sz w:val="24"/>
          <w:szCs w:val="24"/>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664"/>
      </w:tblGrid>
      <w:tr w:rsidR="00BD5588" w:rsidRPr="00204B33" w14:paraId="29C5FFBD" w14:textId="77777777" w:rsidTr="00C46D9F">
        <w:tc>
          <w:tcPr>
            <w:tcW w:w="9634" w:type="dxa"/>
            <w:gridSpan w:val="3"/>
            <w:vAlign w:val="center"/>
            <w:hideMark/>
          </w:tcPr>
          <w:p w14:paraId="3EC86B37" w14:textId="77777777" w:rsidR="00BD5588" w:rsidRPr="00204B33" w:rsidRDefault="00BD5588" w:rsidP="00E273A1">
            <w:pPr>
              <w:jc w:val="center"/>
              <w:rPr>
                <w:b/>
                <w:bCs/>
              </w:rPr>
            </w:pPr>
            <w:r w:rsidRPr="00204B33">
              <w:rPr>
                <w:b/>
                <w:bCs/>
              </w:rPr>
              <w:t>II. Tiesību akta projekta ietekme uz sabiedrību, tautsaimniecības attīstību un administratīvo slogu</w:t>
            </w:r>
          </w:p>
        </w:tc>
      </w:tr>
      <w:tr w:rsidR="00BD5588" w:rsidRPr="00204B33" w14:paraId="62721522" w14:textId="77777777" w:rsidTr="00C46D9F">
        <w:tc>
          <w:tcPr>
            <w:tcW w:w="516" w:type="dxa"/>
            <w:hideMark/>
          </w:tcPr>
          <w:p w14:paraId="2BF0B893" w14:textId="77777777" w:rsidR="00BD5588" w:rsidRPr="00204B33" w:rsidRDefault="00BD5588" w:rsidP="00E273A1">
            <w:pPr>
              <w:jc w:val="center"/>
            </w:pPr>
            <w:r w:rsidRPr="00204B33">
              <w:t>1.</w:t>
            </w:r>
          </w:p>
        </w:tc>
        <w:tc>
          <w:tcPr>
            <w:tcW w:w="2454" w:type="dxa"/>
            <w:hideMark/>
          </w:tcPr>
          <w:p w14:paraId="4CE59ABF" w14:textId="77777777" w:rsidR="00BD5588" w:rsidRPr="00204B33" w:rsidRDefault="00BD5588" w:rsidP="00E273A1">
            <w:r w:rsidRPr="00204B33">
              <w:t>Sabiedrības mērķgrupas, kuras tiesiskais regulējums ietekmē vai varētu ietekmēt</w:t>
            </w:r>
          </w:p>
        </w:tc>
        <w:tc>
          <w:tcPr>
            <w:tcW w:w="6664" w:type="dxa"/>
            <w:hideMark/>
          </w:tcPr>
          <w:p w14:paraId="660DE0D3" w14:textId="4893E1BC" w:rsidR="00E9202C" w:rsidRDefault="00E9202C" w:rsidP="00644E1F">
            <w:pPr>
              <w:tabs>
                <w:tab w:val="left" w:pos="409"/>
              </w:tabs>
              <w:ind w:right="-1"/>
              <w:jc w:val="both"/>
            </w:pPr>
            <w:r w:rsidRPr="00204B33">
              <w:t xml:space="preserve">Pašvaldības, </w:t>
            </w:r>
            <w:r w:rsidR="00644E1F">
              <w:t>kurās ir novērojama ekonomiskā aktivitāte un nepieciešams jauns darba spēks.</w:t>
            </w:r>
          </w:p>
          <w:p w14:paraId="6C47B532" w14:textId="77777777" w:rsidR="00851B9D" w:rsidRPr="00204B33" w:rsidRDefault="00851B9D" w:rsidP="00644E1F">
            <w:pPr>
              <w:tabs>
                <w:tab w:val="left" w:pos="409"/>
              </w:tabs>
              <w:ind w:right="-1"/>
              <w:jc w:val="both"/>
              <w:rPr>
                <w:color w:val="000000"/>
              </w:rPr>
            </w:pPr>
          </w:p>
          <w:p w14:paraId="3D76ED19" w14:textId="77777777" w:rsidR="00E9202C" w:rsidRPr="00204B33" w:rsidRDefault="00E9202C" w:rsidP="00E44D42">
            <w:pPr>
              <w:tabs>
                <w:tab w:val="left" w:pos="409"/>
              </w:tabs>
              <w:ind w:right="-1"/>
              <w:jc w:val="both"/>
            </w:pPr>
            <w:r w:rsidRPr="00204B33">
              <w:rPr>
                <w:color w:val="000000"/>
              </w:rPr>
              <w:t>Latvijas iedzīvotāji, kuriem tiek paplašinātas m</w:t>
            </w:r>
            <w:r w:rsidRPr="00204B33">
              <w:t>ājokļa pieejamības iespējas, kas motivē iedzīvotājus, meklējot darba iespējas, nevis migrēt ārpus valsts, bet izvēlēties iekšējo migrāciju, kas samazinātu ekonomiskos zaudējumus no negatīvā migrācijas saldo. Programma papildus sniegtu palīdzību no Latvijas emigrējušo iedzīvotāju atgriešanai valstī, piedāvājot finansiāli izdevīgu un mūsdienu kvalitātes standartiem atbilstošu mājokli reģionos, kur veidojas jaunas darba vietas.</w:t>
            </w:r>
          </w:p>
          <w:p w14:paraId="2728C749" w14:textId="53F50990" w:rsidR="00161647" w:rsidRPr="00204B33" w:rsidRDefault="00161647" w:rsidP="00EA3D31">
            <w:pPr>
              <w:pStyle w:val="naiskr"/>
              <w:spacing w:before="0" w:after="0"/>
              <w:ind w:firstLine="108"/>
              <w:jc w:val="both"/>
              <w:rPr>
                <w:sz w:val="14"/>
              </w:rPr>
            </w:pPr>
          </w:p>
        </w:tc>
      </w:tr>
      <w:tr w:rsidR="00BD5588" w:rsidRPr="00204B33" w14:paraId="4FFE8275" w14:textId="77777777" w:rsidTr="00C46D9F">
        <w:tc>
          <w:tcPr>
            <w:tcW w:w="516" w:type="dxa"/>
            <w:hideMark/>
          </w:tcPr>
          <w:p w14:paraId="4DA19C7B" w14:textId="77777777" w:rsidR="00BD5588" w:rsidRPr="00204B33" w:rsidRDefault="00BD5588" w:rsidP="00E273A1">
            <w:pPr>
              <w:jc w:val="center"/>
            </w:pPr>
            <w:r w:rsidRPr="00204B33">
              <w:t>2.</w:t>
            </w:r>
          </w:p>
        </w:tc>
        <w:tc>
          <w:tcPr>
            <w:tcW w:w="2454" w:type="dxa"/>
            <w:hideMark/>
          </w:tcPr>
          <w:p w14:paraId="4BFD0070" w14:textId="77777777" w:rsidR="00BD5588" w:rsidRPr="00204B33" w:rsidRDefault="00BD5588" w:rsidP="003D1F6B">
            <w:pPr>
              <w:jc w:val="both"/>
            </w:pPr>
            <w:r w:rsidRPr="00204B33">
              <w:t>Tiesiskā regulējuma ietekme uz tautsaimniecību un administratīvo slogu</w:t>
            </w:r>
          </w:p>
        </w:tc>
        <w:tc>
          <w:tcPr>
            <w:tcW w:w="6664" w:type="dxa"/>
            <w:hideMark/>
          </w:tcPr>
          <w:p w14:paraId="479F4DBC" w14:textId="77777777" w:rsidR="00E9202C" w:rsidRPr="00204B33" w:rsidRDefault="00E9202C" w:rsidP="00E9202C">
            <w:pPr>
              <w:ind w:right="-1"/>
              <w:jc w:val="both"/>
              <w:rPr>
                <w:rFonts w:eastAsia="SimSun"/>
                <w:lang w:eastAsia="zh-CN"/>
              </w:rPr>
            </w:pPr>
            <w:r w:rsidRPr="00204B33">
              <w:rPr>
                <w:rFonts w:eastAsia="SimSun"/>
                <w:lang w:eastAsia="zh-CN"/>
              </w:rPr>
              <w:t>Plānots, ka līdz ar tiesisko regulējumu tiks veicināta tautsaimniecības izaugsme, piesaistot kā nacionālā tā teritoriālā līmenī darba spēku ekonomiski aktīvajos reģionos. Tiks v</w:t>
            </w:r>
            <w:r w:rsidRPr="00204B33">
              <w:rPr>
                <w:rFonts w:eastAsia="Tahoma"/>
              </w:rPr>
              <w:t xml:space="preserve">eicināts jauno darba vietu pieauguma potenciāls reģionos, kā arī iedzīvotāju </w:t>
            </w:r>
            <w:r w:rsidRPr="00204B33">
              <w:rPr>
                <w:rFonts w:eastAsia="SimSun"/>
                <w:lang w:eastAsia="zh-CN"/>
              </w:rPr>
              <w:t>mobilitāte uz pilsētām un novadiem ar jaunām darbavietām</w:t>
            </w:r>
          </w:p>
          <w:p w14:paraId="4BAD3CB3" w14:textId="206CC8C0" w:rsidR="00161647" w:rsidRPr="00204B33" w:rsidRDefault="00161647" w:rsidP="00EA3D31">
            <w:pPr>
              <w:ind w:firstLine="108"/>
              <w:jc w:val="both"/>
              <w:rPr>
                <w:sz w:val="16"/>
              </w:rPr>
            </w:pPr>
          </w:p>
        </w:tc>
      </w:tr>
      <w:tr w:rsidR="00BD5588" w:rsidRPr="00204B33" w14:paraId="7CE4DD0A" w14:textId="77777777" w:rsidTr="00C46D9F">
        <w:tc>
          <w:tcPr>
            <w:tcW w:w="516" w:type="dxa"/>
            <w:hideMark/>
          </w:tcPr>
          <w:p w14:paraId="71DF9DC4" w14:textId="77777777" w:rsidR="00BD5588" w:rsidRPr="00204B33" w:rsidRDefault="00BD5588" w:rsidP="00E273A1">
            <w:pPr>
              <w:jc w:val="center"/>
            </w:pPr>
            <w:r w:rsidRPr="00204B33">
              <w:t>3.</w:t>
            </w:r>
          </w:p>
        </w:tc>
        <w:tc>
          <w:tcPr>
            <w:tcW w:w="2454" w:type="dxa"/>
            <w:hideMark/>
          </w:tcPr>
          <w:p w14:paraId="2AB44B2F" w14:textId="77777777" w:rsidR="00BD5588" w:rsidRPr="00204B33" w:rsidRDefault="00BD5588" w:rsidP="00E273A1">
            <w:r w:rsidRPr="00204B33">
              <w:t>Administratīvo izmaksu monetārs novērtējums</w:t>
            </w:r>
          </w:p>
        </w:tc>
        <w:tc>
          <w:tcPr>
            <w:tcW w:w="6664" w:type="dxa"/>
            <w:hideMark/>
          </w:tcPr>
          <w:p w14:paraId="61B521F7" w14:textId="79B8312F" w:rsidR="00BD5588" w:rsidRPr="00204B33" w:rsidRDefault="00644E1F" w:rsidP="00EA3D31">
            <w:pPr>
              <w:ind w:firstLine="108"/>
            </w:pPr>
            <w:r w:rsidRPr="00204B33">
              <w:t>Projekts šo jomu neskar.</w:t>
            </w:r>
          </w:p>
        </w:tc>
      </w:tr>
      <w:tr w:rsidR="00BD5588" w:rsidRPr="00204B33" w14:paraId="3F608AE8" w14:textId="77777777" w:rsidTr="00C46D9F">
        <w:tc>
          <w:tcPr>
            <w:tcW w:w="516" w:type="dxa"/>
            <w:hideMark/>
          </w:tcPr>
          <w:p w14:paraId="7300C071" w14:textId="77777777" w:rsidR="00BD5588" w:rsidRPr="00204B33" w:rsidRDefault="00BD5588" w:rsidP="00E273A1">
            <w:pPr>
              <w:jc w:val="center"/>
            </w:pPr>
            <w:r w:rsidRPr="00204B33">
              <w:t>4.</w:t>
            </w:r>
          </w:p>
        </w:tc>
        <w:tc>
          <w:tcPr>
            <w:tcW w:w="2454" w:type="dxa"/>
            <w:hideMark/>
          </w:tcPr>
          <w:p w14:paraId="7EE399F8" w14:textId="77777777" w:rsidR="00BD5588" w:rsidRPr="00204B33" w:rsidRDefault="00BD5588" w:rsidP="00E273A1">
            <w:r w:rsidRPr="00204B33">
              <w:t>Atbilstības izmaksu monetārs novērtējums</w:t>
            </w:r>
          </w:p>
        </w:tc>
        <w:tc>
          <w:tcPr>
            <w:tcW w:w="6664" w:type="dxa"/>
            <w:hideMark/>
          </w:tcPr>
          <w:p w14:paraId="7C96C716" w14:textId="0207B244" w:rsidR="00BD5588" w:rsidRPr="00204B33" w:rsidRDefault="005C6D85" w:rsidP="00EA3D31">
            <w:pPr>
              <w:ind w:firstLine="108"/>
            </w:pPr>
            <w:r w:rsidRPr="00204B33">
              <w:t>Projekts šo jomu neskar</w:t>
            </w:r>
            <w:r w:rsidR="00EA3D31" w:rsidRPr="00204B33">
              <w:t>.</w:t>
            </w:r>
          </w:p>
        </w:tc>
      </w:tr>
      <w:tr w:rsidR="00BD5588" w:rsidRPr="00204B33" w14:paraId="2E8CF3F3" w14:textId="77777777" w:rsidTr="00C46D9F">
        <w:tc>
          <w:tcPr>
            <w:tcW w:w="516" w:type="dxa"/>
            <w:hideMark/>
          </w:tcPr>
          <w:p w14:paraId="75BDC01E" w14:textId="77777777" w:rsidR="00BD5588" w:rsidRPr="00204B33" w:rsidRDefault="00BD5588" w:rsidP="00E273A1">
            <w:pPr>
              <w:jc w:val="center"/>
              <w:rPr>
                <w:highlight w:val="yellow"/>
              </w:rPr>
            </w:pPr>
            <w:r w:rsidRPr="00204B33">
              <w:t>5.</w:t>
            </w:r>
          </w:p>
        </w:tc>
        <w:tc>
          <w:tcPr>
            <w:tcW w:w="2454" w:type="dxa"/>
            <w:hideMark/>
          </w:tcPr>
          <w:p w14:paraId="0B8036F0" w14:textId="77777777" w:rsidR="00BD5588" w:rsidRPr="00204B33" w:rsidRDefault="00BD5588" w:rsidP="00E273A1">
            <w:r w:rsidRPr="00204B33">
              <w:t>Cita informācija</w:t>
            </w:r>
          </w:p>
        </w:tc>
        <w:tc>
          <w:tcPr>
            <w:tcW w:w="6664" w:type="dxa"/>
            <w:hideMark/>
          </w:tcPr>
          <w:p w14:paraId="735C0EEC" w14:textId="77777777" w:rsidR="00BD5588" w:rsidRPr="00204B33" w:rsidRDefault="005C6D85" w:rsidP="00EA3D31">
            <w:pPr>
              <w:ind w:firstLine="108"/>
            </w:pPr>
            <w:r w:rsidRPr="00204B33">
              <w:t>Nav</w:t>
            </w:r>
            <w:r w:rsidR="00EA3D31" w:rsidRPr="00204B33">
              <w:t>.</w:t>
            </w:r>
          </w:p>
          <w:p w14:paraId="50C8485D" w14:textId="22215239" w:rsidR="00161647" w:rsidRPr="00204B33" w:rsidRDefault="00161647" w:rsidP="00EA3D31">
            <w:pPr>
              <w:ind w:firstLine="108"/>
              <w:rPr>
                <w:sz w:val="12"/>
              </w:rPr>
            </w:pPr>
          </w:p>
        </w:tc>
      </w:tr>
    </w:tbl>
    <w:p w14:paraId="5839BD9A" w14:textId="4B0EFE0D" w:rsidR="004E4DD9" w:rsidRPr="00204B33" w:rsidRDefault="004E4DD9" w:rsidP="00E273A1">
      <w:pPr>
        <w:rPr>
          <w:highlight w:val="yellow"/>
        </w:rPr>
      </w:pPr>
    </w:p>
    <w:tbl>
      <w:tblPr>
        <w:tblStyle w:val="TableGridLight"/>
        <w:tblW w:w="5809" w:type="pct"/>
        <w:tblInd w:w="-5" w:type="dxa"/>
        <w:shd w:val="clear" w:color="auto" w:fill="FFFFFF" w:themeFill="background1"/>
        <w:tblLook w:val="04A0" w:firstRow="1" w:lastRow="0" w:firstColumn="1" w:lastColumn="0" w:noHBand="0" w:noVBand="1"/>
      </w:tblPr>
      <w:tblGrid>
        <w:gridCol w:w="1709"/>
        <w:gridCol w:w="1056"/>
        <w:gridCol w:w="1151"/>
        <w:gridCol w:w="964"/>
        <w:gridCol w:w="1151"/>
        <w:gridCol w:w="964"/>
        <w:gridCol w:w="1151"/>
        <w:gridCol w:w="1492"/>
      </w:tblGrid>
      <w:tr w:rsidR="00F54498" w:rsidRPr="00204B33" w14:paraId="54C7630B" w14:textId="77777777" w:rsidTr="00C46D9F">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204B33" w:rsidRDefault="00F54498" w:rsidP="00113C64">
            <w:pPr>
              <w:ind w:right="-34"/>
              <w:jc w:val="center"/>
              <w:rPr>
                <w:b/>
              </w:rPr>
            </w:pPr>
            <w:r w:rsidRPr="00204B33">
              <w:rPr>
                <w:b/>
              </w:rPr>
              <w:t>III. Tiesību akta projekta ietekme uz valsts budžetu un pašvaldību budžetiem</w:t>
            </w:r>
          </w:p>
        </w:tc>
      </w:tr>
      <w:tr w:rsidR="00F54498" w:rsidRPr="00204B33" w14:paraId="0F9CFDAA" w14:textId="77777777" w:rsidTr="00C46D9F">
        <w:tc>
          <w:tcPr>
            <w:tcW w:w="887" w:type="pct"/>
            <w:vMerge w:val="restart"/>
            <w:tcBorders>
              <w:top w:val="single" w:sz="4" w:space="0" w:color="auto"/>
              <w:left w:val="single" w:sz="4" w:space="0" w:color="auto"/>
              <w:right w:val="single" w:sz="4" w:space="0" w:color="auto"/>
            </w:tcBorders>
            <w:shd w:val="clear" w:color="auto" w:fill="FFFFFF" w:themeFill="background1"/>
            <w:hideMark/>
          </w:tcPr>
          <w:p w14:paraId="002F8F0B" w14:textId="77777777" w:rsidR="00F54498" w:rsidRPr="00204B33" w:rsidRDefault="00F54498" w:rsidP="003F5EB7">
            <w:r w:rsidRPr="00204B33">
              <w:t>Rādītāji</w:t>
            </w:r>
          </w:p>
        </w:tc>
        <w:tc>
          <w:tcPr>
            <w:tcW w:w="1144" w:type="pct"/>
            <w:gridSpan w:val="2"/>
            <w:vMerge w:val="restart"/>
            <w:tcBorders>
              <w:top w:val="single" w:sz="4" w:space="0" w:color="auto"/>
              <w:left w:val="single" w:sz="4" w:space="0" w:color="auto"/>
              <w:right w:val="single" w:sz="4" w:space="0" w:color="auto"/>
            </w:tcBorders>
            <w:shd w:val="clear" w:color="auto" w:fill="FFFFFF" w:themeFill="background1"/>
            <w:hideMark/>
          </w:tcPr>
          <w:p w14:paraId="3B8F37A4" w14:textId="7538FDCC" w:rsidR="00F54498" w:rsidRPr="00204B33" w:rsidRDefault="00BB1B72" w:rsidP="00BB1B72">
            <w:pPr>
              <w:jc w:val="center"/>
            </w:pPr>
            <w:r w:rsidRPr="00204B33">
              <w:t>2018</w:t>
            </w:r>
          </w:p>
        </w:tc>
        <w:tc>
          <w:tcPr>
            <w:tcW w:w="2969" w:type="pct"/>
            <w:gridSpan w:val="5"/>
            <w:tcBorders>
              <w:top w:val="single" w:sz="4" w:space="0" w:color="auto"/>
              <w:left w:val="single" w:sz="4" w:space="0" w:color="auto"/>
              <w:right w:val="single" w:sz="4" w:space="0" w:color="auto"/>
            </w:tcBorders>
            <w:shd w:val="clear" w:color="auto" w:fill="FFFFFF" w:themeFill="background1"/>
            <w:hideMark/>
          </w:tcPr>
          <w:p w14:paraId="00567396" w14:textId="77777777" w:rsidR="00F54498" w:rsidRPr="00204B33" w:rsidRDefault="00F54498" w:rsidP="00113C64">
            <w:pPr>
              <w:jc w:val="center"/>
            </w:pPr>
            <w:r w:rsidRPr="00204B33">
              <w:t>Turpmākie trīs gadi (euro)</w:t>
            </w:r>
          </w:p>
        </w:tc>
      </w:tr>
      <w:tr w:rsidR="002E264C" w:rsidRPr="00204B33" w14:paraId="1A698F6E" w14:textId="77777777" w:rsidTr="00C46D9F">
        <w:tc>
          <w:tcPr>
            <w:tcW w:w="887" w:type="pct"/>
            <w:vMerge/>
            <w:tcBorders>
              <w:left w:val="single" w:sz="4" w:space="0" w:color="auto"/>
              <w:right w:val="single" w:sz="4" w:space="0" w:color="auto"/>
            </w:tcBorders>
            <w:shd w:val="clear" w:color="auto" w:fill="FFFFFF" w:themeFill="background1"/>
            <w:hideMark/>
          </w:tcPr>
          <w:p w14:paraId="14BC10C5" w14:textId="77777777" w:rsidR="00F54498" w:rsidRPr="00204B33" w:rsidRDefault="00F54498" w:rsidP="003F5EB7"/>
        </w:tc>
        <w:tc>
          <w:tcPr>
            <w:tcW w:w="0" w:type="auto"/>
            <w:gridSpan w:val="2"/>
            <w:vMerge/>
            <w:tcBorders>
              <w:left w:val="single" w:sz="4" w:space="0" w:color="auto"/>
              <w:right w:val="single" w:sz="4" w:space="0" w:color="auto"/>
            </w:tcBorders>
            <w:shd w:val="clear" w:color="auto" w:fill="FFFFFF" w:themeFill="background1"/>
            <w:hideMark/>
          </w:tcPr>
          <w:p w14:paraId="0DDC0548" w14:textId="77777777" w:rsidR="00F54498" w:rsidRPr="00204B33" w:rsidRDefault="00F54498" w:rsidP="003F5EB7"/>
        </w:tc>
        <w:tc>
          <w:tcPr>
            <w:tcW w:w="1096" w:type="pct"/>
            <w:gridSpan w:val="2"/>
            <w:tcBorders>
              <w:top w:val="single" w:sz="4" w:space="0" w:color="auto"/>
              <w:left w:val="single" w:sz="4" w:space="0" w:color="auto"/>
              <w:right w:val="single" w:sz="4" w:space="0" w:color="auto"/>
            </w:tcBorders>
            <w:shd w:val="clear" w:color="auto" w:fill="FFFFFF" w:themeFill="background1"/>
            <w:hideMark/>
          </w:tcPr>
          <w:p w14:paraId="4CC34B2B" w14:textId="51AF213B" w:rsidR="00F54498" w:rsidRPr="00204B33" w:rsidRDefault="00BB1B72" w:rsidP="00BB1B72">
            <w:pPr>
              <w:jc w:val="center"/>
            </w:pPr>
            <w:r w:rsidRPr="00204B33">
              <w:t>2019</w:t>
            </w:r>
          </w:p>
        </w:tc>
        <w:tc>
          <w:tcPr>
            <w:tcW w:w="1096" w:type="pct"/>
            <w:gridSpan w:val="2"/>
            <w:tcBorders>
              <w:top w:val="single" w:sz="4" w:space="0" w:color="auto"/>
              <w:left w:val="single" w:sz="4" w:space="0" w:color="auto"/>
              <w:right w:val="single" w:sz="4" w:space="0" w:color="auto"/>
            </w:tcBorders>
            <w:shd w:val="clear" w:color="auto" w:fill="FFFFFF" w:themeFill="background1"/>
            <w:hideMark/>
          </w:tcPr>
          <w:p w14:paraId="7B277C80" w14:textId="5F9A8826" w:rsidR="00F54498" w:rsidRPr="00204B33" w:rsidRDefault="00BB1B72" w:rsidP="00BB1B72">
            <w:pPr>
              <w:jc w:val="center"/>
            </w:pPr>
            <w:r w:rsidRPr="00204B33">
              <w:t>2020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042A5" w14:textId="19CFF921" w:rsidR="00F54498" w:rsidRPr="00204B33" w:rsidRDefault="00BB1B72" w:rsidP="00BB1B72">
            <w:pPr>
              <w:jc w:val="center"/>
            </w:pPr>
            <w:r w:rsidRPr="00204B33">
              <w:t>2021</w:t>
            </w:r>
          </w:p>
        </w:tc>
      </w:tr>
      <w:tr w:rsidR="002E264C" w:rsidRPr="00204B33" w14:paraId="4A52E1DE" w14:textId="77777777" w:rsidTr="00C46D9F">
        <w:tc>
          <w:tcPr>
            <w:tcW w:w="887" w:type="pct"/>
            <w:vMerge/>
            <w:tcBorders>
              <w:left w:val="single" w:sz="4" w:space="0" w:color="auto"/>
              <w:bottom w:val="single" w:sz="4" w:space="0" w:color="auto"/>
              <w:right w:val="single" w:sz="4" w:space="0" w:color="auto"/>
            </w:tcBorders>
            <w:shd w:val="clear" w:color="auto" w:fill="FFFFFF" w:themeFill="background1"/>
            <w:hideMark/>
          </w:tcPr>
          <w:p w14:paraId="5EB0407B" w14:textId="77777777" w:rsidR="00F54498" w:rsidRPr="00204B33" w:rsidRDefault="00F54498" w:rsidP="003F5EB7"/>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A080" w14:textId="77777777" w:rsidR="00F54498" w:rsidRPr="00204B33" w:rsidRDefault="00F54498" w:rsidP="003F5EB7">
            <w:r w:rsidRPr="00204B33">
              <w:t xml:space="preserve">saskaņā ar valsts budžetu </w:t>
            </w:r>
            <w:r w:rsidRPr="00204B33">
              <w:lastRenderedPageBreak/>
              <w:t>kārtējam gadam</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824F7" w14:textId="77777777" w:rsidR="00F54498" w:rsidRPr="00204B33" w:rsidRDefault="00F54498" w:rsidP="003F5EB7">
            <w:r w:rsidRPr="00204B33">
              <w:lastRenderedPageBreak/>
              <w:t xml:space="preserve">izmaiņas kārtējā gadā, </w:t>
            </w:r>
            <w:r w:rsidRPr="00204B33">
              <w:lastRenderedPageBreak/>
              <w:t>salīdzinot ar valsts budžetu kārtējam gadam</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5F091A" w14:textId="77777777" w:rsidR="00F54498" w:rsidRPr="00204B33" w:rsidRDefault="00F54498" w:rsidP="00113C64">
            <w:pPr>
              <w:jc w:val="both"/>
            </w:pPr>
            <w:r w:rsidRPr="00204B33">
              <w:lastRenderedPageBreak/>
              <w:t xml:space="preserve">saskaņā ar vidēja </w:t>
            </w:r>
            <w:r w:rsidRPr="00204B33">
              <w:lastRenderedPageBreak/>
              <w:t>termiņa budžeta ietvaru</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CD71B" w14:textId="6227E3AA" w:rsidR="00F54498" w:rsidRPr="00204B33" w:rsidRDefault="00F54498" w:rsidP="003F5EB7">
            <w:r w:rsidRPr="00204B33">
              <w:lastRenderedPageBreak/>
              <w:t xml:space="preserve">izmaiņas, salīdzinot ar vidēja </w:t>
            </w:r>
            <w:r w:rsidRPr="00204B33">
              <w:lastRenderedPageBreak/>
              <w:t xml:space="preserve">termiņa budžeta ietvaru </w:t>
            </w:r>
            <w:r w:rsidR="00BB1B72" w:rsidRPr="00204B33">
              <w:t>2019.</w:t>
            </w:r>
            <w:r w:rsidRPr="00204B33">
              <w:t xml:space="preserve"> gadam</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4E42D" w14:textId="77777777" w:rsidR="00F54498" w:rsidRPr="00204B33" w:rsidRDefault="00F54498" w:rsidP="003F5EB7">
            <w:r w:rsidRPr="00204B33">
              <w:lastRenderedPageBreak/>
              <w:t xml:space="preserve">saskaņā ar vidēja </w:t>
            </w:r>
            <w:r w:rsidRPr="00204B33">
              <w:lastRenderedPageBreak/>
              <w:t>termiņa budžeta ietvaru</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2631E" w14:textId="6647FD5D" w:rsidR="00F54498" w:rsidRPr="00204B33" w:rsidRDefault="00F54498" w:rsidP="003F5EB7">
            <w:r w:rsidRPr="00204B33">
              <w:lastRenderedPageBreak/>
              <w:t xml:space="preserve">izmaiņas, salīdzinot ar vidēja </w:t>
            </w:r>
            <w:r w:rsidRPr="00204B33">
              <w:lastRenderedPageBreak/>
              <w:t xml:space="preserve">termiņa budžeta ietvaru </w:t>
            </w:r>
            <w:r w:rsidR="00BB1B72" w:rsidRPr="00204B33">
              <w:t>2020.</w:t>
            </w:r>
            <w:r w:rsidRPr="00204B33">
              <w:t xml:space="preserve"> gadam</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16EC2" w14:textId="362221EC" w:rsidR="00F54498" w:rsidRPr="00204B33" w:rsidRDefault="00F54498" w:rsidP="003F5EB7">
            <w:r w:rsidRPr="00204B33">
              <w:lastRenderedPageBreak/>
              <w:t xml:space="preserve">izmaiņas, salīdzinot ar vidēja </w:t>
            </w:r>
            <w:r w:rsidRPr="00204B33">
              <w:lastRenderedPageBreak/>
              <w:t xml:space="preserve">termiņa budžeta ietvaru </w:t>
            </w:r>
            <w:r w:rsidR="00BB1B72" w:rsidRPr="00204B33">
              <w:t>2021.</w:t>
            </w:r>
            <w:r w:rsidRPr="00204B33">
              <w:t xml:space="preserve"> gadam</w:t>
            </w:r>
          </w:p>
        </w:tc>
      </w:tr>
      <w:tr w:rsidR="002E264C" w:rsidRPr="00204B33" w14:paraId="570B235F"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FCFDF" w14:textId="77777777" w:rsidR="00F54498" w:rsidRPr="00204B33" w:rsidRDefault="00F54498" w:rsidP="003F5EB7">
            <w:r w:rsidRPr="00204B33">
              <w:lastRenderedPageBreak/>
              <w:t>1</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69021" w14:textId="77777777" w:rsidR="00F54498" w:rsidRPr="00204B33" w:rsidRDefault="00F54498" w:rsidP="003F5EB7">
            <w:r w:rsidRPr="00204B33">
              <w:t>2</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40DF7" w14:textId="77777777" w:rsidR="00F54498" w:rsidRPr="00204B33" w:rsidRDefault="00F54498" w:rsidP="003F5EB7">
            <w:r w:rsidRPr="00204B33">
              <w:t>3</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89D9E" w14:textId="77777777" w:rsidR="00F54498" w:rsidRPr="00204B33" w:rsidRDefault="00F54498" w:rsidP="003F5EB7">
            <w:r w:rsidRPr="00204B33">
              <w:t>4</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3648E" w14:textId="77777777" w:rsidR="00F54498" w:rsidRPr="00204B33" w:rsidRDefault="00F54498" w:rsidP="003F5EB7">
            <w:r w:rsidRPr="00204B33">
              <w:t>5</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5713C" w14:textId="77777777" w:rsidR="00F54498" w:rsidRPr="00204B33" w:rsidRDefault="00F54498" w:rsidP="003F5EB7">
            <w:r w:rsidRPr="00204B33">
              <w:t>6</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5AF83" w14:textId="77777777" w:rsidR="00F54498" w:rsidRPr="00204B33" w:rsidRDefault="00F54498" w:rsidP="003F5EB7">
            <w:r w:rsidRPr="00204B33">
              <w:t>7</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B0E95" w14:textId="77777777" w:rsidR="00F54498" w:rsidRPr="00204B33" w:rsidRDefault="00F54498" w:rsidP="003F5EB7">
            <w:r w:rsidRPr="00204B33">
              <w:t>8</w:t>
            </w:r>
          </w:p>
        </w:tc>
      </w:tr>
      <w:tr w:rsidR="00644E1F" w:rsidRPr="00204B33" w14:paraId="0E2551F8"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8EB05" w14:textId="77777777" w:rsidR="00644E1F" w:rsidRPr="00204B33" w:rsidRDefault="00644E1F" w:rsidP="00644E1F">
            <w:r w:rsidRPr="00204B33">
              <w:t>1. Budžeta ieņēmumi</w:t>
            </w:r>
          </w:p>
        </w:tc>
        <w:tc>
          <w:tcPr>
            <w:tcW w:w="548" w:type="pct"/>
            <w:tcBorders>
              <w:top w:val="single" w:sz="4" w:space="0" w:color="auto"/>
              <w:left w:val="single" w:sz="4" w:space="0" w:color="auto"/>
              <w:right w:val="single" w:sz="4" w:space="0" w:color="auto"/>
            </w:tcBorders>
            <w:shd w:val="clear" w:color="auto" w:fill="FFFFFF" w:themeFill="background1"/>
            <w:hideMark/>
          </w:tcPr>
          <w:p w14:paraId="2B3D1428" w14:textId="22444E69" w:rsidR="00644E1F" w:rsidRPr="00204B33" w:rsidRDefault="00644E1F" w:rsidP="00644E1F">
            <w:pPr>
              <w:jc w:val="center"/>
            </w:pPr>
            <w:r>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613B073D" w14:textId="485106E5" w:rsidR="00644E1F" w:rsidRPr="00204B33" w:rsidRDefault="00644E1F" w:rsidP="00644E1F">
            <w:pPr>
              <w:jc w:val="center"/>
            </w:pPr>
            <w:r>
              <w:t>0</w:t>
            </w:r>
          </w:p>
        </w:tc>
        <w:tc>
          <w:tcPr>
            <w:tcW w:w="500" w:type="pct"/>
            <w:tcBorders>
              <w:top w:val="single" w:sz="4" w:space="0" w:color="auto"/>
              <w:left w:val="single" w:sz="4" w:space="0" w:color="auto"/>
              <w:right w:val="single" w:sz="4" w:space="0" w:color="auto"/>
            </w:tcBorders>
            <w:shd w:val="clear" w:color="auto" w:fill="FFFFFF" w:themeFill="background1"/>
            <w:hideMark/>
          </w:tcPr>
          <w:p w14:paraId="30919EA8" w14:textId="0150E963" w:rsidR="00644E1F" w:rsidRPr="00204B33" w:rsidRDefault="00644E1F" w:rsidP="00644E1F">
            <w:pPr>
              <w:jc w:val="center"/>
            </w:pPr>
            <w:r>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5D80514C" w14:textId="69D992E7" w:rsidR="00644E1F" w:rsidRPr="00204B33" w:rsidRDefault="00644E1F" w:rsidP="00644E1F">
            <w:pPr>
              <w:jc w:val="center"/>
            </w:pPr>
            <w:r>
              <w:t>0</w:t>
            </w:r>
          </w:p>
        </w:tc>
        <w:tc>
          <w:tcPr>
            <w:tcW w:w="500" w:type="pct"/>
            <w:tcBorders>
              <w:top w:val="single" w:sz="4" w:space="0" w:color="auto"/>
              <w:left w:val="single" w:sz="4" w:space="0" w:color="auto"/>
              <w:right w:val="single" w:sz="4" w:space="0" w:color="auto"/>
            </w:tcBorders>
            <w:shd w:val="clear" w:color="auto" w:fill="FFFFFF" w:themeFill="background1"/>
            <w:hideMark/>
          </w:tcPr>
          <w:p w14:paraId="1EBBA847" w14:textId="503A379A" w:rsidR="00644E1F" w:rsidRPr="00204B33" w:rsidRDefault="00644E1F" w:rsidP="00644E1F">
            <w:pPr>
              <w:jc w:val="center"/>
            </w:pPr>
            <w:r w:rsidRPr="00E11B5F">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20337334" w14:textId="50D274DE" w:rsidR="00644E1F" w:rsidRPr="00204B33" w:rsidRDefault="00644E1F" w:rsidP="00644E1F">
            <w:pPr>
              <w:jc w:val="center"/>
            </w:pPr>
            <w:r w:rsidRPr="00E11B5F">
              <w:t>0</w:t>
            </w:r>
          </w:p>
        </w:tc>
        <w:tc>
          <w:tcPr>
            <w:tcW w:w="777" w:type="pct"/>
            <w:tcBorders>
              <w:top w:val="single" w:sz="4" w:space="0" w:color="auto"/>
              <w:left w:val="single" w:sz="4" w:space="0" w:color="auto"/>
              <w:right w:val="single" w:sz="4" w:space="0" w:color="auto"/>
            </w:tcBorders>
            <w:shd w:val="clear" w:color="auto" w:fill="FFFFFF" w:themeFill="background1"/>
            <w:hideMark/>
          </w:tcPr>
          <w:p w14:paraId="70D74956" w14:textId="0D94F7E1" w:rsidR="00644E1F" w:rsidRPr="00204B33" w:rsidRDefault="00644E1F" w:rsidP="00644E1F">
            <w:pPr>
              <w:jc w:val="center"/>
            </w:pPr>
            <w:r w:rsidRPr="00191F69">
              <w:t>0</w:t>
            </w:r>
          </w:p>
        </w:tc>
      </w:tr>
      <w:tr w:rsidR="00644E1F" w:rsidRPr="00204B33" w14:paraId="5BFB8E6B"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655F5" w14:textId="77777777" w:rsidR="00644E1F" w:rsidRPr="00204B33" w:rsidRDefault="00644E1F" w:rsidP="00644E1F">
            <w:r w:rsidRPr="00204B33">
              <w:t>1.1. valsts pamatbudžets, tai skaitā ieņēmumi no maksas pakalpojumiem un citi pašu ieņēmumi</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C810D" w14:textId="2BAEB2AC" w:rsidR="00644E1F" w:rsidRPr="00204B33" w:rsidRDefault="00644E1F" w:rsidP="00644E1F">
            <w:pPr>
              <w:jc w:val="center"/>
            </w:pPr>
            <w:r>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FC2E3" w14:textId="38FE3ED3" w:rsidR="00644E1F" w:rsidRPr="00204B33" w:rsidRDefault="00644E1F" w:rsidP="00644E1F">
            <w:pPr>
              <w:jc w:val="center"/>
            </w:pPr>
            <w:r>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F45F58" w14:textId="0F8A0EFA" w:rsidR="00644E1F" w:rsidRPr="00204B33" w:rsidRDefault="00644E1F" w:rsidP="00644E1F">
            <w:pPr>
              <w:jc w:val="center"/>
            </w:pPr>
            <w:r>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AADDB" w14:textId="63AFF8C5" w:rsidR="00644E1F" w:rsidRPr="00204B33" w:rsidRDefault="00644E1F" w:rsidP="00644E1F">
            <w:pPr>
              <w:jc w:val="center"/>
            </w:pPr>
            <w:r w:rsidRPr="001B7A8F">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C59D8" w14:textId="7E9F9720" w:rsidR="00644E1F" w:rsidRPr="00204B33" w:rsidRDefault="00644E1F" w:rsidP="00644E1F">
            <w:pPr>
              <w:jc w:val="center"/>
            </w:pPr>
            <w:r w:rsidRPr="001B7A8F">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F5830" w14:textId="0841423B" w:rsidR="00644E1F" w:rsidRPr="00204B33" w:rsidRDefault="00644E1F" w:rsidP="00644E1F">
            <w:pPr>
              <w:jc w:val="center"/>
            </w:pPr>
            <w:r w:rsidRPr="00191F69">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6DD10" w14:textId="4A561279" w:rsidR="00644E1F" w:rsidRPr="00204B33" w:rsidRDefault="00644E1F" w:rsidP="00644E1F">
            <w:pPr>
              <w:jc w:val="center"/>
            </w:pPr>
            <w:r w:rsidRPr="00191F69">
              <w:t>0</w:t>
            </w:r>
          </w:p>
        </w:tc>
      </w:tr>
      <w:tr w:rsidR="00B9422A" w:rsidRPr="00204B33" w14:paraId="48E90707"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39661" w14:textId="77777777" w:rsidR="00F54498" w:rsidRPr="00204B33" w:rsidRDefault="00F54498" w:rsidP="003F5EB7">
            <w:r w:rsidRPr="00204B33">
              <w:t>1.2. valsts speciālais 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CFC94" w14:textId="18C13F55"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27E7A" w14:textId="48A76736"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AD772" w14:textId="592F5975"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83B68" w14:textId="0887CB5A"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BDC86" w14:textId="5C90FA1C"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7CF0E" w14:textId="40D7E9C6" w:rsidR="00F54498" w:rsidRPr="00204B33" w:rsidRDefault="008817F9"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F25C6" w14:textId="36303675" w:rsidR="00F54498" w:rsidRPr="00204B33" w:rsidRDefault="008817F9" w:rsidP="008817F9">
            <w:pPr>
              <w:jc w:val="center"/>
            </w:pPr>
            <w:r w:rsidRPr="00204B33">
              <w:t>0</w:t>
            </w:r>
          </w:p>
        </w:tc>
      </w:tr>
      <w:tr w:rsidR="00B9422A" w:rsidRPr="00204B33" w14:paraId="7DCD644F"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F792D" w14:textId="77777777" w:rsidR="00F54498" w:rsidRPr="00204B33" w:rsidRDefault="00F54498" w:rsidP="003F5EB7">
            <w:r w:rsidRPr="00204B33">
              <w:t>1.3. pašvaldību 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880D4" w14:textId="3BCFBB60"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2F173" w14:textId="72A60510"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5979B" w14:textId="661D197E"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5E316" w14:textId="0567D928"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58B4D" w14:textId="7C0299F6"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DC751" w14:textId="0AD968AF" w:rsidR="00F54498" w:rsidRPr="00204B33" w:rsidRDefault="008817F9"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426B3" w14:textId="5191ADDB" w:rsidR="00F54498" w:rsidRPr="00204B33" w:rsidRDefault="008817F9" w:rsidP="008817F9">
            <w:pPr>
              <w:jc w:val="center"/>
            </w:pPr>
            <w:r w:rsidRPr="00204B33">
              <w:t>0</w:t>
            </w:r>
          </w:p>
        </w:tc>
      </w:tr>
      <w:tr w:rsidR="00644E1F" w:rsidRPr="00204B33" w14:paraId="085AAEAA"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E2F3F" w14:textId="77777777" w:rsidR="00644E1F" w:rsidRPr="00204B33" w:rsidRDefault="00644E1F" w:rsidP="00644E1F">
            <w:r w:rsidRPr="00204B33">
              <w:t>2. Budžeta izdevumi</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76A2A" w14:textId="33CF0A09" w:rsidR="00644E1F" w:rsidRPr="00204B33" w:rsidRDefault="00644E1F"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0A4C7" w14:textId="31A875AA" w:rsidR="00644E1F" w:rsidRPr="00204B33" w:rsidRDefault="00644E1F" w:rsidP="00644E1F">
            <w:pPr>
              <w:jc w:val="center"/>
            </w:pPr>
            <w:r w:rsidRPr="004613E2">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1FC3" w14:textId="4D8482D8" w:rsidR="00644E1F" w:rsidRPr="00204B33" w:rsidRDefault="00644E1F"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561E3" w14:textId="48102FC5" w:rsidR="00644E1F" w:rsidRPr="00204B33" w:rsidRDefault="00644E1F" w:rsidP="00644E1F">
            <w:pPr>
              <w:jc w:val="center"/>
            </w:pPr>
            <w:r w:rsidRPr="004613E2">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950CD" w14:textId="7BF09C17" w:rsidR="00644E1F" w:rsidRPr="00204B33" w:rsidRDefault="00644E1F"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DB4BF" w14:textId="3CE88E8B" w:rsidR="00644E1F" w:rsidRPr="00204B33" w:rsidRDefault="00644E1F" w:rsidP="00644E1F">
            <w:pPr>
              <w:jc w:val="center"/>
            </w:pPr>
            <w:r w:rsidRPr="004613E2">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BC8FE" w14:textId="092A2B5E" w:rsidR="00644E1F" w:rsidRPr="00204B33" w:rsidRDefault="00644E1F" w:rsidP="00644E1F">
            <w:pPr>
              <w:jc w:val="center"/>
            </w:pPr>
            <w:r w:rsidRPr="004613E2">
              <w:t>0</w:t>
            </w:r>
          </w:p>
        </w:tc>
      </w:tr>
      <w:tr w:rsidR="00644E1F" w:rsidRPr="00204B33" w14:paraId="083E503F"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B62F0" w14:textId="77777777" w:rsidR="00644E1F" w:rsidRPr="00204B33" w:rsidRDefault="00644E1F" w:rsidP="00644E1F">
            <w:r w:rsidRPr="00204B33">
              <w:t>2.1. valsts pamatbudžets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F46FC" w14:textId="0455978B" w:rsidR="00644E1F" w:rsidRPr="00204B33" w:rsidRDefault="00644E1F"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31B6B" w14:textId="4CD35C9A" w:rsidR="00644E1F" w:rsidRPr="00204B33" w:rsidRDefault="00644E1F" w:rsidP="00644E1F">
            <w:pPr>
              <w:jc w:val="center"/>
            </w:pPr>
            <w:r w:rsidRPr="004613E2">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FCB09" w14:textId="6371E8FC" w:rsidR="00644E1F" w:rsidRPr="00204B33" w:rsidRDefault="00644E1F"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CF928" w14:textId="5C420E9B" w:rsidR="00644E1F" w:rsidRPr="00204B33" w:rsidRDefault="00644E1F" w:rsidP="00644E1F">
            <w:pPr>
              <w:jc w:val="center"/>
            </w:pPr>
            <w:r w:rsidRPr="004613E2">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F21B0" w14:textId="35EABF0B" w:rsidR="00644E1F" w:rsidRPr="00204B33" w:rsidRDefault="00644E1F" w:rsidP="00644E1F">
            <w:pPr>
              <w:jc w:val="center"/>
            </w:pPr>
            <w:r w:rsidRPr="004613E2">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C3294" w14:textId="697DE119" w:rsidR="00644E1F" w:rsidRPr="00204B33" w:rsidRDefault="00644E1F" w:rsidP="00644E1F">
            <w:pPr>
              <w:jc w:val="center"/>
            </w:pPr>
            <w:r w:rsidRPr="004613E2">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D4935" w14:textId="5568811E" w:rsidR="00644E1F" w:rsidRPr="00204B33" w:rsidRDefault="00644E1F" w:rsidP="00644E1F">
            <w:pPr>
              <w:jc w:val="center"/>
            </w:pPr>
            <w:r w:rsidRPr="004613E2">
              <w:t>0</w:t>
            </w:r>
          </w:p>
        </w:tc>
      </w:tr>
      <w:tr w:rsidR="00F54498" w:rsidRPr="00204B33" w14:paraId="56D94958"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93A21" w14:textId="77777777" w:rsidR="00F54498" w:rsidRPr="00204B33" w:rsidRDefault="00F54498" w:rsidP="003F5EB7">
            <w:r w:rsidRPr="00204B33">
              <w:t>2.2. valsts speciālais 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7FB7F" w14:textId="65267106"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82C79" w14:textId="0ECAD5A4"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F0907" w14:textId="0D9CB671" w:rsidR="00F54498" w:rsidRPr="00204B33" w:rsidRDefault="00026B5B"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A4109" w14:textId="45C8C83A"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DDAE6" w14:textId="42B62C04"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38139" w14:textId="61C37236" w:rsidR="00F54498" w:rsidRPr="00204B33" w:rsidRDefault="008817F9"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12F1E" w14:textId="22017CE0" w:rsidR="00F54498" w:rsidRPr="00204B33" w:rsidRDefault="008817F9" w:rsidP="008817F9">
            <w:pPr>
              <w:jc w:val="center"/>
            </w:pPr>
            <w:r w:rsidRPr="00204B33">
              <w:t>0</w:t>
            </w:r>
          </w:p>
        </w:tc>
      </w:tr>
      <w:tr w:rsidR="00F54498" w:rsidRPr="00204B33" w14:paraId="670789BF" w14:textId="77777777" w:rsidTr="00C46D9F">
        <w:tc>
          <w:tcPr>
            <w:tcW w:w="887" w:type="pct"/>
            <w:tcBorders>
              <w:top w:val="single" w:sz="4" w:space="0" w:color="auto"/>
              <w:left w:val="single" w:sz="4" w:space="0" w:color="auto"/>
              <w:right w:val="single" w:sz="4" w:space="0" w:color="auto"/>
            </w:tcBorders>
            <w:shd w:val="clear" w:color="auto" w:fill="FFFFFF" w:themeFill="background1"/>
            <w:hideMark/>
          </w:tcPr>
          <w:p w14:paraId="68DF9EB1" w14:textId="77777777" w:rsidR="00F54498" w:rsidRPr="00204B33" w:rsidRDefault="00F54498" w:rsidP="003F5EB7">
            <w:r w:rsidRPr="00204B33">
              <w:t>2.3. pašvaldību budžets</w:t>
            </w:r>
          </w:p>
        </w:tc>
        <w:tc>
          <w:tcPr>
            <w:tcW w:w="548" w:type="pct"/>
            <w:tcBorders>
              <w:top w:val="single" w:sz="4" w:space="0" w:color="auto"/>
              <w:left w:val="single" w:sz="4" w:space="0" w:color="auto"/>
              <w:right w:val="single" w:sz="4" w:space="0" w:color="auto"/>
            </w:tcBorders>
            <w:shd w:val="clear" w:color="auto" w:fill="FFFFFF" w:themeFill="background1"/>
            <w:hideMark/>
          </w:tcPr>
          <w:p w14:paraId="65D7D174" w14:textId="2E206F7F" w:rsidR="00F54498" w:rsidRPr="00204B33" w:rsidRDefault="008817F9"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238B3139" w14:textId="2D6237F9" w:rsidR="00F54498" w:rsidRPr="00204B33" w:rsidRDefault="008817F9" w:rsidP="008817F9">
            <w:pPr>
              <w:jc w:val="center"/>
            </w:pPr>
            <w:r w:rsidRPr="00204B33">
              <w:t>0</w:t>
            </w:r>
          </w:p>
        </w:tc>
        <w:tc>
          <w:tcPr>
            <w:tcW w:w="500" w:type="pct"/>
            <w:tcBorders>
              <w:top w:val="single" w:sz="4" w:space="0" w:color="auto"/>
              <w:left w:val="single" w:sz="4" w:space="0" w:color="auto"/>
              <w:right w:val="single" w:sz="4" w:space="0" w:color="auto"/>
            </w:tcBorders>
            <w:shd w:val="clear" w:color="auto" w:fill="FFFFFF" w:themeFill="background1"/>
            <w:hideMark/>
          </w:tcPr>
          <w:p w14:paraId="2DEC28A2" w14:textId="2C0A2752" w:rsidR="00F54498" w:rsidRPr="00204B33" w:rsidRDefault="008817F9"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57DF88EB" w14:textId="1C9342CB" w:rsidR="00F54498" w:rsidRPr="00204B33" w:rsidRDefault="008817F9" w:rsidP="008817F9">
            <w:pPr>
              <w:jc w:val="center"/>
            </w:pPr>
            <w:r w:rsidRPr="00204B33">
              <w:t>0</w:t>
            </w:r>
          </w:p>
        </w:tc>
        <w:tc>
          <w:tcPr>
            <w:tcW w:w="500" w:type="pct"/>
            <w:tcBorders>
              <w:top w:val="single" w:sz="4" w:space="0" w:color="auto"/>
              <w:left w:val="single" w:sz="4" w:space="0" w:color="auto"/>
              <w:right w:val="single" w:sz="4" w:space="0" w:color="auto"/>
            </w:tcBorders>
            <w:shd w:val="clear" w:color="auto" w:fill="FFFFFF" w:themeFill="background1"/>
            <w:hideMark/>
          </w:tcPr>
          <w:p w14:paraId="359496CF" w14:textId="58761C98" w:rsidR="00F54498" w:rsidRPr="00204B33" w:rsidRDefault="008817F9"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206A4B35" w14:textId="4633CB8F" w:rsidR="00F54498" w:rsidRPr="00204B33" w:rsidRDefault="008817F9" w:rsidP="008817F9">
            <w:pPr>
              <w:jc w:val="center"/>
            </w:pPr>
            <w:r w:rsidRPr="00204B33">
              <w:t>0</w:t>
            </w:r>
          </w:p>
        </w:tc>
        <w:tc>
          <w:tcPr>
            <w:tcW w:w="777" w:type="pct"/>
            <w:tcBorders>
              <w:top w:val="single" w:sz="4" w:space="0" w:color="auto"/>
              <w:left w:val="single" w:sz="4" w:space="0" w:color="auto"/>
              <w:right w:val="single" w:sz="4" w:space="0" w:color="auto"/>
            </w:tcBorders>
            <w:shd w:val="clear" w:color="auto" w:fill="FFFFFF" w:themeFill="background1"/>
            <w:hideMark/>
          </w:tcPr>
          <w:p w14:paraId="28D3F916" w14:textId="4C150CB5" w:rsidR="00F54498" w:rsidRPr="00204B33" w:rsidRDefault="008817F9" w:rsidP="008817F9">
            <w:pPr>
              <w:jc w:val="center"/>
            </w:pPr>
            <w:r w:rsidRPr="00204B33">
              <w:t>0</w:t>
            </w:r>
          </w:p>
        </w:tc>
      </w:tr>
      <w:tr w:rsidR="00644E1F" w:rsidRPr="00204B33" w14:paraId="4B8C0187"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C4C8A" w14:textId="09D2D9DD" w:rsidR="00644E1F" w:rsidRPr="00204B33" w:rsidRDefault="00644E1F" w:rsidP="00644E1F">
            <w:r w:rsidRPr="00204B33">
              <w:t>3. Finansiālā ietekme</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1100A" w14:textId="0724060E" w:rsidR="00644E1F" w:rsidRPr="00204B33" w:rsidRDefault="00644E1F"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13B87" w14:textId="0AD7AAFB" w:rsidR="00644E1F" w:rsidRPr="00204B33" w:rsidRDefault="00644E1F" w:rsidP="00644E1F">
            <w:pPr>
              <w:jc w:val="center"/>
            </w:pPr>
            <w:r w:rsidRPr="003929E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59977" w14:textId="5D04A825" w:rsidR="00644E1F" w:rsidRPr="00204B33" w:rsidRDefault="00644E1F"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D219B" w14:textId="753816B9" w:rsidR="00644E1F" w:rsidRPr="00204B33" w:rsidRDefault="00644E1F" w:rsidP="00644E1F">
            <w:pPr>
              <w:jc w:val="center"/>
            </w:pPr>
            <w:r w:rsidRPr="003929E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EF3B3" w14:textId="39903BCA" w:rsidR="00644E1F" w:rsidRPr="00204B33" w:rsidRDefault="00644E1F"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8034D" w14:textId="206EAFEA" w:rsidR="00644E1F" w:rsidRPr="00204B33" w:rsidRDefault="00644E1F" w:rsidP="00644E1F">
            <w:pPr>
              <w:jc w:val="center"/>
            </w:pPr>
            <w:r w:rsidRPr="003929E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382C2" w14:textId="07F02BCA" w:rsidR="00644E1F" w:rsidRPr="00204B33" w:rsidRDefault="00644E1F" w:rsidP="00644E1F">
            <w:pPr>
              <w:jc w:val="center"/>
            </w:pPr>
            <w:r w:rsidRPr="003929E3">
              <w:t>0</w:t>
            </w:r>
          </w:p>
        </w:tc>
      </w:tr>
      <w:tr w:rsidR="00644E1F" w:rsidRPr="00204B33" w14:paraId="4983C8BB"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36298" w14:textId="2F047C63" w:rsidR="00644E1F" w:rsidRPr="00204B33" w:rsidRDefault="00644E1F" w:rsidP="00644E1F">
            <w:r w:rsidRPr="00204B33">
              <w:t>3.1. valsts pamatbudžets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A5728" w14:textId="50F9C70B" w:rsidR="00644E1F" w:rsidRPr="00204B33" w:rsidRDefault="00644E1F"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E6F9F" w14:textId="03E1E911" w:rsidR="00644E1F" w:rsidRPr="00204B33" w:rsidRDefault="00644E1F" w:rsidP="00644E1F">
            <w:pPr>
              <w:jc w:val="center"/>
            </w:pPr>
            <w:r w:rsidRPr="003929E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D1BA7" w14:textId="7CEFCF44" w:rsidR="00644E1F" w:rsidRPr="00204B33" w:rsidRDefault="00644E1F"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A96ED" w14:textId="5DD63DC9" w:rsidR="00644E1F" w:rsidRPr="00204B33" w:rsidRDefault="00644E1F" w:rsidP="00644E1F">
            <w:pPr>
              <w:jc w:val="center"/>
            </w:pPr>
            <w:r w:rsidRPr="003929E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D0A51" w14:textId="0FE557E3" w:rsidR="00644E1F" w:rsidRPr="00204B33" w:rsidRDefault="00644E1F" w:rsidP="00644E1F">
            <w:pPr>
              <w:jc w:val="center"/>
            </w:pPr>
            <w:r w:rsidRPr="003929E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1A7F4" w14:textId="532770A6" w:rsidR="00644E1F" w:rsidRPr="00204B33" w:rsidRDefault="00644E1F" w:rsidP="00644E1F">
            <w:pPr>
              <w:jc w:val="center"/>
            </w:pPr>
            <w:r w:rsidRPr="003929E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53660" w14:textId="7DE18273" w:rsidR="00644E1F" w:rsidRPr="00204B33" w:rsidRDefault="00644E1F" w:rsidP="00644E1F">
            <w:pPr>
              <w:jc w:val="center"/>
            </w:pPr>
            <w:r w:rsidRPr="003929E3">
              <w:t>0</w:t>
            </w:r>
          </w:p>
        </w:tc>
      </w:tr>
      <w:tr w:rsidR="00F54498" w:rsidRPr="00204B33" w14:paraId="6F23521E" w14:textId="77777777" w:rsidTr="00C46D9F">
        <w:tc>
          <w:tcPr>
            <w:tcW w:w="887" w:type="pct"/>
            <w:tcBorders>
              <w:top w:val="single" w:sz="4" w:space="0" w:color="auto"/>
              <w:left w:val="single" w:sz="4" w:space="0" w:color="auto"/>
              <w:right w:val="single" w:sz="4" w:space="0" w:color="auto"/>
            </w:tcBorders>
            <w:shd w:val="clear" w:color="auto" w:fill="FFFFFF" w:themeFill="background1"/>
            <w:hideMark/>
          </w:tcPr>
          <w:p w14:paraId="5FB88F30" w14:textId="77777777" w:rsidR="00F54498" w:rsidRPr="00204B33" w:rsidRDefault="00F54498" w:rsidP="003F5EB7">
            <w:r w:rsidRPr="00204B33">
              <w:t>3.2. speciālais budžets</w:t>
            </w:r>
          </w:p>
        </w:tc>
        <w:tc>
          <w:tcPr>
            <w:tcW w:w="548" w:type="pct"/>
            <w:tcBorders>
              <w:top w:val="single" w:sz="4" w:space="0" w:color="auto"/>
              <w:left w:val="single" w:sz="4" w:space="0" w:color="auto"/>
              <w:right w:val="single" w:sz="4" w:space="0" w:color="auto"/>
            </w:tcBorders>
            <w:shd w:val="clear" w:color="auto" w:fill="FFFFFF" w:themeFill="background1"/>
            <w:hideMark/>
          </w:tcPr>
          <w:p w14:paraId="465A1BCC" w14:textId="26D1B997" w:rsidR="00F54498" w:rsidRPr="00204B33" w:rsidRDefault="008817F9"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09E94884" w14:textId="56C9A880" w:rsidR="00F54498" w:rsidRPr="00204B33" w:rsidRDefault="008817F9" w:rsidP="008817F9">
            <w:pPr>
              <w:jc w:val="center"/>
            </w:pPr>
            <w:r w:rsidRPr="00204B33">
              <w:t>0</w:t>
            </w:r>
          </w:p>
        </w:tc>
        <w:tc>
          <w:tcPr>
            <w:tcW w:w="500" w:type="pct"/>
            <w:tcBorders>
              <w:top w:val="single" w:sz="4" w:space="0" w:color="auto"/>
              <w:left w:val="single" w:sz="4" w:space="0" w:color="auto"/>
              <w:right w:val="single" w:sz="4" w:space="0" w:color="auto"/>
            </w:tcBorders>
            <w:shd w:val="clear" w:color="auto" w:fill="FFFFFF" w:themeFill="background1"/>
            <w:hideMark/>
          </w:tcPr>
          <w:p w14:paraId="558F968A" w14:textId="11521DC1" w:rsidR="00F54498" w:rsidRPr="00204B33" w:rsidRDefault="008817F9"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008F1AE2" w14:textId="164C3421" w:rsidR="00F54498" w:rsidRPr="00204B33" w:rsidRDefault="008817F9" w:rsidP="008817F9">
            <w:pPr>
              <w:jc w:val="center"/>
            </w:pPr>
            <w:r w:rsidRPr="00204B33">
              <w:t>0</w:t>
            </w:r>
          </w:p>
        </w:tc>
        <w:tc>
          <w:tcPr>
            <w:tcW w:w="500" w:type="pct"/>
            <w:tcBorders>
              <w:top w:val="single" w:sz="4" w:space="0" w:color="auto"/>
              <w:left w:val="single" w:sz="4" w:space="0" w:color="auto"/>
              <w:right w:val="single" w:sz="4" w:space="0" w:color="auto"/>
            </w:tcBorders>
            <w:shd w:val="clear" w:color="auto" w:fill="FFFFFF" w:themeFill="background1"/>
            <w:hideMark/>
          </w:tcPr>
          <w:p w14:paraId="0D06EF0D" w14:textId="0478A69D" w:rsidR="00F54498" w:rsidRPr="00204B33" w:rsidRDefault="008817F9" w:rsidP="008817F9">
            <w:pPr>
              <w:jc w:val="center"/>
            </w:pPr>
            <w:r w:rsidRPr="00204B33">
              <w:t>0</w:t>
            </w:r>
          </w:p>
        </w:tc>
        <w:tc>
          <w:tcPr>
            <w:tcW w:w="597" w:type="pct"/>
            <w:tcBorders>
              <w:top w:val="single" w:sz="4" w:space="0" w:color="auto"/>
              <w:left w:val="single" w:sz="4" w:space="0" w:color="auto"/>
              <w:right w:val="single" w:sz="4" w:space="0" w:color="auto"/>
            </w:tcBorders>
            <w:shd w:val="clear" w:color="auto" w:fill="FFFFFF" w:themeFill="background1"/>
            <w:hideMark/>
          </w:tcPr>
          <w:p w14:paraId="5E0D79DF" w14:textId="239C9999" w:rsidR="00F54498" w:rsidRPr="00204B33" w:rsidRDefault="008817F9" w:rsidP="008817F9">
            <w:pPr>
              <w:jc w:val="center"/>
            </w:pPr>
            <w:r w:rsidRPr="00204B33">
              <w:t>0</w:t>
            </w:r>
          </w:p>
        </w:tc>
        <w:tc>
          <w:tcPr>
            <w:tcW w:w="777" w:type="pct"/>
            <w:tcBorders>
              <w:top w:val="single" w:sz="4" w:space="0" w:color="auto"/>
              <w:left w:val="single" w:sz="4" w:space="0" w:color="auto"/>
              <w:right w:val="single" w:sz="4" w:space="0" w:color="auto"/>
            </w:tcBorders>
            <w:shd w:val="clear" w:color="auto" w:fill="FFFFFF" w:themeFill="background1"/>
            <w:hideMark/>
          </w:tcPr>
          <w:p w14:paraId="46095589" w14:textId="49BD3DC6" w:rsidR="00F54498" w:rsidRPr="00204B33" w:rsidRDefault="008817F9" w:rsidP="008817F9">
            <w:pPr>
              <w:jc w:val="center"/>
            </w:pPr>
            <w:r w:rsidRPr="00204B33">
              <w:t>0</w:t>
            </w:r>
          </w:p>
        </w:tc>
      </w:tr>
      <w:tr w:rsidR="00F54498" w:rsidRPr="00204B33" w14:paraId="4001558D"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23193" w14:textId="77777777" w:rsidR="00F54498" w:rsidRPr="00204B33" w:rsidRDefault="00F54498" w:rsidP="003F5EB7">
            <w:r w:rsidRPr="00204B33">
              <w:t>3.3. pašvaldību budžets</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4A4CE" w14:textId="7BF7C1CC"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3227D" w14:textId="6AD2AC63"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F0355" w14:textId="2F2C46C8"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F9957" w14:textId="50A42106"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A60B2" w14:textId="4393D020" w:rsidR="00F54498" w:rsidRPr="00204B33" w:rsidRDefault="008817F9"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C4816" w14:textId="18A43983" w:rsidR="00F54498" w:rsidRPr="00204B33" w:rsidRDefault="008817F9"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6290A" w14:textId="6F3F20EB" w:rsidR="00F54498" w:rsidRPr="00204B33" w:rsidRDefault="008817F9" w:rsidP="008817F9">
            <w:pPr>
              <w:jc w:val="center"/>
            </w:pPr>
            <w:r w:rsidRPr="00204B33">
              <w:t>0</w:t>
            </w:r>
          </w:p>
        </w:tc>
      </w:tr>
      <w:tr w:rsidR="00B9422A" w:rsidRPr="00204B33" w14:paraId="4B36B02F"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BD1CD" w14:textId="77777777" w:rsidR="00F54498" w:rsidRPr="00204B33" w:rsidRDefault="00F54498" w:rsidP="003F5EB7">
            <w:r w:rsidRPr="00204B33">
              <w:t>4. Finanšu līdzekļi papildu izdevumu finansēšanai (kompensējošu izdevumu samazinājumu norāda ar "+" zīmi)</w:t>
            </w: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C5534" w14:textId="77777777" w:rsidR="00F54498" w:rsidRPr="00204B33" w:rsidRDefault="00F54498"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D7A6B" w14:textId="00C6D1EE" w:rsidR="00F54498" w:rsidRPr="00204B33" w:rsidRDefault="008817F9"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E1C22" w14:textId="773EDE54" w:rsidR="00F54498" w:rsidRPr="00204B33" w:rsidRDefault="00026B5B" w:rsidP="008817F9">
            <w:pPr>
              <w:jc w:val="center"/>
            </w:pPr>
            <w:r w:rsidRPr="00204B33">
              <w:t>0</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A2635" w14:textId="43C6FD75" w:rsidR="00F54498" w:rsidRPr="00204B33" w:rsidRDefault="00E44D42" w:rsidP="008817F9">
            <w:pPr>
              <w:jc w:val="center"/>
            </w:pPr>
            <w:r w:rsidRPr="00204B33">
              <w:t>0</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8A1A2" w14:textId="77777777" w:rsidR="00F54498" w:rsidRPr="00204B33" w:rsidRDefault="00F54498"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DB0A5" w14:textId="63DEB867" w:rsidR="00F54498" w:rsidRPr="00204B33" w:rsidRDefault="008817F9"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EA040" w14:textId="725529F2" w:rsidR="00F54498" w:rsidRPr="00204B33" w:rsidRDefault="008817F9" w:rsidP="008817F9">
            <w:pPr>
              <w:jc w:val="center"/>
            </w:pPr>
            <w:r w:rsidRPr="00204B33">
              <w:t>0</w:t>
            </w:r>
          </w:p>
        </w:tc>
      </w:tr>
      <w:tr w:rsidR="00B9422A" w:rsidRPr="00204B33" w14:paraId="177AC9DE"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1DB5C" w14:textId="77777777" w:rsidR="00F54498" w:rsidRPr="00204B33" w:rsidRDefault="00F54498" w:rsidP="003F5EB7">
            <w:r w:rsidRPr="00204B33">
              <w:lastRenderedPageBreak/>
              <w:t>5. Precizēta finansiālā ietekme</w:t>
            </w:r>
          </w:p>
        </w:tc>
        <w:tc>
          <w:tcPr>
            <w:tcW w:w="548" w:type="pct"/>
            <w:vMerge w:val="restart"/>
            <w:tcBorders>
              <w:top w:val="single" w:sz="4" w:space="0" w:color="auto"/>
              <w:left w:val="single" w:sz="4" w:space="0" w:color="auto"/>
              <w:right w:val="single" w:sz="4" w:space="0" w:color="auto"/>
            </w:tcBorders>
            <w:shd w:val="clear" w:color="auto" w:fill="FFFFFF" w:themeFill="background1"/>
            <w:hideMark/>
          </w:tcPr>
          <w:p w14:paraId="24191B8F" w14:textId="77777777" w:rsidR="00F54498" w:rsidRPr="00204B33" w:rsidRDefault="00F54498" w:rsidP="008817F9">
            <w:pPr>
              <w:jc w:val="center"/>
            </w:pPr>
          </w:p>
          <w:p w14:paraId="72430D32" w14:textId="77777777" w:rsidR="00F54498" w:rsidRPr="00204B33" w:rsidRDefault="00F54498" w:rsidP="008817F9">
            <w:pPr>
              <w:jc w:val="center"/>
            </w:pPr>
          </w:p>
          <w:p w14:paraId="115E259D" w14:textId="77777777" w:rsidR="00F54498" w:rsidRPr="00204B33" w:rsidRDefault="00F54498" w:rsidP="008817F9">
            <w:pPr>
              <w:jc w:val="center"/>
            </w:pPr>
          </w:p>
          <w:p w14:paraId="63D5A19E" w14:textId="77777777" w:rsidR="00F54498" w:rsidRPr="00204B33" w:rsidRDefault="00F54498" w:rsidP="008817F9">
            <w:pPr>
              <w:jc w:val="center"/>
            </w:pPr>
          </w:p>
          <w:p w14:paraId="15A62356" w14:textId="77777777" w:rsidR="00F54498" w:rsidRPr="00204B33" w:rsidRDefault="00F54498" w:rsidP="008817F9">
            <w:pPr>
              <w:jc w:val="center"/>
            </w:pPr>
          </w:p>
          <w:p w14:paraId="21A6542A" w14:textId="77777777" w:rsidR="00F54498" w:rsidRPr="00204B33" w:rsidRDefault="00F54498"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79266" w14:textId="5E60AB21" w:rsidR="00F54498" w:rsidRPr="00204B33" w:rsidRDefault="008817F9" w:rsidP="008817F9">
            <w:pPr>
              <w:jc w:val="center"/>
            </w:pPr>
            <w:r w:rsidRPr="00204B33">
              <w:t>0</w:t>
            </w:r>
          </w:p>
        </w:tc>
        <w:tc>
          <w:tcPr>
            <w:tcW w:w="500" w:type="pct"/>
            <w:vMerge w:val="restart"/>
            <w:tcBorders>
              <w:top w:val="single" w:sz="4" w:space="0" w:color="auto"/>
              <w:left w:val="single" w:sz="4" w:space="0" w:color="auto"/>
              <w:right w:val="single" w:sz="4" w:space="0" w:color="auto"/>
            </w:tcBorders>
            <w:shd w:val="clear" w:color="auto" w:fill="FFFFFF" w:themeFill="background1"/>
            <w:hideMark/>
          </w:tcPr>
          <w:p w14:paraId="28B7FCF1" w14:textId="77777777" w:rsidR="00F54498" w:rsidRPr="00204B33" w:rsidRDefault="00F54498" w:rsidP="008817F9">
            <w:pPr>
              <w:jc w:val="center"/>
            </w:pPr>
          </w:p>
          <w:p w14:paraId="356F71A2" w14:textId="77777777" w:rsidR="00F54498" w:rsidRPr="00204B33" w:rsidRDefault="00F54498" w:rsidP="008817F9">
            <w:pPr>
              <w:jc w:val="center"/>
            </w:pPr>
          </w:p>
          <w:p w14:paraId="0F6723A7" w14:textId="77777777" w:rsidR="00F54498" w:rsidRPr="00204B33" w:rsidRDefault="00F54498" w:rsidP="008817F9">
            <w:pPr>
              <w:jc w:val="center"/>
            </w:pPr>
          </w:p>
          <w:p w14:paraId="02CF824E" w14:textId="77777777" w:rsidR="00F54498" w:rsidRPr="00204B33" w:rsidRDefault="00F54498" w:rsidP="008817F9">
            <w:pPr>
              <w:jc w:val="center"/>
            </w:pPr>
          </w:p>
          <w:p w14:paraId="6DC6AC7F" w14:textId="77777777" w:rsidR="00F54498" w:rsidRPr="00204B33" w:rsidRDefault="00F54498" w:rsidP="008817F9">
            <w:pPr>
              <w:jc w:val="center"/>
            </w:pPr>
          </w:p>
          <w:p w14:paraId="79D46CE3" w14:textId="19557368" w:rsidR="00F54498" w:rsidRPr="00204B33" w:rsidRDefault="00026B5B"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22ED5" w14:textId="53B0089B" w:rsidR="00F54498" w:rsidRPr="00204B33" w:rsidRDefault="008817F9" w:rsidP="008817F9">
            <w:pPr>
              <w:jc w:val="center"/>
            </w:pPr>
            <w:r w:rsidRPr="00204B33">
              <w:t>0</w:t>
            </w:r>
          </w:p>
        </w:tc>
        <w:tc>
          <w:tcPr>
            <w:tcW w:w="500" w:type="pct"/>
            <w:vMerge w:val="restart"/>
            <w:tcBorders>
              <w:top w:val="single" w:sz="4" w:space="0" w:color="auto"/>
              <w:left w:val="single" w:sz="4" w:space="0" w:color="auto"/>
              <w:right w:val="single" w:sz="4" w:space="0" w:color="auto"/>
            </w:tcBorders>
            <w:shd w:val="clear" w:color="auto" w:fill="FFFFFF" w:themeFill="background1"/>
            <w:hideMark/>
          </w:tcPr>
          <w:p w14:paraId="02AB90A7" w14:textId="77777777" w:rsidR="00F54498" w:rsidRPr="00204B33" w:rsidRDefault="00F54498" w:rsidP="008817F9">
            <w:pPr>
              <w:jc w:val="center"/>
            </w:pPr>
          </w:p>
          <w:p w14:paraId="0AD90008" w14:textId="77777777" w:rsidR="00F54498" w:rsidRPr="00204B33" w:rsidRDefault="00F54498" w:rsidP="008817F9">
            <w:pPr>
              <w:jc w:val="center"/>
            </w:pPr>
          </w:p>
          <w:p w14:paraId="41E2F093" w14:textId="77777777" w:rsidR="00F54498" w:rsidRPr="00204B33" w:rsidRDefault="00F54498" w:rsidP="008817F9">
            <w:pPr>
              <w:jc w:val="center"/>
            </w:pPr>
          </w:p>
          <w:p w14:paraId="3A3414AE" w14:textId="77777777" w:rsidR="00F54498" w:rsidRPr="00204B33" w:rsidRDefault="00F54498" w:rsidP="008817F9">
            <w:pPr>
              <w:jc w:val="center"/>
            </w:pPr>
          </w:p>
          <w:p w14:paraId="7B0A273B" w14:textId="77777777" w:rsidR="00F54498" w:rsidRPr="00204B33" w:rsidRDefault="00F54498" w:rsidP="008817F9">
            <w:pPr>
              <w:jc w:val="center"/>
            </w:pPr>
          </w:p>
          <w:p w14:paraId="4F900256" w14:textId="77777777" w:rsidR="00F54498" w:rsidRPr="00204B33" w:rsidRDefault="00F54498" w:rsidP="008817F9">
            <w:pPr>
              <w:jc w:val="center"/>
            </w:pPr>
            <w:r w:rsidRPr="00204B33">
              <w:t>X</w:t>
            </w: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6797A" w14:textId="483723A5" w:rsidR="00F54498" w:rsidRPr="00204B33" w:rsidRDefault="008817F9"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F2E2A" w14:textId="065F5F2A" w:rsidR="00F54498" w:rsidRPr="00204B33" w:rsidRDefault="008817F9" w:rsidP="008817F9">
            <w:pPr>
              <w:jc w:val="center"/>
            </w:pPr>
            <w:r w:rsidRPr="00204B33">
              <w:t>0</w:t>
            </w:r>
          </w:p>
        </w:tc>
      </w:tr>
      <w:tr w:rsidR="00F54498" w:rsidRPr="00204B33" w14:paraId="2D913248"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EFD7F" w14:textId="77777777" w:rsidR="00F54498" w:rsidRPr="00204B33" w:rsidRDefault="00F54498" w:rsidP="003F5EB7">
            <w:r w:rsidRPr="00204B33">
              <w:t>5.1. valsts pamatbudžets</w:t>
            </w:r>
          </w:p>
        </w:tc>
        <w:tc>
          <w:tcPr>
            <w:tcW w:w="0" w:type="auto"/>
            <w:vMerge/>
            <w:tcBorders>
              <w:left w:val="single" w:sz="4" w:space="0" w:color="auto"/>
              <w:right w:val="single" w:sz="4" w:space="0" w:color="auto"/>
            </w:tcBorders>
            <w:shd w:val="clear" w:color="auto" w:fill="FFFFFF" w:themeFill="background1"/>
            <w:hideMark/>
          </w:tcPr>
          <w:p w14:paraId="5A6FE5A6" w14:textId="77777777" w:rsidR="00F54498" w:rsidRPr="00204B33" w:rsidRDefault="00F54498"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9FC75" w14:textId="13D28928" w:rsidR="00F54498" w:rsidRPr="00204B33" w:rsidRDefault="008817F9" w:rsidP="008817F9">
            <w:pPr>
              <w:jc w:val="center"/>
            </w:pPr>
            <w:r w:rsidRPr="00204B33">
              <w:t>0</w:t>
            </w:r>
          </w:p>
        </w:tc>
        <w:tc>
          <w:tcPr>
            <w:tcW w:w="0" w:type="auto"/>
            <w:vMerge/>
            <w:tcBorders>
              <w:left w:val="single" w:sz="4" w:space="0" w:color="auto"/>
              <w:right w:val="single" w:sz="4" w:space="0" w:color="auto"/>
            </w:tcBorders>
            <w:shd w:val="clear" w:color="auto" w:fill="FFFFFF" w:themeFill="background1"/>
            <w:hideMark/>
          </w:tcPr>
          <w:p w14:paraId="0CE6BE3E" w14:textId="77777777" w:rsidR="00F54498" w:rsidRPr="00204B33" w:rsidRDefault="00F54498"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D0AAC" w14:textId="0EE46E2B" w:rsidR="00F54498" w:rsidRPr="00204B33" w:rsidRDefault="008817F9" w:rsidP="008817F9">
            <w:pPr>
              <w:jc w:val="center"/>
            </w:pPr>
            <w:r w:rsidRPr="00204B33">
              <w:t>0</w:t>
            </w:r>
          </w:p>
        </w:tc>
        <w:tc>
          <w:tcPr>
            <w:tcW w:w="0" w:type="auto"/>
            <w:vMerge/>
            <w:tcBorders>
              <w:left w:val="single" w:sz="4" w:space="0" w:color="auto"/>
              <w:right w:val="single" w:sz="4" w:space="0" w:color="auto"/>
            </w:tcBorders>
            <w:shd w:val="clear" w:color="auto" w:fill="FFFFFF" w:themeFill="background1"/>
            <w:hideMark/>
          </w:tcPr>
          <w:p w14:paraId="742F1A29" w14:textId="77777777" w:rsidR="00F54498" w:rsidRPr="00204B33" w:rsidRDefault="00F54498"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B8124" w14:textId="6C6328A8" w:rsidR="00F54498" w:rsidRPr="00204B33" w:rsidRDefault="008817F9"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631CC" w14:textId="331BA859" w:rsidR="00F54498" w:rsidRPr="00204B33" w:rsidRDefault="008817F9" w:rsidP="008817F9">
            <w:pPr>
              <w:jc w:val="center"/>
            </w:pPr>
            <w:r w:rsidRPr="00204B33">
              <w:t>0</w:t>
            </w:r>
          </w:p>
        </w:tc>
      </w:tr>
      <w:tr w:rsidR="00F54498" w:rsidRPr="00204B33" w14:paraId="741E5504"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2BF76" w14:textId="77777777" w:rsidR="00F54498" w:rsidRPr="00204B33" w:rsidRDefault="00F54498" w:rsidP="003F5EB7">
            <w:r w:rsidRPr="00204B33">
              <w:t>5.2. speciālais budžets</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39B7DA66" w14:textId="77777777" w:rsidR="00F54498" w:rsidRPr="00204B33" w:rsidRDefault="00F54498"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24E4C" w14:textId="471626CA" w:rsidR="00F54498" w:rsidRPr="00204B33" w:rsidRDefault="008817F9" w:rsidP="008817F9">
            <w:pPr>
              <w:jc w:val="center"/>
            </w:pPr>
            <w:r w:rsidRPr="00204B33">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53C2B23E" w14:textId="77777777" w:rsidR="00F54498" w:rsidRPr="00204B33" w:rsidRDefault="00F54498"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CDF4B" w14:textId="37DADFA9" w:rsidR="00F54498" w:rsidRPr="00204B33" w:rsidRDefault="008817F9" w:rsidP="008817F9">
            <w:pPr>
              <w:jc w:val="center"/>
            </w:pPr>
            <w:r w:rsidRPr="00204B33">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0D4F3A3C" w14:textId="77777777" w:rsidR="00F54498" w:rsidRPr="00204B33" w:rsidRDefault="00F54498" w:rsidP="008817F9">
            <w:pPr>
              <w:jc w:val="cente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9B82F" w14:textId="62C32CC9" w:rsidR="00F54498" w:rsidRPr="00204B33" w:rsidRDefault="008817F9" w:rsidP="008817F9">
            <w:pPr>
              <w:jc w:val="center"/>
            </w:pPr>
            <w:r w:rsidRPr="00204B33">
              <w:t>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BB93D" w14:textId="749A056A" w:rsidR="00F54498" w:rsidRPr="00204B33" w:rsidRDefault="008817F9" w:rsidP="008817F9">
            <w:pPr>
              <w:jc w:val="center"/>
            </w:pPr>
            <w:r w:rsidRPr="00204B33">
              <w:t>0</w:t>
            </w:r>
          </w:p>
        </w:tc>
      </w:tr>
      <w:tr w:rsidR="00F54498" w:rsidRPr="00204B33" w14:paraId="68BE6153"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05DF5" w14:textId="77777777" w:rsidR="00F54498" w:rsidRPr="00204B33" w:rsidRDefault="00F54498" w:rsidP="003F5EB7">
            <w:r w:rsidRPr="00204B33">
              <w:t>5.3. pašvaldību budžets</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6B11623C" w14:textId="77777777" w:rsidR="00F54498" w:rsidRPr="00204B33" w:rsidRDefault="00F54498" w:rsidP="008817F9">
            <w:pPr>
              <w:jc w:val="center"/>
            </w:pPr>
          </w:p>
        </w:tc>
        <w:tc>
          <w:tcPr>
            <w:tcW w:w="597" w:type="pct"/>
            <w:tcBorders>
              <w:top w:val="single" w:sz="4" w:space="0" w:color="auto"/>
              <w:left w:val="single" w:sz="4" w:space="0" w:color="auto"/>
              <w:right w:val="single" w:sz="4" w:space="0" w:color="auto"/>
            </w:tcBorders>
            <w:shd w:val="clear" w:color="auto" w:fill="FFFFFF" w:themeFill="background1"/>
            <w:hideMark/>
          </w:tcPr>
          <w:p w14:paraId="14F276A9" w14:textId="53CEB103" w:rsidR="00F54498" w:rsidRPr="00204B33" w:rsidRDefault="008817F9" w:rsidP="008817F9">
            <w:pPr>
              <w:jc w:val="center"/>
            </w:pPr>
            <w:r w:rsidRPr="00204B33">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34BEE35F" w14:textId="77777777" w:rsidR="00F54498" w:rsidRPr="00204B33" w:rsidRDefault="00F54498" w:rsidP="008817F9">
            <w:pPr>
              <w:jc w:val="center"/>
            </w:pPr>
          </w:p>
        </w:tc>
        <w:tc>
          <w:tcPr>
            <w:tcW w:w="597" w:type="pct"/>
            <w:tcBorders>
              <w:top w:val="single" w:sz="4" w:space="0" w:color="auto"/>
              <w:left w:val="single" w:sz="4" w:space="0" w:color="auto"/>
              <w:right w:val="single" w:sz="4" w:space="0" w:color="auto"/>
            </w:tcBorders>
            <w:shd w:val="clear" w:color="auto" w:fill="FFFFFF" w:themeFill="background1"/>
            <w:hideMark/>
          </w:tcPr>
          <w:p w14:paraId="1A259346" w14:textId="3B69A385" w:rsidR="00F54498" w:rsidRPr="00204B33" w:rsidRDefault="008817F9" w:rsidP="008817F9">
            <w:pPr>
              <w:jc w:val="center"/>
            </w:pPr>
            <w:r w:rsidRPr="00204B33">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2E8F9D27" w14:textId="77777777" w:rsidR="00F54498" w:rsidRPr="00204B33" w:rsidRDefault="00F54498" w:rsidP="008817F9">
            <w:pPr>
              <w:jc w:val="center"/>
            </w:pPr>
          </w:p>
        </w:tc>
        <w:tc>
          <w:tcPr>
            <w:tcW w:w="597" w:type="pct"/>
            <w:tcBorders>
              <w:top w:val="single" w:sz="4" w:space="0" w:color="auto"/>
              <w:left w:val="single" w:sz="4" w:space="0" w:color="auto"/>
              <w:right w:val="single" w:sz="4" w:space="0" w:color="auto"/>
            </w:tcBorders>
            <w:shd w:val="clear" w:color="auto" w:fill="FFFFFF" w:themeFill="background1"/>
            <w:hideMark/>
          </w:tcPr>
          <w:p w14:paraId="568CA7E6" w14:textId="5EB30094" w:rsidR="00F54498" w:rsidRPr="00204B33" w:rsidRDefault="008817F9" w:rsidP="008817F9">
            <w:pPr>
              <w:jc w:val="center"/>
            </w:pPr>
            <w:r w:rsidRPr="00204B33">
              <w:t>0</w:t>
            </w:r>
          </w:p>
        </w:tc>
        <w:tc>
          <w:tcPr>
            <w:tcW w:w="777" w:type="pct"/>
            <w:tcBorders>
              <w:top w:val="single" w:sz="4" w:space="0" w:color="auto"/>
              <w:left w:val="single" w:sz="4" w:space="0" w:color="auto"/>
              <w:right w:val="single" w:sz="4" w:space="0" w:color="auto"/>
            </w:tcBorders>
            <w:shd w:val="clear" w:color="auto" w:fill="FFFFFF" w:themeFill="background1"/>
            <w:hideMark/>
          </w:tcPr>
          <w:p w14:paraId="6D120E60" w14:textId="142A10C0" w:rsidR="00F54498" w:rsidRPr="00204B33" w:rsidRDefault="008817F9" w:rsidP="008817F9">
            <w:pPr>
              <w:jc w:val="center"/>
            </w:pPr>
            <w:r w:rsidRPr="00204B33">
              <w:t>0</w:t>
            </w:r>
          </w:p>
        </w:tc>
      </w:tr>
      <w:tr w:rsidR="00F54498" w:rsidRPr="00204B33" w14:paraId="3306BC7F"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88F15" w14:textId="77777777" w:rsidR="00F54498" w:rsidRPr="00B06408" w:rsidRDefault="00F54498" w:rsidP="003F5EB7">
            <w:r w:rsidRPr="00B06408">
              <w:t>6. Detalizēts ieņēmumu un izdevumu aprēķins (ja nepieciešams, detalizētu ieņēmumu un izdevumu aprēķinu var pievienot anotācijas pielikumā)</w:t>
            </w:r>
          </w:p>
        </w:tc>
        <w:tc>
          <w:tcPr>
            <w:tcW w:w="4113" w:type="pct"/>
            <w:gridSpan w:val="7"/>
            <w:vMerge w:val="restart"/>
            <w:tcBorders>
              <w:top w:val="single" w:sz="4" w:space="0" w:color="auto"/>
              <w:left w:val="single" w:sz="4" w:space="0" w:color="auto"/>
              <w:right w:val="single" w:sz="4" w:space="0" w:color="auto"/>
            </w:tcBorders>
            <w:shd w:val="clear" w:color="auto" w:fill="FFFFFF" w:themeFill="background1"/>
            <w:hideMark/>
          </w:tcPr>
          <w:p w14:paraId="23506859" w14:textId="77777777" w:rsidR="00E12430" w:rsidRPr="00B06408" w:rsidRDefault="00E12430" w:rsidP="00E9202C">
            <w:pPr>
              <w:jc w:val="both"/>
            </w:pPr>
          </w:p>
          <w:p w14:paraId="5EBFDAF3" w14:textId="3E9425ED" w:rsidR="00E12430" w:rsidRPr="00B06408" w:rsidRDefault="00AB5EB4" w:rsidP="00AB5EB4">
            <w:pPr>
              <w:shd w:val="clear" w:color="auto" w:fill="FFFFFF"/>
              <w:jc w:val="both"/>
              <w:rPr>
                <w:bCs/>
              </w:rPr>
            </w:pPr>
            <w:r w:rsidRPr="00B06408">
              <w:rPr>
                <w:bCs/>
              </w:rPr>
              <w:t xml:space="preserve">Ministru kabineta 2016.gada 3.maija rīkojuma Nr. 275 „Par Valdības rīcības plānu Deklarācijas par Māra Kučinska vadītā Ministru kabineta iecerēto darbību īstenošanai” (turpmāk – Valdības rīcības plāns), 39.punktu, kā arī </w:t>
            </w:r>
            <w:r w:rsidRPr="00B06408">
              <w:t>Ministru kabineta 2018.gada 2.</w:t>
            </w:r>
            <w:r w:rsidR="00354DD5">
              <w:t>oktobra</w:t>
            </w:r>
            <w:r w:rsidRPr="00B06408">
              <w:t xml:space="preserve"> sēdes  (</w:t>
            </w:r>
            <w:r w:rsidRPr="00B06408">
              <w:rPr>
                <w:shd w:val="clear" w:color="auto" w:fill="FFFFFF"/>
              </w:rPr>
              <w:t xml:space="preserve">Nr.45, </w:t>
            </w:r>
            <w:r w:rsidRPr="00B06408">
              <w:rPr>
                <w:bCs/>
                <w:shd w:val="clear" w:color="auto" w:fill="FFFFFF"/>
              </w:rPr>
              <w:t>44.§) 2.punktu, mehānismu ir nepieciešams ieviest nekavējoties</w:t>
            </w:r>
            <w:r w:rsidRPr="00B06408">
              <w:rPr>
                <w:bCs/>
              </w:rPr>
              <w:t xml:space="preserve">, kā rezultātā ir nepieciešams deleģējums ministru kabinetam izdot noteikumus. </w:t>
            </w:r>
            <w:r w:rsidR="00E12430" w:rsidRPr="00B06408">
              <w:rPr>
                <w:bCs/>
              </w:rPr>
              <w:t xml:space="preserve">Ņemot vērā </w:t>
            </w:r>
            <w:r w:rsidRPr="00B06408">
              <w:rPr>
                <w:bCs/>
              </w:rPr>
              <w:t xml:space="preserve">minēto, </w:t>
            </w:r>
            <w:r w:rsidR="00E12430" w:rsidRPr="00B06408">
              <w:rPr>
                <w:bCs/>
              </w:rPr>
              <w:t xml:space="preserve">likumprojekts </w:t>
            </w:r>
            <w:bookmarkStart w:id="14" w:name="_Hlk526884603"/>
            <w:r w:rsidR="00E12430" w:rsidRPr="00B06408">
              <w:rPr>
                <w:bCs/>
              </w:rPr>
              <w:t xml:space="preserve">tiek virzīts budžeta likumprojektu paketē kopā ar </w:t>
            </w:r>
            <w:bookmarkStart w:id="15" w:name="_Hlk526885973"/>
            <w:bookmarkStart w:id="16" w:name="_Hlk526886149"/>
            <w:r w:rsidR="00E12430" w:rsidRPr="00B06408">
              <w:rPr>
                <w:bCs/>
              </w:rPr>
              <w:t>likumprojektu “Par valsts budžetu 201</w:t>
            </w:r>
            <w:r w:rsidR="00644E1F" w:rsidRPr="00B06408">
              <w:rPr>
                <w:bCs/>
              </w:rPr>
              <w:t>9</w:t>
            </w:r>
            <w:r w:rsidR="00E12430" w:rsidRPr="00B06408">
              <w:rPr>
                <w:bCs/>
              </w:rPr>
              <w:t>.gadam” un likumprojektu “Par vidēja termiņa budžeta ietvaru 201</w:t>
            </w:r>
            <w:r w:rsidR="00644E1F" w:rsidRPr="00B06408">
              <w:rPr>
                <w:bCs/>
              </w:rPr>
              <w:t>9</w:t>
            </w:r>
            <w:r w:rsidR="00E12430" w:rsidRPr="00B06408">
              <w:rPr>
                <w:bCs/>
              </w:rPr>
              <w:t>., 20</w:t>
            </w:r>
            <w:r w:rsidR="00644E1F" w:rsidRPr="00B06408">
              <w:rPr>
                <w:bCs/>
              </w:rPr>
              <w:t>20</w:t>
            </w:r>
            <w:r w:rsidR="00E12430" w:rsidRPr="00B06408">
              <w:rPr>
                <w:bCs/>
              </w:rPr>
              <w:t>. un 202</w:t>
            </w:r>
            <w:r w:rsidR="00644E1F" w:rsidRPr="00B06408">
              <w:rPr>
                <w:bCs/>
              </w:rPr>
              <w:t>1</w:t>
            </w:r>
            <w:r w:rsidR="00E12430" w:rsidRPr="00B06408">
              <w:rPr>
                <w:bCs/>
              </w:rPr>
              <w:t>.gadam”.</w:t>
            </w:r>
            <w:bookmarkEnd w:id="15"/>
          </w:p>
          <w:bookmarkEnd w:id="14"/>
          <w:bookmarkEnd w:id="16"/>
          <w:p w14:paraId="5F8601FA" w14:textId="07E6261A" w:rsidR="00E12430" w:rsidRPr="00B06408" w:rsidRDefault="00E12430" w:rsidP="00E9202C">
            <w:pPr>
              <w:jc w:val="both"/>
            </w:pPr>
          </w:p>
        </w:tc>
      </w:tr>
      <w:tr w:rsidR="00F54498" w:rsidRPr="00204B33" w14:paraId="284BB00D"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A2476" w14:textId="77777777" w:rsidR="00F54498" w:rsidRPr="00204B33" w:rsidRDefault="00F54498" w:rsidP="003F5EB7">
            <w:r w:rsidRPr="00204B33">
              <w:t>6.1. detalizēts ieņēmumu aprēķins</w:t>
            </w:r>
          </w:p>
        </w:tc>
        <w:tc>
          <w:tcPr>
            <w:tcW w:w="4113" w:type="pct"/>
            <w:gridSpan w:val="7"/>
            <w:vMerge/>
            <w:tcBorders>
              <w:left w:val="single" w:sz="4" w:space="0" w:color="auto"/>
              <w:right w:val="single" w:sz="4" w:space="0" w:color="auto"/>
            </w:tcBorders>
            <w:shd w:val="clear" w:color="auto" w:fill="FFFFFF" w:themeFill="background1"/>
            <w:hideMark/>
          </w:tcPr>
          <w:p w14:paraId="7CD591EA" w14:textId="77777777" w:rsidR="00F54498" w:rsidRPr="00204B33" w:rsidRDefault="00F54498" w:rsidP="003F5EB7"/>
        </w:tc>
      </w:tr>
      <w:tr w:rsidR="00F54498" w:rsidRPr="00204B33" w14:paraId="07F9C044"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DA7E1" w14:textId="77777777" w:rsidR="00F54498" w:rsidRPr="00204B33" w:rsidRDefault="00F54498" w:rsidP="003F5EB7">
            <w:r w:rsidRPr="00204B33">
              <w:t>6.2. detalizēts izdevumu aprēķins</w:t>
            </w:r>
          </w:p>
        </w:tc>
        <w:tc>
          <w:tcPr>
            <w:tcW w:w="4113" w:type="pct"/>
            <w:gridSpan w:val="7"/>
            <w:vMerge/>
            <w:tcBorders>
              <w:left w:val="single" w:sz="4" w:space="0" w:color="auto"/>
              <w:bottom w:val="single" w:sz="4" w:space="0" w:color="auto"/>
              <w:right w:val="single" w:sz="4" w:space="0" w:color="auto"/>
            </w:tcBorders>
            <w:shd w:val="clear" w:color="auto" w:fill="FFFFFF" w:themeFill="background1"/>
            <w:hideMark/>
          </w:tcPr>
          <w:p w14:paraId="730E55AD" w14:textId="77777777" w:rsidR="00F54498" w:rsidRPr="00204B33" w:rsidRDefault="00F54498" w:rsidP="003F5EB7"/>
        </w:tc>
      </w:tr>
      <w:tr w:rsidR="00F54498" w:rsidRPr="00204B33" w14:paraId="272C2E70"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1B245" w14:textId="77777777" w:rsidR="00F54498" w:rsidRPr="00204B33" w:rsidRDefault="00F54498" w:rsidP="003F5EB7">
            <w:r w:rsidRPr="00204B33">
              <w:t>7. Amata vietu skaita izmaiņas</w:t>
            </w:r>
          </w:p>
        </w:tc>
        <w:tc>
          <w:tcPr>
            <w:tcW w:w="4113"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0B212" w14:textId="1C0E8132" w:rsidR="00F54498" w:rsidRPr="00204B33" w:rsidRDefault="00113C64" w:rsidP="003F5EB7">
            <w:r w:rsidRPr="00204B33">
              <w:t>Amata vietu skaita izmaiņas nav paredzētas.</w:t>
            </w:r>
          </w:p>
        </w:tc>
      </w:tr>
      <w:tr w:rsidR="00F54498" w:rsidRPr="00204B33" w14:paraId="24DFDE01" w14:textId="77777777" w:rsidTr="00C46D9F">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E469E" w14:textId="77777777" w:rsidR="00F54498" w:rsidRPr="00204B33" w:rsidRDefault="00F54498" w:rsidP="003F5EB7">
            <w:r w:rsidRPr="00204B33">
              <w:t>8. Cita informācija</w:t>
            </w:r>
          </w:p>
        </w:tc>
        <w:tc>
          <w:tcPr>
            <w:tcW w:w="4113"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94297" w14:textId="1409A40B" w:rsidR="009B1327" w:rsidRPr="00204B33" w:rsidRDefault="00E44D42" w:rsidP="00113C64">
            <w:pPr>
              <w:jc w:val="both"/>
            </w:pPr>
            <w:r w:rsidRPr="00204B33">
              <w:t>Nav.</w:t>
            </w:r>
          </w:p>
          <w:p w14:paraId="09E803A1" w14:textId="478DF1FD" w:rsidR="00430299" w:rsidRPr="00204B33" w:rsidRDefault="00430299" w:rsidP="00113C64">
            <w:pPr>
              <w:jc w:val="both"/>
            </w:pPr>
          </w:p>
        </w:tc>
      </w:tr>
    </w:tbl>
    <w:p w14:paraId="21060955" w14:textId="373017D4" w:rsidR="004E4DD9" w:rsidRPr="00204B33" w:rsidRDefault="004E4DD9" w:rsidP="00113C64">
      <w:pPr>
        <w:pStyle w:val="Title"/>
        <w:spacing w:before="130" w:line="260" w:lineRule="exact"/>
        <w:jc w:val="both"/>
        <w:rPr>
          <w:sz w:val="24"/>
          <w:szCs w:val="24"/>
          <w:highlight w:val="yellow"/>
        </w:rPr>
      </w:pPr>
    </w:p>
    <w:tbl>
      <w:tblPr>
        <w:tblW w:w="5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6672"/>
      </w:tblGrid>
      <w:tr w:rsidR="009878D6" w:rsidRPr="00204B33" w14:paraId="746D8DC7" w14:textId="77777777" w:rsidTr="00C46D9F">
        <w:trPr>
          <w:cantSplit/>
        </w:trPr>
        <w:tc>
          <w:tcPr>
            <w:tcW w:w="9636" w:type="dxa"/>
            <w:gridSpan w:val="3"/>
            <w:vAlign w:val="center"/>
            <w:hideMark/>
          </w:tcPr>
          <w:p w14:paraId="30F65026" w14:textId="77777777" w:rsidR="009878D6" w:rsidRPr="00204B33" w:rsidRDefault="009878D6" w:rsidP="003F5EB7">
            <w:pPr>
              <w:jc w:val="center"/>
              <w:rPr>
                <w:b/>
                <w:bCs/>
              </w:rPr>
            </w:pPr>
            <w:r w:rsidRPr="00204B33">
              <w:rPr>
                <w:b/>
                <w:bCs/>
              </w:rPr>
              <w:t>IV. Tiesību akta projekta ietekme uz spēkā esošo tiesību normu sistēmu</w:t>
            </w:r>
          </w:p>
        </w:tc>
      </w:tr>
      <w:tr w:rsidR="009878D6" w:rsidRPr="00204B33" w14:paraId="2A9A8A08" w14:textId="77777777" w:rsidTr="00C46D9F">
        <w:tc>
          <w:tcPr>
            <w:tcW w:w="523" w:type="dxa"/>
            <w:hideMark/>
          </w:tcPr>
          <w:p w14:paraId="29E5128A" w14:textId="77777777" w:rsidR="009878D6" w:rsidRPr="00204B33" w:rsidRDefault="009878D6" w:rsidP="003F5EB7">
            <w:pPr>
              <w:jc w:val="center"/>
            </w:pPr>
            <w:r w:rsidRPr="00204B33">
              <w:t>1.</w:t>
            </w:r>
          </w:p>
        </w:tc>
        <w:tc>
          <w:tcPr>
            <w:tcW w:w="2442" w:type="dxa"/>
            <w:hideMark/>
          </w:tcPr>
          <w:p w14:paraId="54050CBA" w14:textId="77777777" w:rsidR="009878D6" w:rsidRPr="00204B33" w:rsidRDefault="009878D6" w:rsidP="003F5EB7">
            <w:r w:rsidRPr="00204B33">
              <w:t>Saistītie tiesību aktu projekti</w:t>
            </w:r>
          </w:p>
        </w:tc>
        <w:tc>
          <w:tcPr>
            <w:tcW w:w="6671" w:type="dxa"/>
            <w:hideMark/>
          </w:tcPr>
          <w:p w14:paraId="17AF9FB0" w14:textId="77EDA126" w:rsidR="00432BF7" w:rsidRPr="00204B33" w:rsidRDefault="00E44D42" w:rsidP="00430299">
            <w:pPr>
              <w:autoSpaceDE w:val="0"/>
              <w:autoSpaceDN w:val="0"/>
              <w:spacing w:before="40" w:after="40"/>
              <w:jc w:val="both"/>
              <w:rPr>
                <w:lang w:eastAsia="en-US"/>
              </w:rPr>
            </w:pPr>
            <w:r w:rsidRPr="00204B33">
              <w:rPr>
                <w:lang w:eastAsia="en-US"/>
              </w:rPr>
              <w:t>Nav.</w:t>
            </w:r>
          </w:p>
          <w:p w14:paraId="60C6182E" w14:textId="763CDB22" w:rsidR="00430299" w:rsidRPr="00204B33" w:rsidRDefault="00430299" w:rsidP="00430299">
            <w:pPr>
              <w:autoSpaceDE w:val="0"/>
              <w:autoSpaceDN w:val="0"/>
              <w:spacing w:before="40" w:after="40"/>
              <w:jc w:val="both"/>
              <w:rPr>
                <w:sz w:val="18"/>
                <w:lang w:eastAsia="en-US"/>
              </w:rPr>
            </w:pPr>
          </w:p>
        </w:tc>
      </w:tr>
      <w:tr w:rsidR="009878D6" w:rsidRPr="00204B33" w14:paraId="199C8EC1" w14:textId="77777777" w:rsidTr="00C46D9F">
        <w:trPr>
          <w:cantSplit/>
        </w:trPr>
        <w:tc>
          <w:tcPr>
            <w:tcW w:w="523" w:type="dxa"/>
            <w:hideMark/>
          </w:tcPr>
          <w:p w14:paraId="05AE2F46" w14:textId="77777777" w:rsidR="009878D6" w:rsidRPr="00204B33" w:rsidRDefault="009878D6" w:rsidP="003F5EB7">
            <w:pPr>
              <w:jc w:val="center"/>
            </w:pPr>
            <w:r w:rsidRPr="00204B33">
              <w:t>2.</w:t>
            </w:r>
          </w:p>
        </w:tc>
        <w:tc>
          <w:tcPr>
            <w:tcW w:w="2442" w:type="dxa"/>
            <w:hideMark/>
          </w:tcPr>
          <w:p w14:paraId="06584628" w14:textId="77777777" w:rsidR="009878D6" w:rsidRPr="00204B33" w:rsidRDefault="009878D6" w:rsidP="003F5EB7">
            <w:r w:rsidRPr="00204B33">
              <w:t>Atbildīgā institūcija</w:t>
            </w:r>
          </w:p>
        </w:tc>
        <w:tc>
          <w:tcPr>
            <w:tcW w:w="6671" w:type="dxa"/>
            <w:hideMark/>
          </w:tcPr>
          <w:p w14:paraId="2FAD9D48" w14:textId="77777777" w:rsidR="009878D6" w:rsidRPr="00204B33" w:rsidRDefault="00857D89" w:rsidP="00493A83">
            <w:pPr>
              <w:ind w:firstLine="108"/>
            </w:pPr>
            <w:r w:rsidRPr="00204B33">
              <w:t>Ekonomikas ministrija.</w:t>
            </w:r>
          </w:p>
          <w:p w14:paraId="03882914" w14:textId="18EF4EC5" w:rsidR="00161647" w:rsidRPr="00204B33" w:rsidRDefault="00161647" w:rsidP="00493A83">
            <w:pPr>
              <w:ind w:firstLine="108"/>
              <w:rPr>
                <w:sz w:val="16"/>
              </w:rPr>
            </w:pPr>
          </w:p>
        </w:tc>
      </w:tr>
      <w:tr w:rsidR="009878D6" w:rsidRPr="00204B33" w14:paraId="1594AE8A" w14:textId="77777777" w:rsidTr="00C46D9F">
        <w:trPr>
          <w:cantSplit/>
        </w:trPr>
        <w:tc>
          <w:tcPr>
            <w:tcW w:w="523" w:type="dxa"/>
            <w:hideMark/>
          </w:tcPr>
          <w:p w14:paraId="261D3537" w14:textId="77777777" w:rsidR="009878D6" w:rsidRPr="00204B33" w:rsidRDefault="009878D6" w:rsidP="003F5EB7">
            <w:pPr>
              <w:jc w:val="center"/>
            </w:pPr>
            <w:r w:rsidRPr="00204B33">
              <w:t>3.</w:t>
            </w:r>
          </w:p>
        </w:tc>
        <w:tc>
          <w:tcPr>
            <w:tcW w:w="2442" w:type="dxa"/>
            <w:hideMark/>
          </w:tcPr>
          <w:p w14:paraId="498F542C" w14:textId="77777777" w:rsidR="009878D6" w:rsidRPr="00204B33" w:rsidRDefault="009878D6" w:rsidP="003F5EB7">
            <w:r w:rsidRPr="00204B33">
              <w:t>Cita informācija</w:t>
            </w:r>
          </w:p>
        </w:tc>
        <w:tc>
          <w:tcPr>
            <w:tcW w:w="6671" w:type="dxa"/>
            <w:hideMark/>
          </w:tcPr>
          <w:p w14:paraId="302C92BD" w14:textId="77777777" w:rsidR="009878D6" w:rsidRPr="00204B33" w:rsidRDefault="009878D6" w:rsidP="00493A83">
            <w:pPr>
              <w:ind w:firstLine="108"/>
            </w:pPr>
            <w:r w:rsidRPr="00204B33">
              <w:t>Nav</w:t>
            </w:r>
            <w:r w:rsidR="00857D89" w:rsidRPr="00204B33">
              <w:t>.</w:t>
            </w:r>
          </w:p>
          <w:p w14:paraId="1A9D09FB" w14:textId="32779219" w:rsidR="00161647" w:rsidRPr="00204B33" w:rsidRDefault="00161647" w:rsidP="00493A83">
            <w:pPr>
              <w:ind w:firstLine="108"/>
              <w:rPr>
                <w:sz w:val="18"/>
              </w:rPr>
            </w:pPr>
          </w:p>
        </w:tc>
      </w:tr>
    </w:tbl>
    <w:p w14:paraId="03F89B22" w14:textId="39062557" w:rsidR="009878D6" w:rsidRPr="00204B33" w:rsidRDefault="009878D6" w:rsidP="00B96E3C">
      <w:pPr>
        <w:pStyle w:val="Title"/>
        <w:spacing w:before="130" w:line="260" w:lineRule="exact"/>
        <w:jc w:val="both"/>
        <w:rPr>
          <w:sz w:val="24"/>
          <w:szCs w:val="24"/>
          <w:highlight w:val="yellow"/>
        </w:rPr>
      </w:pPr>
    </w:p>
    <w:tbl>
      <w:tblPr>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4"/>
        <w:gridCol w:w="6664"/>
      </w:tblGrid>
      <w:tr w:rsidR="009878D6" w:rsidRPr="00204B33" w14:paraId="64433338" w14:textId="77777777" w:rsidTr="00C46D9F">
        <w:tc>
          <w:tcPr>
            <w:tcW w:w="5000" w:type="pct"/>
            <w:gridSpan w:val="3"/>
            <w:vAlign w:val="center"/>
            <w:hideMark/>
          </w:tcPr>
          <w:p w14:paraId="73642743" w14:textId="77777777" w:rsidR="009878D6" w:rsidRPr="00204B33" w:rsidRDefault="009878D6" w:rsidP="003F5EB7">
            <w:pPr>
              <w:jc w:val="center"/>
              <w:rPr>
                <w:b/>
                <w:bCs/>
              </w:rPr>
            </w:pPr>
            <w:r w:rsidRPr="00204B33">
              <w:rPr>
                <w:b/>
                <w:bCs/>
              </w:rPr>
              <w:t>V. Tiesību akta projekta atbilstība Latvijas Republikas starptautiskajām saistībām</w:t>
            </w:r>
          </w:p>
        </w:tc>
      </w:tr>
      <w:tr w:rsidR="00E44D42" w:rsidRPr="00204B33" w14:paraId="77BC0C8A" w14:textId="77777777" w:rsidTr="00C46D9F">
        <w:tc>
          <w:tcPr>
            <w:tcW w:w="5000" w:type="pct"/>
            <w:gridSpan w:val="3"/>
            <w:hideMark/>
          </w:tcPr>
          <w:p w14:paraId="461C8DAB" w14:textId="3743F0EB" w:rsidR="00E44D42" w:rsidRPr="00204B33" w:rsidRDefault="00E44D42" w:rsidP="00E44D42">
            <w:pPr>
              <w:ind w:left="57" w:firstLine="108"/>
              <w:jc w:val="center"/>
            </w:pPr>
            <w:r w:rsidRPr="00204B33">
              <w:t>Projekts šo jomu neskar</w:t>
            </w:r>
          </w:p>
          <w:p w14:paraId="3723E95B" w14:textId="36751E6A" w:rsidR="00E44D42" w:rsidRPr="00204B33" w:rsidRDefault="00E44D42" w:rsidP="00EA3D31">
            <w:pPr>
              <w:ind w:left="57" w:firstLine="108"/>
              <w:jc w:val="both"/>
              <w:rPr>
                <w:sz w:val="14"/>
              </w:rPr>
            </w:pPr>
          </w:p>
        </w:tc>
      </w:tr>
      <w:tr w:rsidR="00BD5588" w:rsidRPr="00204B33" w14:paraId="56321BB1" w14:textId="77777777" w:rsidTr="00C46D9F">
        <w:trPr>
          <w:cantSplit/>
        </w:trPr>
        <w:tc>
          <w:tcPr>
            <w:tcW w:w="5000" w:type="pct"/>
            <w:gridSpan w:val="3"/>
            <w:vAlign w:val="center"/>
            <w:hideMark/>
          </w:tcPr>
          <w:p w14:paraId="087045CA" w14:textId="77777777" w:rsidR="00BD5588" w:rsidRPr="00204B33" w:rsidRDefault="00BD5588" w:rsidP="00E273A1">
            <w:pPr>
              <w:jc w:val="center"/>
              <w:rPr>
                <w:b/>
                <w:bCs/>
              </w:rPr>
            </w:pPr>
            <w:r w:rsidRPr="00204B33">
              <w:rPr>
                <w:b/>
                <w:bCs/>
              </w:rPr>
              <w:t>VI. Sabiedrības līdzdalība un komunikācijas aktivitātes</w:t>
            </w:r>
          </w:p>
        </w:tc>
      </w:tr>
      <w:tr w:rsidR="00BD5588" w:rsidRPr="00204B33" w14:paraId="4786D969" w14:textId="77777777" w:rsidTr="00C46D9F">
        <w:tc>
          <w:tcPr>
            <w:tcW w:w="267" w:type="pct"/>
            <w:hideMark/>
          </w:tcPr>
          <w:p w14:paraId="5B5D2FD0" w14:textId="77777777" w:rsidR="00BD5588" w:rsidRPr="00204B33" w:rsidRDefault="00BD5588" w:rsidP="00E273A1">
            <w:pPr>
              <w:jc w:val="center"/>
            </w:pPr>
            <w:r w:rsidRPr="00204B33">
              <w:t>1.</w:t>
            </w:r>
          </w:p>
        </w:tc>
        <w:tc>
          <w:tcPr>
            <w:tcW w:w="1274" w:type="pct"/>
            <w:hideMark/>
          </w:tcPr>
          <w:p w14:paraId="21002897" w14:textId="77777777" w:rsidR="00BD5588" w:rsidRPr="00204B33" w:rsidRDefault="00BD5588" w:rsidP="00E273A1">
            <w:r w:rsidRPr="00204B33">
              <w:t xml:space="preserve">Plānotās sabiedrības līdzdalības un komunikācijas </w:t>
            </w:r>
            <w:r w:rsidRPr="00204B33">
              <w:lastRenderedPageBreak/>
              <w:t>aktivitātes saistībā ar projektu</w:t>
            </w:r>
          </w:p>
        </w:tc>
        <w:tc>
          <w:tcPr>
            <w:tcW w:w="3459" w:type="pct"/>
            <w:hideMark/>
          </w:tcPr>
          <w:p w14:paraId="1DB3E455" w14:textId="0AD11782" w:rsidR="00AB5EB4" w:rsidRPr="00AB5EB4" w:rsidRDefault="00E44D42" w:rsidP="00AB5EB4">
            <w:pPr>
              <w:pStyle w:val="naisf"/>
              <w:spacing w:before="0" w:after="0"/>
              <w:ind w:firstLine="0"/>
              <w:rPr>
                <w:bCs/>
              </w:rPr>
            </w:pPr>
            <w:r w:rsidRPr="00AB5EB4">
              <w:rPr>
                <w:bCs/>
              </w:rPr>
              <w:lastRenderedPageBreak/>
              <w:t xml:space="preserve">Noteikumu projekts neskar privātpersonas tiešā veidā. Izstrādātais regulējums nodrošinās </w:t>
            </w:r>
            <w:r w:rsidR="00AB5EB4" w:rsidRPr="00AB5EB4">
              <w:rPr>
                <w:bCs/>
              </w:rPr>
              <w:t xml:space="preserve">deleģējumu ministru kabinetam izstrādāt noteikumus, </w:t>
            </w:r>
            <w:r w:rsidRPr="00AB5EB4">
              <w:rPr>
                <w:bCs/>
              </w:rPr>
              <w:t>kas paredz</w:t>
            </w:r>
            <w:r w:rsidR="00AB5EB4" w:rsidRPr="00AB5EB4">
              <w:rPr>
                <w:bCs/>
              </w:rPr>
              <w:t>ēs</w:t>
            </w:r>
            <w:r w:rsidRPr="00AB5EB4">
              <w:rPr>
                <w:bCs/>
              </w:rPr>
              <w:t xml:space="preserve"> </w:t>
            </w:r>
            <w:r w:rsidR="00AB5EB4" w:rsidRPr="00AB5EB4">
              <w:rPr>
                <w:bCs/>
              </w:rPr>
              <w:t xml:space="preserve">atbalsta dzīvojamo īres māju būvniecībai, atjaunošanai, pārbūvei vai jaunuzceltu, atjaunotu vai pārbūvētu </w:t>
            </w:r>
            <w:r w:rsidR="00AB5EB4" w:rsidRPr="00AB5EB4">
              <w:rPr>
                <w:bCs/>
              </w:rPr>
              <w:lastRenderedPageBreak/>
              <w:t xml:space="preserve">dzīvojamo īres māju iegādei sniegšanas veidu, kārtību, nosacījumus, grupas, kurām sniedzams atbalsts, kā arī piemērojamo komercdarbības atbalsta regulējumu. </w:t>
            </w:r>
          </w:p>
          <w:p w14:paraId="0BF35788" w14:textId="77777777" w:rsidR="00AB5EB4" w:rsidRDefault="00AB5EB4" w:rsidP="00AB5EB4">
            <w:pPr>
              <w:jc w:val="both"/>
            </w:pPr>
          </w:p>
          <w:p w14:paraId="142E1922" w14:textId="7C84C12A" w:rsidR="00161647" w:rsidRPr="00204B33" w:rsidRDefault="00E44D42" w:rsidP="00AB5EB4">
            <w:pPr>
              <w:jc w:val="both"/>
            </w:pPr>
            <w:r w:rsidRPr="00204B33">
              <w:t>Ievērojot iepriekš minēto sabiedrības līdzdalība nav neieciešama.</w:t>
            </w:r>
          </w:p>
        </w:tc>
      </w:tr>
      <w:tr w:rsidR="00BD5588" w:rsidRPr="00204B33" w14:paraId="4E93E920" w14:textId="77777777" w:rsidTr="00C46D9F">
        <w:trPr>
          <w:cantSplit/>
        </w:trPr>
        <w:tc>
          <w:tcPr>
            <w:tcW w:w="267" w:type="pct"/>
            <w:hideMark/>
          </w:tcPr>
          <w:p w14:paraId="1B4F637E" w14:textId="77777777" w:rsidR="00BD5588" w:rsidRPr="00204B33" w:rsidRDefault="00BD5588" w:rsidP="00E273A1">
            <w:pPr>
              <w:jc w:val="center"/>
            </w:pPr>
            <w:r w:rsidRPr="00204B33">
              <w:lastRenderedPageBreak/>
              <w:t>2.</w:t>
            </w:r>
          </w:p>
        </w:tc>
        <w:tc>
          <w:tcPr>
            <w:tcW w:w="1274" w:type="pct"/>
            <w:hideMark/>
          </w:tcPr>
          <w:p w14:paraId="4FA8A427" w14:textId="77777777" w:rsidR="00BD5588" w:rsidRPr="00204B33" w:rsidRDefault="00BD5588" w:rsidP="00E273A1">
            <w:r w:rsidRPr="00204B33">
              <w:t>Sabiedrības līdzdalība projekta izstrādē</w:t>
            </w:r>
          </w:p>
        </w:tc>
        <w:tc>
          <w:tcPr>
            <w:tcW w:w="3459" w:type="pct"/>
            <w:hideMark/>
          </w:tcPr>
          <w:p w14:paraId="45EB8632" w14:textId="5F8C9A25" w:rsidR="00C30DD8" w:rsidRPr="00204B33" w:rsidRDefault="00E44D42" w:rsidP="00C30DD8">
            <w:pPr>
              <w:pStyle w:val="naisnod"/>
              <w:spacing w:before="0" w:after="0"/>
              <w:ind w:right="57" w:firstLine="108"/>
              <w:jc w:val="both"/>
              <w:rPr>
                <w:b w:val="0"/>
                <w:bCs w:val="0"/>
              </w:rPr>
            </w:pPr>
            <w:r w:rsidRPr="00204B33">
              <w:rPr>
                <w:b w:val="0"/>
                <w:bCs w:val="0"/>
              </w:rPr>
              <w:t>Nav.</w:t>
            </w:r>
          </w:p>
          <w:p w14:paraId="62BA5ABA" w14:textId="77777777" w:rsidR="00C30DD8" w:rsidRPr="00204B33" w:rsidRDefault="00C30DD8" w:rsidP="00AD7B2D">
            <w:pPr>
              <w:pStyle w:val="naisnod"/>
              <w:spacing w:before="0" w:after="0"/>
              <w:ind w:right="57" w:firstLine="108"/>
              <w:jc w:val="both"/>
              <w:rPr>
                <w:b w:val="0"/>
                <w:bCs w:val="0"/>
              </w:rPr>
            </w:pPr>
          </w:p>
          <w:p w14:paraId="21582BC5" w14:textId="72B5C313" w:rsidR="00161647" w:rsidRPr="00204B33" w:rsidRDefault="00161647" w:rsidP="00AD7B2D">
            <w:pPr>
              <w:pStyle w:val="naisnod"/>
              <w:spacing w:before="0" w:after="0"/>
              <w:ind w:right="57" w:firstLine="108"/>
              <w:jc w:val="both"/>
              <w:rPr>
                <w:b w:val="0"/>
                <w:sz w:val="14"/>
              </w:rPr>
            </w:pPr>
          </w:p>
        </w:tc>
      </w:tr>
      <w:tr w:rsidR="00BD5588" w:rsidRPr="00204B33" w14:paraId="3913ECCF" w14:textId="77777777" w:rsidTr="00C46D9F">
        <w:trPr>
          <w:cantSplit/>
        </w:trPr>
        <w:tc>
          <w:tcPr>
            <w:tcW w:w="267" w:type="pct"/>
            <w:hideMark/>
          </w:tcPr>
          <w:p w14:paraId="1B63522F" w14:textId="77777777" w:rsidR="00BD5588" w:rsidRPr="00204B33" w:rsidRDefault="00BD5588" w:rsidP="00E273A1">
            <w:pPr>
              <w:jc w:val="center"/>
            </w:pPr>
            <w:r w:rsidRPr="00204B33">
              <w:t>3.</w:t>
            </w:r>
          </w:p>
        </w:tc>
        <w:tc>
          <w:tcPr>
            <w:tcW w:w="1274" w:type="pct"/>
            <w:hideMark/>
          </w:tcPr>
          <w:p w14:paraId="4C549B95" w14:textId="77777777" w:rsidR="00BD5588" w:rsidRPr="00204B33" w:rsidRDefault="00BD5588" w:rsidP="00E273A1">
            <w:r w:rsidRPr="00204B33">
              <w:t>Sabiedrības līdzdalības rezultāti</w:t>
            </w:r>
          </w:p>
        </w:tc>
        <w:tc>
          <w:tcPr>
            <w:tcW w:w="3459" w:type="pct"/>
            <w:hideMark/>
          </w:tcPr>
          <w:p w14:paraId="4F4654D7" w14:textId="2979CCCE" w:rsidR="00BD5588" w:rsidRPr="00204B33" w:rsidRDefault="00E44D42" w:rsidP="007067FA">
            <w:pPr>
              <w:ind w:firstLine="108"/>
              <w:jc w:val="both"/>
            </w:pPr>
            <w:r w:rsidRPr="00204B33">
              <w:t>Nav</w:t>
            </w:r>
          </w:p>
          <w:p w14:paraId="64E17A0B" w14:textId="0959A61D" w:rsidR="00161647" w:rsidRPr="00204B33" w:rsidRDefault="00161647" w:rsidP="007067FA">
            <w:pPr>
              <w:ind w:firstLine="108"/>
              <w:jc w:val="both"/>
              <w:rPr>
                <w:sz w:val="16"/>
              </w:rPr>
            </w:pPr>
          </w:p>
        </w:tc>
      </w:tr>
      <w:tr w:rsidR="00BD5588" w:rsidRPr="00204B33" w14:paraId="3ADE953F" w14:textId="77777777" w:rsidTr="00C46D9F">
        <w:trPr>
          <w:cantSplit/>
        </w:trPr>
        <w:tc>
          <w:tcPr>
            <w:tcW w:w="267" w:type="pct"/>
            <w:hideMark/>
          </w:tcPr>
          <w:p w14:paraId="4C70A1DB" w14:textId="77777777" w:rsidR="00BD5588" w:rsidRPr="00204B33" w:rsidRDefault="00BD5588" w:rsidP="00E273A1">
            <w:pPr>
              <w:jc w:val="center"/>
            </w:pPr>
            <w:r w:rsidRPr="00204B33">
              <w:t>4.</w:t>
            </w:r>
          </w:p>
        </w:tc>
        <w:tc>
          <w:tcPr>
            <w:tcW w:w="1274" w:type="pct"/>
            <w:hideMark/>
          </w:tcPr>
          <w:p w14:paraId="17FE348A" w14:textId="77777777" w:rsidR="00BD5588" w:rsidRPr="00204B33" w:rsidRDefault="00BD5588" w:rsidP="00E273A1">
            <w:r w:rsidRPr="00204B33">
              <w:t>Cita informācija</w:t>
            </w:r>
          </w:p>
        </w:tc>
        <w:tc>
          <w:tcPr>
            <w:tcW w:w="3459" w:type="pct"/>
            <w:hideMark/>
          </w:tcPr>
          <w:p w14:paraId="02C7E5C7" w14:textId="77777777" w:rsidR="00BD5588" w:rsidRPr="00204B33" w:rsidRDefault="00BD5588" w:rsidP="00EA3D31">
            <w:pPr>
              <w:ind w:firstLine="108"/>
            </w:pPr>
            <w:r w:rsidRPr="00204B33">
              <w:t>Nav</w:t>
            </w:r>
            <w:r w:rsidR="00EA3D31" w:rsidRPr="00204B33">
              <w:t>.</w:t>
            </w:r>
          </w:p>
          <w:p w14:paraId="0E324DC7" w14:textId="58319FAF" w:rsidR="00161647" w:rsidRPr="00204B33" w:rsidRDefault="00161647" w:rsidP="00EA3D31">
            <w:pPr>
              <w:ind w:firstLine="108"/>
              <w:rPr>
                <w:sz w:val="12"/>
              </w:rPr>
            </w:pPr>
          </w:p>
        </w:tc>
      </w:tr>
    </w:tbl>
    <w:p w14:paraId="036AD620" w14:textId="34A54E1C" w:rsidR="00430299" w:rsidRPr="00204B33" w:rsidRDefault="00430299" w:rsidP="001E1EA0">
      <w:pPr>
        <w:pStyle w:val="Title"/>
        <w:spacing w:before="130" w:line="260" w:lineRule="exact"/>
        <w:jc w:val="both"/>
        <w:rPr>
          <w:sz w:val="144"/>
          <w:szCs w:val="24"/>
          <w:highlight w:val="yellow"/>
        </w:rPr>
      </w:pPr>
    </w:p>
    <w:tbl>
      <w:tblPr>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4"/>
        <w:gridCol w:w="6664"/>
      </w:tblGrid>
      <w:tr w:rsidR="00BD5588" w:rsidRPr="00204B33" w14:paraId="2C97733B" w14:textId="77777777" w:rsidTr="00C46D9F">
        <w:trPr>
          <w:cantSplit/>
          <w:trHeight w:val="669"/>
        </w:trPr>
        <w:tc>
          <w:tcPr>
            <w:tcW w:w="5000" w:type="pct"/>
            <w:gridSpan w:val="3"/>
            <w:vAlign w:val="center"/>
            <w:hideMark/>
          </w:tcPr>
          <w:p w14:paraId="7A9C9DBF" w14:textId="77777777" w:rsidR="00D21A8A" w:rsidRPr="00204B33" w:rsidRDefault="00BD5588" w:rsidP="00B76031">
            <w:pPr>
              <w:jc w:val="center"/>
              <w:rPr>
                <w:b/>
                <w:bCs/>
              </w:rPr>
            </w:pPr>
            <w:r w:rsidRPr="00204B33">
              <w:rPr>
                <w:b/>
                <w:bCs/>
              </w:rPr>
              <w:t>VII. Tiesību akta projekta izpildes nodrošināšan</w:t>
            </w:r>
            <w:r w:rsidR="00B76031" w:rsidRPr="00204B33">
              <w:rPr>
                <w:b/>
                <w:bCs/>
              </w:rPr>
              <w:t>a un tās ietekme uz institūcijām</w:t>
            </w:r>
          </w:p>
          <w:p w14:paraId="655C9A47" w14:textId="77777777" w:rsidR="00BD5588" w:rsidRPr="00204B33" w:rsidRDefault="00BD5588" w:rsidP="00D21A8A"/>
        </w:tc>
      </w:tr>
      <w:tr w:rsidR="00BD5588" w:rsidRPr="00204B33" w14:paraId="294901AB" w14:textId="77777777" w:rsidTr="00C46D9F">
        <w:trPr>
          <w:cantSplit/>
        </w:trPr>
        <w:tc>
          <w:tcPr>
            <w:tcW w:w="267" w:type="pct"/>
            <w:hideMark/>
          </w:tcPr>
          <w:p w14:paraId="492C6551" w14:textId="77777777" w:rsidR="00BD5588" w:rsidRPr="00204B33" w:rsidRDefault="00BD5588" w:rsidP="00E273A1">
            <w:pPr>
              <w:jc w:val="center"/>
            </w:pPr>
            <w:r w:rsidRPr="00204B33">
              <w:t>1.</w:t>
            </w:r>
          </w:p>
        </w:tc>
        <w:tc>
          <w:tcPr>
            <w:tcW w:w="1274" w:type="pct"/>
            <w:hideMark/>
          </w:tcPr>
          <w:p w14:paraId="4737A7D2" w14:textId="77777777" w:rsidR="00BD5588" w:rsidRPr="00204B33" w:rsidRDefault="00BD5588" w:rsidP="00E273A1">
            <w:r w:rsidRPr="00204B33">
              <w:t>Projekta izpildē iesaistītās institūcijas</w:t>
            </w:r>
          </w:p>
        </w:tc>
        <w:tc>
          <w:tcPr>
            <w:tcW w:w="3459" w:type="pct"/>
            <w:hideMark/>
          </w:tcPr>
          <w:p w14:paraId="61B411F8" w14:textId="77777777" w:rsidR="00AB5EB4" w:rsidRPr="00204B33" w:rsidRDefault="00AB5EB4" w:rsidP="00AB5EB4">
            <w:pPr>
              <w:pStyle w:val="Heading3"/>
              <w:shd w:val="clear" w:color="auto" w:fill="FFFFFF"/>
              <w:ind w:firstLine="0"/>
              <w:rPr>
                <w:sz w:val="24"/>
                <w:szCs w:val="24"/>
                <w:lang w:eastAsia="lv-LV"/>
              </w:rPr>
            </w:pPr>
            <w:r w:rsidRPr="00204B33">
              <w:rPr>
                <w:sz w:val="24"/>
                <w:szCs w:val="24"/>
                <w:lang w:eastAsia="lv-LV"/>
              </w:rPr>
              <w:t xml:space="preserve">Ekonomikas ministrija, </w:t>
            </w:r>
            <w:r>
              <w:rPr>
                <w:sz w:val="24"/>
                <w:szCs w:val="24"/>
                <w:lang w:eastAsia="lv-LV"/>
              </w:rPr>
              <w:t xml:space="preserve">Finanšu ministrija, Tieslietu ministrija, pašvaldības, pašvaldību kapitālsabiedrības, </w:t>
            </w:r>
            <w:r w:rsidRPr="00204B33">
              <w:rPr>
                <w:sz w:val="24"/>
                <w:szCs w:val="24"/>
                <w:lang w:eastAsia="lv-LV"/>
              </w:rPr>
              <w:t xml:space="preserve">akciju sabiedrība </w:t>
            </w:r>
            <w:r>
              <w:rPr>
                <w:sz w:val="24"/>
                <w:szCs w:val="24"/>
                <w:lang w:eastAsia="lv-LV"/>
              </w:rPr>
              <w:t>„</w:t>
            </w:r>
            <w:r w:rsidRPr="00204B33">
              <w:rPr>
                <w:sz w:val="24"/>
                <w:szCs w:val="24"/>
                <w:lang w:eastAsia="lv-LV"/>
              </w:rPr>
              <w:t xml:space="preserve">Attīstības finanšu institūcija Altum", </w:t>
            </w:r>
            <w:hyperlink r:id="rId11" w:history="1">
              <w:r w:rsidRPr="00204B33">
                <w:rPr>
                  <w:sz w:val="24"/>
                  <w:szCs w:val="24"/>
                  <w:lang w:eastAsia="lv-LV"/>
                </w:rPr>
                <w:t>Latvijas Lielo pilsētu asociācija</w:t>
              </w:r>
            </w:hyperlink>
            <w:r w:rsidRPr="00204B33">
              <w:rPr>
                <w:sz w:val="24"/>
                <w:szCs w:val="24"/>
                <w:lang w:eastAsia="lv-LV"/>
              </w:rPr>
              <w:t>s pārstāvji</w:t>
            </w:r>
            <w:r>
              <w:rPr>
                <w:sz w:val="24"/>
                <w:szCs w:val="24"/>
                <w:lang w:eastAsia="lv-LV"/>
              </w:rPr>
              <w:t>, Latvijas Pašvaldību savienība</w:t>
            </w:r>
          </w:p>
          <w:p w14:paraId="3D2E037F" w14:textId="4FF4141A" w:rsidR="00161647" w:rsidRPr="00204B33" w:rsidRDefault="00161647" w:rsidP="00AB5EB4">
            <w:pPr>
              <w:jc w:val="both"/>
              <w:rPr>
                <w:sz w:val="18"/>
              </w:rPr>
            </w:pPr>
          </w:p>
        </w:tc>
      </w:tr>
      <w:tr w:rsidR="00BD5588" w:rsidRPr="00204B33" w14:paraId="3E389F79" w14:textId="77777777" w:rsidTr="00C46D9F">
        <w:tc>
          <w:tcPr>
            <w:tcW w:w="267" w:type="pct"/>
            <w:hideMark/>
          </w:tcPr>
          <w:p w14:paraId="70D1D17D" w14:textId="77777777" w:rsidR="00BD5588" w:rsidRPr="00204B33" w:rsidRDefault="00BD5588" w:rsidP="00E273A1">
            <w:pPr>
              <w:jc w:val="center"/>
            </w:pPr>
            <w:r w:rsidRPr="00204B33">
              <w:t>2.</w:t>
            </w:r>
          </w:p>
        </w:tc>
        <w:tc>
          <w:tcPr>
            <w:tcW w:w="1274" w:type="pct"/>
            <w:hideMark/>
          </w:tcPr>
          <w:p w14:paraId="3C5E967B" w14:textId="77777777" w:rsidR="00BD5588" w:rsidRPr="00204B33" w:rsidRDefault="00BD5588" w:rsidP="00E273A1">
            <w:r w:rsidRPr="00204B33">
              <w:t>Projekta izpildes ietekme uz pārvaldes funkcijām un institucionālo struktūru.</w:t>
            </w:r>
            <w:r w:rsidRPr="00204B33">
              <w:br/>
              <w:t>Jaunu institūciju izveide, esošu institūciju likvidācija vai reorganizācija, to ietekme uz institūcijas cilvēkresursiem</w:t>
            </w:r>
          </w:p>
        </w:tc>
        <w:tc>
          <w:tcPr>
            <w:tcW w:w="3459" w:type="pct"/>
            <w:hideMark/>
          </w:tcPr>
          <w:p w14:paraId="2165F141" w14:textId="77777777" w:rsidR="00E44D42" w:rsidRPr="00204B33" w:rsidRDefault="00E44D42" w:rsidP="00E44D42">
            <w:pPr>
              <w:ind w:right="-1"/>
              <w:jc w:val="both"/>
            </w:pPr>
            <w:r w:rsidRPr="00204B33">
              <w:t>Ekonomikas ministrija veiks savas funkcijas, kas noteiktas normatīvajos aktos.</w:t>
            </w:r>
          </w:p>
          <w:p w14:paraId="5EE51D42" w14:textId="77777777" w:rsidR="00E44D42" w:rsidRPr="00204B33" w:rsidRDefault="00E44D42" w:rsidP="00E44D42">
            <w:pPr>
              <w:ind w:right="-1"/>
              <w:jc w:val="both"/>
            </w:pPr>
          </w:p>
          <w:p w14:paraId="13BFC015" w14:textId="16A0543B" w:rsidR="00CE664B" w:rsidRPr="00204B33" w:rsidRDefault="00E44D42" w:rsidP="00851B9D">
            <w:pPr>
              <w:jc w:val="both"/>
            </w:pPr>
            <w:r w:rsidRPr="00204B33">
              <w:t>Saistībā ar plānoto grozījumu izpildi nav plānots radīt jaunas valsts pārvaldes institūcijas, likvidēt esošās valsts pārvaldes institūcijas, vai reorganizēt esošās valsts pārvaldes institūcijas.</w:t>
            </w:r>
          </w:p>
        </w:tc>
      </w:tr>
      <w:tr w:rsidR="00BD5588" w:rsidRPr="00204B33" w14:paraId="1E6AAD1C" w14:textId="77777777" w:rsidTr="00C46D9F">
        <w:trPr>
          <w:cantSplit/>
        </w:trPr>
        <w:tc>
          <w:tcPr>
            <w:tcW w:w="267" w:type="pct"/>
            <w:hideMark/>
          </w:tcPr>
          <w:p w14:paraId="1D4AC77D" w14:textId="77777777" w:rsidR="00BD5588" w:rsidRPr="00204B33" w:rsidRDefault="00BD5588" w:rsidP="00E273A1">
            <w:pPr>
              <w:jc w:val="center"/>
              <w:rPr>
                <w:highlight w:val="yellow"/>
              </w:rPr>
            </w:pPr>
            <w:r w:rsidRPr="00204B33">
              <w:t>3.</w:t>
            </w:r>
          </w:p>
        </w:tc>
        <w:tc>
          <w:tcPr>
            <w:tcW w:w="1274" w:type="pct"/>
            <w:hideMark/>
          </w:tcPr>
          <w:p w14:paraId="58D3DAC7" w14:textId="77777777" w:rsidR="00BD5588" w:rsidRPr="00204B33" w:rsidRDefault="00BD5588" w:rsidP="00E273A1">
            <w:r w:rsidRPr="00204B33">
              <w:t>Cita informācija</w:t>
            </w:r>
          </w:p>
        </w:tc>
        <w:tc>
          <w:tcPr>
            <w:tcW w:w="3459" w:type="pct"/>
            <w:hideMark/>
          </w:tcPr>
          <w:p w14:paraId="527CF25D" w14:textId="7740F9F9" w:rsidR="00430299" w:rsidRPr="00204B33" w:rsidRDefault="00E44D42" w:rsidP="00E44D42">
            <w:pPr>
              <w:jc w:val="both"/>
              <w:rPr>
                <w:sz w:val="16"/>
              </w:rPr>
            </w:pPr>
            <w:r w:rsidRPr="00204B33">
              <w:t xml:space="preserve">Saskaņā ar Oficiālo publikāciju un tiesiskās informācijas likuma 2. panta pirmo daļu un 3. panta pirmo daļu tiesību aktus publicē oficiālajā izdevumā „Latvijas Vēstnesis”, tos publicējot elektroniski tīmekļa vietnē </w:t>
            </w:r>
            <w:hyperlink r:id="rId12" w:history="1">
              <w:r w:rsidRPr="00204B33">
                <w:rPr>
                  <w:rStyle w:val="Hyperlink"/>
                </w:rPr>
                <w:t>www.vestnesis.lv</w:t>
              </w:r>
            </w:hyperlink>
            <w:r w:rsidRPr="00204B33">
              <w:t>.</w:t>
            </w:r>
          </w:p>
        </w:tc>
      </w:tr>
    </w:tbl>
    <w:p w14:paraId="28AAB903" w14:textId="6B294B7F" w:rsidR="00D21A8A" w:rsidRPr="00204B33" w:rsidRDefault="00D21A8A" w:rsidP="00D21A8A">
      <w:pPr>
        <w:tabs>
          <w:tab w:val="left" w:pos="6804"/>
        </w:tabs>
        <w:rPr>
          <w:lang w:eastAsia="ru-RU"/>
        </w:rPr>
      </w:pPr>
    </w:p>
    <w:p w14:paraId="277CABD7" w14:textId="0E44FAE8" w:rsidR="004E4DD9" w:rsidRPr="00204B33" w:rsidRDefault="004E4DD9" w:rsidP="00D21A8A">
      <w:pPr>
        <w:tabs>
          <w:tab w:val="left" w:pos="6804"/>
        </w:tabs>
        <w:rPr>
          <w:lang w:eastAsia="ru-RU"/>
        </w:rPr>
      </w:pPr>
    </w:p>
    <w:p w14:paraId="38887C3C" w14:textId="1C028388" w:rsidR="00D21A8A" w:rsidRPr="00204B33" w:rsidRDefault="00D21A8A" w:rsidP="00D21A8A">
      <w:pPr>
        <w:tabs>
          <w:tab w:val="left" w:pos="6804"/>
        </w:tabs>
        <w:rPr>
          <w:lang w:eastAsia="ru-RU"/>
        </w:rPr>
      </w:pPr>
      <w:r w:rsidRPr="00204B33">
        <w:rPr>
          <w:lang w:eastAsia="ru-RU"/>
        </w:rPr>
        <w:t>Ministru prezidenta biedrs,</w:t>
      </w:r>
    </w:p>
    <w:p w14:paraId="6712E2F6" w14:textId="08298625" w:rsidR="00D21A8A" w:rsidRPr="00204B33" w:rsidRDefault="00D71ED3" w:rsidP="00466C3A">
      <w:pPr>
        <w:tabs>
          <w:tab w:val="left" w:pos="6946"/>
        </w:tabs>
        <w:rPr>
          <w:lang w:eastAsia="ru-RU"/>
        </w:rPr>
      </w:pPr>
      <w:r w:rsidRPr="00204B33">
        <w:rPr>
          <w:lang w:eastAsia="ru-RU"/>
        </w:rPr>
        <w:t>e</w:t>
      </w:r>
      <w:r w:rsidR="00466C3A" w:rsidRPr="00204B33">
        <w:rPr>
          <w:lang w:eastAsia="ru-RU"/>
        </w:rPr>
        <w:t>konomika</w:t>
      </w:r>
      <w:r w:rsidRPr="00204B33">
        <w:rPr>
          <w:lang w:eastAsia="ru-RU"/>
        </w:rPr>
        <w:t>s</w:t>
      </w:r>
      <w:r w:rsidR="00466C3A" w:rsidRPr="00204B33">
        <w:rPr>
          <w:lang w:eastAsia="ru-RU"/>
        </w:rPr>
        <w:t xml:space="preserve"> ministrs</w:t>
      </w:r>
      <w:r w:rsidR="00466C3A" w:rsidRPr="00204B33">
        <w:rPr>
          <w:lang w:eastAsia="ru-RU"/>
        </w:rPr>
        <w:tab/>
      </w:r>
      <w:r w:rsidR="00D21A8A" w:rsidRPr="00204B33">
        <w:rPr>
          <w:lang w:eastAsia="ru-RU"/>
        </w:rPr>
        <w:t>A. Ašeradens</w:t>
      </w:r>
    </w:p>
    <w:p w14:paraId="5ADBE5D6" w14:textId="6006315D" w:rsidR="00D21A8A" w:rsidRPr="00204B33" w:rsidRDefault="00D21A8A" w:rsidP="00D21A8A">
      <w:pPr>
        <w:rPr>
          <w:lang w:eastAsia="ru-RU"/>
        </w:rPr>
      </w:pPr>
    </w:p>
    <w:p w14:paraId="410D33F6" w14:textId="77777777" w:rsidR="00D21A8A" w:rsidRPr="00204B33" w:rsidRDefault="00D21A8A" w:rsidP="00D21A8A">
      <w:pPr>
        <w:rPr>
          <w:lang w:eastAsia="ru-RU"/>
        </w:rPr>
      </w:pPr>
      <w:r w:rsidRPr="00204B33">
        <w:rPr>
          <w:lang w:eastAsia="ru-RU"/>
        </w:rPr>
        <w:t xml:space="preserve">Vīza: </w:t>
      </w:r>
    </w:p>
    <w:p w14:paraId="328F2974" w14:textId="13E48849" w:rsidR="00D21A8A" w:rsidRPr="00204B33" w:rsidRDefault="00D21A8A" w:rsidP="00466C3A">
      <w:pPr>
        <w:tabs>
          <w:tab w:val="left" w:pos="7371"/>
        </w:tabs>
        <w:rPr>
          <w:lang w:eastAsia="ru-RU"/>
        </w:rPr>
      </w:pPr>
      <w:r w:rsidRPr="00204B33">
        <w:rPr>
          <w:lang w:eastAsia="ru-RU"/>
        </w:rPr>
        <w:t>Valsts sekretār</w:t>
      </w:r>
      <w:r w:rsidR="00746B37" w:rsidRPr="00204B33">
        <w:rPr>
          <w:lang w:eastAsia="ru-RU"/>
        </w:rPr>
        <w:t>s</w:t>
      </w:r>
      <w:r w:rsidR="00466C3A" w:rsidRPr="00204B33">
        <w:rPr>
          <w:lang w:eastAsia="ru-RU"/>
        </w:rPr>
        <w:tab/>
      </w:r>
      <w:r w:rsidR="00D763D5" w:rsidRPr="00204B33">
        <w:rPr>
          <w:lang w:eastAsia="ru-RU"/>
        </w:rPr>
        <w:t>Ē.</w:t>
      </w:r>
      <w:r w:rsidR="00D71ED3" w:rsidRPr="00204B33">
        <w:rPr>
          <w:lang w:eastAsia="ru-RU"/>
        </w:rPr>
        <w:t> </w:t>
      </w:r>
      <w:r w:rsidR="00D763D5" w:rsidRPr="00204B33">
        <w:rPr>
          <w:lang w:eastAsia="ru-RU"/>
        </w:rPr>
        <w:t>Eglītis</w:t>
      </w:r>
    </w:p>
    <w:p w14:paraId="6993F1C5" w14:textId="480E9083" w:rsidR="00D21A8A" w:rsidRPr="00204B33" w:rsidRDefault="00D21A8A" w:rsidP="00D21A8A">
      <w:pPr>
        <w:suppressAutoHyphens/>
        <w:rPr>
          <w:sz w:val="18"/>
          <w:szCs w:val="18"/>
          <w:lang w:eastAsia="ru-RU"/>
        </w:rPr>
      </w:pPr>
    </w:p>
    <w:p w14:paraId="1397B230" w14:textId="77777777" w:rsidR="00CB018C" w:rsidRPr="00204B33" w:rsidRDefault="00CB018C" w:rsidP="001E1EA0">
      <w:pPr>
        <w:tabs>
          <w:tab w:val="left" w:pos="0"/>
        </w:tabs>
        <w:jc w:val="both"/>
        <w:rPr>
          <w:sz w:val="16"/>
          <w:szCs w:val="16"/>
          <w:lang w:eastAsia="ru-RU"/>
        </w:rPr>
      </w:pPr>
    </w:p>
    <w:p w14:paraId="1797CCB6" w14:textId="77777777" w:rsidR="00CB018C" w:rsidRPr="00204B33" w:rsidRDefault="00CB018C" w:rsidP="001E1EA0">
      <w:pPr>
        <w:tabs>
          <w:tab w:val="left" w:pos="0"/>
        </w:tabs>
        <w:jc w:val="both"/>
        <w:rPr>
          <w:sz w:val="16"/>
          <w:szCs w:val="16"/>
          <w:lang w:eastAsia="ru-RU"/>
        </w:rPr>
      </w:pPr>
    </w:p>
    <w:p w14:paraId="36165B1D" w14:textId="77777777" w:rsidR="00CB018C" w:rsidRPr="00204B33" w:rsidRDefault="00CB018C" w:rsidP="001E1EA0">
      <w:pPr>
        <w:tabs>
          <w:tab w:val="left" w:pos="0"/>
        </w:tabs>
        <w:jc w:val="both"/>
        <w:rPr>
          <w:sz w:val="16"/>
          <w:szCs w:val="16"/>
          <w:lang w:eastAsia="ru-RU"/>
        </w:rPr>
      </w:pPr>
    </w:p>
    <w:p w14:paraId="32DE9A64" w14:textId="178BD136" w:rsidR="005B4660" w:rsidRPr="00204B33" w:rsidRDefault="00E44D42" w:rsidP="001E1EA0">
      <w:pPr>
        <w:tabs>
          <w:tab w:val="left" w:pos="0"/>
        </w:tabs>
        <w:jc w:val="both"/>
        <w:rPr>
          <w:sz w:val="16"/>
          <w:szCs w:val="16"/>
          <w:lang w:eastAsia="ru-RU"/>
        </w:rPr>
      </w:pPr>
      <w:r w:rsidRPr="00204B33">
        <w:rPr>
          <w:sz w:val="16"/>
          <w:szCs w:val="16"/>
          <w:lang w:eastAsia="ru-RU"/>
        </w:rPr>
        <w:t>Vītola</w:t>
      </w:r>
      <w:r w:rsidR="00D21A8A" w:rsidRPr="00204B33">
        <w:rPr>
          <w:sz w:val="16"/>
          <w:szCs w:val="16"/>
          <w:lang w:eastAsia="ru-RU"/>
        </w:rPr>
        <w:t>, 67013</w:t>
      </w:r>
      <w:r w:rsidRPr="00204B33">
        <w:rPr>
          <w:sz w:val="16"/>
          <w:szCs w:val="16"/>
          <w:lang w:eastAsia="ru-RU"/>
        </w:rPr>
        <w:t>041</w:t>
      </w:r>
      <w:r w:rsidR="001E1EA0" w:rsidRPr="00204B33">
        <w:rPr>
          <w:sz w:val="16"/>
          <w:szCs w:val="16"/>
          <w:lang w:eastAsia="ru-RU"/>
        </w:rPr>
        <w:t xml:space="preserve"> </w:t>
      </w:r>
    </w:p>
    <w:p w14:paraId="010F3B36" w14:textId="69042288" w:rsidR="009959EC" w:rsidRPr="00204B33" w:rsidRDefault="00E1093C" w:rsidP="009959EC">
      <w:pPr>
        <w:tabs>
          <w:tab w:val="left" w:pos="0"/>
        </w:tabs>
        <w:jc w:val="both"/>
        <w:rPr>
          <w:sz w:val="16"/>
          <w:szCs w:val="16"/>
          <w:lang w:eastAsia="ru-RU"/>
        </w:rPr>
      </w:pPr>
      <w:hyperlink r:id="rId13" w:history="1">
        <w:r w:rsidR="00E44D42" w:rsidRPr="00204B33">
          <w:rPr>
            <w:rStyle w:val="Hyperlink"/>
            <w:sz w:val="16"/>
            <w:szCs w:val="16"/>
            <w:lang w:eastAsia="ru-RU"/>
          </w:rPr>
          <w:t>Dace.Vitola@em.gov.lv</w:t>
        </w:r>
      </w:hyperlink>
    </w:p>
    <w:sectPr w:rsidR="009959EC" w:rsidRPr="00204B33" w:rsidSect="0009085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743F" w14:textId="77777777" w:rsidR="00E1093C" w:rsidRDefault="00E1093C" w:rsidP="00D21A8A">
      <w:r>
        <w:separator/>
      </w:r>
    </w:p>
  </w:endnote>
  <w:endnote w:type="continuationSeparator" w:id="0">
    <w:p w14:paraId="4B1E7798" w14:textId="77777777" w:rsidR="00E1093C" w:rsidRDefault="00E1093C" w:rsidP="00D2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4CC1" w14:textId="77777777" w:rsidR="00AC62D8" w:rsidRDefault="00AC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35817"/>
      <w:docPartObj>
        <w:docPartGallery w:val="Page Numbers (Bottom of Page)"/>
        <w:docPartUnique/>
      </w:docPartObj>
    </w:sdtPr>
    <w:sdtEndPr>
      <w:rPr>
        <w:sz w:val="20"/>
        <w:szCs w:val="20"/>
      </w:rPr>
    </w:sdtEndPr>
    <w:sdtContent>
      <w:p w14:paraId="479A4663" w14:textId="15FABA4B" w:rsidR="00403BAF" w:rsidRPr="00644E1F" w:rsidRDefault="00403BAF" w:rsidP="00EA18EB">
        <w:pPr>
          <w:pStyle w:val="NormalWeb"/>
          <w:spacing w:before="0" w:beforeAutospacing="0" w:after="0" w:afterAutospacing="0"/>
          <w:jc w:val="both"/>
          <w:rPr>
            <w:rFonts w:ascii="Times New Roman" w:hAnsi="Times New Roman"/>
            <w:color w:val="000000"/>
            <w:sz w:val="20"/>
            <w:szCs w:val="20"/>
            <w:lang w:val="lv-LV"/>
          </w:rPr>
        </w:pPr>
        <w:r w:rsidRPr="00644E1F">
          <w:rPr>
            <w:rFonts w:ascii="Times New Roman" w:hAnsi="Times New Roman"/>
            <w:sz w:val="20"/>
            <w:szCs w:val="20"/>
          </w:rPr>
          <w:t>EMAnot_</w:t>
        </w:r>
        <w:r w:rsidRPr="00644E1F">
          <w:rPr>
            <w:rFonts w:ascii="Times New Roman" w:hAnsi="Times New Roman"/>
            <w:sz w:val="20"/>
            <w:szCs w:val="20"/>
            <w:lang w:val="lv-LV"/>
          </w:rPr>
          <w:t>1</w:t>
        </w:r>
        <w:r w:rsidR="00AC62D8">
          <w:rPr>
            <w:rFonts w:ascii="Times New Roman" w:hAnsi="Times New Roman"/>
            <w:sz w:val="20"/>
            <w:szCs w:val="20"/>
            <w:lang w:val="lv-LV"/>
          </w:rPr>
          <w:t>6</w:t>
        </w:r>
        <w:r w:rsidR="00644E1F" w:rsidRPr="00644E1F">
          <w:rPr>
            <w:rFonts w:ascii="Times New Roman" w:hAnsi="Times New Roman"/>
            <w:sz w:val="20"/>
            <w:szCs w:val="20"/>
            <w:lang w:val="lv-LV"/>
          </w:rPr>
          <w:t>1020</w:t>
        </w:r>
        <w:r w:rsidRPr="00644E1F">
          <w:rPr>
            <w:rFonts w:ascii="Times New Roman" w:hAnsi="Times New Roman"/>
            <w:sz w:val="20"/>
            <w:szCs w:val="20"/>
          </w:rPr>
          <w:t xml:space="preserve">18_ </w:t>
        </w:r>
        <w:r w:rsidR="00644E1F" w:rsidRPr="00644E1F">
          <w:rPr>
            <w:rFonts w:ascii="Times New Roman" w:hAnsi="Times New Roman"/>
            <w:sz w:val="20"/>
            <w:szCs w:val="20"/>
            <w:lang w:val="lv-LV"/>
          </w:rPr>
          <w:t>palidziba</w:t>
        </w:r>
        <w:r w:rsidRPr="00644E1F">
          <w:rPr>
            <w:rFonts w:ascii="Times New Roman" w:hAnsi="Times New Roman"/>
            <w:sz w:val="20"/>
            <w:szCs w:val="20"/>
          </w:rPr>
          <w:t xml:space="preserve">; </w:t>
        </w:r>
        <w:r w:rsidR="00644E1F" w:rsidRPr="00644E1F">
          <w:rPr>
            <w:rFonts w:ascii="Times New Roman" w:hAnsi="Times New Roman"/>
            <w:bCs/>
            <w:color w:val="000000"/>
            <w:sz w:val="20"/>
            <w:szCs w:val="20"/>
            <w:lang w:val="lv-LV"/>
          </w:rPr>
          <w:t xml:space="preserve">Likumprojekta </w:t>
        </w:r>
        <w:r w:rsidR="00644E1F" w:rsidRPr="00644E1F">
          <w:rPr>
            <w:rFonts w:ascii="Times New Roman" w:hAnsi="Times New Roman"/>
            <w:b/>
            <w:bCs/>
            <w:color w:val="000000"/>
            <w:sz w:val="20"/>
            <w:szCs w:val="20"/>
            <w:lang w:val="lv-LV"/>
          </w:rPr>
          <w:t>“</w:t>
        </w:r>
        <w:r w:rsidR="00644E1F" w:rsidRPr="00644E1F">
          <w:rPr>
            <w:rStyle w:val="Strong"/>
            <w:rFonts w:ascii="Times New Roman" w:hAnsi="Times New Roman"/>
            <w:b w:val="0"/>
            <w:sz w:val="20"/>
            <w:szCs w:val="20"/>
            <w:lang w:val="lv-LV"/>
          </w:rPr>
          <w:t xml:space="preserve">Grozījumi likumā „Par palīdzību dzīvokļa jautājumu risināšanā”” </w:t>
        </w:r>
        <w:r w:rsidR="00644E1F" w:rsidRPr="00644E1F">
          <w:rPr>
            <w:rFonts w:ascii="Times New Roman" w:hAnsi="Times New Roman"/>
            <w:color w:val="000000"/>
            <w:sz w:val="20"/>
            <w:szCs w:val="20"/>
            <w:lang w:val="lv-LV"/>
          </w:rPr>
          <w:t>sākotnējās ietekmes novērtējuma ziņojums (anotācija)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7822" w14:textId="77777777" w:rsidR="00AC62D8" w:rsidRDefault="00AC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97752" w14:textId="77777777" w:rsidR="00E1093C" w:rsidRDefault="00E1093C" w:rsidP="00D21A8A">
      <w:r>
        <w:separator/>
      </w:r>
    </w:p>
  </w:footnote>
  <w:footnote w:type="continuationSeparator" w:id="0">
    <w:p w14:paraId="51AC7360" w14:textId="77777777" w:rsidR="00E1093C" w:rsidRDefault="00E1093C" w:rsidP="00D21A8A">
      <w:r>
        <w:continuationSeparator/>
      </w:r>
    </w:p>
  </w:footnote>
  <w:footnote w:id="1">
    <w:p w14:paraId="3BB673EF" w14:textId="77777777" w:rsidR="00FC4A80" w:rsidRPr="000245E6" w:rsidRDefault="00FC4A80" w:rsidP="00403BAF">
      <w:pPr>
        <w:pStyle w:val="FootnoteText"/>
        <w:rPr>
          <w:rFonts w:asciiTheme="majorHAnsi" w:hAnsiTheme="majorHAnsi"/>
          <w:sz w:val="16"/>
          <w:szCs w:val="16"/>
        </w:rPr>
      </w:pPr>
      <w:r w:rsidRPr="000245E6">
        <w:rPr>
          <w:rStyle w:val="FootnoteReference"/>
          <w:rFonts w:asciiTheme="majorHAnsi" w:hAnsiTheme="majorHAnsi"/>
          <w:sz w:val="16"/>
          <w:szCs w:val="16"/>
        </w:rPr>
        <w:footnoteRef/>
      </w:r>
      <w:r w:rsidRPr="000245E6">
        <w:rPr>
          <w:rFonts w:asciiTheme="majorHAnsi" w:hAnsiTheme="majorHAnsi"/>
          <w:sz w:val="16"/>
          <w:szCs w:val="16"/>
        </w:rPr>
        <w:t>Valsts kadastra informācijas sistēma</w:t>
      </w:r>
    </w:p>
  </w:footnote>
  <w:footnote w:id="2">
    <w:p w14:paraId="618A5AA9" w14:textId="77777777" w:rsidR="00FC4A80" w:rsidRPr="000245E6" w:rsidRDefault="00FC4A80" w:rsidP="00403BAF">
      <w:pPr>
        <w:pStyle w:val="FootnoteText"/>
        <w:rPr>
          <w:rFonts w:asciiTheme="majorHAnsi" w:hAnsiTheme="majorHAnsi"/>
        </w:rPr>
      </w:pPr>
      <w:r w:rsidRPr="000245E6">
        <w:rPr>
          <w:rStyle w:val="FootnoteReference"/>
          <w:rFonts w:asciiTheme="majorHAnsi" w:hAnsiTheme="majorHAnsi"/>
          <w:sz w:val="16"/>
        </w:rPr>
        <w:footnoteRef/>
      </w:r>
      <w:r w:rsidRPr="000245E6">
        <w:rPr>
          <w:rFonts w:asciiTheme="majorHAnsi" w:hAnsiTheme="majorHAnsi"/>
          <w:sz w:val="16"/>
        </w:rPr>
        <w:t xml:space="preserve"> Centrālās statistikas pārvalde, Lietuvos Statistikos departamentas, Eesti Statistika</w:t>
      </w:r>
    </w:p>
  </w:footnote>
  <w:footnote w:id="3">
    <w:p w14:paraId="13C4E023" w14:textId="77777777" w:rsidR="00FC4A80" w:rsidRPr="007F37DC" w:rsidRDefault="00FC4A80" w:rsidP="00403BAF">
      <w:pPr>
        <w:pStyle w:val="FootnoteText"/>
        <w:rPr>
          <w:rFonts w:asciiTheme="majorHAnsi" w:hAnsiTheme="majorHAnsi"/>
          <w:sz w:val="16"/>
          <w:szCs w:val="16"/>
        </w:rPr>
      </w:pPr>
      <w:r w:rsidRPr="007F37DC">
        <w:rPr>
          <w:rStyle w:val="FootnoteReference"/>
          <w:rFonts w:asciiTheme="majorHAnsi" w:hAnsiTheme="majorHAnsi"/>
          <w:sz w:val="16"/>
          <w:szCs w:val="16"/>
        </w:rPr>
        <w:footnoteRef/>
      </w:r>
      <w:r w:rsidRPr="007F37DC">
        <w:rPr>
          <w:rFonts w:asciiTheme="majorHAnsi" w:hAnsiTheme="majorHAnsi"/>
          <w:sz w:val="16"/>
          <w:szCs w:val="16"/>
        </w:rPr>
        <w:t xml:space="preserve"> Alice Pittinii, HOUSING AFFORDABILITY IN THE EU Current situation and recent trends (2012) CECODHAS</w:t>
      </w:r>
    </w:p>
  </w:footnote>
  <w:footnote w:id="4">
    <w:p w14:paraId="02D750EC" w14:textId="77777777" w:rsidR="00FC4A80" w:rsidRPr="007F37DC" w:rsidRDefault="00FC4A80" w:rsidP="00403BAF">
      <w:pPr>
        <w:pStyle w:val="FootnoteText"/>
        <w:rPr>
          <w:rFonts w:asciiTheme="majorHAnsi" w:hAnsiTheme="majorHAnsi"/>
          <w:sz w:val="16"/>
          <w:szCs w:val="16"/>
        </w:rPr>
      </w:pPr>
      <w:r w:rsidRPr="007F37DC">
        <w:rPr>
          <w:rStyle w:val="FootnoteReference"/>
          <w:rFonts w:asciiTheme="majorHAnsi" w:hAnsiTheme="majorHAnsi"/>
          <w:sz w:val="16"/>
          <w:szCs w:val="16"/>
        </w:rPr>
        <w:footnoteRef/>
      </w:r>
      <w:r w:rsidRPr="007F37DC">
        <w:rPr>
          <w:rFonts w:asciiTheme="majorHAnsi" w:hAnsiTheme="majorHAnsi"/>
          <w:sz w:val="16"/>
          <w:szCs w:val="16"/>
        </w:rPr>
        <w:t xml:space="preserve"> Centrālās statistikas pārvaldes dati par 2016.gadu un Ekonomikas ministrijas aprēķini</w:t>
      </w:r>
    </w:p>
  </w:footnote>
  <w:footnote w:id="5">
    <w:p w14:paraId="64AF6041" w14:textId="77777777" w:rsidR="00FC4A80" w:rsidRPr="00CE6056" w:rsidRDefault="00FC4A80" w:rsidP="0076162F">
      <w:pPr>
        <w:pStyle w:val="FootnoteText"/>
        <w:rPr>
          <w:rFonts w:asciiTheme="majorHAnsi" w:hAnsiTheme="majorHAnsi"/>
          <w:sz w:val="16"/>
          <w:szCs w:val="16"/>
        </w:rPr>
      </w:pPr>
      <w:r w:rsidRPr="00CE6056">
        <w:rPr>
          <w:rStyle w:val="FootnoteReference"/>
          <w:rFonts w:asciiTheme="majorHAnsi" w:hAnsiTheme="majorHAnsi"/>
          <w:sz w:val="16"/>
          <w:szCs w:val="16"/>
        </w:rPr>
        <w:footnoteRef/>
      </w:r>
      <w:r w:rsidRPr="00CE6056">
        <w:rPr>
          <w:rFonts w:asciiTheme="majorHAnsi" w:hAnsiTheme="majorHAnsi"/>
          <w:sz w:val="16"/>
          <w:szCs w:val="16"/>
        </w:rPr>
        <w:t xml:space="preserve"> OECD pārskats par Latviju (2017) </w:t>
      </w:r>
      <w:hyperlink r:id="rId1" w:history="1">
        <w:r w:rsidRPr="00CE6056">
          <w:rPr>
            <w:rStyle w:val="Hyperlink"/>
            <w:rFonts w:asciiTheme="majorHAnsi" w:hAnsiTheme="majorHAnsi"/>
            <w:sz w:val="16"/>
            <w:szCs w:val="16"/>
          </w:rPr>
          <w:t>http://www.oecd.org/economy/surveys/Latvia-2017-OECD-economic-survey-overview.pdf</w:t>
        </w:r>
      </w:hyperlink>
    </w:p>
  </w:footnote>
  <w:footnote w:id="6">
    <w:p w14:paraId="7D743A34" w14:textId="77777777" w:rsidR="00FC4A80" w:rsidRPr="001F0DF5" w:rsidRDefault="00FC4A80" w:rsidP="00403BAF">
      <w:pPr>
        <w:pStyle w:val="FootnoteText"/>
        <w:rPr>
          <w:rFonts w:asciiTheme="majorHAnsi" w:hAnsiTheme="majorHAnsi"/>
          <w:sz w:val="16"/>
          <w:szCs w:val="16"/>
        </w:rPr>
      </w:pPr>
      <w:r w:rsidRPr="001F0DF5">
        <w:rPr>
          <w:rStyle w:val="FootnoteReference"/>
          <w:rFonts w:asciiTheme="majorHAnsi" w:hAnsiTheme="majorHAnsi"/>
          <w:sz w:val="16"/>
          <w:szCs w:val="16"/>
        </w:rPr>
        <w:footnoteRef/>
      </w:r>
      <w:r w:rsidRPr="001F0DF5">
        <w:rPr>
          <w:rFonts w:asciiTheme="majorHAnsi" w:hAnsiTheme="majorHAnsi"/>
          <w:sz w:val="16"/>
          <w:szCs w:val="16"/>
        </w:rPr>
        <w:t xml:space="preserve"> Detalizēts apraksts par 30 starptautiskas, nacionālas un reģionālas nozīmes attīstības centru tīklu</w:t>
      </w:r>
      <w:r>
        <w:rPr>
          <w:rFonts w:asciiTheme="majorHAnsi" w:hAnsiTheme="majorHAnsi"/>
          <w:sz w:val="16"/>
          <w:szCs w:val="16"/>
        </w:rPr>
        <w:t xml:space="preserve"> (9+21)</w:t>
      </w:r>
      <w:r w:rsidRPr="001F0DF5">
        <w:rPr>
          <w:rFonts w:asciiTheme="majorHAnsi" w:hAnsiTheme="majorHAnsi"/>
          <w:sz w:val="16"/>
          <w:szCs w:val="16"/>
        </w:rPr>
        <w:t xml:space="preserve"> un nozīmi ietverts Nacionālās attīstības plānā 2014.-2020.gadam un Reģionālās politikas pamatnostādnēs 2013.-2019.gadam, kur 30 attīstības centru pašvaldības definētas kā viena no reģionālās politikas mērķ</w:t>
      </w:r>
      <w:r>
        <w:rPr>
          <w:rFonts w:asciiTheme="majorHAnsi" w:hAnsiTheme="majorHAnsi"/>
          <w:sz w:val="16"/>
          <w:szCs w:val="16"/>
        </w:rPr>
        <w:t xml:space="preserve">a </w:t>
      </w:r>
      <w:r w:rsidRPr="001F0DF5">
        <w:rPr>
          <w:rFonts w:asciiTheme="majorHAnsi" w:hAnsiTheme="majorHAnsi"/>
          <w:sz w:val="16"/>
          <w:szCs w:val="16"/>
        </w:rPr>
        <w:t>teritorijām.</w:t>
      </w:r>
    </w:p>
  </w:footnote>
  <w:footnote w:id="7">
    <w:p w14:paraId="6EE9E21C" w14:textId="77777777" w:rsidR="00FC4A80" w:rsidRPr="00CE6056" w:rsidRDefault="00FC4A80" w:rsidP="00403BAF">
      <w:pPr>
        <w:pStyle w:val="FootnoteText"/>
        <w:rPr>
          <w:rFonts w:asciiTheme="majorHAnsi" w:hAnsiTheme="majorHAnsi"/>
          <w:sz w:val="16"/>
          <w:szCs w:val="16"/>
        </w:rPr>
      </w:pPr>
      <w:r w:rsidRPr="00CE6056">
        <w:rPr>
          <w:rStyle w:val="FootnoteReference"/>
          <w:rFonts w:asciiTheme="majorHAnsi" w:hAnsiTheme="majorHAnsi"/>
          <w:sz w:val="16"/>
          <w:szCs w:val="16"/>
        </w:rPr>
        <w:footnoteRef/>
      </w:r>
      <w:r w:rsidRPr="00CE6056">
        <w:rPr>
          <w:rFonts w:asciiTheme="majorHAnsi" w:hAnsiTheme="majorHAnsi"/>
          <w:iCs/>
          <w:sz w:val="16"/>
          <w:szCs w:val="16"/>
        </w:rPr>
        <w:t xml:space="preserve">D.Andrews, A.Caldera Sanchez, A.Johansson. OECD Economics Department Working Papers No. 836 “Housing Markets and Structural Policies in OECD countries”, (2011) </w:t>
      </w:r>
    </w:p>
  </w:footnote>
  <w:footnote w:id="8">
    <w:p w14:paraId="1D944AE1" w14:textId="77777777" w:rsidR="00FC4A80" w:rsidRPr="00CE6056" w:rsidRDefault="00FC4A80" w:rsidP="00403BAF">
      <w:pPr>
        <w:pStyle w:val="FootnoteText"/>
        <w:rPr>
          <w:rFonts w:asciiTheme="majorHAnsi" w:hAnsiTheme="majorHAnsi"/>
          <w:sz w:val="16"/>
          <w:szCs w:val="16"/>
        </w:rPr>
      </w:pPr>
      <w:r w:rsidRPr="00CE6056">
        <w:rPr>
          <w:rStyle w:val="FootnoteReference"/>
          <w:rFonts w:asciiTheme="majorHAnsi" w:hAnsiTheme="majorHAnsi"/>
          <w:sz w:val="16"/>
          <w:szCs w:val="16"/>
        </w:rPr>
        <w:footnoteRef/>
      </w:r>
      <w:r w:rsidRPr="00CE6056">
        <w:rPr>
          <w:rFonts w:asciiTheme="majorHAnsi" w:hAnsiTheme="majorHAnsi"/>
          <w:sz w:val="16"/>
          <w:szCs w:val="16"/>
        </w:rPr>
        <w:t xml:space="preserve">OECD pārskats par Latviju (2017) </w:t>
      </w:r>
      <w:hyperlink r:id="rId2" w:history="1">
        <w:r w:rsidRPr="00CE6056">
          <w:rPr>
            <w:rStyle w:val="Hyperlink"/>
            <w:rFonts w:asciiTheme="majorHAnsi" w:hAnsiTheme="majorHAnsi"/>
            <w:sz w:val="16"/>
            <w:szCs w:val="16"/>
          </w:rPr>
          <w:t>http://www.oecd.org/economy/surveys/Latvia-2017-OECD-economic-survey-overview.pdf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540D" w14:textId="77777777" w:rsidR="00AC62D8" w:rsidRDefault="00AC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4B74" w14:textId="77777777" w:rsidR="00AC62D8" w:rsidRDefault="00AC6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A797" w14:textId="77777777" w:rsidR="00AC62D8" w:rsidRDefault="00AC6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8A9"/>
    <w:multiLevelType w:val="hybridMultilevel"/>
    <w:tmpl w:val="1A8CE76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B52C5C"/>
    <w:multiLevelType w:val="hybridMultilevel"/>
    <w:tmpl w:val="11B244F0"/>
    <w:lvl w:ilvl="0" w:tplc="2CE6DB8C">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C032BF"/>
    <w:multiLevelType w:val="hybridMultilevel"/>
    <w:tmpl w:val="9032304A"/>
    <w:lvl w:ilvl="0" w:tplc="5F66306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CD1AD22E">
      <w:start w:val="5"/>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4" w15:restartNumberingAfterBreak="0">
    <w:nsid w:val="09535BF1"/>
    <w:multiLevelType w:val="hybridMultilevel"/>
    <w:tmpl w:val="90F6B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F298C"/>
    <w:multiLevelType w:val="hybridMultilevel"/>
    <w:tmpl w:val="9020953A"/>
    <w:lvl w:ilvl="0" w:tplc="5B901D7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B26261"/>
    <w:multiLevelType w:val="hybridMultilevel"/>
    <w:tmpl w:val="6AF601F8"/>
    <w:lvl w:ilvl="0" w:tplc="9392B926">
      <w:start w:val="1"/>
      <w:numFmt w:val="decimal"/>
      <w:lvlText w:val="%1)"/>
      <w:lvlJc w:val="left"/>
      <w:pPr>
        <w:ind w:left="469" w:hanging="360"/>
      </w:pPr>
      <w:rPr>
        <w:rFonts w:hint="default"/>
      </w:rPr>
    </w:lvl>
    <w:lvl w:ilvl="1" w:tplc="04260019" w:tentative="1">
      <w:start w:val="1"/>
      <w:numFmt w:val="lowerLetter"/>
      <w:lvlText w:val="%2."/>
      <w:lvlJc w:val="left"/>
      <w:pPr>
        <w:ind w:left="1189" w:hanging="360"/>
      </w:pPr>
    </w:lvl>
    <w:lvl w:ilvl="2" w:tplc="0426001B" w:tentative="1">
      <w:start w:val="1"/>
      <w:numFmt w:val="lowerRoman"/>
      <w:lvlText w:val="%3."/>
      <w:lvlJc w:val="right"/>
      <w:pPr>
        <w:ind w:left="1909" w:hanging="180"/>
      </w:pPr>
    </w:lvl>
    <w:lvl w:ilvl="3" w:tplc="0426000F" w:tentative="1">
      <w:start w:val="1"/>
      <w:numFmt w:val="decimal"/>
      <w:lvlText w:val="%4."/>
      <w:lvlJc w:val="left"/>
      <w:pPr>
        <w:ind w:left="2629" w:hanging="360"/>
      </w:pPr>
    </w:lvl>
    <w:lvl w:ilvl="4" w:tplc="04260019" w:tentative="1">
      <w:start w:val="1"/>
      <w:numFmt w:val="lowerLetter"/>
      <w:lvlText w:val="%5."/>
      <w:lvlJc w:val="left"/>
      <w:pPr>
        <w:ind w:left="3349" w:hanging="360"/>
      </w:pPr>
    </w:lvl>
    <w:lvl w:ilvl="5" w:tplc="0426001B" w:tentative="1">
      <w:start w:val="1"/>
      <w:numFmt w:val="lowerRoman"/>
      <w:lvlText w:val="%6."/>
      <w:lvlJc w:val="right"/>
      <w:pPr>
        <w:ind w:left="4069" w:hanging="180"/>
      </w:pPr>
    </w:lvl>
    <w:lvl w:ilvl="6" w:tplc="0426000F" w:tentative="1">
      <w:start w:val="1"/>
      <w:numFmt w:val="decimal"/>
      <w:lvlText w:val="%7."/>
      <w:lvlJc w:val="left"/>
      <w:pPr>
        <w:ind w:left="4789" w:hanging="360"/>
      </w:pPr>
    </w:lvl>
    <w:lvl w:ilvl="7" w:tplc="04260019" w:tentative="1">
      <w:start w:val="1"/>
      <w:numFmt w:val="lowerLetter"/>
      <w:lvlText w:val="%8."/>
      <w:lvlJc w:val="left"/>
      <w:pPr>
        <w:ind w:left="5509" w:hanging="360"/>
      </w:pPr>
    </w:lvl>
    <w:lvl w:ilvl="8" w:tplc="0426001B" w:tentative="1">
      <w:start w:val="1"/>
      <w:numFmt w:val="lowerRoman"/>
      <w:lvlText w:val="%9."/>
      <w:lvlJc w:val="right"/>
      <w:pPr>
        <w:ind w:left="6229" w:hanging="180"/>
      </w:pPr>
    </w:lvl>
  </w:abstractNum>
  <w:abstractNum w:abstractNumId="7" w15:restartNumberingAfterBreak="0">
    <w:nsid w:val="188854B3"/>
    <w:multiLevelType w:val="hybridMultilevel"/>
    <w:tmpl w:val="79F40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D1AF1"/>
    <w:multiLevelType w:val="hybridMultilevel"/>
    <w:tmpl w:val="94169B26"/>
    <w:lvl w:ilvl="0" w:tplc="12AA4446">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0F92"/>
    <w:multiLevelType w:val="hybridMultilevel"/>
    <w:tmpl w:val="E7EA9052"/>
    <w:lvl w:ilvl="0" w:tplc="0426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0" w15:restartNumberingAfterBreak="0">
    <w:nsid w:val="29805287"/>
    <w:multiLevelType w:val="hybridMultilevel"/>
    <w:tmpl w:val="286880CC"/>
    <w:lvl w:ilvl="0" w:tplc="64AA3D96">
      <w:start w:val="5"/>
      <w:numFmt w:val="decimal"/>
      <w:lvlText w:val="%1."/>
      <w:lvlJc w:val="left"/>
      <w:pPr>
        <w:ind w:left="1445" w:hanging="360"/>
      </w:pPr>
      <w:rPr>
        <w:rFonts w:hint="default"/>
      </w:rPr>
    </w:lvl>
    <w:lvl w:ilvl="1" w:tplc="04260019" w:tentative="1">
      <w:start w:val="1"/>
      <w:numFmt w:val="lowerLetter"/>
      <w:lvlText w:val="%2."/>
      <w:lvlJc w:val="left"/>
      <w:pPr>
        <w:ind w:left="2165" w:hanging="360"/>
      </w:pPr>
    </w:lvl>
    <w:lvl w:ilvl="2" w:tplc="0426001B" w:tentative="1">
      <w:start w:val="1"/>
      <w:numFmt w:val="lowerRoman"/>
      <w:lvlText w:val="%3."/>
      <w:lvlJc w:val="right"/>
      <w:pPr>
        <w:ind w:left="2885" w:hanging="180"/>
      </w:pPr>
    </w:lvl>
    <w:lvl w:ilvl="3" w:tplc="0426000F" w:tentative="1">
      <w:start w:val="1"/>
      <w:numFmt w:val="decimal"/>
      <w:lvlText w:val="%4."/>
      <w:lvlJc w:val="left"/>
      <w:pPr>
        <w:ind w:left="3605" w:hanging="360"/>
      </w:pPr>
    </w:lvl>
    <w:lvl w:ilvl="4" w:tplc="04260019" w:tentative="1">
      <w:start w:val="1"/>
      <w:numFmt w:val="lowerLetter"/>
      <w:lvlText w:val="%5."/>
      <w:lvlJc w:val="left"/>
      <w:pPr>
        <w:ind w:left="4325" w:hanging="360"/>
      </w:pPr>
    </w:lvl>
    <w:lvl w:ilvl="5" w:tplc="0426001B" w:tentative="1">
      <w:start w:val="1"/>
      <w:numFmt w:val="lowerRoman"/>
      <w:lvlText w:val="%6."/>
      <w:lvlJc w:val="right"/>
      <w:pPr>
        <w:ind w:left="5045" w:hanging="180"/>
      </w:pPr>
    </w:lvl>
    <w:lvl w:ilvl="6" w:tplc="0426000F" w:tentative="1">
      <w:start w:val="1"/>
      <w:numFmt w:val="decimal"/>
      <w:lvlText w:val="%7."/>
      <w:lvlJc w:val="left"/>
      <w:pPr>
        <w:ind w:left="5765" w:hanging="360"/>
      </w:pPr>
    </w:lvl>
    <w:lvl w:ilvl="7" w:tplc="04260019" w:tentative="1">
      <w:start w:val="1"/>
      <w:numFmt w:val="lowerLetter"/>
      <w:lvlText w:val="%8."/>
      <w:lvlJc w:val="left"/>
      <w:pPr>
        <w:ind w:left="6485" w:hanging="360"/>
      </w:pPr>
    </w:lvl>
    <w:lvl w:ilvl="8" w:tplc="0426001B" w:tentative="1">
      <w:start w:val="1"/>
      <w:numFmt w:val="lowerRoman"/>
      <w:lvlText w:val="%9."/>
      <w:lvlJc w:val="right"/>
      <w:pPr>
        <w:ind w:left="7205" w:hanging="180"/>
      </w:pPr>
    </w:lvl>
  </w:abstractNum>
  <w:abstractNum w:abstractNumId="11" w15:restartNumberingAfterBreak="0">
    <w:nsid w:val="2A2D3D2B"/>
    <w:multiLevelType w:val="hybridMultilevel"/>
    <w:tmpl w:val="B23E67DA"/>
    <w:lvl w:ilvl="0" w:tplc="0220E346">
      <w:start w:val="2"/>
      <w:numFmt w:val="bullet"/>
      <w:lvlText w:val="-"/>
      <w:lvlJc w:val="left"/>
      <w:pPr>
        <w:tabs>
          <w:tab w:val="num" w:pos="720"/>
        </w:tabs>
        <w:ind w:left="720" w:hanging="360"/>
      </w:pPr>
      <w:rPr>
        <w:rFonts w:ascii="Times New Roman" w:eastAsia="Times New Roman" w:hAnsi="Times New Roman" w:cs="Times New Roman" w:hint="default"/>
      </w:rPr>
    </w:lvl>
    <w:lvl w:ilvl="1" w:tplc="6240C4F6">
      <w:start w:val="1"/>
      <w:numFmt w:val="bullet"/>
      <w:lvlText w:val="•"/>
      <w:lvlJc w:val="left"/>
      <w:pPr>
        <w:tabs>
          <w:tab w:val="num" w:pos="1440"/>
        </w:tabs>
        <w:ind w:left="1440" w:hanging="360"/>
      </w:pPr>
      <w:rPr>
        <w:rFonts w:ascii="Arial" w:hAnsi="Arial" w:cs="Times New Roman" w:hint="default"/>
      </w:rPr>
    </w:lvl>
    <w:lvl w:ilvl="2" w:tplc="BF0CDC22">
      <w:start w:val="1"/>
      <w:numFmt w:val="bullet"/>
      <w:lvlText w:val="•"/>
      <w:lvlJc w:val="left"/>
      <w:pPr>
        <w:tabs>
          <w:tab w:val="num" w:pos="2160"/>
        </w:tabs>
        <w:ind w:left="2160" w:hanging="360"/>
      </w:pPr>
      <w:rPr>
        <w:rFonts w:ascii="Arial" w:hAnsi="Arial" w:cs="Times New Roman" w:hint="default"/>
      </w:rPr>
    </w:lvl>
    <w:lvl w:ilvl="3" w:tplc="85EE94FC">
      <w:start w:val="1"/>
      <w:numFmt w:val="bullet"/>
      <w:lvlText w:val="•"/>
      <w:lvlJc w:val="left"/>
      <w:pPr>
        <w:tabs>
          <w:tab w:val="num" w:pos="2880"/>
        </w:tabs>
        <w:ind w:left="2880" w:hanging="360"/>
      </w:pPr>
      <w:rPr>
        <w:rFonts w:ascii="Arial" w:hAnsi="Arial" w:cs="Times New Roman" w:hint="default"/>
      </w:rPr>
    </w:lvl>
    <w:lvl w:ilvl="4" w:tplc="29DA1F78">
      <w:start w:val="1"/>
      <w:numFmt w:val="bullet"/>
      <w:lvlText w:val="•"/>
      <w:lvlJc w:val="left"/>
      <w:pPr>
        <w:tabs>
          <w:tab w:val="num" w:pos="3600"/>
        </w:tabs>
        <w:ind w:left="3600" w:hanging="360"/>
      </w:pPr>
      <w:rPr>
        <w:rFonts w:ascii="Arial" w:hAnsi="Arial" w:cs="Times New Roman" w:hint="default"/>
      </w:rPr>
    </w:lvl>
    <w:lvl w:ilvl="5" w:tplc="83C839D2">
      <w:start w:val="1"/>
      <w:numFmt w:val="bullet"/>
      <w:lvlText w:val="•"/>
      <w:lvlJc w:val="left"/>
      <w:pPr>
        <w:tabs>
          <w:tab w:val="num" w:pos="4320"/>
        </w:tabs>
        <w:ind w:left="4320" w:hanging="360"/>
      </w:pPr>
      <w:rPr>
        <w:rFonts w:ascii="Arial" w:hAnsi="Arial" w:cs="Times New Roman" w:hint="default"/>
      </w:rPr>
    </w:lvl>
    <w:lvl w:ilvl="6" w:tplc="8836FA9C">
      <w:start w:val="1"/>
      <w:numFmt w:val="bullet"/>
      <w:lvlText w:val="•"/>
      <w:lvlJc w:val="left"/>
      <w:pPr>
        <w:tabs>
          <w:tab w:val="num" w:pos="5040"/>
        </w:tabs>
        <w:ind w:left="5040" w:hanging="360"/>
      </w:pPr>
      <w:rPr>
        <w:rFonts w:ascii="Arial" w:hAnsi="Arial" w:cs="Times New Roman" w:hint="default"/>
      </w:rPr>
    </w:lvl>
    <w:lvl w:ilvl="7" w:tplc="E160BB7A">
      <w:start w:val="1"/>
      <w:numFmt w:val="bullet"/>
      <w:lvlText w:val="•"/>
      <w:lvlJc w:val="left"/>
      <w:pPr>
        <w:tabs>
          <w:tab w:val="num" w:pos="5760"/>
        </w:tabs>
        <w:ind w:left="5760" w:hanging="360"/>
      </w:pPr>
      <w:rPr>
        <w:rFonts w:ascii="Arial" w:hAnsi="Arial" w:cs="Times New Roman" w:hint="default"/>
      </w:rPr>
    </w:lvl>
    <w:lvl w:ilvl="8" w:tplc="BB44DA9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AF707BF"/>
    <w:multiLevelType w:val="hybridMultilevel"/>
    <w:tmpl w:val="8B64D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8B632E"/>
    <w:multiLevelType w:val="hybridMultilevel"/>
    <w:tmpl w:val="DD7E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56A32"/>
    <w:multiLevelType w:val="hybridMultilevel"/>
    <w:tmpl w:val="9DC2C04E"/>
    <w:lvl w:ilvl="0" w:tplc="1D1E6726">
      <w:start w:val="1"/>
      <w:numFmt w:val="decimal"/>
      <w:lvlText w:val="%1."/>
      <w:lvlJc w:val="left"/>
      <w:pPr>
        <w:ind w:left="720" w:hanging="360"/>
      </w:pPr>
      <w:rPr>
        <w:rFonts w:ascii="Times New Roman" w:eastAsia="Times New Roman" w:hAnsi="Times New Roman" w:cs="Times New Roman"/>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42A1A"/>
    <w:multiLevelType w:val="hybridMultilevel"/>
    <w:tmpl w:val="A54AAEAA"/>
    <w:lvl w:ilvl="0" w:tplc="180CC928">
      <w:start w:val="1"/>
      <w:numFmt w:val="decimal"/>
      <w:lvlText w:val="%1)"/>
      <w:lvlJc w:val="left"/>
      <w:pPr>
        <w:ind w:left="314" w:hanging="360"/>
      </w:pPr>
      <w:rPr>
        <w:rFonts w:hint="default"/>
      </w:rPr>
    </w:lvl>
    <w:lvl w:ilvl="1" w:tplc="04260019" w:tentative="1">
      <w:start w:val="1"/>
      <w:numFmt w:val="lowerLetter"/>
      <w:lvlText w:val="%2."/>
      <w:lvlJc w:val="left"/>
      <w:pPr>
        <w:ind w:left="1034" w:hanging="360"/>
      </w:pPr>
    </w:lvl>
    <w:lvl w:ilvl="2" w:tplc="0426001B" w:tentative="1">
      <w:start w:val="1"/>
      <w:numFmt w:val="lowerRoman"/>
      <w:lvlText w:val="%3."/>
      <w:lvlJc w:val="right"/>
      <w:pPr>
        <w:ind w:left="1754" w:hanging="180"/>
      </w:pPr>
    </w:lvl>
    <w:lvl w:ilvl="3" w:tplc="0426000F" w:tentative="1">
      <w:start w:val="1"/>
      <w:numFmt w:val="decimal"/>
      <w:lvlText w:val="%4."/>
      <w:lvlJc w:val="left"/>
      <w:pPr>
        <w:ind w:left="2474" w:hanging="360"/>
      </w:pPr>
    </w:lvl>
    <w:lvl w:ilvl="4" w:tplc="04260019" w:tentative="1">
      <w:start w:val="1"/>
      <w:numFmt w:val="lowerLetter"/>
      <w:lvlText w:val="%5."/>
      <w:lvlJc w:val="left"/>
      <w:pPr>
        <w:ind w:left="3194" w:hanging="360"/>
      </w:pPr>
    </w:lvl>
    <w:lvl w:ilvl="5" w:tplc="0426001B" w:tentative="1">
      <w:start w:val="1"/>
      <w:numFmt w:val="lowerRoman"/>
      <w:lvlText w:val="%6."/>
      <w:lvlJc w:val="right"/>
      <w:pPr>
        <w:ind w:left="3914" w:hanging="180"/>
      </w:pPr>
    </w:lvl>
    <w:lvl w:ilvl="6" w:tplc="0426000F" w:tentative="1">
      <w:start w:val="1"/>
      <w:numFmt w:val="decimal"/>
      <w:lvlText w:val="%7."/>
      <w:lvlJc w:val="left"/>
      <w:pPr>
        <w:ind w:left="4634" w:hanging="360"/>
      </w:pPr>
    </w:lvl>
    <w:lvl w:ilvl="7" w:tplc="04260019" w:tentative="1">
      <w:start w:val="1"/>
      <w:numFmt w:val="lowerLetter"/>
      <w:lvlText w:val="%8."/>
      <w:lvlJc w:val="left"/>
      <w:pPr>
        <w:ind w:left="5354" w:hanging="360"/>
      </w:pPr>
    </w:lvl>
    <w:lvl w:ilvl="8" w:tplc="0426001B" w:tentative="1">
      <w:start w:val="1"/>
      <w:numFmt w:val="lowerRoman"/>
      <w:lvlText w:val="%9."/>
      <w:lvlJc w:val="right"/>
      <w:pPr>
        <w:ind w:left="6074" w:hanging="180"/>
      </w:pPr>
    </w:lvl>
  </w:abstractNum>
  <w:abstractNum w:abstractNumId="16" w15:restartNumberingAfterBreak="0">
    <w:nsid w:val="40B46FDD"/>
    <w:multiLevelType w:val="hybridMultilevel"/>
    <w:tmpl w:val="A61ADA3E"/>
    <w:lvl w:ilvl="0" w:tplc="01207118">
      <w:start w:val="1"/>
      <w:numFmt w:val="decimal"/>
      <w:lvlText w:val="%1)"/>
      <w:lvlJc w:val="left"/>
      <w:pPr>
        <w:ind w:left="792" w:hanging="564"/>
      </w:pPr>
      <w:rPr>
        <w:rFonts w:ascii="Times New Roman" w:eastAsia="Times New Roman" w:hAnsi="Times New Roman" w:cs="Times New Roman"/>
      </w:rPr>
    </w:lvl>
    <w:lvl w:ilvl="1" w:tplc="04260019" w:tentative="1">
      <w:start w:val="1"/>
      <w:numFmt w:val="lowerLetter"/>
      <w:lvlText w:val="%2."/>
      <w:lvlJc w:val="left"/>
      <w:pPr>
        <w:ind w:left="1308" w:hanging="360"/>
      </w:pPr>
    </w:lvl>
    <w:lvl w:ilvl="2" w:tplc="0426001B" w:tentative="1">
      <w:start w:val="1"/>
      <w:numFmt w:val="lowerRoman"/>
      <w:lvlText w:val="%3."/>
      <w:lvlJc w:val="right"/>
      <w:pPr>
        <w:ind w:left="2028" w:hanging="180"/>
      </w:pPr>
    </w:lvl>
    <w:lvl w:ilvl="3" w:tplc="0426000F" w:tentative="1">
      <w:start w:val="1"/>
      <w:numFmt w:val="decimal"/>
      <w:lvlText w:val="%4."/>
      <w:lvlJc w:val="left"/>
      <w:pPr>
        <w:ind w:left="2748" w:hanging="360"/>
      </w:pPr>
    </w:lvl>
    <w:lvl w:ilvl="4" w:tplc="04260019" w:tentative="1">
      <w:start w:val="1"/>
      <w:numFmt w:val="lowerLetter"/>
      <w:lvlText w:val="%5."/>
      <w:lvlJc w:val="left"/>
      <w:pPr>
        <w:ind w:left="3468" w:hanging="360"/>
      </w:pPr>
    </w:lvl>
    <w:lvl w:ilvl="5" w:tplc="0426001B" w:tentative="1">
      <w:start w:val="1"/>
      <w:numFmt w:val="lowerRoman"/>
      <w:lvlText w:val="%6."/>
      <w:lvlJc w:val="right"/>
      <w:pPr>
        <w:ind w:left="4188" w:hanging="180"/>
      </w:pPr>
    </w:lvl>
    <w:lvl w:ilvl="6" w:tplc="0426000F" w:tentative="1">
      <w:start w:val="1"/>
      <w:numFmt w:val="decimal"/>
      <w:lvlText w:val="%7."/>
      <w:lvlJc w:val="left"/>
      <w:pPr>
        <w:ind w:left="4908" w:hanging="360"/>
      </w:pPr>
    </w:lvl>
    <w:lvl w:ilvl="7" w:tplc="04260019" w:tentative="1">
      <w:start w:val="1"/>
      <w:numFmt w:val="lowerLetter"/>
      <w:lvlText w:val="%8."/>
      <w:lvlJc w:val="left"/>
      <w:pPr>
        <w:ind w:left="5628" w:hanging="360"/>
      </w:pPr>
    </w:lvl>
    <w:lvl w:ilvl="8" w:tplc="0426001B" w:tentative="1">
      <w:start w:val="1"/>
      <w:numFmt w:val="lowerRoman"/>
      <w:lvlText w:val="%9."/>
      <w:lvlJc w:val="right"/>
      <w:pPr>
        <w:ind w:left="6348" w:hanging="180"/>
      </w:pPr>
    </w:lvl>
  </w:abstractNum>
  <w:abstractNum w:abstractNumId="17" w15:restartNumberingAfterBreak="0">
    <w:nsid w:val="476525E6"/>
    <w:multiLevelType w:val="hybridMultilevel"/>
    <w:tmpl w:val="8C948B0C"/>
    <w:lvl w:ilvl="0" w:tplc="C2001E16">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B56C57"/>
    <w:multiLevelType w:val="hybridMultilevel"/>
    <w:tmpl w:val="7D4072AE"/>
    <w:lvl w:ilvl="0" w:tplc="CB04ED4E">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abstractNum w:abstractNumId="19" w15:restartNumberingAfterBreak="0">
    <w:nsid w:val="52EF5C82"/>
    <w:multiLevelType w:val="multilevel"/>
    <w:tmpl w:val="3DB4B7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6B07A4"/>
    <w:multiLevelType w:val="hybridMultilevel"/>
    <w:tmpl w:val="05F83E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1905D0"/>
    <w:multiLevelType w:val="hybridMultilevel"/>
    <w:tmpl w:val="62C0B3BC"/>
    <w:lvl w:ilvl="0" w:tplc="E5E4DB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1537A"/>
    <w:multiLevelType w:val="hybridMultilevel"/>
    <w:tmpl w:val="5BEE2E94"/>
    <w:lvl w:ilvl="0" w:tplc="150A996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1A37CE8"/>
    <w:multiLevelType w:val="hybridMultilevel"/>
    <w:tmpl w:val="55CCC9DC"/>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B52F83"/>
    <w:multiLevelType w:val="hybridMultilevel"/>
    <w:tmpl w:val="074093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393B5C"/>
    <w:multiLevelType w:val="hybridMultilevel"/>
    <w:tmpl w:val="CA42F29A"/>
    <w:lvl w:ilvl="0" w:tplc="0220E346">
      <w:start w:val="2"/>
      <w:numFmt w:val="bullet"/>
      <w:lvlText w:val="-"/>
      <w:lvlJc w:val="left"/>
      <w:pPr>
        <w:tabs>
          <w:tab w:val="num" w:pos="720"/>
        </w:tabs>
        <w:ind w:left="720" w:hanging="360"/>
      </w:pPr>
      <w:rPr>
        <w:rFonts w:ascii="Times New Roman" w:eastAsia="Times New Roman" w:hAnsi="Times New Roman" w:cs="Times New Roman" w:hint="default"/>
      </w:rPr>
    </w:lvl>
    <w:lvl w:ilvl="1" w:tplc="874846E4">
      <w:start w:val="1"/>
      <w:numFmt w:val="bullet"/>
      <w:lvlText w:val=""/>
      <w:lvlJc w:val="left"/>
      <w:pPr>
        <w:tabs>
          <w:tab w:val="num" w:pos="1440"/>
        </w:tabs>
        <w:ind w:left="1440" w:hanging="360"/>
      </w:pPr>
      <w:rPr>
        <w:rFonts w:ascii="Wingdings" w:hAnsi="Wingdings" w:hint="default"/>
      </w:rPr>
    </w:lvl>
    <w:lvl w:ilvl="2" w:tplc="F080DE46">
      <w:start w:val="1"/>
      <w:numFmt w:val="bullet"/>
      <w:lvlText w:val=""/>
      <w:lvlJc w:val="left"/>
      <w:pPr>
        <w:tabs>
          <w:tab w:val="num" w:pos="2160"/>
        </w:tabs>
        <w:ind w:left="2160" w:hanging="360"/>
      </w:pPr>
      <w:rPr>
        <w:rFonts w:ascii="Wingdings" w:hAnsi="Wingdings" w:hint="default"/>
      </w:rPr>
    </w:lvl>
    <w:lvl w:ilvl="3" w:tplc="AE3232F2">
      <w:start w:val="1"/>
      <w:numFmt w:val="bullet"/>
      <w:lvlText w:val=""/>
      <w:lvlJc w:val="left"/>
      <w:pPr>
        <w:tabs>
          <w:tab w:val="num" w:pos="2880"/>
        </w:tabs>
        <w:ind w:left="2880" w:hanging="360"/>
      </w:pPr>
      <w:rPr>
        <w:rFonts w:ascii="Wingdings" w:hAnsi="Wingdings" w:hint="default"/>
      </w:rPr>
    </w:lvl>
    <w:lvl w:ilvl="4" w:tplc="E684E6C2">
      <w:start w:val="1"/>
      <w:numFmt w:val="bullet"/>
      <w:lvlText w:val=""/>
      <w:lvlJc w:val="left"/>
      <w:pPr>
        <w:tabs>
          <w:tab w:val="num" w:pos="3600"/>
        </w:tabs>
        <w:ind w:left="3600" w:hanging="360"/>
      </w:pPr>
      <w:rPr>
        <w:rFonts w:ascii="Wingdings" w:hAnsi="Wingdings" w:hint="default"/>
      </w:rPr>
    </w:lvl>
    <w:lvl w:ilvl="5" w:tplc="4B963694">
      <w:start w:val="1"/>
      <w:numFmt w:val="bullet"/>
      <w:lvlText w:val=""/>
      <w:lvlJc w:val="left"/>
      <w:pPr>
        <w:tabs>
          <w:tab w:val="num" w:pos="4320"/>
        </w:tabs>
        <w:ind w:left="4320" w:hanging="360"/>
      </w:pPr>
      <w:rPr>
        <w:rFonts w:ascii="Wingdings" w:hAnsi="Wingdings" w:hint="default"/>
      </w:rPr>
    </w:lvl>
    <w:lvl w:ilvl="6" w:tplc="5138624C">
      <w:start w:val="1"/>
      <w:numFmt w:val="bullet"/>
      <w:lvlText w:val=""/>
      <w:lvlJc w:val="left"/>
      <w:pPr>
        <w:tabs>
          <w:tab w:val="num" w:pos="5040"/>
        </w:tabs>
        <w:ind w:left="5040" w:hanging="360"/>
      </w:pPr>
      <w:rPr>
        <w:rFonts w:ascii="Wingdings" w:hAnsi="Wingdings" w:hint="default"/>
      </w:rPr>
    </w:lvl>
    <w:lvl w:ilvl="7" w:tplc="812A9980">
      <w:start w:val="1"/>
      <w:numFmt w:val="bullet"/>
      <w:lvlText w:val=""/>
      <w:lvlJc w:val="left"/>
      <w:pPr>
        <w:tabs>
          <w:tab w:val="num" w:pos="5760"/>
        </w:tabs>
        <w:ind w:left="5760" w:hanging="360"/>
      </w:pPr>
      <w:rPr>
        <w:rFonts w:ascii="Wingdings" w:hAnsi="Wingdings" w:hint="default"/>
      </w:rPr>
    </w:lvl>
    <w:lvl w:ilvl="8" w:tplc="3DDECD60">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33696"/>
    <w:multiLevelType w:val="hybridMultilevel"/>
    <w:tmpl w:val="258AA82C"/>
    <w:lvl w:ilvl="0" w:tplc="0D4A382A">
      <w:start w:val="5"/>
      <w:numFmt w:val="decimal"/>
      <w:lvlText w:val="%1."/>
      <w:lvlJc w:val="left"/>
      <w:pPr>
        <w:ind w:left="1445" w:hanging="360"/>
      </w:pPr>
      <w:rPr>
        <w:rFonts w:hint="default"/>
      </w:rPr>
    </w:lvl>
    <w:lvl w:ilvl="1" w:tplc="04260019" w:tentative="1">
      <w:start w:val="1"/>
      <w:numFmt w:val="lowerLetter"/>
      <w:lvlText w:val="%2."/>
      <w:lvlJc w:val="left"/>
      <w:pPr>
        <w:ind w:left="2165" w:hanging="360"/>
      </w:pPr>
    </w:lvl>
    <w:lvl w:ilvl="2" w:tplc="0426001B" w:tentative="1">
      <w:start w:val="1"/>
      <w:numFmt w:val="lowerRoman"/>
      <w:lvlText w:val="%3."/>
      <w:lvlJc w:val="right"/>
      <w:pPr>
        <w:ind w:left="2885" w:hanging="180"/>
      </w:pPr>
    </w:lvl>
    <w:lvl w:ilvl="3" w:tplc="0426000F" w:tentative="1">
      <w:start w:val="1"/>
      <w:numFmt w:val="decimal"/>
      <w:lvlText w:val="%4."/>
      <w:lvlJc w:val="left"/>
      <w:pPr>
        <w:ind w:left="3605" w:hanging="360"/>
      </w:pPr>
    </w:lvl>
    <w:lvl w:ilvl="4" w:tplc="04260019" w:tentative="1">
      <w:start w:val="1"/>
      <w:numFmt w:val="lowerLetter"/>
      <w:lvlText w:val="%5."/>
      <w:lvlJc w:val="left"/>
      <w:pPr>
        <w:ind w:left="4325" w:hanging="360"/>
      </w:pPr>
    </w:lvl>
    <w:lvl w:ilvl="5" w:tplc="0426001B" w:tentative="1">
      <w:start w:val="1"/>
      <w:numFmt w:val="lowerRoman"/>
      <w:lvlText w:val="%6."/>
      <w:lvlJc w:val="right"/>
      <w:pPr>
        <w:ind w:left="5045" w:hanging="180"/>
      </w:pPr>
    </w:lvl>
    <w:lvl w:ilvl="6" w:tplc="0426000F" w:tentative="1">
      <w:start w:val="1"/>
      <w:numFmt w:val="decimal"/>
      <w:lvlText w:val="%7."/>
      <w:lvlJc w:val="left"/>
      <w:pPr>
        <w:ind w:left="5765" w:hanging="360"/>
      </w:pPr>
    </w:lvl>
    <w:lvl w:ilvl="7" w:tplc="04260019" w:tentative="1">
      <w:start w:val="1"/>
      <w:numFmt w:val="lowerLetter"/>
      <w:lvlText w:val="%8."/>
      <w:lvlJc w:val="left"/>
      <w:pPr>
        <w:ind w:left="6485" w:hanging="360"/>
      </w:pPr>
    </w:lvl>
    <w:lvl w:ilvl="8" w:tplc="0426001B" w:tentative="1">
      <w:start w:val="1"/>
      <w:numFmt w:val="lowerRoman"/>
      <w:lvlText w:val="%9."/>
      <w:lvlJc w:val="right"/>
      <w:pPr>
        <w:ind w:left="7205" w:hanging="180"/>
      </w:pPr>
    </w:lvl>
  </w:abstractNum>
  <w:abstractNum w:abstractNumId="28" w15:restartNumberingAfterBreak="0">
    <w:nsid w:val="6AB44434"/>
    <w:multiLevelType w:val="hybridMultilevel"/>
    <w:tmpl w:val="7E0E7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135B9"/>
    <w:multiLevelType w:val="hybridMultilevel"/>
    <w:tmpl w:val="9C7810B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AE4CDB"/>
    <w:multiLevelType w:val="hybridMultilevel"/>
    <w:tmpl w:val="BCFED5A0"/>
    <w:lvl w:ilvl="0" w:tplc="35CADA6A">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abstractNum w:abstractNumId="31" w15:restartNumberingAfterBreak="0">
    <w:nsid w:val="6FA14A72"/>
    <w:multiLevelType w:val="hybridMultilevel"/>
    <w:tmpl w:val="70480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A759BF"/>
    <w:multiLevelType w:val="hybridMultilevel"/>
    <w:tmpl w:val="8ABA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94001"/>
    <w:multiLevelType w:val="hybridMultilevel"/>
    <w:tmpl w:val="2EACC2A8"/>
    <w:lvl w:ilvl="0" w:tplc="0B0E6AF2">
      <w:start w:val="1"/>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34" w15:restartNumberingAfterBreak="0">
    <w:nsid w:val="79EB7081"/>
    <w:multiLevelType w:val="multilevel"/>
    <w:tmpl w:val="9A5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57E56"/>
    <w:multiLevelType w:val="hybridMultilevel"/>
    <w:tmpl w:val="9DC2C04E"/>
    <w:lvl w:ilvl="0" w:tplc="1D1E6726">
      <w:start w:val="1"/>
      <w:numFmt w:val="decimal"/>
      <w:lvlText w:val="%1."/>
      <w:lvlJc w:val="left"/>
      <w:pPr>
        <w:ind w:left="720" w:hanging="360"/>
      </w:pPr>
      <w:rPr>
        <w:rFonts w:ascii="Times New Roman" w:eastAsia="Times New Roman" w:hAnsi="Times New Roman" w:cs="Times New Roman"/>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8"/>
  </w:num>
  <w:num w:numId="4">
    <w:abstractNumId w:val="30"/>
  </w:num>
  <w:num w:numId="5">
    <w:abstractNumId w:val="9"/>
  </w:num>
  <w:num w:numId="6">
    <w:abstractNumId w:val="17"/>
  </w:num>
  <w:num w:numId="7">
    <w:abstractNumId w:val="3"/>
  </w:num>
  <w:num w:numId="8">
    <w:abstractNumId w:val="0"/>
  </w:num>
  <w:num w:numId="9">
    <w:abstractNumId w:val="27"/>
  </w:num>
  <w:num w:numId="10">
    <w:abstractNumId w:val="10"/>
  </w:num>
  <w:num w:numId="11">
    <w:abstractNumId w:val="25"/>
  </w:num>
  <w:num w:numId="12">
    <w:abstractNumId w:val="16"/>
  </w:num>
  <w:num w:numId="13">
    <w:abstractNumId w:val="20"/>
  </w:num>
  <w:num w:numId="14">
    <w:abstractNumId w:val="6"/>
  </w:num>
  <w:num w:numId="15">
    <w:abstractNumId w:val="4"/>
  </w:num>
  <w:num w:numId="16">
    <w:abstractNumId w:val="5"/>
  </w:num>
  <w:num w:numId="17">
    <w:abstractNumId w:val="15"/>
  </w:num>
  <w:num w:numId="18">
    <w:abstractNumId w:val="23"/>
  </w:num>
  <w:num w:numId="19">
    <w:abstractNumId w:val="2"/>
  </w:num>
  <w:num w:numId="20">
    <w:abstractNumId w:val="32"/>
  </w:num>
  <w:num w:numId="21">
    <w:abstractNumId w:val="22"/>
  </w:num>
  <w:num w:numId="22">
    <w:abstractNumId w:val="31"/>
  </w:num>
  <w:num w:numId="23">
    <w:abstractNumId w:val="12"/>
  </w:num>
  <w:num w:numId="24">
    <w:abstractNumId w:val="34"/>
  </w:num>
  <w:num w:numId="25">
    <w:abstractNumId w:val="29"/>
  </w:num>
  <w:num w:numId="26">
    <w:abstractNumId w:val="26"/>
  </w:num>
  <w:num w:numId="27">
    <w:abstractNumId w:val="11"/>
  </w:num>
  <w:num w:numId="28">
    <w:abstractNumId w:val="28"/>
  </w:num>
  <w:num w:numId="29">
    <w:abstractNumId w:val="14"/>
  </w:num>
  <w:num w:numId="30">
    <w:abstractNumId w:val="7"/>
  </w:num>
  <w:num w:numId="31">
    <w:abstractNumId w:val="21"/>
  </w:num>
  <w:num w:numId="32">
    <w:abstractNumId w:val="13"/>
  </w:num>
  <w:num w:numId="33">
    <w:abstractNumId w:val="24"/>
  </w:num>
  <w:num w:numId="34">
    <w:abstractNumId w:val="19"/>
  </w:num>
  <w:num w:numId="35">
    <w:abstractNumId w:val="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7DD6"/>
    <w:rsid w:val="00021788"/>
    <w:rsid w:val="00026B5B"/>
    <w:rsid w:val="0003391E"/>
    <w:rsid w:val="00047406"/>
    <w:rsid w:val="000524AB"/>
    <w:rsid w:val="00052657"/>
    <w:rsid w:val="00057788"/>
    <w:rsid w:val="00064AFF"/>
    <w:rsid w:val="00077369"/>
    <w:rsid w:val="00080103"/>
    <w:rsid w:val="00087451"/>
    <w:rsid w:val="00087AE9"/>
    <w:rsid w:val="0009085E"/>
    <w:rsid w:val="000B44FA"/>
    <w:rsid w:val="000C44E4"/>
    <w:rsid w:val="000C4D2D"/>
    <w:rsid w:val="000E7589"/>
    <w:rsid w:val="0010356A"/>
    <w:rsid w:val="00111311"/>
    <w:rsid w:val="001127BF"/>
    <w:rsid w:val="00113C64"/>
    <w:rsid w:val="00131B0F"/>
    <w:rsid w:val="00137FA1"/>
    <w:rsid w:val="00150F0A"/>
    <w:rsid w:val="00155D7A"/>
    <w:rsid w:val="00156487"/>
    <w:rsid w:val="0016015E"/>
    <w:rsid w:val="00161647"/>
    <w:rsid w:val="001807BB"/>
    <w:rsid w:val="00180F5D"/>
    <w:rsid w:val="001A3153"/>
    <w:rsid w:val="001A6D30"/>
    <w:rsid w:val="001D6440"/>
    <w:rsid w:val="001E1EA0"/>
    <w:rsid w:val="001F3847"/>
    <w:rsid w:val="0020255C"/>
    <w:rsid w:val="00204B33"/>
    <w:rsid w:val="002160E3"/>
    <w:rsid w:val="00221188"/>
    <w:rsid w:val="00224FF8"/>
    <w:rsid w:val="00247D4A"/>
    <w:rsid w:val="00262845"/>
    <w:rsid w:val="002925FA"/>
    <w:rsid w:val="002A234A"/>
    <w:rsid w:val="002A2D89"/>
    <w:rsid w:val="002B0DB4"/>
    <w:rsid w:val="002C1F32"/>
    <w:rsid w:val="002C43A6"/>
    <w:rsid w:val="002C56BC"/>
    <w:rsid w:val="002D066A"/>
    <w:rsid w:val="002D67D8"/>
    <w:rsid w:val="002E13B4"/>
    <w:rsid w:val="002E20DA"/>
    <w:rsid w:val="002E264C"/>
    <w:rsid w:val="002F4B13"/>
    <w:rsid w:val="002F6CDE"/>
    <w:rsid w:val="00301726"/>
    <w:rsid w:val="00305FDF"/>
    <w:rsid w:val="0031272E"/>
    <w:rsid w:val="00323A8A"/>
    <w:rsid w:val="00327B93"/>
    <w:rsid w:val="00330B03"/>
    <w:rsid w:val="00336C2B"/>
    <w:rsid w:val="00337E7D"/>
    <w:rsid w:val="0035178F"/>
    <w:rsid w:val="00351B30"/>
    <w:rsid w:val="00354149"/>
    <w:rsid w:val="00354DD5"/>
    <w:rsid w:val="00367545"/>
    <w:rsid w:val="00371D14"/>
    <w:rsid w:val="00374CAD"/>
    <w:rsid w:val="003A71C2"/>
    <w:rsid w:val="003B266E"/>
    <w:rsid w:val="003C3CD9"/>
    <w:rsid w:val="003D1F6B"/>
    <w:rsid w:val="003D1F8A"/>
    <w:rsid w:val="003E71C5"/>
    <w:rsid w:val="003F06C0"/>
    <w:rsid w:val="003F5EB7"/>
    <w:rsid w:val="003F5F3D"/>
    <w:rsid w:val="00403BAF"/>
    <w:rsid w:val="00414D7F"/>
    <w:rsid w:val="00417419"/>
    <w:rsid w:val="00423E23"/>
    <w:rsid w:val="00430299"/>
    <w:rsid w:val="00432BF7"/>
    <w:rsid w:val="004330F8"/>
    <w:rsid w:val="00442B8C"/>
    <w:rsid w:val="00447527"/>
    <w:rsid w:val="00457547"/>
    <w:rsid w:val="00466C3A"/>
    <w:rsid w:val="004716EC"/>
    <w:rsid w:val="00472865"/>
    <w:rsid w:val="00473568"/>
    <w:rsid w:val="00475786"/>
    <w:rsid w:val="004849F4"/>
    <w:rsid w:val="00493A83"/>
    <w:rsid w:val="004B35B2"/>
    <w:rsid w:val="004C5DAC"/>
    <w:rsid w:val="004D72C6"/>
    <w:rsid w:val="004E1F8F"/>
    <w:rsid w:val="004E4DD9"/>
    <w:rsid w:val="004F429E"/>
    <w:rsid w:val="00502F05"/>
    <w:rsid w:val="00511426"/>
    <w:rsid w:val="00511F5D"/>
    <w:rsid w:val="00526EAD"/>
    <w:rsid w:val="00546E75"/>
    <w:rsid w:val="00547C8B"/>
    <w:rsid w:val="00550F7C"/>
    <w:rsid w:val="00555D79"/>
    <w:rsid w:val="005609A5"/>
    <w:rsid w:val="005615CB"/>
    <w:rsid w:val="0056261A"/>
    <w:rsid w:val="00575F27"/>
    <w:rsid w:val="0057649F"/>
    <w:rsid w:val="005818E0"/>
    <w:rsid w:val="00593679"/>
    <w:rsid w:val="005B0F67"/>
    <w:rsid w:val="005B4660"/>
    <w:rsid w:val="005B49CC"/>
    <w:rsid w:val="005B6140"/>
    <w:rsid w:val="005C42C4"/>
    <w:rsid w:val="005C6D85"/>
    <w:rsid w:val="005D1C00"/>
    <w:rsid w:val="005D6832"/>
    <w:rsid w:val="005D70DF"/>
    <w:rsid w:val="005F1B3A"/>
    <w:rsid w:val="005F2A58"/>
    <w:rsid w:val="005F2C4A"/>
    <w:rsid w:val="005F3E1A"/>
    <w:rsid w:val="00624A24"/>
    <w:rsid w:val="006315AD"/>
    <w:rsid w:val="00635638"/>
    <w:rsid w:val="00644E1F"/>
    <w:rsid w:val="00653E56"/>
    <w:rsid w:val="00656A1A"/>
    <w:rsid w:val="00662942"/>
    <w:rsid w:val="006725A1"/>
    <w:rsid w:val="00675275"/>
    <w:rsid w:val="00687679"/>
    <w:rsid w:val="006910CD"/>
    <w:rsid w:val="00692DC0"/>
    <w:rsid w:val="006A2990"/>
    <w:rsid w:val="006A3533"/>
    <w:rsid w:val="006A3840"/>
    <w:rsid w:val="006B12C6"/>
    <w:rsid w:val="006B1C47"/>
    <w:rsid w:val="006B7580"/>
    <w:rsid w:val="006C24B0"/>
    <w:rsid w:val="006E7A69"/>
    <w:rsid w:val="00704C04"/>
    <w:rsid w:val="007067FA"/>
    <w:rsid w:val="00712191"/>
    <w:rsid w:val="0073524A"/>
    <w:rsid w:val="00746B37"/>
    <w:rsid w:val="00746B81"/>
    <w:rsid w:val="0076162F"/>
    <w:rsid w:val="00764ED1"/>
    <w:rsid w:val="00775D2F"/>
    <w:rsid w:val="00793205"/>
    <w:rsid w:val="007A009D"/>
    <w:rsid w:val="007A07F9"/>
    <w:rsid w:val="007A3490"/>
    <w:rsid w:val="007C0208"/>
    <w:rsid w:val="007C115F"/>
    <w:rsid w:val="007D6E49"/>
    <w:rsid w:val="007E1B0F"/>
    <w:rsid w:val="007E1C44"/>
    <w:rsid w:val="007E7A19"/>
    <w:rsid w:val="007F3927"/>
    <w:rsid w:val="007F42E4"/>
    <w:rsid w:val="007F7039"/>
    <w:rsid w:val="00803B5A"/>
    <w:rsid w:val="008044A5"/>
    <w:rsid w:val="00806A79"/>
    <w:rsid w:val="00806AAC"/>
    <w:rsid w:val="00810B2E"/>
    <w:rsid w:val="00827DD6"/>
    <w:rsid w:val="0083235D"/>
    <w:rsid w:val="0085037C"/>
    <w:rsid w:val="00851B9D"/>
    <w:rsid w:val="0085447F"/>
    <w:rsid w:val="00857D89"/>
    <w:rsid w:val="0086088D"/>
    <w:rsid w:val="008654CD"/>
    <w:rsid w:val="0087237C"/>
    <w:rsid w:val="008762CB"/>
    <w:rsid w:val="008817F9"/>
    <w:rsid w:val="00882AC7"/>
    <w:rsid w:val="008910D5"/>
    <w:rsid w:val="008A6B92"/>
    <w:rsid w:val="008B0E89"/>
    <w:rsid w:val="008B53FE"/>
    <w:rsid w:val="008C2770"/>
    <w:rsid w:val="008D0E8C"/>
    <w:rsid w:val="008F7CB7"/>
    <w:rsid w:val="00907EFE"/>
    <w:rsid w:val="00933222"/>
    <w:rsid w:val="00933EC4"/>
    <w:rsid w:val="00945599"/>
    <w:rsid w:val="00963AD9"/>
    <w:rsid w:val="00967A53"/>
    <w:rsid w:val="009878D6"/>
    <w:rsid w:val="00991E8A"/>
    <w:rsid w:val="0099240B"/>
    <w:rsid w:val="009926C6"/>
    <w:rsid w:val="0099293D"/>
    <w:rsid w:val="0099420E"/>
    <w:rsid w:val="00994374"/>
    <w:rsid w:val="009959EC"/>
    <w:rsid w:val="009A2CF5"/>
    <w:rsid w:val="009B1327"/>
    <w:rsid w:val="009B6C25"/>
    <w:rsid w:val="009C5AAA"/>
    <w:rsid w:val="009C750C"/>
    <w:rsid w:val="009D1400"/>
    <w:rsid w:val="009D5BBB"/>
    <w:rsid w:val="009D6904"/>
    <w:rsid w:val="009D7005"/>
    <w:rsid w:val="009F0B72"/>
    <w:rsid w:val="009F734F"/>
    <w:rsid w:val="00A00CBC"/>
    <w:rsid w:val="00A25225"/>
    <w:rsid w:val="00A25262"/>
    <w:rsid w:val="00A305ED"/>
    <w:rsid w:val="00A3410C"/>
    <w:rsid w:val="00A42C26"/>
    <w:rsid w:val="00A43300"/>
    <w:rsid w:val="00A53CB3"/>
    <w:rsid w:val="00A5561B"/>
    <w:rsid w:val="00A7594E"/>
    <w:rsid w:val="00A775D1"/>
    <w:rsid w:val="00A8435B"/>
    <w:rsid w:val="00A86CA4"/>
    <w:rsid w:val="00AA2B92"/>
    <w:rsid w:val="00AA64AC"/>
    <w:rsid w:val="00AB5EB4"/>
    <w:rsid w:val="00AB7F20"/>
    <w:rsid w:val="00AC62D8"/>
    <w:rsid w:val="00AD4D6A"/>
    <w:rsid w:val="00AD7B2D"/>
    <w:rsid w:val="00AE46D0"/>
    <w:rsid w:val="00B02150"/>
    <w:rsid w:val="00B06408"/>
    <w:rsid w:val="00B079A1"/>
    <w:rsid w:val="00B16A6C"/>
    <w:rsid w:val="00B20D7D"/>
    <w:rsid w:val="00B26B4A"/>
    <w:rsid w:val="00B27F75"/>
    <w:rsid w:val="00B3287C"/>
    <w:rsid w:val="00B43A40"/>
    <w:rsid w:val="00B54E55"/>
    <w:rsid w:val="00B62713"/>
    <w:rsid w:val="00B649CB"/>
    <w:rsid w:val="00B6540C"/>
    <w:rsid w:val="00B670D1"/>
    <w:rsid w:val="00B76031"/>
    <w:rsid w:val="00B76386"/>
    <w:rsid w:val="00B77DC8"/>
    <w:rsid w:val="00B94112"/>
    <w:rsid w:val="00B9422A"/>
    <w:rsid w:val="00B95097"/>
    <w:rsid w:val="00B95D8F"/>
    <w:rsid w:val="00B96E3C"/>
    <w:rsid w:val="00B977C6"/>
    <w:rsid w:val="00BB0AE1"/>
    <w:rsid w:val="00BB1B72"/>
    <w:rsid w:val="00BB5356"/>
    <w:rsid w:val="00BB73D5"/>
    <w:rsid w:val="00BC5121"/>
    <w:rsid w:val="00BC53D9"/>
    <w:rsid w:val="00BC6D1E"/>
    <w:rsid w:val="00BD1F3B"/>
    <w:rsid w:val="00BD5588"/>
    <w:rsid w:val="00BD560F"/>
    <w:rsid w:val="00BD6817"/>
    <w:rsid w:val="00BE1376"/>
    <w:rsid w:val="00BE7026"/>
    <w:rsid w:val="00BF29F3"/>
    <w:rsid w:val="00C02C98"/>
    <w:rsid w:val="00C03938"/>
    <w:rsid w:val="00C30DD8"/>
    <w:rsid w:val="00C320E7"/>
    <w:rsid w:val="00C46D9F"/>
    <w:rsid w:val="00C50D47"/>
    <w:rsid w:val="00C60815"/>
    <w:rsid w:val="00C83EB5"/>
    <w:rsid w:val="00C9092B"/>
    <w:rsid w:val="00C978B3"/>
    <w:rsid w:val="00CA794D"/>
    <w:rsid w:val="00CB018C"/>
    <w:rsid w:val="00CC0370"/>
    <w:rsid w:val="00CE3D14"/>
    <w:rsid w:val="00CE664B"/>
    <w:rsid w:val="00CF157D"/>
    <w:rsid w:val="00CF4A01"/>
    <w:rsid w:val="00D04E6D"/>
    <w:rsid w:val="00D10449"/>
    <w:rsid w:val="00D21A8A"/>
    <w:rsid w:val="00D26CF3"/>
    <w:rsid w:val="00D36122"/>
    <w:rsid w:val="00D36737"/>
    <w:rsid w:val="00D70DBF"/>
    <w:rsid w:val="00D71ED3"/>
    <w:rsid w:val="00D739E1"/>
    <w:rsid w:val="00D763D5"/>
    <w:rsid w:val="00D808A6"/>
    <w:rsid w:val="00D90317"/>
    <w:rsid w:val="00DA1F9E"/>
    <w:rsid w:val="00DC0120"/>
    <w:rsid w:val="00DC55B5"/>
    <w:rsid w:val="00DD683F"/>
    <w:rsid w:val="00DF2DA5"/>
    <w:rsid w:val="00DF3E09"/>
    <w:rsid w:val="00E072D8"/>
    <w:rsid w:val="00E1093C"/>
    <w:rsid w:val="00E1102C"/>
    <w:rsid w:val="00E12430"/>
    <w:rsid w:val="00E13684"/>
    <w:rsid w:val="00E20A90"/>
    <w:rsid w:val="00E226C5"/>
    <w:rsid w:val="00E273A1"/>
    <w:rsid w:val="00E273E6"/>
    <w:rsid w:val="00E328B5"/>
    <w:rsid w:val="00E37CCB"/>
    <w:rsid w:val="00E40162"/>
    <w:rsid w:val="00E41B39"/>
    <w:rsid w:val="00E43F2D"/>
    <w:rsid w:val="00E44472"/>
    <w:rsid w:val="00E44D42"/>
    <w:rsid w:val="00E5254C"/>
    <w:rsid w:val="00E538DD"/>
    <w:rsid w:val="00E647BE"/>
    <w:rsid w:val="00E9202C"/>
    <w:rsid w:val="00E92FFC"/>
    <w:rsid w:val="00E961BD"/>
    <w:rsid w:val="00EA18EB"/>
    <w:rsid w:val="00EA3D31"/>
    <w:rsid w:val="00EA4F58"/>
    <w:rsid w:val="00EB3AA8"/>
    <w:rsid w:val="00EB7CF8"/>
    <w:rsid w:val="00EC1EDA"/>
    <w:rsid w:val="00ED0D55"/>
    <w:rsid w:val="00EE59E4"/>
    <w:rsid w:val="00EF1283"/>
    <w:rsid w:val="00EF1EE3"/>
    <w:rsid w:val="00F0349F"/>
    <w:rsid w:val="00F05CA2"/>
    <w:rsid w:val="00F14102"/>
    <w:rsid w:val="00F213DD"/>
    <w:rsid w:val="00F360B5"/>
    <w:rsid w:val="00F36B3E"/>
    <w:rsid w:val="00F478A2"/>
    <w:rsid w:val="00F54498"/>
    <w:rsid w:val="00F544AD"/>
    <w:rsid w:val="00F57BCD"/>
    <w:rsid w:val="00F60AC7"/>
    <w:rsid w:val="00F74209"/>
    <w:rsid w:val="00F82680"/>
    <w:rsid w:val="00FB4694"/>
    <w:rsid w:val="00FC2F84"/>
    <w:rsid w:val="00FC48AB"/>
    <w:rsid w:val="00FC4A80"/>
    <w:rsid w:val="00FC7146"/>
    <w:rsid w:val="00FE2EE6"/>
    <w:rsid w:val="00FE3D24"/>
    <w:rsid w:val="00FF1724"/>
    <w:rsid w:val="00FF1C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26B5"/>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E9202C"/>
    <w:pPr>
      <w:keepNext/>
      <w:ind w:firstLine="720"/>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Strip,H&amp;P List Paragraph,Normal bullet 2,Bullet list,List Paragraph1,Saraksta rindkopa1,List Paragraph11"/>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Footnote,Fußnote"/>
    <w:basedOn w:val="Normal"/>
    <w:link w:val="FootnoteTextChar"/>
    <w:uiPriority w:val="99"/>
    <w:rsid w:val="00E9202C"/>
    <w:rPr>
      <w:sz w:val="20"/>
      <w:szCs w:val="20"/>
    </w:rPr>
  </w:style>
  <w:style w:type="character" w:customStyle="1" w:styleId="FootnoteTextChar">
    <w:name w:val="Footnote Text Char"/>
    <w:aliases w:val="Footnote Char,Fußnote Char"/>
    <w:basedOn w:val="DefaultParagraphFont"/>
    <w:link w:val="FootnoteText"/>
    <w:uiPriority w:val="99"/>
    <w:rsid w:val="00E9202C"/>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E9202C"/>
    <w:rPr>
      <w:vertAlign w:val="superscript"/>
    </w:rPr>
  </w:style>
  <w:style w:type="character" w:customStyle="1" w:styleId="ListParagraphChar">
    <w:name w:val="List Paragraph Char"/>
    <w:aliases w:val="2 Char,Strip Char,H&amp;P List Paragraph Char,Normal bullet 2 Char,Bullet list Char,List Paragraph1 Char,Saraksta rindkopa1 Char,List Paragraph11 Char"/>
    <w:link w:val="ListParagraph"/>
    <w:uiPriority w:val="34"/>
    <w:qFormat/>
    <w:locked/>
    <w:rsid w:val="00E9202C"/>
    <w:rPr>
      <w:rFonts w:ascii="Times New Roman" w:eastAsia="Times New Roman" w:hAnsi="Times New Roman" w:cs="Times New Roman"/>
      <w:sz w:val="24"/>
      <w:szCs w:val="24"/>
      <w:lang w:eastAsia="lv-LV"/>
    </w:rPr>
  </w:style>
  <w:style w:type="paragraph" w:customStyle="1" w:styleId="Normal1">
    <w:name w:val="Normal1"/>
    <w:basedOn w:val="Normal"/>
    <w:rsid w:val="00E9202C"/>
    <w:pPr>
      <w:spacing w:before="100" w:beforeAutospacing="1" w:after="100" w:afterAutospacing="1"/>
    </w:pPr>
  </w:style>
  <w:style w:type="paragraph" w:styleId="Subtitle">
    <w:name w:val="Subtitle"/>
    <w:basedOn w:val="Normal"/>
    <w:next w:val="Normal"/>
    <w:link w:val="SubtitleChar"/>
    <w:qFormat/>
    <w:rsid w:val="00E9202C"/>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E9202C"/>
    <w:rPr>
      <w:rFonts w:ascii="Cambria" w:eastAsia="Times New Roman" w:hAnsi="Cambria" w:cs="Times New Roman"/>
      <w:sz w:val="24"/>
      <w:szCs w:val="24"/>
      <w:lang w:val="x-none" w:eastAsia="x-none"/>
    </w:rPr>
  </w:style>
  <w:style w:type="character" w:customStyle="1" w:styleId="Heading3Char">
    <w:name w:val="Heading 3 Char"/>
    <w:basedOn w:val="DefaultParagraphFont"/>
    <w:link w:val="Heading3"/>
    <w:rsid w:val="00E9202C"/>
    <w:rPr>
      <w:rFonts w:ascii="Times New Roman" w:eastAsia="Times New Roman" w:hAnsi="Times New Roman" w:cs="Times New Roman"/>
      <w:sz w:val="28"/>
      <w:szCs w:val="20"/>
    </w:rPr>
  </w:style>
  <w:style w:type="paragraph" w:customStyle="1" w:styleId="doc-ti">
    <w:name w:val="doc-ti"/>
    <w:basedOn w:val="Normal"/>
    <w:rsid w:val="00E9202C"/>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E44D42"/>
    <w:rPr>
      <w:color w:val="808080"/>
      <w:shd w:val="clear" w:color="auto" w:fill="E6E6E6"/>
    </w:rPr>
  </w:style>
  <w:style w:type="table" w:styleId="TableGrid">
    <w:name w:val="Table Grid"/>
    <w:basedOn w:val="TableNormal"/>
    <w:uiPriority w:val="39"/>
    <w:rsid w:val="0040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457547"/>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3913">
      <w:bodyDiv w:val="1"/>
      <w:marLeft w:val="0"/>
      <w:marRight w:val="0"/>
      <w:marTop w:val="0"/>
      <w:marBottom w:val="0"/>
      <w:divBdr>
        <w:top w:val="none" w:sz="0" w:space="0" w:color="auto"/>
        <w:left w:val="none" w:sz="0" w:space="0" w:color="auto"/>
        <w:bottom w:val="none" w:sz="0" w:space="0" w:color="auto"/>
        <w:right w:val="none" w:sz="0" w:space="0" w:color="auto"/>
      </w:divBdr>
    </w:div>
    <w:div w:id="808203714">
      <w:bodyDiv w:val="1"/>
      <w:marLeft w:val="0"/>
      <w:marRight w:val="0"/>
      <w:marTop w:val="0"/>
      <w:marBottom w:val="0"/>
      <w:divBdr>
        <w:top w:val="none" w:sz="0" w:space="0" w:color="auto"/>
        <w:left w:val="none" w:sz="0" w:space="0" w:color="auto"/>
        <w:bottom w:val="none" w:sz="0" w:space="0" w:color="auto"/>
        <w:right w:val="none" w:sz="0" w:space="0" w:color="auto"/>
      </w:divBdr>
    </w:div>
    <w:div w:id="927734586">
      <w:bodyDiv w:val="1"/>
      <w:marLeft w:val="0"/>
      <w:marRight w:val="0"/>
      <w:marTop w:val="0"/>
      <w:marBottom w:val="0"/>
      <w:divBdr>
        <w:top w:val="none" w:sz="0" w:space="0" w:color="auto"/>
        <w:left w:val="none" w:sz="0" w:space="0" w:color="auto"/>
        <w:bottom w:val="none" w:sz="0" w:space="0" w:color="auto"/>
        <w:right w:val="none" w:sz="0" w:space="0" w:color="auto"/>
      </w:divBdr>
    </w:div>
    <w:div w:id="1120343791">
      <w:bodyDiv w:val="1"/>
      <w:marLeft w:val="0"/>
      <w:marRight w:val="0"/>
      <w:marTop w:val="0"/>
      <w:marBottom w:val="0"/>
      <w:divBdr>
        <w:top w:val="none" w:sz="0" w:space="0" w:color="auto"/>
        <w:left w:val="none" w:sz="0" w:space="0" w:color="auto"/>
        <w:bottom w:val="none" w:sz="0" w:space="0" w:color="auto"/>
        <w:right w:val="none" w:sz="0" w:space="0" w:color="auto"/>
      </w:divBdr>
    </w:div>
    <w:div w:id="1186207737">
      <w:bodyDiv w:val="1"/>
      <w:marLeft w:val="0"/>
      <w:marRight w:val="0"/>
      <w:marTop w:val="0"/>
      <w:marBottom w:val="0"/>
      <w:divBdr>
        <w:top w:val="none" w:sz="0" w:space="0" w:color="auto"/>
        <w:left w:val="none" w:sz="0" w:space="0" w:color="auto"/>
        <w:bottom w:val="none" w:sz="0" w:space="0" w:color="auto"/>
        <w:right w:val="none" w:sz="0" w:space="0" w:color="auto"/>
      </w:divBdr>
    </w:div>
    <w:div w:id="1494026929">
      <w:bodyDiv w:val="1"/>
      <w:marLeft w:val="0"/>
      <w:marRight w:val="0"/>
      <w:marTop w:val="0"/>
      <w:marBottom w:val="0"/>
      <w:divBdr>
        <w:top w:val="none" w:sz="0" w:space="0" w:color="auto"/>
        <w:left w:val="none" w:sz="0" w:space="0" w:color="auto"/>
        <w:bottom w:val="none" w:sz="0" w:space="0" w:color="auto"/>
        <w:right w:val="none" w:sz="0" w:space="0" w:color="auto"/>
      </w:divBdr>
    </w:div>
    <w:div w:id="1692685968">
      <w:bodyDiv w:val="1"/>
      <w:marLeft w:val="0"/>
      <w:marRight w:val="0"/>
      <w:marTop w:val="0"/>
      <w:marBottom w:val="0"/>
      <w:divBdr>
        <w:top w:val="none" w:sz="0" w:space="0" w:color="auto"/>
        <w:left w:val="none" w:sz="0" w:space="0" w:color="auto"/>
        <w:bottom w:val="none" w:sz="0" w:space="0" w:color="auto"/>
        <w:right w:val="none" w:sz="0" w:space="0" w:color="auto"/>
      </w:divBdr>
    </w:div>
    <w:div w:id="18884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Dace.Vitola@e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pa.lv/index.php?option=com_content&amp;view=article&amp;id=60&amp;Itemid=6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lpa.lv/index.php?option=com_content&amp;view=article&amp;id=60&amp;Itemid=6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economy/surveys/Latvia-2017-OECD-economic-survey-overview.pdf" TargetMode="External"/><Relationship Id="rId1" Type="http://schemas.openxmlformats.org/officeDocument/2006/relationships/hyperlink" Target="http://www.oecd.org/economy/surveys/Latvia-2017-OECD-economic-survey-overview.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8367761805742"/>
          <c:y val="5.6033931986452845E-2"/>
          <c:w val="0.63967680560814244"/>
          <c:h val="0.94396614664331202"/>
        </c:manualLayout>
      </c:layout>
      <c:doughnutChart>
        <c:varyColors val="1"/>
        <c:ser>
          <c:idx val="0"/>
          <c:order val="0"/>
          <c:tx>
            <c:strRef>
              <c:f>Sheet1!$B$1</c:f>
              <c:strCache>
                <c:ptCount val="1"/>
                <c:pt idx="0">
                  <c:v>Sales</c:v>
                </c:pt>
              </c:strCache>
            </c:strRef>
          </c:tx>
          <c:spPr>
            <a:ln>
              <a:noFill/>
            </a:ln>
          </c:spPr>
          <c:explosion val="3"/>
          <c:dPt>
            <c:idx val="0"/>
            <c:bubble3D val="0"/>
            <c:spPr>
              <a:solidFill>
                <a:schemeClr val="bg1">
                  <a:lumMod val="95000"/>
                </a:schemeClr>
              </a:solidFill>
              <a:ln w="6350">
                <a:solidFill>
                  <a:srgbClr val="C00000"/>
                </a:solidFill>
              </a:ln>
              <a:effectLst/>
            </c:spPr>
            <c:extLst>
              <c:ext xmlns:c16="http://schemas.microsoft.com/office/drawing/2014/chart" uri="{C3380CC4-5D6E-409C-BE32-E72D297353CC}">
                <c16:uniqueId val="{00000001-B63A-46DD-A6CA-5786105F9ED5}"/>
              </c:ext>
            </c:extLst>
          </c:dPt>
          <c:dPt>
            <c:idx val="1"/>
            <c:bubble3D val="0"/>
            <c:spPr>
              <a:solidFill>
                <a:schemeClr val="bg1">
                  <a:lumMod val="85000"/>
                </a:schemeClr>
              </a:solidFill>
              <a:ln w="6350">
                <a:solidFill>
                  <a:srgbClr val="C00000"/>
                </a:solidFill>
              </a:ln>
              <a:effectLst/>
            </c:spPr>
            <c:extLst>
              <c:ext xmlns:c16="http://schemas.microsoft.com/office/drawing/2014/chart" uri="{C3380CC4-5D6E-409C-BE32-E72D297353CC}">
                <c16:uniqueId val="{00000003-B63A-46DD-A6CA-5786105F9ED5}"/>
              </c:ext>
            </c:extLst>
          </c:dPt>
          <c:dPt>
            <c:idx val="2"/>
            <c:bubble3D val="0"/>
            <c:spPr>
              <a:solidFill>
                <a:schemeClr val="bg1">
                  <a:lumMod val="75000"/>
                </a:schemeClr>
              </a:solidFill>
              <a:ln w="6350">
                <a:solidFill>
                  <a:srgbClr val="C00000"/>
                </a:solidFill>
              </a:ln>
              <a:effectLst/>
            </c:spPr>
            <c:extLst>
              <c:ext xmlns:c16="http://schemas.microsoft.com/office/drawing/2014/chart" uri="{C3380CC4-5D6E-409C-BE32-E72D297353CC}">
                <c16:uniqueId val="{00000005-B63A-46DD-A6CA-5786105F9ED5}"/>
              </c:ext>
            </c:extLst>
          </c:dPt>
          <c:dPt>
            <c:idx val="3"/>
            <c:bubble3D val="0"/>
            <c:spPr>
              <a:solidFill>
                <a:schemeClr val="bg1">
                  <a:lumMod val="50000"/>
                </a:schemeClr>
              </a:solidFill>
              <a:ln w="6350">
                <a:solidFill>
                  <a:srgbClr val="C00000"/>
                </a:solidFill>
              </a:ln>
              <a:effectLst/>
            </c:spPr>
            <c:extLst>
              <c:ext xmlns:c16="http://schemas.microsoft.com/office/drawing/2014/chart" uri="{C3380CC4-5D6E-409C-BE32-E72D297353CC}">
                <c16:uniqueId val="{00000007-B63A-46DD-A6CA-5786105F9ED5}"/>
              </c:ext>
            </c:extLst>
          </c:dPt>
          <c:dPt>
            <c:idx val="4"/>
            <c:bubble3D val="0"/>
            <c:spPr>
              <a:solidFill>
                <a:srgbClr val="003300"/>
              </a:solidFill>
              <a:ln w="6350">
                <a:solidFill>
                  <a:srgbClr val="C00000"/>
                </a:solidFill>
              </a:ln>
              <a:effectLst/>
            </c:spPr>
            <c:extLst>
              <c:ext xmlns:c16="http://schemas.microsoft.com/office/drawing/2014/chart" uri="{C3380CC4-5D6E-409C-BE32-E72D297353CC}">
                <c16:uniqueId val="{00000009-B63A-46DD-A6CA-5786105F9ED5}"/>
              </c:ext>
            </c:extLst>
          </c:dPt>
          <c:dPt>
            <c:idx val="5"/>
            <c:bubble3D val="0"/>
            <c:spPr>
              <a:noFill/>
              <a:ln w="19050">
                <a:noFill/>
              </a:ln>
              <a:effectLst/>
            </c:spPr>
            <c:extLst>
              <c:ext xmlns:c16="http://schemas.microsoft.com/office/drawing/2014/chart" uri="{C3380CC4-5D6E-409C-BE32-E72D297353CC}">
                <c16:uniqueId val="{0000000B-B63A-46DD-A6CA-5786105F9ED5}"/>
              </c:ext>
            </c:extLst>
          </c:dPt>
          <c:dLbls>
            <c:dLbl>
              <c:idx val="0"/>
              <c:tx>
                <c:rich>
                  <a:bodyPr/>
                  <a:lstStyle/>
                  <a:p>
                    <a:fld id="{14735753-E469-4B92-ACF8-3120EC328ABB}"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63A-46DD-A6CA-5786105F9ED5}"/>
                </c:ext>
              </c:extLst>
            </c:dLbl>
            <c:dLbl>
              <c:idx val="1"/>
              <c:tx>
                <c:rich>
                  <a:bodyPr/>
                  <a:lstStyle/>
                  <a:p>
                    <a:fld id="{44B2F6CC-EE12-4B34-9493-7EED4424F357}"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63A-46DD-A6CA-5786105F9ED5}"/>
                </c:ext>
              </c:extLst>
            </c:dLbl>
            <c:dLbl>
              <c:idx val="2"/>
              <c:tx>
                <c:rich>
                  <a:bodyPr/>
                  <a:lstStyle/>
                  <a:p>
                    <a:fld id="{CBBB27F5-B935-48B9-882A-8CE60AD28138}"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63A-46DD-A6CA-5786105F9ED5}"/>
                </c:ext>
              </c:extLst>
            </c:dLbl>
            <c:dLbl>
              <c:idx val="3"/>
              <c:tx>
                <c:rich>
                  <a:bodyPr/>
                  <a:lstStyle/>
                  <a:p>
                    <a:fld id="{8415E2F2-2883-4EFF-B0A5-2E169A61193E}"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63A-46DD-A6CA-5786105F9ED5}"/>
                </c:ext>
              </c:extLst>
            </c:dLbl>
            <c:dLbl>
              <c:idx val="4"/>
              <c:layout>
                <c:manualLayout>
                  <c:x val="0.1332075932368918"/>
                  <c:y val="-7.5418621452806207E-3"/>
                </c:manualLayout>
              </c:layout>
              <c:tx>
                <c:rich>
                  <a:bodyPr/>
                  <a:lstStyle/>
                  <a:p>
                    <a:fld id="{CAF9E0D8-EA8F-4F85-92C0-42352DA37F32}"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B63A-46DD-A6CA-5786105F9ED5}"/>
                </c:ext>
              </c:extLst>
            </c:dLbl>
            <c:dLbl>
              <c:idx val="5"/>
              <c:tx>
                <c:rich>
                  <a:bodyPr/>
                  <a:lstStyle/>
                  <a:p>
                    <a:fld id="{CA4614E0-566F-4DBC-8FE0-4F95AF9F18A2}"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B63A-46DD-A6CA-5786105F9ED5}"/>
                </c:ext>
              </c:extLst>
            </c:dLbl>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rebuchet MS" panose="020B0603020202020204" pitchFamily="34" charset="0"/>
                    <a:ea typeface="+mn-ea"/>
                    <a:cs typeface="+mn-cs"/>
                  </a:defRPr>
                </a:pPr>
                <a:endParaRPr lang="lv-LV"/>
              </a:p>
            </c:txPr>
            <c:showLegendKey val="0"/>
            <c:showVal val="0"/>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Sheet1!$A$2:$A$7</c:f>
              <c:strCache>
                <c:ptCount val="5"/>
                <c:pt idx="0">
                  <c:v>līdz 1940.gadam</c:v>
                </c:pt>
                <c:pt idx="1">
                  <c:v>1941-1960</c:v>
                </c:pt>
                <c:pt idx="2">
                  <c:v>1961-1979</c:v>
                </c:pt>
                <c:pt idx="3">
                  <c:v>1980-1992</c:v>
                </c:pt>
                <c:pt idx="4">
                  <c:v>1993-2014</c:v>
                </c:pt>
              </c:strCache>
            </c:strRef>
          </c:cat>
          <c:val>
            <c:numRef>
              <c:f>Sheet1!$B$2:$B$7</c:f>
              <c:numCache>
                <c:formatCode>General</c:formatCode>
                <c:ptCount val="6"/>
                <c:pt idx="0">
                  <c:v>45</c:v>
                </c:pt>
                <c:pt idx="1">
                  <c:v>14</c:v>
                </c:pt>
                <c:pt idx="2">
                  <c:v>25</c:v>
                </c:pt>
                <c:pt idx="3">
                  <c:v>14</c:v>
                </c:pt>
                <c:pt idx="4">
                  <c:v>2</c:v>
                </c:pt>
                <c:pt idx="5">
                  <c:v>100</c:v>
                </c:pt>
              </c:numCache>
            </c:numRef>
          </c:val>
          <c:extLst>
            <c:ext xmlns:c15="http://schemas.microsoft.com/office/drawing/2012/chart" uri="{02D57815-91ED-43cb-92C2-25804820EDAC}">
              <c15:datalabelsRange>
                <c15:f>Sheet1!$E$2:$E$7</c15:f>
                <c15:dlblRangeCache>
                  <c:ptCount val="6"/>
                  <c:pt idx="0">
                    <c:v>45%</c:v>
                  </c:pt>
                  <c:pt idx="1">
                    <c:v>14%</c:v>
                  </c:pt>
                  <c:pt idx="2">
                    <c:v>25%</c:v>
                  </c:pt>
                  <c:pt idx="3">
                    <c:v>14%</c:v>
                  </c:pt>
                  <c:pt idx="4">
                    <c:v>2%</c:v>
                  </c:pt>
                </c15:dlblRangeCache>
              </c15:datalabelsRange>
            </c:ext>
            <c:ext xmlns:c16="http://schemas.microsoft.com/office/drawing/2014/chart" uri="{C3380CC4-5D6E-409C-BE32-E72D297353CC}">
              <c16:uniqueId val="{0000000C-B63A-46DD-A6CA-5786105F9ED5}"/>
            </c:ext>
          </c:extLst>
        </c:ser>
        <c:dLbls>
          <c:showLegendKey val="0"/>
          <c:showVal val="0"/>
          <c:showCatName val="0"/>
          <c:showSerName val="0"/>
          <c:showPercent val="0"/>
          <c:showBubbleSize val="0"/>
          <c:showLeaderLines val="1"/>
        </c:dLbls>
        <c:firstSliceAng val="270"/>
        <c:holeSize val="40"/>
      </c:doughnutChart>
      <c:spPr>
        <a:noFill/>
        <a:ln>
          <a:noFill/>
        </a:ln>
        <a:effectLst/>
      </c:spPr>
    </c:plotArea>
    <c:legend>
      <c:legendPos val="b"/>
      <c:layout>
        <c:manualLayout>
          <c:xMode val="edge"/>
          <c:yMode val="edge"/>
          <c:x val="6.4132911221148906E-2"/>
          <c:y val="0.54591790370465987"/>
          <c:w val="0.92327685002326798"/>
          <c:h val="0.16235762109777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b="0">
          <a:latin typeface="Trebuchet MS" panose="020B0603020202020204" pitchFamily="34"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786087203154518E-2"/>
          <c:y val="2.0863316973270721E-2"/>
          <c:w val="0.96121391279684554"/>
          <c:h val="0.78159810741146141"/>
        </c:manualLayout>
      </c:layout>
      <c:barChart>
        <c:barDir val="col"/>
        <c:grouping val="clustered"/>
        <c:varyColors val="0"/>
        <c:ser>
          <c:idx val="0"/>
          <c:order val="0"/>
          <c:tx>
            <c:strRef>
              <c:f>Sheet1!$B$1</c:f>
              <c:strCache>
                <c:ptCount val="1"/>
                <c:pt idx="0">
                  <c:v>tūkst m2</c:v>
                </c:pt>
              </c:strCache>
            </c:strRef>
          </c:tx>
          <c:spPr>
            <a:solidFill>
              <a:schemeClr val="accent6">
                <a:lumMod val="50000"/>
              </a:schemeClr>
            </a:solidFill>
            <a:ln>
              <a:noFill/>
            </a:ln>
            <a:effectLst/>
          </c:spPr>
          <c:invertIfNegative val="0"/>
          <c:dPt>
            <c:idx val="10"/>
            <c:invertIfNegative val="0"/>
            <c:bubble3D val="0"/>
            <c:spPr>
              <a:solidFill>
                <a:schemeClr val="accent6">
                  <a:lumMod val="50000"/>
                </a:schemeClr>
              </a:solidFill>
              <a:ln>
                <a:noFill/>
              </a:ln>
              <a:effectLst/>
            </c:spPr>
            <c:extLst>
              <c:ext xmlns:c16="http://schemas.microsoft.com/office/drawing/2014/chart" uri="{C3380CC4-5D6E-409C-BE32-E72D297353CC}">
                <c16:uniqueId val="{00000001-38FD-4CF1-BFE5-2C69EF0A3B50}"/>
              </c:ext>
            </c:extLst>
          </c:dPt>
          <c:dPt>
            <c:idx val="17"/>
            <c:invertIfNegative val="0"/>
            <c:bubble3D val="0"/>
            <c:spPr>
              <a:solidFill>
                <a:schemeClr val="accent6">
                  <a:lumMod val="50000"/>
                </a:schemeClr>
              </a:solidFill>
              <a:ln>
                <a:noFill/>
              </a:ln>
              <a:effectLst/>
            </c:spPr>
            <c:extLst>
              <c:ext xmlns:c16="http://schemas.microsoft.com/office/drawing/2014/chart" uri="{C3380CC4-5D6E-409C-BE32-E72D297353CC}">
                <c16:uniqueId val="{00000003-38FD-4CF1-BFE5-2C69EF0A3B50}"/>
              </c:ext>
            </c:extLst>
          </c:dPt>
          <c:dLbls>
            <c:dLbl>
              <c:idx val="13"/>
              <c:delete val="1"/>
              <c:extLst>
                <c:ext xmlns:c15="http://schemas.microsoft.com/office/drawing/2012/chart" uri="{CE6537A1-D6FC-4f65-9D91-7224C49458BB}"/>
                <c:ext xmlns:c16="http://schemas.microsoft.com/office/drawing/2014/chart" uri="{C3380CC4-5D6E-409C-BE32-E72D297353CC}">
                  <c16:uniqueId val="{00000004-38FD-4CF1-BFE5-2C69EF0A3B50}"/>
                </c:ext>
              </c:extLst>
            </c:dLbl>
            <c:dLbl>
              <c:idx val="14"/>
              <c:delete val="1"/>
              <c:extLst>
                <c:ext xmlns:c15="http://schemas.microsoft.com/office/drawing/2012/chart" uri="{CE6537A1-D6FC-4f65-9D91-7224C49458BB}"/>
                <c:ext xmlns:c16="http://schemas.microsoft.com/office/drawing/2014/chart" uri="{C3380CC4-5D6E-409C-BE32-E72D297353CC}">
                  <c16:uniqueId val="{00000005-38FD-4CF1-BFE5-2C69EF0A3B50}"/>
                </c:ext>
              </c:extLst>
            </c:dLbl>
            <c:dLbl>
              <c:idx val="15"/>
              <c:delete val="1"/>
              <c:extLst>
                <c:ext xmlns:c15="http://schemas.microsoft.com/office/drawing/2012/chart" uri="{CE6537A1-D6FC-4f65-9D91-7224C49458BB}"/>
                <c:ext xmlns:c16="http://schemas.microsoft.com/office/drawing/2014/chart" uri="{C3380CC4-5D6E-409C-BE32-E72D297353CC}">
                  <c16:uniqueId val="{00000006-38FD-4CF1-BFE5-2C69EF0A3B50}"/>
                </c:ext>
              </c:extLst>
            </c:dLbl>
            <c:dLbl>
              <c:idx val="16"/>
              <c:delete val="1"/>
              <c:extLst>
                <c:ext xmlns:c15="http://schemas.microsoft.com/office/drawing/2012/chart" uri="{CE6537A1-D6FC-4f65-9D91-7224C49458BB}"/>
                <c:ext xmlns:c16="http://schemas.microsoft.com/office/drawing/2014/chart" uri="{C3380CC4-5D6E-409C-BE32-E72D297353CC}">
                  <c16:uniqueId val="{00000007-38FD-4CF1-BFE5-2C69EF0A3B50}"/>
                </c:ext>
              </c:extLst>
            </c:dLbl>
            <c:dLbl>
              <c:idx val="17"/>
              <c:delete val="1"/>
              <c:extLst>
                <c:ext xmlns:c15="http://schemas.microsoft.com/office/drawing/2012/chart" uri="{CE6537A1-D6FC-4f65-9D91-7224C49458BB}"/>
                <c:ext xmlns:c16="http://schemas.microsoft.com/office/drawing/2014/chart" uri="{C3380CC4-5D6E-409C-BE32-E72D297353CC}">
                  <c16:uniqueId val="{00000003-38FD-4CF1-BFE5-2C69EF0A3B50}"/>
                </c:ext>
              </c:extLst>
            </c:dLbl>
            <c:dLbl>
              <c:idx val="18"/>
              <c:delete val="1"/>
              <c:extLst>
                <c:ext xmlns:c15="http://schemas.microsoft.com/office/drawing/2012/chart" uri="{CE6537A1-D6FC-4f65-9D91-7224C49458BB}"/>
                <c:ext xmlns:c16="http://schemas.microsoft.com/office/drawing/2014/chart" uri="{C3380CC4-5D6E-409C-BE32-E72D297353CC}">
                  <c16:uniqueId val="{00000008-38FD-4CF1-BFE5-2C69EF0A3B50}"/>
                </c:ext>
              </c:extLst>
            </c:dLbl>
            <c:dLbl>
              <c:idx val="19"/>
              <c:delete val="1"/>
              <c:extLst>
                <c:ext xmlns:c15="http://schemas.microsoft.com/office/drawing/2012/chart" uri="{CE6537A1-D6FC-4f65-9D91-7224C49458BB}"/>
                <c:ext xmlns:c16="http://schemas.microsoft.com/office/drawing/2014/chart" uri="{C3380CC4-5D6E-409C-BE32-E72D297353CC}">
                  <c16:uniqueId val="{00000009-38FD-4CF1-BFE5-2C69EF0A3B50}"/>
                </c:ext>
              </c:extLst>
            </c:dLbl>
            <c:dLbl>
              <c:idx val="20"/>
              <c:delete val="1"/>
              <c:extLst>
                <c:ext xmlns:c15="http://schemas.microsoft.com/office/drawing/2012/chart" uri="{CE6537A1-D6FC-4f65-9D91-7224C49458BB}"/>
                <c:ext xmlns:c16="http://schemas.microsoft.com/office/drawing/2014/chart" uri="{C3380CC4-5D6E-409C-BE32-E72D297353CC}">
                  <c16:uniqueId val="{0000000A-38FD-4CF1-BFE5-2C69EF0A3B50}"/>
                </c:ext>
              </c:extLst>
            </c:dLbl>
            <c:dLbl>
              <c:idx val="21"/>
              <c:delete val="1"/>
              <c:extLst>
                <c:ext xmlns:c15="http://schemas.microsoft.com/office/drawing/2012/chart" uri="{CE6537A1-D6FC-4f65-9D91-7224C49458BB}"/>
                <c:ext xmlns:c16="http://schemas.microsoft.com/office/drawing/2014/chart" uri="{C3380CC4-5D6E-409C-BE32-E72D297353CC}">
                  <c16:uniqueId val="{0000000B-38FD-4CF1-BFE5-2C69EF0A3B50}"/>
                </c:ext>
              </c:extLst>
            </c:dLbl>
            <c:dLbl>
              <c:idx val="22"/>
              <c:delete val="1"/>
              <c:extLst>
                <c:ext xmlns:c15="http://schemas.microsoft.com/office/drawing/2012/chart" uri="{CE6537A1-D6FC-4f65-9D91-7224C49458BB}"/>
                <c:ext xmlns:c16="http://schemas.microsoft.com/office/drawing/2014/chart" uri="{C3380CC4-5D6E-409C-BE32-E72D297353CC}">
                  <c16:uniqueId val="{0000000C-38FD-4CF1-BFE5-2C69EF0A3B50}"/>
                </c:ext>
              </c:extLst>
            </c:dLbl>
            <c:dLbl>
              <c:idx val="23"/>
              <c:delete val="1"/>
              <c:extLst>
                <c:ext xmlns:c15="http://schemas.microsoft.com/office/drawing/2012/chart" uri="{CE6537A1-D6FC-4f65-9D91-7224C49458BB}"/>
                <c:ext xmlns:c16="http://schemas.microsoft.com/office/drawing/2014/chart" uri="{C3380CC4-5D6E-409C-BE32-E72D297353CC}">
                  <c16:uniqueId val="{0000000D-38FD-4CF1-BFE5-2C69EF0A3B50}"/>
                </c:ext>
              </c:extLst>
            </c:dLbl>
            <c:dLbl>
              <c:idx val="24"/>
              <c:delete val="1"/>
              <c:extLst>
                <c:ext xmlns:c15="http://schemas.microsoft.com/office/drawing/2012/chart" uri="{CE6537A1-D6FC-4f65-9D91-7224C49458BB}"/>
                <c:ext xmlns:c16="http://schemas.microsoft.com/office/drawing/2014/chart" uri="{C3380CC4-5D6E-409C-BE32-E72D297353CC}">
                  <c16:uniqueId val="{0000000E-38FD-4CF1-BFE5-2C69EF0A3B50}"/>
                </c:ext>
              </c:extLst>
            </c:dLbl>
            <c:dLbl>
              <c:idx val="25"/>
              <c:delete val="1"/>
              <c:extLst>
                <c:ext xmlns:c15="http://schemas.microsoft.com/office/drawing/2012/chart" uri="{CE6537A1-D6FC-4f65-9D91-7224C49458BB}"/>
                <c:ext xmlns:c16="http://schemas.microsoft.com/office/drawing/2014/chart" uri="{C3380CC4-5D6E-409C-BE32-E72D297353CC}">
                  <c16:uniqueId val="{0000000F-38FD-4CF1-BFE5-2C69EF0A3B50}"/>
                </c:ext>
              </c:extLst>
            </c:dLbl>
            <c:dLbl>
              <c:idx val="26"/>
              <c:delete val="1"/>
              <c:extLst>
                <c:ext xmlns:c15="http://schemas.microsoft.com/office/drawing/2012/chart" uri="{CE6537A1-D6FC-4f65-9D91-7224C49458BB}"/>
                <c:ext xmlns:c16="http://schemas.microsoft.com/office/drawing/2014/chart" uri="{C3380CC4-5D6E-409C-BE32-E72D297353CC}">
                  <c16:uniqueId val="{00000010-38FD-4CF1-BFE5-2C69EF0A3B50}"/>
                </c:ext>
              </c:extLst>
            </c:dLbl>
            <c:dLbl>
              <c:idx val="27"/>
              <c:delete val="1"/>
              <c:extLst>
                <c:ext xmlns:c15="http://schemas.microsoft.com/office/drawing/2012/chart" uri="{CE6537A1-D6FC-4f65-9D91-7224C49458BB}"/>
                <c:ext xmlns:c16="http://schemas.microsoft.com/office/drawing/2014/chart" uri="{C3380CC4-5D6E-409C-BE32-E72D297353CC}">
                  <c16:uniqueId val="{00000011-38FD-4CF1-BFE5-2C69EF0A3B50}"/>
                </c:ext>
              </c:extLst>
            </c:dLbl>
            <c:dLbl>
              <c:idx val="28"/>
              <c:delete val="1"/>
              <c:extLst>
                <c:ext xmlns:c15="http://schemas.microsoft.com/office/drawing/2012/chart" uri="{CE6537A1-D6FC-4f65-9D91-7224C49458BB}"/>
                <c:ext xmlns:c16="http://schemas.microsoft.com/office/drawing/2014/chart" uri="{C3380CC4-5D6E-409C-BE32-E72D297353CC}">
                  <c16:uniqueId val="{00000012-38FD-4CF1-BFE5-2C69EF0A3B50}"/>
                </c:ext>
              </c:extLst>
            </c:dLbl>
            <c:dLbl>
              <c:idx val="29"/>
              <c:delete val="1"/>
              <c:extLst>
                <c:ext xmlns:c15="http://schemas.microsoft.com/office/drawing/2012/chart" uri="{CE6537A1-D6FC-4f65-9D91-7224C49458BB}"/>
                <c:ext xmlns:c16="http://schemas.microsoft.com/office/drawing/2014/chart" uri="{C3380CC4-5D6E-409C-BE32-E72D297353CC}">
                  <c16:uniqueId val="{00000013-38FD-4CF1-BFE5-2C69EF0A3B50}"/>
                </c:ext>
              </c:extLst>
            </c:dLbl>
            <c:spPr>
              <a:noFill/>
              <a:ln>
                <a:noFill/>
              </a:ln>
              <a:effectLst/>
            </c:spPr>
            <c:txPr>
              <a:bodyPr rot="0" spcFirstLastPara="1" vertOverflow="ellipsis" vert="horz" wrap="square" anchor="ctr" anchorCtr="1"/>
              <a:lstStyle/>
              <a:p>
                <a:pPr>
                  <a:defRPr sz="700" b="0" i="0" u="none" strike="noStrike" kern="1200" baseline="0">
                    <a:solidFill>
                      <a:schemeClr val="accent6">
                        <a:lumMod val="50000"/>
                      </a:schemeClr>
                    </a:solidFill>
                    <a:latin typeface="Calibri Light" panose="020F030202020403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Sheet1!$A$2:$A$36</c:f>
              <c:strCache>
                <c:ptCount val="35"/>
                <c:pt idx="0">
                  <c:v>Rīga</c:v>
                </c:pt>
                <c:pt idx="1">
                  <c:v>Jūrmala</c:v>
                </c:pt>
                <c:pt idx="2">
                  <c:v>Liepāja</c:v>
                </c:pt>
                <c:pt idx="3">
                  <c:v>Sigulda</c:v>
                </c:pt>
                <c:pt idx="4">
                  <c:v>Tukums</c:v>
                </c:pt>
                <c:pt idx="5">
                  <c:v>Ogre</c:v>
                </c:pt>
                <c:pt idx="6">
                  <c:v>Talsi</c:v>
                </c:pt>
                <c:pt idx="7">
                  <c:v>Jelgava</c:v>
                </c:pt>
                <c:pt idx="8">
                  <c:v>Gulbene</c:v>
                </c:pt>
                <c:pt idx="9">
                  <c:v>Cēsis</c:v>
                </c:pt>
                <c:pt idx="10">
                  <c:v>Ventspils</c:v>
                </c:pt>
                <c:pt idx="11">
                  <c:v>Preiļi</c:v>
                </c:pt>
                <c:pt idx="12">
                  <c:v>Bauska</c:v>
                </c:pt>
                <c:pt idx="13">
                  <c:v>Daugavpils</c:v>
                </c:pt>
                <c:pt idx="14">
                  <c:v>Jēkabpils</c:v>
                </c:pt>
                <c:pt idx="15">
                  <c:v>Rēzekne</c:v>
                </c:pt>
                <c:pt idx="16">
                  <c:v>Valmiera</c:v>
                </c:pt>
                <c:pt idx="17">
                  <c:v>Aizkraukle</c:v>
                </c:pt>
                <c:pt idx="18">
                  <c:v>Alūksne</c:v>
                </c:pt>
                <c:pt idx="19">
                  <c:v>Balvi</c:v>
                </c:pt>
                <c:pt idx="20">
                  <c:v>Dobele</c:v>
                </c:pt>
                <c:pt idx="21">
                  <c:v>Krāslava</c:v>
                </c:pt>
                <c:pt idx="22">
                  <c:v>Kuldīga</c:v>
                </c:pt>
                <c:pt idx="23">
                  <c:v>Limbaži</c:v>
                </c:pt>
                <c:pt idx="24">
                  <c:v>Līvāni</c:v>
                </c:pt>
                <c:pt idx="25">
                  <c:v>Ludza</c:v>
                </c:pt>
                <c:pt idx="26">
                  <c:v>Madona</c:v>
                </c:pt>
                <c:pt idx="27">
                  <c:v>Saldus</c:v>
                </c:pt>
                <c:pt idx="28">
                  <c:v>Smiltene</c:v>
                </c:pt>
                <c:pt idx="29">
                  <c:v>Valka</c:v>
                </c:pt>
                <c:pt idx="31">
                  <c:v>Novadi ap Rīgu</c:v>
                </c:pt>
                <c:pt idx="32">
                  <c:v>Ādaži</c:v>
                </c:pt>
                <c:pt idx="33">
                  <c:v>Saulkrasti</c:v>
                </c:pt>
                <c:pt idx="34">
                  <c:v>Pārējā Latvija</c:v>
                </c:pt>
              </c:strCache>
            </c:strRef>
          </c:cat>
          <c:val>
            <c:numRef>
              <c:f>Sheet1!$B$2:$B$36</c:f>
              <c:numCache>
                <c:formatCode>General</c:formatCode>
                <c:ptCount val="35"/>
                <c:pt idx="0">
                  <c:v>570.69999999999993</c:v>
                </c:pt>
                <c:pt idx="1">
                  <c:v>112.6</c:v>
                </c:pt>
                <c:pt idx="2">
                  <c:v>17.799999999999997</c:v>
                </c:pt>
                <c:pt idx="3">
                  <c:v>14.7</c:v>
                </c:pt>
                <c:pt idx="4">
                  <c:v>4.0999999999999996</c:v>
                </c:pt>
                <c:pt idx="5">
                  <c:v>3.9</c:v>
                </c:pt>
                <c:pt idx="6">
                  <c:v>2.7</c:v>
                </c:pt>
                <c:pt idx="7">
                  <c:v>1</c:v>
                </c:pt>
                <c:pt idx="8">
                  <c:v>0.8</c:v>
                </c:pt>
                <c:pt idx="9">
                  <c:v>0.6</c:v>
                </c:pt>
                <c:pt idx="10">
                  <c:v>0.4</c:v>
                </c:pt>
                <c:pt idx="11">
                  <c:v>0.3</c:v>
                </c:pt>
                <c:pt idx="12">
                  <c:v>0.2</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1">
                  <c:v>148.80000000000001</c:v>
                </c:pt>
                <c:pt idx="32">
                  <c:v>49.199999999999996</c:v>
                </c:pt>
                <c:pt idx="33">
                  <c:v>24.000000000000004</c:v>
                </c:pt>
                <c:pt idx="34">
                  <c:v>8.1999999999998181</c:v>
                </c:pt>
              </c:numCache>
            </c:numRef>
          </c:val>
          <c:extLst>
            <c:ext xmlns:c16="http://schemas.microsoft.com/office/drawing/2014/chart" uri="{C3380CC4-5D6E-409C-BE32-E72D297353CC}">
              <c16:uniqueId val="{00000014-38FD-4CF1-BFE5-2C69EF0A3B50}"/>
            </c:ext>
          </c:extLst>
        </c:ser>
        <c:dLbls>
          <c:showLegendKey val="0"/>
          <c:showVal val="0"/>
          <c:showCatName val="0"/>
          <c:showSerName val="0"/>
          <c:showPercent val="0"/>
          <c:showBubbleSize val="0"/>
        </c:dLbls>
        <c:gapWidth val="40"/>
        <c:overlap val="-27"/>
        <c:axId val="377955856"/>
        <c:axId val="377950280"/>
      </c:barChart>
      <c:catAx>
        <c:axId val="37795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accent6">
                    <a:lumMod val="50000"/>
                  </a:schemeClr>
                </a:solidFill>
                <a:latin typeface="Calibri Light" panose="020F0302020204030204" pitchFamily="34" charset="0"/>
                <a:ea typeface="+mn-ea"/>
                <a:cs typeface="+mn-cs"/>
              </a:defRPr>
            </a:pPr>
            <a:endParaRPr lang="lv-LV"/>
          </a:p>
        </c:txPr>
        <c:crossAx val="377950280"/>
        <c:crosses val="autoZero"/>
        <c:auto val="1"/>
        <c:lblAlgn val="ctr"/>
        <c:lblOffset val="100"/>
        <c:noMultiLvlLbl val="0"/>
      </c:catAx>
      <c:valAx>
        <c:axId val="3779502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6">
                    <a:lumMod val="50000"/>
                  </a:schemeClr>
                </a:solidFill>
                <a:latin typeface="Calibri Light" panose="020F0302020204030204" pitchFamily="34" charset="0"/>
                <a:ea typeface="+mn-ea"/>
                <a:cs typeface="+mn-cs"/>
              </a:defRPr>
            </a:pPr>
            <a:endParaRPr lang="lv-LV"/>
          </a:p>
        </c:txPr>
        <c:crossAx val="377955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chemeClr val="accent6">
              <a:lumMod val="50000"/>
            </a:schemeClr>
          </a:solidFill>
          <a:latin typeface="Calibri Light" panose="020F0302020204030204" pitchFamily="34"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A112-D8D9-452B-B6C6-9EAE6A38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14331</Words>
  <Characters>8170</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Neatkarīgu ēku energoefektivitātes ekspertu kompetences novērtēšanas un profesionālās darbības uzraudzības noteikumi</vt:lpstr>
      <vt:lpstr>projekta “Neatkarīgu ekspertu ēku energoefektivitātes jomā kompetences novērtēšanas un profesionālās darbības uzraudzības noteikumi” sākotnējās ietekmes novērtējuma ziņojums (anotācija)</vt:lpstr>
    </vt:vector>
  </TitlesOfParts>
  <Company>Ekonomikas ministrija</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Neatkarīgu ēku energoefektivitātes ekspertu kompetences novērtēšanas un profesionālās darbības uzraudzības noteikumi</dc:title>
  <dc:subject>Anotācija</dc:subject>
  <dc:creator>Zane Zaļaiskalne;Patricija Ozoliņa</dc:creator>
  <dc:description>Zaļaisklane, 67013242_x000d_
Zane.Zalaiskalne@em.gov.lv _x000d_
Ozoliņa, 67013030_x000d_
Patricija.Ozolina@em.gov.lv</dc:description>
  <cp:lastModifiedBy>Laimdota Adlere</cp:lastModifiedBy>
  <cp:revision>2</cp:revision>
  <cp:lastPrinted>2018-10-16T07:36:00Z</cp:lastPrinted>
  <dcterms:created xsi:type="dcterms:W3CDTF">2018-10-16T08:59:00Z</dcterms:created>
  <dcterms:modified xsi:type="dcterms:W3CDTF">2018-10-16T08:59:00Z</dcterms:modified>
</cp:coreProperties>
</file>