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5C4" w:rsidRDefault="00E315C4" w:rsidP="00DB5A7F">
      <w:pPr>
        <w:ind w:firstLine="300"/>
        <w:jc w:val="center"/>
        <w:rPr>
          <w:bCs/>
        </w:rPr>
      </w:pPr>
    </w:p>
    <w:p w:rsidR="00DB5A7F" w:rsidRPr="009D36DE" w:rsidRDefault="00DB5A7F" w:rsidP="00DB5A7F">
      <w:pPr>
        <w:ind w:firstLine="300"/>
        <w:jc w:val="center"/>
        <w:rPr>
          <w:bCs/>
        </w:rPr>
      </w:pPr>
      <w:bookmarkStart w:id="0" w:name="_GoBack"/>
      <w:r w:rsidRPr="003D6BD2">
        <w:rPr>
          <w:bCs/>
        </w:rPr>
        <w:t>Ministru kabineta rīkojuma projekta</w:t>
      </w:r>
      <w:r w:rsidRPr="003D6BD2">
        <w:rPr>
          <w:b/>
          <w:bCs/>
        </w:rPr>
        <w:t xml:space="preserve"> “Par apropriācijas palielināšanu budžeta resora “74. Gadskārtējā valsts budžeta izpildes procesā pārdalāmais finansējums” budžeta programmai 80.00.00 “Nesadalītais finansējums Eiropas Savienības politiku instrumentu un pārējās ārvalstu finanšu palīdzības līdzfinansēto projektu un pasākumu īstenošanai”” </w:t>
      </w:r>
      <w:r w:rsidRPr="003D6BD2">
        <w:rPr>
          <w:bCs/>
        </w:rPr>
        <w:t>sākotnējās ietekmes novērtējuma ziņojums (anotācija)</w:t>
      </w:r>
    </w:p>
    <w:p w:rsidR="00E50E39" w:rsidRDefault="00E50E39" w:rsidP="00DB5A7F">
      <w:pPr>
        <w:ind w:firstLine="300"/>
        <w:jc w:val="center"/>
        <w:rPr>
          <w:b/>
          <w:bCs/>
        </w:rPr>
      </w:pPr>
    </w:p>
    <w:bookmarkEnd w:id="0"/>
    <w:p w:rsidR="00E315C4" w:rsidRDefault="00E315C4" w:rsidP="00DB5A7F">
      <w:pPr>
        <w:ind w:firstLine="300"/>
        <w:jc w:val="center"/>
        <w:rPr>
          <w:b/>
          <w:bCs/>
        </w:rPr>
      </w:pPr>
    </w:p>
    <w:p w:rsidR="009D36DE" w:rsidRDefault="009D36DE" w:rsidP="000044FA">
      <w:pPr>
        <w:jc w:val="center"/>
        <w:rPr>
          <w:b/>
        </w:rPr>
      </w:pPr>
    </w:p>
    <w:tbl>
      <w:tblPr>
        <w:tblW w:w="5165" w:type="pct"/>
        <w:tblInd w:w="-150" w:type="dxa"/>
        <w:tblCellMar>
          <w:left w:w="10" w:type="dxa"/>
          <w:right w:w="10" w:type="dxa"/>
        </w:tblCellMar>
        <w:tblLook w:val="0000" w:firstRow="0" w:lastRow="0" w:firstColumn="0" w:lastColumn="0" w:noHBand="0" w:noVBand="0"/>
      </w:tblPr>
      <w:tblGrid>
        <w:gridCol w:w="2565"/>
        <w:gridCol w:w="6790"/>
      </w:tblGrid>
      <w:tr w:rsidR="009D36DE" w:rsidTr="000044FA">
        <w:trPr>
          <w:trHeight w:val="299"/>
        </w:trPr>
        <w:tc>
          <w:tcPr>
            <w:tcW w:w="9355"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9D36DE" w:rsidRPr="003D6BD2" w:rsidRDefault="009D36DE" w:rsidP="000044FA">
            <w:pPr>
              <w:spacing w:before="100" w:after="100"/>
              <w:jc w:val="center"/>
              <w:rPr>
                <w:b/>
                <w:bCs/>
              </w:rPr>
            </w:pPr>
            <w:r w:rsidRPr="003D6BD2">
              <w:rPr>
                <w:b/>
                <w:bCs/>
              </w:rPr>
              <w:t>Tiesību aktu projektu anotācijas kopsavilkums</w:t>
            </w:r>
          </w:p>
        </w:tc>
      </w:tr>
      <w:tr w:rsidR="009D36DE" w:rsidRPr="009D36DE" w:rsidTr="000044FA">
        <w:trPr>
          <w:trHeight w:val="1243"/>
        </w:trPr>
        <w:tc>
          <w:tcPr>
            <w:tcW w:w="256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9D36DE" w:rsidRPr="003D6BD2" w:rsidRDefault="009D36DE" w:rsidP="000044FA">
            <w:pPr>
              <w:spacing w:before="100" w:after="100"/>
              <w:ind w:right="125"/>
              <w:jc w:val="both"/>
            </w:pPr>
            <w:r w:rsidRPr="003D6BD2">
              <w:t>Mērķis, risinājums un projekta spēkā stāšanās laiks (500 zīmes bez atstarpēm)</w:t>
            </w:r>
          </w:p>
        </w:tc>
        <w:tc>
          <w:tcPr>
            <w:tcW w:w="679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9D36DE" w:rsidRPr="003F1B84" w:rsidRDefault="00853AC5" w:rsidP="006B3BBA">
            <w:pPr>
              <w:pStyle w:val="NoSpacing"/>
              <w:spacing w:before="120" w:after="120"/>
              <w:ind w:left="91" w:right="108" w:firstLine="284"/>
              <w:jc w:val="both"/>
              <w:rPr>
                <w:rFonts w:ascii="Times New Roman" w:eastAsia="Times New Roman" w:hAnsi="Times New Roman"/>
                <w:iCs/>
                <w:sz w:val="25"/>
                <w:szCs w:val="25"/>
                <w:lang w:eastAsia="lv-LV"/>
              </w:rPr>
            </w:pPr>
            <w:r w:rsidRPr="003F1B84">
              <w:rPr>
                <w:rFonts w:ascii="Times New Roman" w:eastAsia="Times New Roman" w:hAnsi="Times New Roman"/>
                <w:iCs/>
                <w:sz w:val="25"/>
                <w:szCs w:val="25"/>
                <w:lang w:eastAsia="lv-LV"/>
              </w:rPr>
              <w:t>Ministru kabineta rīkojuma projekta “</w:t>
            </w:r>
            <w:r w:rsidRPr="003F1B84">
              <w:rPr>
                <w:rFonts w:ascii="Times New Roman" w:hAnsi="Times New Roman"/>
                <w:bCs/>
                <w:sz w:val="25"/>
                <w:szCs w:val="25"/>
              </w:rPr>
              <w:t>Par apropriācijas palielināšanu budžeta resora “74. Gadskārtējā valsts budžeta izpildes procesā pārdalāmais finansējums” budžeta programmai 80.00.00 “Nesadalītais finansējums Eiropas Savienības politiku instrumentu un pārējās ārvalstu finanšu palīdzības līdzfinansēto projektu un pasākumu īstenošanai”</w:t>
            </w:r>
            <w:r w:rsidRPr="003F1B84">
              <w:rPr>
                <w:rFonts w:ascii="Times New Roman" w:eastAsia="Times New Roman" w:hAnsi="Times New Roman"/>
                <w:iCs/>
                <w:sz w:val="25"/>
                <w:szCs w:val="25"/>
                <w:lang w:eastAsia="lv-LV"/>
              </w:rPr>
              <w:t>” (turpmāk – Ministru kabineta rīkojuma projekts) mērķis ir n</w:t>
            </w:r>
            <w:r w:rsidR="009228D2" w:rsidRPr="003F1B84">
              <w:rPr>
                <w:rFonts w:ascii="Times New Roman" w:eastAsia="Times New Roman" w:hAnsi="Times New Roman"/>
                <w:iCs/>
                <w:sz w:val="25"/>
                <w:szCs w:val="25"/>
                <w:lang w:eastAsia="lv-LV"/>
              </w:rPr>
              <w:t>odrošināt ministriju un citu centrālo valsts iestāžu plānoto Eiropas Savienības politiku instrumentu un citu ārvalstu finanšu palīdzības projektu un pasākumu savlaicīg</w:t>
            </w:r>
            <w:r w:rsidR="00407869" w:rsidRPr="003F1B84">
              <w:rPr>
                <w:rFonts w:ascii="Times New Roman" w:eastAsia="Times New Roman" w:hAnsi="Times New Roman"/>
                <w:iCs/>
                <w:sz w:val="25"/>
                <w:szCs w:val="25"/>
                <w:lang w:eastAsia="lv-LV"/>
              </w:rPr>
              <w:t>u</w:t>
            </w:r>
            <w:r w:rsidR="009228D2" w:rsidRPr="003F1B84">
              <w:rPr>
                <w:rFonts w:ascii="Times New Roman" w:eastAsia="Times New Roman" w:hAnsi="Times New Roman"/>
                <w:iCs/>
                <w:sz w:val="25"/>
                <w:szCs w:val="25"/>
                <w:lang w:eastAsia="lv-LV"/>
              </w:rPr>
              <w:t xml:space="preserve"> īstenošanu.</w:t>
            </w:r>
          </w:p>
          <w:p w:rsidR="00853AC5" w:rsidRPr="009228D2" w:rsidRDefault="00853AC5" w:rsidP="006B3BBA">
            <w:pPr>
              <w:pStyle w:val="NoSpacing"/>
              <w:spacing w:before="120" w:after="120"/>
              <w:ind w:left="91" w:right="108" w:firstLine="284"/>
              <w:jc w:val="both"/>
              <w:rPr>
                <w:rFonts w:ascii="Times New Roman" w:hAnsi="Times New Roman"/>
                <w:sz w:val="24"/>
                <w:szCs w:val="24"/>
              </w:rPr>
            </w:pPr>
            <w:r w:rsidRPr="003F1B84">
              <w:rPr>
                <w:rFonts w:ascii="Times New Roman" w:hAnsi="Times New Roman"/>
                <w:sz w:val="25"/>
                <w:szCs w:val="25"/>
              </w:rPr>
              <w:t xml:space="preserve">Ministru kabineta rīkojuma projekts stājas spēkā tā </w:t>
            </w:r>
            <w:r w:rsidR="000A6B9A" w:rsidRPr="003F1B84">
              <w:rPr>
                <w:rFonts w:ascii="Times New Roman" w:hAnsi="Times New Roman"/>
                <w:sz w:val="25"/>
                <w:szCs w:val="25"/>
              </w:rPr>
              <w:t>parakstīšanas brīdī</w:t>
            </w:r>
            <w:r w:rsidR="004B0522" w:rsidRPr="003F1B84">
              <w:rPr>
                <w:rFonts w:ascii="Times New Roman" w:hAnsi="Times New Roman"/>
                <w:sz w:val="25"/>
                <w:szCs w:val="25"/>
              </w:rPr>
              <w:t xml:space="preserve"> atbilstoši Oficiālo publikāciju un tiesiskās informācijas likuma 7.panta trešajā daļā noteiktajam</w:t>
            </w:r>
            <w:r w:rsidRPr="003F1B84">
              <w:rPr>
                <w:rFonts w:ascii="Times New Roman" w:hAnsi="Times New Roman"/>
                <w:sz w:val="25"/>
                <w:szCs w:val="25"/>
              </w:rPr>
              <w:t>.</w:t>
            </w:r>
          </w:p>
        </w:tc>
      </w:tr>
    </w:tbl>
    <w:p w:rsidR="009D36DE" w:rsidRPr="009D36DE" w:rsidRDefault="009D36DE" w:rsidP="000044FA">
      <w:pPr>
        <w:jc w:val="center"/>
        <w:rPr>
          <w:b/>
          <w:highlight w:val="green"/>
        </w:rPr>
      </w:pPr>
    </w:p>
    <w:tbl>
      <w:tblPr>
        <w:tblW w:w="5165" w:type="pct"/>
        <w:tblInd w:w="-150" w:type="dxa"/>
        <w:tblCellMar>
          <w:left w:w="10" w:type="dxa"/>
          <w:right w:w="10" w:type="dxa"/>
        </w:tblCellMar>
        <w:tblLook w:val="0000" w:firstRow="0" w:lastRow="0" w:firstColumn="0" w:lastColumn="0" w:noHBand="0" w:noVBand="0"/>
      </w:tblPr>
      <w:tblGrid>
        <w:gridCol w:w="426"/>
        <w:gridCol w:w="2121"/>
        <w:gridCol w:w="6808"/>
      </w:tblGrid>
      <w:tr w:rsidR="009D36DE" w:rsidRPr="009D36DE" w:rsidTr="001611E9">
        <w:trPr>
          <w:trHeight w:val="340"/>
        </w:trPr>
        <w:tc>
          <w:tcPr>
            <w:tcW w:w="9355"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rsidR="009D36DE" w:rsidRPr="003B60B8" w:rsidRDefault="009D36DE" w:rsidP="000044FA">
            <w:pPr>
              <w:spacing w:before="100" w:after="100"/>
              <w:jc w:val="center"/>
              <w:rPr>
                <w:b/>
                <w:bCs/>
              </w:rPr>
            </w:pPr>
            <w:r w:rsidRPr="003B60B8">
              <w:rPr>
                <w:b/>
                <w:bCs/>
              </w:rPr>
              <w:t>I. Tiesību aktu projektu izstrādes nepieciešamība</w:t>
            </w:r>
          </w:p>
        </w:tc>
      </w:tr>
      <w:tr w:rsidR="009D36DE" w:rsidRPr="009D36DE" w:rsidTr="001611E9">
        <w:trPr>
          <w:trHeight w:val="896"/>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9D36DE" w:rsidRPr="003B60B8" w:rsidRDefault="009D36DE" w:rsidP="000044FA">
            <w:pPr>
              <w:spacing w:before="100" w:after="100"/>
            </w:pPr>
            <w:r w:rsidRPr="003B60B8">
              <w:t>1.</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9D36DE" w:rsidRPr="003B60B8" w:rsidRDefault="009D36DE" w:rsidP="000044FA">
            <w:pPr>
              <w:spacing w:before="100" w:after="100"/>
            </w:pPr>
            <w:r w:rsidRPr="003B60B8">
              <w:t>Pamatojums</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044FA" w:rsidRPr="003F1B84" w:rsidRDefault="008E3C19" w:rsidP="004B0522">
            <w:pPr>
              <w:spacing w:before="240" w:after="240"/>
              <w:ind w:left="123" w:right="111"/>
              <w:jc w:val="both"/>
              <w:rPr>
                <w:sz w:val="25"/>
                <w:szCs w:val="25"/>
              </w:rPr>
            </w:pPr>
            <w:r w:rsidRPr="003F1B84">
              <w:rPr>
                <w:sz w:val="25"/>
                <w:szCs w:val="25"/>
              </w:rPr>
              <w:t xml:space="preserve">     </w:t>
            </w:r>
            <w:r w:rsidR="009D36DE" w:rsidRPr="003F1B84">
              <w:rPr>
                <w:sz w:val="25"/>
                <w:szCs w:val="25"/>
              </w:rPr>
              <w:t xml:space="preserve">Gadskārtējā valsts budžeta likumā budžeta resora “74. Gadskārtējā valsts budžeta izpildes procesā pārdalāmais finansējums” 80.00.00 programmā </w:t>
            </w:r>
            <w:r w:rsidR="009D36DE" w:rsidRPr="003F1B84">
              <w:rPr>
                <w:bCs/>
                <w:sz w:val="25"/>
                <w:szCs w:val="25"/>
              </w:rPr>
              <w:t>“</w:t>
            </w:r>
            <w:r w:rsidR="009D36DE" w:rsidRPr="003F1B84">
              <w:rPr>
                <w:sz w:val="25"/>
                <w:szCs w:val="25"/>
              </w:rPr>
              <w:t>Nesadalītais finansējums Eiropas Savienības politiku instrumentu un pārējās ārvalstu finanšu palīdzības līdzfinansēto projektu un pasākumu īstenošanai</w:t>
            </w:r>
            <w:r w:rsidR="009D36DE" w:rsidRPr="003F1B84">
              <w:rPr>
                <w:bCs/>
                <w:sz w:val="25"/>
                <w:szCs w:val="25"/>
              </w:rPr>
              <w:t xml:space="preserve">” (turpmāk – 80.00.00 programma) tiek plānots finansējums </w:t>
            </w:r>
            <w:r w:rsidR="009D36DE" w:rsidRPr="003F1B84">
              <w:rPr>
                <w:sz w:val="25"/>
                <w:szCs w:val="25"/>
              </w:rPr>
              <w:t xml:space="preserve">ministrijām un citām centrālajām valsts iestādēm (turpmāk – ministrija) Eiropas Savienības politiku instrumentu un citu ārvalstu finanšu palīdzības projektu un pasākumu finansēšanai, kā arī  </w:t>
            </w:r>
            <w:r w:rsidR="00664DE2" w:rsidRPr="003F1B84">
              <w:rPr>
                <w:sz w:val="25"/>
                <w:szCs w:val="25"/>
              </w:rPr>
              <w:t>Emisijas kvotu izsolīšanas instrumenta</w:t>
            </w:r>
            <w:r w:rsidR="009D36DE" w:rsidRPr="003F1B84">
              <w:rPr>
                <w:sz w:val="25"/>
                <w:szCs w:val="25"/>
              </w:rPr>
              <w:t xml:space="preserve"> </w:t>
            </w:r>
            <w:r w:rsidR="00664DE2" w:rsidRPr="003F1B84">
              <w:rPr>
                <w:sz w:val="25"/>
                <w:szCs w:val="25"/>
              </w:rPr>
              <w:t>projektu</w:t>
            </w:r>
            <w:r w:rsidR="009D36DE" w:rsidRPr="003F1B84">
              <w:rPr>
                <w:sz w:val="25"/>
                <w:szCs w:val="25"/>
              </w:rPr>
              <w:t xml:space="preserve"> finansēšanai.</w:t>
            </w:r>
          </w:p>
          <w:p w:rsidR="000044FA" w:rsidRPr="003F1B84" w:rsidRDefault="008E3C19" w:rsidP="004B0522">
            <w:pPr>
              <w:spacing w:before="240" w:after="240"/>
              <w:ind w:left="123" w:right="111"/>
              <w:jc w:val="both"/>
              <w:rPr>
                <w:sz w:val="25"/>
                <w:szCs w:val="25"/>
              </w:rPr>
            </w:pPr>
            <w:r w:rsidRPr="003F1B84">
              <w:rPr>
                <w:sz w:val="25"/>
                <w:szCs w:val="25"/>
              </w:rPr>
              <w:t xml:space="preserve">     </w:t>
            </w:r>
            <w:r w:rsidR="009D36DE" w:rsidRPr="003F1B84">
              <w:rPr>
                <w:sz w:val="25"/>
                <w:szCs w:val="25"/>
              </w:rPr>
              <w:t xml:space="preserve">Likuma par budžetu un finanšu vadību 9.panta trīspadsmitās daļas 2.punkts nosaka tiesības finanšu ministram Ministru kabineta noteiktajā kārtībā, informējot par to Saeimu, veikt apropriācijas pārdales no atsevišķā budžeta programmā plānotās apropriācijas nesadalītajam finansējumam Eiropas Savienības politiku instrumentiem un pārējās ārvalstu finanšu palīdzības projektu un pasākumu īstenošanai, kas netiek plānota ministrijas vai citas centrālās valsts iestādes budžetā, uz ministrijām un citām centrālajām valsts iestādēm, kā arī apropriācijas no ministrijām un citām centrālajām valsts iestādēm Eiropas Savienības politiku instrumentu un citu ārvalstu finanšu palīdzības projektu un </w:t>
            </w:r>
            <w:r w:rsidR="009D36DE" w:rsidRPr="003F1B84">
              <w:rPr>
                <w:sz w:val="25"/>
                <w:szCs w:val="25"/>
              </w:rPr>
              <w:lastRenderedPageBreak/>
              <w:t>pasākumu īstenošanai uz atsevišķo budžeta programmu, kurā plānotas apropriācijas nesadalītajam finansējumam Eiropas Savienības politiku instrumentiem un pārējās ārvalstu finanšu palīdzības pro</w:t>
            </w:r>
            <w:r w:rsidR="000044FA" w:rsidRPr="003F1B84">
              <w:rPr>
                <w:sz w:val="25"/>
                <w:szCs w:val="25"/>
              </w:rPr>
              <w:t xml:space="preserve">jektu un pasākumu īstenošanai. </w:t>
            </w:r>
          </w:p>
          <w:p w:rsidR="009D36DE" w:rsidRPr="003F1B84" w:rsidRDefault="008E3C19" w:rsidP="004B0522">
            <w:pPr>
              <w:spacing w:before="240" w:after="240"/>
              <w:ind w:left="123" w:right="111"/>
              <w:jc w:val="both"/>
              <w:rPr>
                <w:sz w:val="25"/>
                <w:szCs w:val="25"/>
              </w:rPr>
            </w:pPr>
            <w:r w:rsidRPr="003F1B84">
              <w:rPr>
                <w:sz w:val="25"/>
                <w:szCs w:val="25"/>
              </w:rPr>
              <w:t xml:space="preserve">     </w:t>
            </w:r>
            <w:r w:rsidR="009D36DE" w:rsidRPr="003F1B84">
              <w:rPr>
                <w:sz w:val="25"/>
                <w:szCs w:val="25"/>
              </w:rPr>
              <w:t>Savukārt Likuma par budžetu un finanšu vadību 9.panta četrpadsmitās daļas 5.punkts, paredz finanšu ministram tiesības palielināt gadskārtējā valsts budžeta likumā noteikto apropriāciju Eiropas Savienības politiku instrumentu un citas ārvalstu finanšu palīdzības projektu un pasākumu īstenošanai, ja Saeimas Budžeta un finanšu (nodokļu) komisija piecu darba dienu laikā no attiecīgās informācijas saņemšanas ir izskatījusi to un nav iebildusi pret apropriācijas palielinājumu.</w:t>
            </w:r>
          </w:p>
        </w:tc>
      </w:tr>
      <w:tr w:rsidR="00D6079A" w:rsidRPr="009D36DE" w:rsidTr="003F1B84">
        <w:trPr>
          <w:trHeight w:val="682"/>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6079A" w:rsidRPr="00AA5033" w:rsidRDefault="00D6079A" w:rsidP="000044FA">
            <w:pPr>
              <w:spacing w:before="100" w:after="100"/>
            </w:pPr>
            <w:r w:rsidRPr="00AA5033">
              <w:lastRenderedPageBreak/>
              <w:t>2.</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6079A" w:rsidRPr="00AA5033" w:rsidRDefault="00D6079A" w:rsidP="000044FA">
            <w:pPr>
              <w:spacing w:before="100" w:after="100"/>
            </w:pPr>
            <w:r w:rsidRPr="00AA5033">
              <w:t>Pašreizējā situācija un problēmas, kuru risināšanai tiesību akta projekts izstrādāts, tiesiskā regulējuma mērķis un būtība</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6079A" w:rsidRPr="003F1B84" w:rsidRDefault="00D6079A" w:rsidP="004B0522">
            <w:pPr>
              <w:spacing w:before="240" w:after="240"/>
              <w:ind w:left="123" w:right="111" w:firstLine="283"/>
              <w:jc w:val="both"/>
              <w:rPr>
                <w:sz w:val="25"/>
                <w:szCs w:val="25"/>
              </w:rPr>
            </w:pPr>
            <w:r w:rsidRPr="003F1B84">
              <w:rPr>
                <w:sz w:val="25"/>
                <w:szCs w:val="25"/>
              </w:rPr>
              <w:t>Likumā “Par valsts budžetu 201</w:t>
            </w:r>
            <w:r w:rsidR="00304F3B" w:rsidRPr="003F1B84">
              <w:rPr>
                <w:sz w:val="25"/>
                <w:szCs w:val="25"/>
              </w:rPr>
              <w:t>8</w:t>
            </w:r>
            <w:r w:rsidRPr="003F1B84">
              <w:rPr>
                <w:sz w:val="25"/>
                <w:szCs w:val="25"/>
              </w:rPr>
              <w:t xml:space="preserve">.gadam” 80.00.00 programmas finansējums ir plānots </w:t>
            </w:r>
            <w:r w:rsidRPr="003F1B84">
              <w:rPr>
                <w:b/>
                <w:sz w:val="25"/>
                <w:szCs w:val="25"/>
              </w:rPr>
              <w:t>1</w:t>
            </w:r>
            <w:r w:rsidR="00304F3B" w:rsidRPr="003F1B84">
              <w:rPr>
                <w:b/>
                <w:sz w:val="25"/>
                <w:szCs w:val="25"/>
              </w:rPr>
              <w:t>25</w:t>
            </w:r>
            <w:r w:rsidRPr="003F1B84">
              <w:rPr>
                <w:b/>
                <w:sz w:val="25"/>
                <w:szCs w:val="25"/>
              </w:rPr>
              <w:t> </w:t>
            </w:r>
            <w:r w:rsidR="00304F3B" w:rsidRPr="003F1B84">
              <w:rPr>
                <w:b/>
                <w:sz w:val="25"/>
                <w:szCs w:val="25"/>
              </w:rPr>
              <w:t>595</w:t>
            </w:r>
            <w:r w:rsidRPr="003F1B84">
              <w:rPr>
                <w:b/>
                <w:sz w:val="25"/>
                <w:szCs w:val="25"/>
              </w:rPr>
              <w:t> </w:t>
            </w:r>
            <w:r w:rsidR="00304F3B" w:rsidRPr="003F1B84">
              <w:rPr>
                <w:b/>
                <w:sz w:val="25"/>
                <w:szCs w:val="25"/>
              </w:rPr>
              <w:t>978</w:t>
            </w:r>
            <w:r w:rsidRPr="003F1B84">
              <w:rPr>
                <w:b/>
                <w:sz w:val="25"/>
                <w:szCs w:val="25"/>
              </w:rPr>
              <w:t xml:space="preserve"> </w:t>
            </w:r>
            <w:proofErr w:type="spellStart"/>
            <w:r w:rsidRPr="003F1B84">
              <w:rPr>
                <w:b/>
                <w:i/>
                <w:sz w:val="25"/>
                <w:szCs w:val="25"/>
              </w:rPr>
              <w:t>euro</w:t>
            </w:r>
            <w:proofErr w:type="spellEnd"/>
            <w:r w:rsidRPr="003F1B84">
              <w:rPr>
                <w:b/>
                <w:i/>
                <w:sz w:val="25"/>
                <w:szCs w:val="25"/>
              </w:rPr>
              <w:t xml:space="preserve"> </w:t>
            </w:r>
            <w:r w:rsidRPr="003F1B84">
              <w:rPr>
                <w:b/>
                <w:sz w:val="25"/>
                <w:szCs w:val="25"/>
              </w:rPr>
              <w:t>apmērā</w:t>
            </w:r>
            <w:r w:rsidRPr="003F1B84">
              <w:rPr>
                <w:sz w:val="25"/>
                <w:szCs w:val="25"/>
              </w:rPr>
              <w:t>. Līdz 201</w:t>
            </w:r>
            <w:r w:rsidR="00304F3B" w:rsidRPr="003F1B84">
              <w:rPr>
                <w:sz w:val="25"/>
                <w:szCs w:val="25"/>
              </w:rPr>
              <w:t>8</w:t>
            </w:r>
            <w:r w:rsidRPr="003F1B84">
              <w:rPr>
                <w:sz w:val="25"/>
                <w:szCs w:val="25"/>
              </w:rPr>
              <w:t xml:space="preserve">.gada </w:t>
            </w:r>
            <w:r w:rsidR="005D2988" w:rsidRPr="003F1B84">
              <w:rPr>
                <w:sz w:val="25"/>
                <w:szCs w:val="25"/>
              </w:rPr>
              <w:t>10</w:t>
            </w:r>
            <w:r w:rsidR="00304F3B" w:rsidRPr="003F1B84">
              <w:rPr>
                <w:sz w:val="25"/>
                <w:szCs w:val="25"/>
              </w:rPr>
              <w:t>.oktobrim</w:t>
            </w:r>
            <w:r w:rsidRPr="003F1B84">
              <w:rPr>
                <w:sz w:val="25"/>
                <w:szCs w:val="25"/>
              </w:rPr>
              <w:t xml:space="preserve"> ministrijām atbilstoši pieņemtajiem finanšu ministra rīkojumiem veikta apropriācijas pārdale   </w:t>
            </w:r>
            <w:r w:rsidRPr="003F1B84">
              <w:rPr>
                <w:b/>
                <w:sz w:val="25"/>
                <w:szCs w:val="25"/>
              </w:rPr>
              <w:t xml:space="preserve"> 1</w:t>
            </w:r>
            <w:r w:rsidR="00304F3B" w:rsidRPr="003F1B84">
              <w:rPr>
                <w:b/>
                <w:sz w:val="25"/>
                <w:szCs w:val="25"/>
              </w:rPr>
              <w:t>22</w:t>
            </w:r>
            <w:r w:rsidRPr="003F1B84">
              <w:rPr>
                <w:b/>
                <w:sz w:val="25"/>
                <w:szCs w:val="25"/>
              </w:rPr>
              <w:t> </w:t>
            </w:r>
            <w:r w:rsidR="00304F3B" w:rsidRPr="003F1B84">
              <w:rPr>
                <w:b/>
                <w:sz w:val="25"/>
                <w:szCs w:val="25"/>
              </w:rPr>
              <w:t>668</w:t>
            </w:r>
            <w:r w:rsidRPr="003F1B84">
              <w:rPr>
                <w:b/>
                <w:sz w:val="25"/>
                <w:szCs w:val="25"/>
              </w:rPr>
              <w:t> </w:t>
            </w:r>
            <w:r w:rsidR="00304F3B" w:rsidRPr="003F1B84">
              <w:rPr>
                <w:b/>
                <w:sz w:val="25"/>
                <w:szCs w:val="25"/>
              </w:rPr>
              <w:t>708</w:t>
            </w:r>
            <w:r w:rsidRPr="003F1B84">
              <w:rPr>
                <w:b/>
                <w:sz w:val="25"/>
                <w:szCs w:val="25"/>
              </w:rPr>
              <w:t xml:space="preserve"> </w:t>
            </w:r>
            <w:proofErr w:type="spellStart"/>
            <w:r w:rsidRPr="003F1B84">
              <w:rPr>
                <w:b/>
                <w:i/>
                <w:sz w:val="25"/>
                <w:szCs w:val="25"/>
              </w:rPr>
              <w:t>euro</w:t>
            </w:r>
            <w:proofErr w:type="spellEnd"/>
            <w:r w:rsidRPr="003F1B84">
              <w:rPr>
                <w:b/>
                <w:i/>
                <w:sz w:val="25"/>
                <w:szCs w:val="25"/>
              </w:rPr>
              <w:t xml:space="preserve"> </w:t>
            </w:r>
            <w:r w:rsidRPr="003F1B84">
              <w:rPr>
                <w:sz w:val="25"/>
                <w:szCs w:val="25"/>
              </w:rPr>
              <w:t>apmērā. 80.00.00 programmas nepārdalītais atlikums uz 201</w:t>
            </w:r>
            <w:r w:rsidR="00304F3B" w:rsidRPr="003F1B84">
              <w:rPr>
                <w:sz w:val="25"/>
                <w:szCs w:val="25"/>
              </w:rPr>
              <w:t>8</w:t>
            </w:r>
            <w:r w:rsidRPr="003F1B84">
              <w:rPr>
                <w:sz w:val="25"/>
                <w:szCs w:val="25"/>
              </w:rPr>
              <w:t xml:space="preserve">.gada </w:t>
            </w:r>
            <w:r w:rsidR="00493060" w:rsidRPr="003F1B84">
              <w:rPr>
                <w:sz w:val="25"/>
                <w:szCs w:val="25"/>
              </w:rPr>
              <w:t>10</w:t>
            </w:r>
            <w:r w:rsidR="00304F3B" w:rsidRPr="003F1B84">
              <w:rPr>
                <w:sz w:val="25"/>
                <w:szCs w:val="25"/>
              </w:rPr>
              <w:t>.oktobri</w:t>
            </w:r>
            <w:r w:rsidRPr="003F1B84">
              <w:rPr>
                <w:sz w:val="25"/>
                <w:szCs w:val="25"/>
              </w:rPr>
              <w:t xml:space="preserve"> ir </w:t>
            </w:r>
            <w:r w:rsidR="00304F3B" w:rsidRPr="003F1B84">
              <w:rPr>
                <w:b/>
                <w:sz w:val="25"/>
                <w:szCs w:val="25"/>
              </w:rPr>
              <w:t>2 927 270</w:t>
            </w:r>
            <w:r w:rsidRPr="003F1B84">
              <w:rPr>
                <w:b/>
                <w:sz w:val="25"/>
                <w:szCs w:val="25"/>
              </w:rPr>
              <w:t xml:space="preserve"> </w:t>
            </w:r>
            <w:proofErr w:type="spellStart"/>
            <w:r w:rsidRPr="003F1B84">
              <w:rPr>
                <w:b/>
                <w:i/>
                <w:sz w:val="25"/>
                <w:szCs w:val="25"/>
              </w:rPr>
              <w:t>euro</w:t>
            </w:r>
            <w:proofErr w:type="spellEnd"/>
            <w:r w:rsidRPr="003F1B84">
              <w:rPr>
                <w:b/>
                <w:i/>
                <w:sz w:val="25"/>
                <w:szCs w:val="25"/>
              </w:rPr>
              <w:t>.</w:t>
            </w:r>
            <w:r w:rsidRPr="003F1B84">
              <w:rPr>
                <w:sz w:val="25"/>
                <w:szCs w:val="25"/>
              </w:rPr>
              <w:t xml:space="preserve"> </w:t>
            </w:r>
          </w:p>
          <w:p w:rsidR="00D6079A" w:rsidRPr="003F1B84" w:rsidRDefault="00D6079A" w:rsidP="004B0522">
            <w:pPr>
              <w:spacing w:before="240" w:after="240"/>
              <w:ind w:left="123" w:right="113" w:firstLine="284"/>
              <w:jc w:val="both"/>
              <w:rPr>
                <w:b/>
                <w:sz w:val="25"/>
                <w:szCs w:val="25"/>
              </w:rPr>
            </w:pPr>
            <w:r w:rsidRPr="003F1B84">
              <w:rPr>
                <w:b/>
                <w:sz w:val="25"/>
                <w:szCs w:val="25"/>
              </w:rPr>
              <w:t xml:space="preserve">Lai neradītu investīciju pārrāvumus </w:t>
            </w:r>
            <w:r w:rsidR="00AA5033" w:rsidRPr="003F1B84">
              <w:rPr>
                <w:b/>
                <w:sz w:val="25"/>
                <w:szCs w:val="25"/>
              </w:rPr>
              <w:t>un</w:t>
            </w:r>
            <w:r w:rsidRPr="003F1B84">
              <w:rPr>
                <w:b/>
                <w:sz w:val="25"/>
                <w:szCs w:val="25"/>
              </w:rPr>
              <w:t xml:space="preserve"> apdraudējumu ES finansējuma sekmīgai izmantošanai un mērķu sasniegšanai</w:t>
            </w:r>
            <w:r w:rsidR="00AA5033" w:rsidRPr="003F1B84">
              <w:rPr>
                <w:b/>
                <w:sz w:val="25"/>
                <w:szCs w:val="25"/>
              </w:rPr>
              <w:t>,</w:t>
            </w:r>
            <w:r w:rsidRPr="003F1B84">
              <w:rPr>
                <w:b/>
                <w:sz w:val="25"/>
                <w:szCs w:val="25"/>
              </w:rPr>
              <w:t xml:space="preserve"> un nodrošinātu Finanšu ministrijā saņemto valsts budžeta līdzekļu pieprasījumu Eiropas Savienības politiku instrumentu un citu ārvalstu finanšu palīdzības projektu un pasākumu finansēto projektu un pasākumu finansēšanu, </w:t>
            </w:r>
            <w:r w:rsidR="009A48FE" w:rsidRPr="003F1B84">
              <w:rPr>
                <w:b/>
                <w:sz w:val="25"/>
                <w:szCs w:val="25"/>
              </w:rPr>
              <w:t xml:space="preserve">kā arī Emisijas kvotu izsolīšanas instrumenta projektu finansēšanu, </w:t>
            </w:r>
            <w:r w:rsidRPr="003F1B84">
              <w:rPr>
                <w:b/>
                <w:sz w:val="25"/>
                <w:szCs w:val="25"/>
              </w:rPr>
              <w:t xml:space="preserve">tika apkopota </w:t>
            </w:r>
            <w:r w:rsidR="00AA5033" w:rsidRPr="003F1B84">
              <w:rPr>
                <w:b/>
                <w:sz w:val="25"/>
                <w:szCs w:val="25"/>
              </w:rPr>
              <w:t>ministriju</w:t>
            </w:r>
            <w:r w:rsidRPr="003F1B84">
              <w:rPr>
                <w:b/>
                <w:sz w:val="25"/>
                <w:szCs w:val="25"/>
              </w:rPr>
              <w:t xml:space="preserve"> sniegtā informācija par papildus nepieciešamo līdzekļu apjomu līdz 201</w:t>
            </w:r>
            <w:r w:rsidR="0053409A" w:rsidRPr="003F1B84">
              <w:rPr>
                <w:b/>
                <w:sz w:val="25"/>
                <w:szCs w:val="25"/>
              </w:rPr>
              <w:t>8</w:t>
            </w:r>
            <w:r w:rsidR="005C5BDA" w:rsidRPr="003F1B84">
              <w:rPr>
                <w:b/>
                <w:sz w:val="25"/>
                <w:szCs w:val="25"/>
              </w:rPr>
              <w:t>.gada beigām.</w:t>
            </w:r>
            <w:r w:rsidRPr="003F1B84">
              <w:rPr>
                <w:b/>
                <w:sz w:val="25"/>
                <w:szCs w:val="25"/>
              </w:rPr>
              <w:t xml:space="preserve"> </w:t>
            </w:r>
          </w:p>
          <w:p w:rsidR="00D6079A" w:rsidRPr="003F1B84" w:rsidRDefault="00545A7B" w:rsidP="006B3BBA">
            <w:pPr>
              <w:spacing w:before="240" w:after="240"/>
              <w:ind w:left="123" w:right="113" w:firstLine="284"/>
              <w:jc w:val="both"/>
              <w:rPr>
                <w:sz w:val="25"/>
                <w:szCs w:val="25"/>
              </w:rPr>
            </w:pPr>
            <w:r w:rsidRPr="003F1B84">
              <w:rPr>
                <w:b/>
                <w:sz w:val="25"/>
                <w:szCs w:val="25"/>
              </w:rPr>
              <w:t>1.</w:t>
            </w:r>
            <w:r w:rsidRPr="003F1B84">
              <w:rPr>
                <w:sz w:val="25"/>
                <w:szCs w:val="25"/>
              </w:rPr>
              <w:t xml:space="preserve"> </w:t>
            </w:r>
            <w:r w:rsidR="00D84D37" w:rsidRPr="003F1B84">
              <w:rPr>
                <w:sz w:val="25"/>
                <w:szCs w:val="25"/>
              </w:rPr>
              <w:t>Izvērtējot aktuālo</w:t>
            </w:r>
            <w:r w:rsidR="009A48FE" w:rsidRPr="003F1B84">
              <w:rPr>
                <w:sz w:val="25"/>
                <w:szCs w:val="25"/>
              </w:rPr>
              <w:t xml:space="preserve"> situāciju</w:t>
            </w:r>
            <w:r w:rsidRPr="003F1B84">
              <w:rPr>
                <w:sz w:val="25"/>
                <w:szCs w:val="25"/>
              </w:rPr>
              <w:t xml:space="preserve"> </w:t>
            </w:r>
            <w:r w:rsidR="00D84D37" w:rsidRPr="003F1B84">
              <w:rPr>
                <w:sz w:val="25"/>
                <w:szCs w:val="25"/>
              </w:rPr>
              <w:t>Eiropas Savienības politiku instrumentu un citu ārvalstu finanšu palīdzības projektu un pasākumu finansēto projektu un pasākumu</w:t>
            </w:r>
            <w:r w:rsidR="009A48FE" w:rsidRPr="003F1B84">
              <w:rPr>
                <w:sz w:val="25"/>
                <w:szCs w:val="25"/>
              </w:rPr>
              <w:t>,</w:t>
            </w:r>
            <w:r w:rsidR="00D84D37" w:rsidRPr="003F1B84">
              <w:rPr>
                <w:sz w:val="25"/>
                <w:szCs w:val="25"/>
              </w:rPr>
              <w:t xml:space="preserve"> </w:t>
            </w:r>
            <w:r w:rsidR="009A48FE" w:rsidRPr="003F1B84">
              <w:rPr>
                <w:sz w:val="25"/>
                <w:szCs w:val="25"/>
              </w:rPr>
              <w:t>kā arī Emisijas kvotu izsolīšanas instrumenta projektu īstenošanā,</w:t>
            </w:r>
            <w:r w:rsidR="00D84D37" w:rsidRPr="003F1B84">
              <w:rPr>
                <w:sz w:val="25"/>
                <w:szCs w:val="25"/>
              </w:rPr>
              <w:t xml:space="preserve"> </w:t>
            </w:r>
            <w:r w:rsidR="00D84D37" w:rsidRPr="003F1B84">
              <w:rPr>
                <w:b/>
                <w:sz w:val="25"/>
                <w:szCs w:val="25"/>
              </w:rPr>
              <w:t>līdz gada beigām nepieciešams papildu</w:t>
            </w:r>
            <w:r w:rsidR="00D6079A" w:rsidRPr="003F1B84">
              <w:rPr>
                <w:b/>
                <w:sz w:val="25"/>
                <w:szCs w:val="25"/>
              </w:rPr>
              <w:t xml:space="preserve"> finansējum</w:t>
            </w:r>
            <w:r w:rsidR="00D84D37" w:rsidRPr="003F1B84">
              <w:rPr>
                <w:b/>
                <w:sz w:val="25"/>
                <w:szCs w:val="25"/>
              </w:rPr>
              <w:t>s</w:t>
            </w:r>
            <w:r w:rsidR="00D84D37" w:rsidRPr="003F1B84">
              <w:rPr>
                <w:sz w:val="25"/>
                <w:szCs w:val="25"/>
              </w:rPr>
              <w:t xml:space="preserve"> </w:t>
            </w:r>
            <w:r w:rsidR="009226DC" w:rsidRPr="003F1B84">
              <w:rPr>
                <w:b/>
                <w:sz w:val="25"/>
                <w:szCs w:val="25"/>
              </w:rPr>
              <w:t>239 662 066</w:t>
            </w:r>
            <w:r w:rsidR="00D6079A" w:rsidRPr="003F1B84">
              <w:rPr>
                <w:b/>
                <w:sz w:val="25"/>
                <w:szCs w:val="25"/>
              </w:rPr>
              <w:t> </w:t>
            </w:r>
            <w:proofErr w:type="spellStart"/>
            <w:r w:rsidR="00D6079A" w:rsidRPr="003F1B84">
              <w:rPr>
                <w:b/>
                <w:i/>
                <w:sz w:val="25"/>
                <w:szCs w:val="25"/>
              </w:rPr>
              <w:t>euro</w:t>
            </w:r>
            <w:proofErr w:type="spellEnd"/>
            <w:r w:rsidR="00D6079A" w:rsidRPr="003F1B84">
              <w:rPr>
                <w:i/>
                <w:sz w:val="25"/>
                <w:szCs w:val="25"/>
              </w:rPr>
              <w:t xml:space="preserve"> </w:t>
            </w:r>
            <w:r w:rsidR="00D6079A" w:rsidRPr="003F1B84">
              <w:rPr>
                <w:sz w:val="25"/>
                <w:szCs w:val="25"/>
              </w:rPr>
              <w:t xml:space="preserve">apmērā, </w:t>
            </w:r>
            <w:r w:rsidR="00D84D37" w:rsidRPr="003F1B84">
              <w:rPr>
                <w:sz w:val="25"/>
                <w:szCs w:val="25"/>
              </w:rPr>
              <w:t>t</w:t>
            </w:r>
            <w:r w:rsidR="00D6079A" w:rsidRPr="003F1B84">
              <w:rPr>
                <w:sz w:val="25"/>
                <w:szCs w:val="25"/>
              </w:rPr>
              <w:t>ai skaitā:</w:t>
            </w:r>
          </w:p>
          <w:p w:rsidR="00C73478" w:rsidRPr="003F1B84" w:rsidRDefault="00C73478" w:rsidP="006B3BBA">
            <w:pPr>
              <w:pStyle w:val="ListParagraph"/>
              <w:numPr>
                <w:ilvl w:val="0"/>
                <w:numId w:val="5"/>
              </w:numPr>
              <w:ind w:left="123" w:right="113"/>
              <w:jc w:val="both"/>
              <w:rPr>
                <w:sz w:val="25"/>
                <w:szCs w:val="25"/>
              </w:rPr>
            </w:pPr>
            <w:r w:rsidRPr="003F1B84">
              <w:rPr>
                <w:b/>
                <w:sz w:val="25"/>
                <w:szCs w:val="25"/>
                <w:u w:val="single"/>
              </w:rPr>
              <w:t>Finanšu ministrijai</w:t>
            </w:r>
            <w:r w:rsidRPr="003F1B84">
              <w:rPr>
                <w:sz w:val="25"/>
                <w:szCs w:val="25"/>
              </w:rPr>
              <w:t xml:space="preserve"> </w:t>
            </w:r>
            <w:r w:rsidRPr="003F1B84">
              <w:rPr>
                <w:b/>
                <w:sz w:val="25"/>
                <w:szCs w:val="25"/>
              </w:rPr>
              <w:t xml:space="preserve">95 418 103 </w:t>
            </w:r>
            <w:proofErr w:type="spellStart"/>
            <w:r w:rsidRPr="003F1B84">
              <w:rPr>
                <w:b/>
                <w:i/>
                <w:sz w:val="25"/>
                <w:szCs w:val="25"/>
              </w:rPr>
              <w:t>euro</w:t>
            </w:r>
            <w:proofErr w:type="spellEnd"/>
            <w:r w:rsidRPr="003F1B84">
              <w:rPr>
                <w:sz w:val="25"/>
                <w:szCs w:val="25"/>
              </w:rPr>
              <w:t xml:space="preserve"> </w:t>
            </w:r>
            <w:r w:rsidRPr="003F1B84">
              <w:rPr>
                <w:iCs/>
                <w:sz w:val="25"/>
                <w:szCs w:val="25"/>
              </w:rPr>
              <w:t>apmērā,</w:t>
            </w:r>
            <w:r w:rsidRPr="003F1B84">
              <w:rPr>
                <w:sz w:val="25"/>
                <w:szCs w:val="25"/>
              </w:rPr>
              <w:t xml:space="preserve"> tajā skaitā:</w:t>
            </w:r>
          </w:p>
          <w:p w:rsidR="00C73478" w:rsidRPr="003F1B84" w:rsidRDefault="00C73478" w:rsidP="006B3BBA">
            <w:pPr>
              <w:ind w:left="123" w:right="113"/>
              <w:jc w:val="both"/>
              <w:rPr>
                <w:sz w:val="25"/>
                <w:szCs w:val="25"/>
              </w:rPr>
            </w:pPr>
            <w:r w:rsidRPr="003F1B84">
              <w:rPr>
                <w:b/>
                <w:sz w:val="25"/>
                <w:szCs w:val="25"/>
              </w:rPr>
              <w:t xml:space="preserve">     25 437 446 </w:t>
            </w:r>
            <w:proofErr w:type="spellStart"/>
            <w:r w:rsidRPr="003F1B84">
              <w:rPr>
                <w:b/>
                <w:i/>
                <w:sz w:val="25"/>
                <w:szCs w:val="25"/>
              </w:rPr>
              <w:t>euro</w:t>
            </w:r>
            <w:proofErr w:type="spellEnd"/>
            <w:r w:rsidRPr="003F1B84">
              <w:rPr>
                <w:sz w:val="25"/>
                <w:szCs w:val="25"/>
              </w:rPr>
              <w:t xml:space="preserve"> apmērā apakšprogrammā 61.07.00 “Kohēzijas fonda (KF) avansa maksājumi un atmaksas finansējuma saņēmējiem (2014 - 2020)”;</w:t>
            </w:r>
          </w:p>
          <w:p w:rsidR="00C73478" w:rsidRPr="003F1B84" w:rsidRDefault="00C73478" w:rsidP="006B3BBA">
            <w:pPr>
              <w:ind w:left="123" w:right="113"/>
              <w:jc w:val="both"/>
              <w:rPr>
                <w:sz w:val="25"/>
                <w:szCs w:val="25"/>
              </w:rPr>
            </w:pPr>
            <w:r w:rsidRPr="003F1B84">
              <w:rPr>
                <w:b/>
                <w:sz w:val="25"/>
                <w:szCs w:val="25"/>
              </w:rPr>
              <w:t xml:space="preserve">     514 000</w:t>
            </w:r>
            <w:r w:rsidRPr="003F1B84">
              <w:rPr>
                <w:sz w:val="25"/>
                <w:szCs w:val="25"/>
              </w:rPr>
              <w:t> </w:t>
            </w:r>
            <w:proofErr w:type="spellStart"/>
            <w:r w:rsidRPr="003F1B84">
              <w:rPr>
                <w:b/>
                <w:i/>
                <w:sz w:val="25"/>
                <w:szCs w:val="25"/>
              </w:rPr>
              <w:t>euro</w:t>
            </w:r>
            <w:proofErr w:type="spellEnd"/>
            <w:r w:rsidRPr="003F1B84">
              <w:rPr>
                <w:sz w:val="25"/>
                <w:szCs w:val="25"/>
              </w:rPr>
              <w:t xml:space="preserve"> apmērā apakšprogrammā </w:t>
            </w:r>
            <w:r w:rsidR="004A456A" w:rsidRPr="003F1B84">
              <w:rPr>
                <w:sz w:val="25"/>
                <w:szCs w:val="25"/>
              </w:rPr>
              <w:t>61.20.00 “</w:t>
            </w:r>
            <w:r w:rsidRPr="003F1B84">
              <w:rPr>
                <w:sz w:val="25"/>
                <w:szCs w:val="25"/>
              </w:rPr>
              <w:t>Tehniskā palīdzība Kohēzijas fonda (KF) apgūšanai (2014- 2020)”;</w:t>
            </w:r>
          </w:p>
          <w:p w:rsidR="00C73478" w:rsidRPr="003F1B84" w:rsidRDefault="00C73478" w:rsidP="006B3BBA">
            <w:pPr>
              <w:ind w:left="123" w:right="113"/>
              <w:jc w:val="both"/>
              <w:rPr>
                <w:sz w:val="25"/>
                <w:szCs w:val="25"/>
              </w:rPr>
            </w:pPr>
            <w:r w:rsidRPr="003F1B84">
              <w:rPr>
                <w:sz w:val="25"/>
                <w:szCs w:val="25"/>
              </w:rPr>
              <w:t xml:space="preserve">     </w:t>
            </w:r>
            <w:r w:rsidRPr="003F1B84">
              <w:rPr>
                <w:b/>
                <w:sz w:val="25"/>
                <w:szCs w:val="25"/>
              </w:rPr>
              <w:t>59 832 289</w:t>
            </w:r>
            <w:r w:rsidRPr="003F1B84">
              <w:rPr>
                <w:sz w:val="25"/>
                <w:szCs w:val="25"/>
              </w:rPr>
              <w:t> </w:t>
            </w:r>
            <w:proofErr w:type="spellStart"/>
            <w:r w:rsidRPr="003F1B84">
              <w:rPr>
                <w:b/>
                <w:i/>
                <w:sz w:val="25"/>
                <w:szCs w:val="25"/>
              </w:rPr>
              <w:t>euro</w:t>
            </w:r>
            <w:proofErr w:type="spellEnd"/>
            <w:r w:rsidRPr="003F1B84">
              <w:rPr>
                <w:sz w:val="25"/>
                <w:szCs w:val="25"/>
              </w:rPr>
              <w:t xml:space="preserve"> apmērā apakšprogrammā </w:t>
            </w:r>
            <w:r w:rsidR="004A456A" w:rsidRPr="003F1B84">
              <w:rPr>
                <w:sz w:val="25"/>
                <w:szCs w:val="25"/>
              </w:rPr>
              <w:t>62.08.00 “</w:t>
            </w:r>
            <w:r w:rsidRPr="003F1B84">
              <w:rPr>
                <w:sz w:val="25"/>
                <w:szCs w:val="25"/>
              </w:rPr>
              <w:t>Eiropas Reģionālās attīstības fonda (ERAF) avansa maksājumi un atmaksas finansējuma saņēmējiem (2014-2020)”;</w:t>
            </w:r>
          </w:p>
          <w:p w:rsidR="00C73478" w:rsidRPr="003F1B84" w:rsidRDefault="00C73478" w:rsidP="006B3BBA">
            <w:pPr>
              <w:ind w:left="123" w:right="113"/>
              <w:jc w:val="both"/>
              <w:rPr>
                <w:sz w:val="25"/>
                <w:szCs w:val="25"/>
              </w:rPr>
            </w:pPr>
            <w:r w:rsidRPr="003F1B84">
              <w:rPr>
                <w:b/>
                <w:sz w:val="25"/>
                <w:szCs w:val="25"/>
              </w:rPr>
              <w:lastRenderedPageBreak/>
              <w:t xml:space="preserve">     318 493</w:t>
            </w:r>
            <w:r w:rsidRPr="003F1B84">
              <w:rPr>
                <w:sz w:val="25"/>
                <w:szCs w:val="25"/>
              </w:rPr>
              <w:t> </w:t>
            </w:r>
            <w:proofErr w:type="spellStart"/>
            <w:r w:rsidRPr="003F1B84">
              <w:rPr>
                <w:b/>
                <w:i/>
                <w:sz w:val="25"/>
                <w:szCs w:val="25"/>
              </w:rPr>
              <w:t>euro</w:t>
            </w:r>
            <w:proofErr w:type="spellEnd"/>
            <w:r w:rsidRPr="003F1B84">
              <w:rPr>
                <w:sz w:val="25"/>
                <w:szCs w:val="25"/>
              </w:rPr>
              <w:t xml:space="preserve"> apmērā apakšprogrammā </w:t>
            </w:r>
            <w:r w:rsidR="004A456A" w:rsidRPr="003F1B84">
              <w:rPr>
                <w:sz w:val="25"/>
                <w:szCs w:val="25"/>
              </w:rPr>
              <w:t>62.20.00 “</w:t>
            </w:r>
            <w:r w:rsidRPr="003F1B84">
              <w:rPr>
                <w:sz w:val="25"/>
                <w:szCs w:val="25"/>
              </w:rPr>
              <w:t>Tehniskā palīdzība Eiropas Reģionālās attīstības fonda (ERAF) apgūšanai (2014.-2020.)”;</w:t>
            </w:r>
          </w:p>
          <w:p w:rsidR="00C73478" w:rsidRPr="003F1B84" w:rsidRDefault="00C73478" w:rsidP="006B3BBA">
            <w:pPr>
              <w:overflowPunct w:val="0"/>
              <w:autoSpaceDE w:val="0"/>
              <w:autoSpaceDN w:val="0"/>
              <w:adjustRightInd w:val="0"/>
              <w:ind w:left="123" w:right="113"/>
              <w:jc w:val="both"/>
              <w:rPr>
                <w:sz w:val="25"/>
                <w:szCs w:val="25"/>
              </w:rPr>
            </w:pPr>
            <w:r w:rsidRPr="003F1B84">
              <w:rPr>
                <w:sz w:val="25"/>
                <w:szCs w:val="25"/>
              </w:rPr>
              <w:t xml:space="preserve">    </w:t>
            </w:r>
            <w:r w:rsidRPr="003F1B84">
              <w:rPr>
                <w:b/>
                <w:sz w:val="25"/>
                <w:szCs w:val="25"/>
              </w:rPr>
              <w:t xml:space="preserve">315 875 </w:t>
            </w:r>
            <w:proofErr w:type="spellStart"/>
            <w:r w:rsidRPr="003F1B84">
              <w:rPr>
                <w:b/>
                <w:i/>
                <w:sz w:val="25"/>
                <w:szCs w:val="25"/>
              </w:rPr>
              <w:t>euro</w:t>
            </w:r>
            <w:proofErr w:type="spellEnd"/>
            <w:r w:rsidRPr="003F1B84">
              <w:rPr>
                <w:sz w:val="25"/>
                <w:szCs w:val="25"/>
              </w:rPr>
              <w:t xml:space="preserve"> apmērā apakšprogrammā 63.07.00 “Eiropas Sociālā fonda (ESF) avansa maksājumi un atmaksas finansējuma saņēmējiem (2014-2020)”;</w:t>
            </w:r>
          </w:p>
          <w:p w:rsidR="00C73478" w:rsidRPr="003F1B84" w:rsidRDefault="00C73478" w:rsidP="006B3BBA">
            <w:pPr>
              <w:overflowPunct w:val="0"/>
              <w:autoSpaceDE w:val="0"/>
              <w:autoSpaceDN w:val="0"/>
              <w:adjustRightInd w:val="0"/>
              <w:ind w:left="123" w:right="113" w:firstLine="265"/>
              <w:jc w:val="both"/>
              <w:rPr>
                <w:sz w:val="25"/>
                <w:szCs w:val="25"/>
              </w:rPr>
            </w:pPr>
            <w:r w:rsidRPr="003F1B84">
              <w:rPr>
                <w:b/>
                <w:sz w:val="25"/>
                <w:szCs w:val="25"/>
              </w:rPr>
              <w:t xml:space="preserve">9 000 000 </w:t>
            </w:r>
            <w:proofErr w:type="spellStart"/>
            <w:r w:rsidRPr="003F1B84">
              <w:rPr>
                <w:b/>
                <w:i/>
                <w:sz w:val="25"/>
                <w:szCs w:val="25"/>
              </w:rPr>
              <w:t>euro</w:t>
            </w:r>
            <w:proofErr w:type="spellEnd"/>
            <w:r w:rsidRPr="003F1B84">
              <w:rPr>
                <w:sz w:val="25"/>
                <w:szCs w:val="25"/>
              </w:rPr>
              <w:t xml:space="preserve"> apmērā līdz 2018.gada beigām paredzamais papildu nepieciešamais finansējums.</w:t>
            </w:r>
          </w:p>
          <w:p w:rsidR="00FA753E" w:rsidRPr="003F1B84" w:rsidRDefault="00FA753E" w:rsidP="006B3BBA">
            <w:pPr>
              <w:pStyle w:val="ListParagraph"/>
              <w:numPr>
                <w:ilvl w:val="0"/>
                <w:numId w:val="5"/>
              </w:numPr>
              <w:ind w:left="123" w:right="113"/>
              <w:jc w:val="both"/>
              <w:rPr>
                <w:sz w:val="25"/>
                <w:szCs w:val="25"/>
              </w:rPr>
            </w:pPr>
            <w:proofErr w:type="spellStart"/>
            <w:r w:rsidRPr="003F1B84">
              <w:rPr>
                <w:b/>
                <w:sz w:val="25"/>
                <w:szCs w:val="25"/>
                <w:u w:val="single"/>
              </w:rPr>
              <w:t>Iekšlietu</w:t>
            </w:r>
            <w:proofErr w:type="spellEnd"/>
            <w:r w:rsidRPr="003F1B84">
              <w:rPr>
                <w:b/>
                <w:sz w:val="25"/>
                <w:szCs w:val="25"/>
                <w:u w:val="single"/>
              </w:rPr>
              <w:t xml:space="preserve"> ministrijai</w:t>
            </w:r>
            <w:r w:rsidRPr="003F1B84">
              <w:rPr>
                <w:b/>
                <w:sz w:val="25"/>
                <w:szCs w:val="25"/>
              </w:rPr>
              <w:t xml:space="preserve"> 3 886 250 </w:t>
            </w:r>
            <w:proofErr w:type="spellStart"/>
            <w:r w:rsidRPr="003F1B84">
              <w:rPr>
                <w:b/>
                <w:i/>
                <w:sz w:val="25"/>
                <w:szCs w:val="25"/>
              </w:rPr>
              <w:t>euro</w:t>
            </w:r>
            <w:proofErr w:type="spellEnd"/>
            <w:r w:rsidRPr="003F1B84">
              <w:rPr>
                <w:sz w:val="25"/>
                <w:szCs w:val="25"/>
              </w:rPr>
              <w:t xml:space="preserve"> </w:t>
            </w:r>
            <w:r w:rsidRPr="003F1B84">
              <w:rPr>
                <w:iCs/>
                <w:sz w:val="25"/>
                <w:szCs w:val="25"/>
              </w:rPr>
              <w:t>apmērā,</w:t>
            </w:r>
            <w:r w:rsidRPr="003F1B84">
              <w:rPr>
                <w:sz w:val="25"/>
                <w:szCs w:val="25"/>
              </w:rPr>
              <w:t xml:space="preserve"> tajā skaitā:</w:t>
            </w:r>
          </w:p>
          <w:p w:rsidR="00FA753E" w:rsidRPr="003F1B84" w:rsidRDefault="00FA753E" w:rsidP="006B3BBA">
            <w:pPr>
              <w:ind w:left="123" w:right="113" w:firstLine="360"/>
              <w:jc w:val="both"/>
              <w:rPr>
                <w:sz w:val="25"/>
                <w:szCs w:val="25"/>
              </w:rPr>
            </w:pPr>
            <w:r w:rsidRPr="003F1B84">
              <w:rPr>
                <w:rFonts w:eastAsia="Calibri"/>
                <w:b/>
                <w:sz w:val="25"/>
                <w:szCs w:val="25"/>
              </w:rPr>
              <w:t xml:space="preserve">2 785 067 </w:t>
            </w:r>
            <w:proofErr w:type="spellStart"/>
            <w:r w:rsidRPr="003F1B84">
              <w:rPr>
                <w:rFonts w:eastAsia="Calibri"/>
                <w:b/>
                <w:i/>
                <w:sz w:val="25"/>
                <w:szCs w:val="25"/>
              </w:rPr>
              <w:t>euro</w:t>
            </w:r>
            <w:proofErr w:type="spellEnd"/>
            <w:r w:rsidRPr="003F1B84">
              <w:rPr>
                <w:sz w:val="25"/>
                <w:szCs w:val="25"/>
              </w:rPr>
              <w:t xml:space="preserve"> apmērā apakšprogrammā 62.07.00 “Eiropas Reģionālās attīstības fonda (ERAF) projektu un pasākumu īstenošana (2014-2020)”; </w:t>
            </w:r>
          </w:p>
          <w:p w:rsidR="00FA753E" w:rsidRPr="003F1B84" w:rsidRDefault="00FA753E" w:rsidP="006B3BBA">
            <w:pPr>
              <w:ind w:left="123" w:right="113" w:firstLine="360"/>
              <w:jc w:val="both"/>
              <w:rPr>
                <w:rFonts w:eastAsia="Calibri"/>
                <w:sz w:val="25"/>
                <w:szCs w:val="25"/>
              </w:rPr>
            </w:pPr>
            <w:r w:rsidRPr="003F1B84">
              <w:rPr>
                <w:rFonts w:eastAsia="Calibri"/>
                <w:b/>
                <w:sz w:val="25"/>
                <w:szCs w:val="25"/>
              </w:rPr>
              <w:t xml:space="preserve">120 342 </w:t>
            </w:r>
            <w:proofErr w:type="spellStart"/>
            <w:r w:rsidRPr="003F1B84">
              <w:rPr>
                <w:rFonts w:eastAsia="Calibri"/>
                <w:b/>
                <w:i/>
                <w:sz w:val="25"/>
                <w:szCs w:val="25"/>
              </w:rPr>
              <w:t>euro</w:t>
            </w:r>
            <w:proofErr w:type="spellEnd"/>
            <w:r w:rsidRPr="003F1B84">
              <w:rPr>
                <w:rFonts w:eastAsia="Calibri"/>
                <w:sz w:val="25"/>
                <w:szCs w:val="25"/>
              </w:rPr>
              <w:t xml:space="preserve"> apmērā </w:t>
            </w:r>
            <w:r w:rsidRPr="003F1B84">
              <w:rPr>
                <w:sz w:val="25"/>
                <w:szCs w:val="25"/>
              </w:rPr>
              <w:t>apakšprogrammā 67.14.00 “FRONTEX Aģentūras starptautisko operāciju nodrošināšana”;</w:t>
            </w:r>
          </w:p>
          <w:p w:rsidR="00FA753E" w:rsidRPr="003F1B84" w:rsidRDefault="00FA753E" w:rsidP="006B3BBA">
            <w:pPr>
              <w:ind w:left="123" w:right="113" w:firstLine="360"/>
              <w:jc w:val="both"/>
              <w:rPr>
                <w:sz w:val="25"/>
                <w:szCs w:val="25"/>
              </w:rPr>
            </w:pPr>
            <w:r w:rsidRPr="003F1B84">
              <w:rPr>
                <w:rFonts w:eastAsia="Calibri"/>
                <w:b/>
                <w:sz w:val="25"/>
                <w:szCs w:val="25"/>
              </w:rPr>
              <w:t xml:space="preserve">980 841 </w:t>
            </w:r>
            <w:proofErr w:type="spellStart"/>
            <w:r w:rsidRPr="003F1B84">
              <w:rPr>
                <w:rFonts w:eastAsia="Calibri"/>
                <w:b/>
                <w:i/>
                <w:sz w:val="25"/>
                <w:szCs w:val="25"/>
              </w:rPr>
              <w:t>euro</w:t>
            </w:r>
            <w:proofErr w:type="spellEnd"/>
            <w:r w:rsidRPr="003F1B84">
              <w:rPr>
                <w:rFonts w:eastAsia="Calibri"/>
                <w:sz w:val="25"/>
                <w:szCs w:val="25"/>
              </w:rPr>
              <w:t xml:space="preserve"> apmērā </w:t>
            </w:r>
            <w:r w:rsidRPr="003F1B84">
              <w:rPr>
                <w:sz w:val="25"/>
                <w:szCs w:val="25"/>
              </w:rPr>
              <w:t>apakšprogrammā 70.18.00 “Iekšējās drošības un Patvēruma, migrācijas un integrācijas fondu projektu un pasākumu īstenošana (2014-2020)”</w:t>
            </w:r>
            <w:r w:rsidRPr="003F1B84">
              <w:rPr>
                <w:rFonts w:eastAsia="Calibri"/>
                <w:sz w:val="25"/>
                <w:szCs w:val="25"/>
              </w:rPr>
              <w:t>.</w:t>
            </w:r>
          </w:p>
          <w:p w:rsidR="00320C6A" w:rsidRPr="003F1B84" w:rsidRDefault="0053409A" w:rsidP="006B3BBA">
            <w:pPr>
              <w:pStyle w:val="ListParagraph"/>
              <w:numPr>
                <w:ilvl w:val="0"/>
                <w:numId w:val="5"/>
              </w:numPr>
              <w:ind w:left="123" w:right="113"/>
              <w:jc w:val="both"/>
              <w:rPr>
                <w:sz w:val="25"/>
                <w:szCs w:val="25"/>
              </w:rPr>
            </w:pPr>
            <w:r w:rsidRPr="003F1B84">
              <w:rPr>
                <w:b/>
                <w:sz w:val="25"/>
                <w:szCs w:val="25"/>
                <w:u w:val="single"/>
              </w:rPr>
              <w:t>Zemkopības</w:t>
            </w:r>
            <w:r w:rsidR="00D6079A" w:rsidRPr="003F1B84">
              <w:rPr>
                <w:b/>
                <w:sz w:val="25"/>
                <w:szCs w:val="25"/>
                <w:u w:val="single"/>
              </w:rPr>
              <w:t xml:space="preserve"> ministrijai</w:t>
            </w:r>
            <w:r w:rsidR="00D6079A" w:rsidRPr="003F1B84">
              <w:rPr>
                <w:sz w:val="25"/>
                <w:szCs w:val="25"/>
              </w:rPr>
              <w:t xml:space="preserve"> </w:t>
            </w:r>
            <w:r w:rsidRPr="003F1B84">
              <w:rPr>
                <w:b/>
                <w:sz w:val="25"/>
                <w:szCs w:val="25"/>
              </w:rPr>
              <w:t>116</w:t>
            </w:r>
            <w:r w:rsidR="00B71A99" w:rsidRPr="003F1B84">
              <w:rPr>
                <w:b/>
                <w:sz w:val="25"/>
                <w:szCs w:val="25"/>
              </w:rPr>
              <w:t> </w:t>
            </w:r>
            <w:r w:rsidRPr="003F1B84">
              <w:rPr>
                <w:b/>
                <w:sz w:val="25"/>
                <w:szCs w:val="25"/>
              </w:rPr>
              <w:t>564</w:t>
            </w:r>
            <w:r w:rsidR="00B71A99" w:rsidRPr="003F1B84">
              <w:rPr>
                <w:b/>
                <w:sz w:val="25"/>
                <w:szCs w:val="25"/>
              </w:rPr>
              <w:t> </w:t>
            </w:r>
            <w:r w:rsidRPr="003F1B84">
              <w:rPr>
                <w:b/>
                <w:sz w:val="25"/>
                <w:szCs w:val="25"/>
              </w:rPr>
              <w:t>279</w:t>
            </w:r>
            <w:r w:rsidR="00D6079A" w:rsidRPr="003F1B84">
              <w:rPr>
                <w:b/>
                <w:sz w:val="25"/>
                <w:szCs w:val="25"/>
              </w:rPr>
              <w:t xml:space="preserve"> </w:t>
            </w:r>
            <w:proofErr w:type="spellStart"/>
            <w:r w:rsidR="00D6079A" w:rsidRPr="003F1B84">
              <w:rPr>
                <w:b/>
                <w:i/>
                <w:sz w:val="25"/>
                <w:szCs w:val="25"/>
              </w:rPr>
              <w:t>euro</w:t>
            </w:r>
            <w:proofErr w:type="spellEnd"/>
            <w:r w:rsidR="00320C6A" w:rsidRPr="003F1B84">
              <w:rPr>
                <w:i/>
                <w:sz w:val="25"/>
                <w:szCs w:val="25"/>
              </w:rPr>
              <w:t xml:space="preserve"> </w:t>
            </w:r>
            <w:r w:rsidR="00320C6A" w:rsidRPr="003F1B84">
              <w:rPr>
                <w:iCs/>
                <w:sz w:val="25"/>
                <w:szCs w:val="25"/>
              </w:rPr>
              <w:t>apmērā,</w:t>
            </w:r>
            <w:r w:rsidR="00320C6A" w:rsidRPr="003F1B84">
              <w:rPr>
                <w:sz w:val="25"/>
                <w:szCs w:val="25"/>
              </w:rPr>
              <w:t xml:space="preserve"> tajā skaitā:</w:t>
            </w:r>
          </w:p>
          <w:p w:rsidR="00BA10D2" w:rsidRPr="003F1B84" w:rsidRDefault="00860930" w:rsidP="006B3BBA">
            <w:pPr>
              <w:ind w:left="123" w:right="113"/>
              <w:jc w:val="both"/>
              <w:rPr>
                <w:sz w:val="25"/>
                <w:szCs w:val="25"/>
              </w:rPr>
            </w:pPr>
            <w:r w:rsidRPr="003F1B84">
              <w:rPr>
                <w:b/>
                <w:sz w:val="25"/>
                <w:szCs w:val="25"/>
              </w:rPr>
              <w:t xml:space="preserve">     55</w:t>
            </w:r>
            <w:r w:rsidR="00B71A99" w:rsidRPr="003F1B84">
              <w:rPr>
                <w:b/>
                <w:sz w:val="25"/>
                <w:szCs w:val="25"/>
              </w:rPr>
              <w:t> </w:t>
            </w:r>
            <w:r w:rsidRPr="003F1B84">
              <w:rPr>
                <w:b/>
                <w:sz w:val="25"/>
                <w:szCs w:val="25"/>
              </w:rPr>
              <w:t>564</w:t>
            </w:r>
            <w:r w:rsidR="00B71A99" w:rsidRPr="003F1B84">
              <w:rPr>
                <w:b/>
                <w:sz w:val="25"/>
                <w:szCs w:val="25"/>
              </w:rPr>
              <w:t> </w:t>
            </w:r>
            <w:r w:rsidRPr="003F1B84">
              <w:rPr>
                <w:b/>
                <w:sz w:val="25"/>
                <w:szCs w:val="25"/>
              </w:rPr>
              <w:t xml:space="preserve">279 </w:t>
            </w:r>
            <w:proofErr w:type="spellStart"/>
            <w:r w:rsidRPr="003F1B84">
              <w:rPr>
                <w:b/>
                <w:i/>
                <w:sz w:val="25"/>
                <w:szCs w:val="25"/>
              </w:rPr>
              <w:t>euro</w:t>
            </w:r>
            <w:proofErr w:type="spellEnd"/>
            <w:r w:rsidRPr="003F1B84">
              <w:rPr>
                <w:i/>
                <w:sz w:val="25"/>
                <w:szCs w:val="25"/>
              </w:rPr>
              <w:t xml:space="preserve"> </w:t>
            </w:r>
            <w:r w:rsidRPr="003F1B84">
              <w:rPr>
                <w:sz w:val="25"/>
                <w:szCs w:val="25"/>
              </w:rPr>
              <w:t>apmērā apakšprogramm</w:t>
            </w:r>
            <w:r w:rsidR="00BA10D2" w:rsidRPr="003F1B84">
              <w:rPr>
                <w:sz w:val="25"/>
                <w:szCs w:val="25"/>
              </w:rPr>
              <w:t>ai</w:t>
            </w:r>
            <w:r w:rsidR="004A456A" w:rsidRPr="003F1B84">
              <w:rPr>
                <w:sz w:val="25"/>
                <w:szCs w:val="25"/>
              </w:rPr>
              <w:t xml:space="preserve"> 64.08.00 “</w:t>
            </w:r>
            <w:r w:rsidRPr="003F1B84">
              <w:rPr>
                <w:sz w:val="25"/>
                <w:szCs w:val="25"/>
              </w:rPr>
              <w:t>Izdevumi Eiropas Lauksaimniecības garantiju fonda (ELGF) projektu un pasākumu īstenošanai (2014-2020)”</w:t>
            </w:r>
            <w:r w:rsidR="00BA10D2" w:rsidRPr="003F1B84">
              <w:rPr>
                <w:sz w:val="25"/>
                <w:szCs w:val="25"/>
              </w:rPr>
              <w:t>;</w:t>
            </w:r>
          </w:p>
          <w:p w:rsidR="00860930" w:rsidRPr="003F1B84" w:rsidRDefault="00BA10D2" w:rsidP="006B3BBA">
            <w:pPr>
              <w:ind w:left="123" w:right="113"/>
              <w:jc w:val="both"/>
              <w:rPr>
                <w:sz w:val="25"/>
                <w:szCs w:val="25"/>
              </w:rPr>
            </w:pPr>
            <w:r w:rsidRPr="003F1B84">
              <w:rPr>
                <w:sz w:val="25"/>
                <w:szCs w:val="25"/>
              </w:rPr>
              <w:t xml:space="preserve">     </w:t>
            </w:r>
            <w:r w:rsidR="00860930" w:rsidRPr="003F1B84">
              <w:rPr>
                <w:b/>
                <w:sz w:val="25"/>
                <w:szCs w:val="25"/>
              </w:rPr>
              <w:t>61</w:t>
            </w:r>
            <w:r w:rsidR="00B71A99" w:rsidRPr="003F1B84">
              <w:rPr>
                <w:b/>
                <w:sz w:val="25"/>
                <w:szCs w:val="25"/>
              </w:rPr>
              <w:t> </w:t>
            </w:r>
            <w:r w:rsidR="00860930" w:rsidRPr="003F1B84">
              <w:rPr>
                <w:b/>
                <w:sz w:val="25"/>
                <w:szCs w:val="25"/>
              </w:rPr>
              <w:t>000 000</w:t>
            </w:r>
            <w:r w:rsidR="00860930" w:rsidRPr="003F1B84">
              <w:rPr>
                <w:sz w:val="25"/>
                <w:szCs w:val="25"/>
              </w:rPr>
              <w:t xml:space="preserve"> </w:t>
            </w:r>
            <w:proofErr w:type="spellStart"/>
            <w:r w:rsidRPr="003F1B84">
              <w:rPr>
                <w:b/>
                <w:i/>
                <w:sz w:val="25"/>
                <w:szCs w:val="25"/>
              </w:rPr>
              <w:t>euro</w:t>
            </w:r>
            <w:proofErr w:type="spellEnd"/>
            <w:r w:rsidRPr="003F1B84">
              <w:rPr>
                <w:i/>
                <w:sz w:val="25"/>
                <w:szCs w:val="25"/>
              </w:rPr>
              <w:t xml:space="preserve"> </w:t>
            </w:r>
            <w:r w:rsidRPr="003F1B84">
              <w:rPr>
                <w:sz w:val="25"/>
                <w:szCs w:val="25"/>
              </w:rPr>
              <w:t>apmērā</w:t>
            </w:r>
            <w:r w:rsidR="00860930" w:rsidRPr="003F1B84">
              <w:rPr>
                <w:sz w:val="25"/>
                <w:szCs w:val="25"/>
              </w:rPr>
              <w:t xml:space="preserve"> </w:t>
            </w:r>
            <w:r w:rsidRPr="003F1B84">
              <w:rPr>
                <w:sz w:val="25"/>
                <w:szCs w:val="25"/>
              </w:rPr>
              <w:t>apakšprogrammai</w:t>
            </w:r>
            <w:r w:rsidR="004A456A" w:rsidRPr="003F1B84">
              <w:rPr>
                <w:sz w:val="25"/>
                <w:szCs w:val="25"/>
              </w:rPr>
              <w:t xml:space="preserve"> 65.08.00 “</w:t>
            </w:r>
            <w:r w:rsidR="00860930" w:rsidRPr="003F1B84">
              <w:rPr>
                <w:sz w:val="25"/>
                <w:szCs w:val="25"/>
              </w:rPr>
              <w:t>Maksājumu iestādes izdevumi Eiropas Lauksaimniecības fonda lauku attīstībai (ELFLA) projektu un pasākumu īstenošanai (2014-2020)”</w:t>
            </w:r>
            <w:r w:rsidR="00B71A99" w:rsidRPr="003F1B84">
              <w:rPr>
                <w:sz w:val="25"/>
                <w:szCs w:val="25"/>
              </w:rPr>
              <w:t>.</w:t>
            </w:r>
            <w:r w:rsidR="00860930" w:rsidRPr="003F1B84">
              <w:rPr>
                <w:sz w:val="25"/>
                <w:szCs w:val="25"/>
              </w:rPr>
              <w:t xml:space="preserve"> </w:t>
            </w:r>
          </w:p>
          <w:p w:rsidR="00C73478" w:rsidRPr="003F1B84" w:rsidRDefault="00C73478" w:rsidP="006B3BBA">
            <w:pPr>
              <w:pStyle w:val="ListParagraph"/>
              <w:numPr>
                <w:ilvl w:val="0"/>
                <w:numId w:val="5"/>
              </w:numPr>
              <w:ind w:left="123" w:right="113"/>
              <w:jc w:val="both"/>
              <w:rPr>
                <w:sz w:val="25"/>
                <w:szCs w:val="25"/>
              </w:rPr>
            </w:pPr>
            <w:r w:rsidRPr="003F1B84">
              <w:rPr>
                <w:b/>
                <w:sz w:val="25"/>
                <w:szCs w:val="25"/>
                <w:u w:val="single"/>
              </w:rPr>
              <w:t>Satiksmes ministrijai</w:t>
            </w:r>
            <w:r w:rsidRPr="003F1B84">
              <w:rPr>
                <w:sz w:val="25"/>
                <w:szCs w:val="25"/>
                <w:u w:val="single"/>
              </w:rPr>
              <w:t xml:space="preserve"> </w:t>
            </w:r>
            <w:r w:rsidRPr="003F1B84">
              <w:rPr>
                <w:b/>
                <w:iCs/>
                <w:sz w:val="25"/>
                <w:szCs w:val="25"/>
              </w:rPr>
              <w:t xml:space="preserve">16 086 291 </w:t>
            </w:r>
            <w:proofErr w:type="spellStart"/>
            <w:r w:rsidRPr="003F1B84">
              <w:rPr>
                <w:b/>
                <w:i/>
                <w:iCs/>
                <w:sz w:val="25"/>
                <w:szCs w:val="25"/>
              </w:rPr>
              <w:t>euro</w:t>
            </w:r>
            <w:proofErr w:type="spellEnd"/>
            <w:r w:rsidRPr="003F1B84">
              <w:rPr>
                <w:b/>
                <w:iCs/>
                <w:sz w:val="25"/>
                <w:szCs w:val="25"/>
              </w:rPr>
              <w:t xml:space="preserve"> </w:t>
            </w:r>
            <w:r w:rsidRPr="003F1B84">
              <w:rPr>
                <w:iCs/>
                <w:sz w:val="25"/>
                <w:szCs w:val="25"/>
              </w:rPr>
              <w:t>apmērā,</w:t>
            </w:r>
            <w:r w:rsidRPr="003F1B84">
              <w:rPr>
                <w:sz w:val="25"/>
                <w:szCs w:val="25"/>
              </w:rPr>
              <w:t xml:space="preserve"> tajā skaitā:</w:t>
            </w:r>
          </w:p>
          <w:p w:rsidR="00C73478" w:rsidRPr="003F1B84" w:rsidRDefault="00C73478" w:rsidP="006B3BBA">
            <w:pPr>
              <w:ind w:left="123" w:right="113"/>
              <w:jc w:val="both"/>
              <w:rPr>
                <w:sz w:val="25"/>
                <w:szCs w:val="25"/>
              </w:rPr>
            </w:pPr>
            <w:r w:rsidRPr="003F1B84">
              <w:rPr>
                <w:b/>
                <w:sz w:val="25"/>
                <w:szCs w:val="25"/>
              </w:rPr>
              <w:t xml:space="preserve">     5 386 521 </w:t>
            </w:r>
            <w:proofErr w:type="spellStart"/>
            <w:r w:rsidRPr="003F1B84">
              <w:rPr>
                <w:b/>
                <w:i/>
                <w:sz w:val="25"/>
                <w:szCs w:val="25"/>
              </w:rPr>
              <w:t>euro</w:t>
            </w:r>
            <w:proofErr w:type="spellEnd"/>
            <w:r w:rsidRPr="003F1B84">
              <w:rPr>
                <w:i/>
                <w:sz w:val="25"/>
                <w:szCs w:val="25"/>
              </w:rPr>
              <w:t xml:space="preserve"> </w:t>
            </w:r>
            <w:r w:rsidRPr="003F1B84">
              <w:rPr>
                <w:sz w:val="25"/>
                <w:szCs w:val="25"/>
              </w:rPr>
              <w:t>apmērā apakšprogrammai 6</w:t>
            </w:r>
            <w:r w:rsidR="009A48FE" w:rsidRPr="003F1B84">
              <w:rPr>
                <w:sz w:val="25"/>
                <w:szCs w:val="25"/>
              </w:rPr>
              <w:t>1</w:t>
            </w:r>
            <w:r w:rsidRPr="003F1B84">
              <w:rPr>
                <w:sz w:val="25"/>
                <w:szCs w:val="25"/>
              </w:rPr>
              <w:t>.10.00 “Kohēzijas fonda (KF) fina</w:t>
            </w:r>
            <w:r w:rsidR="004A456A" w:rsidRPr="003F1B84">
              <w:rPr>
                <w:sz w:val="25"/>
                <w:szCs w:val="25"/>
              </w:rPr>
              <w:t>nsētie ierobežotās atlases VAS “</w:t>
            </w:r>
            <w:r w:rsidRPr="003F1B84">
              <w:rPr>
                <w:sz w:val="25"/>
                <w:szCs w:val="25"/>
              </w:rPr>
              <w:t>Latvijas valsts ceļi</w:t>
            </w:r>
            <w:r w:rsidR="004A456A" w:rsidRPr="003F1B84">
              <w:rPr>
                <w:sz w:val="25"/>
                <w:szCs w:val="25"/>
              </w:rPr>
              <w:t>”</w:t>
            </w:r>
            <w:r w:rsidRPr="003F1B84">
              <w:rPr>
                <w:sz w:val="25"/>
                <w:szCs w:val="25"/>
              </w:rPr>
              <w:t xml:space="preserve"> realizētie projekti (2014 - 2020)”;  </w:t>
            </w:r>
          </w:p>
          <w:p w:rsidR="00C73478" w:rsidRPr="003F1B84" w:rsidRDefault="00C73478" w:rsidP="006B3BBA">
            <w:pPr>
              <w:ind w:left="123" w:right="113"/>
              <w:jc w:val="both"/>
              <w:rPr>
                <w:sz w:val="25"/>
                <w:szCs w:val="25"/>
              </w:rPr>
            </w:pPr>
            <w:r w:rsidRPr="003F1B84">
              <w:rPr>
                <w:b/>
                <w:sz w:val="25"/>
                <w:szCs w:val="25"/>
              </w:rPr>
              <w:t xml:space="preserve">     8 566 080</w:t>
            </w:r>
            <w:r w:rsidRPr="003F1B84">
              <w:rPr>
                <w:sz w:val="25"/>
                <w:szCs w:val="25"/>
              </w:rPr>
              <w:t xml:space="preserve"> </w:t>
            </w:r>
            <w:proofErr w:type="spellStart"/>
            <w:r w:rsidRPr="003F1B84">
              <w:rPr>
                <w:b/>
                <w:i/>
                <w:sz w:val="25"/>
                <w:szCs w:val="25"/>
              </w:rPr>
              <w:t>euro</w:t>
            </w:r>
            <w:proofErr w:type="spellEnd"/>
            <w:r w:rsidRPr="003F1B84">
              <w:rPr>
                <w:i/>
                <w:sz w:val="25"/>
                <w:szCs w:val="25"/>
              </w:rPr>
              <w:t xml:space="preserve"> </w:t>
            </w:r>
            <w:r w:rsidRPr="003F1B84">
              <w:rPr>
                <w:sz w:val="25"/>
                <w:szCs w:val="25"/>
              </w:rPr>
              <w:t xml:space="preserve">apmērā apakšprogrammai 62.11.00 “Eiropas Reģionālās attīstības fonda (ERAF) finansētie ierobežotās atlases VAS </w:t>
            </w:r>
            <w:r w:rsidR="004A456A" w:rsidRPr="003F1B84">
              <w:rPr>
                <w:sz w:val="25"/>
                <w:szCs w:val="25"/>
              </w:rPr>
              <w:t>“</w:t>
            </w:r>
            <w:r w:rsidRPr="003F1B84">
              <w:rPr>
                <w:sz w:val="25"/>
                <w:szCs w:val="25"/>
              </w:rPr>
              <w:t>Latvijas valsts ceļi</w:t>
            </w:r>
            <w:r w:rsidR="004A456A" w:rsidRPr="003F1B84">
              <w:rPr>
                <w:sz w:val="25"/>
                <w:szCs w:val="25"/>
              </w:rPr>
              <w:t>”</w:t>
            </w:r>
            <w:r w:rsidRPr="003F1B84">
              <w:rPr>
                <w:sz w:val="25"/>
                <w:szCs w:val="25"/>
              </w:rPr>
              <w:t xml:space="preserve"> realizētie projekti (2014 - 2020)”;  </w:t>
            </w:r>
          </w:p>
          <w:p w:rsidR="00C73478" w:rsidRPr="003F1B84" w:rsidRDefault="00C73478" w:rsidP="006B3BBA">
            <w:pPr>
              <w:ind w:left="123" w:right="113"/>
              <w:jc w:val="both"/>
              <w:rPr>
                <w:sz w:val="25"/>
                <w:szCs w:val="25"/>
              </w:rPr>
            </w:pPr>
            <w:r w:rsidRPr="003F1B84">
              <w:rPr>
                <w:sz w:val="25"/>
                <w:szCs w:val="25"/>
              </w:rPr>
              <w:t xml:space="preserve">     </w:t>
            </w:r>
            <w:r w:rsidRPr="003F1B84">
              <w:rPr>
                <w:b/>
                <w:sz w:val="25"/>
                <w:szCs w:val="25"/>
              </w:rPr>
              <w:t>2 133 690</w:t>
            </w:r>
            <w:r w:rsidRPr="003F1B84">
              <w:rPr>
                <w:sz w:val="25"/>
                <w:szCs w:val="25"/>
              </w:rPr>
              <w:t xml:space="preserve"> </w:t>
            </w:r>
            <w:proofErr w:type="spellStart"/>
            <w:r w:rsidRPr="003F1B84">
              <w:rPr>
                <w:b/>
                <w:i/>
                <w:sz w:val="25"/>
                <w:szCs w:val="25"/>
              </w:rPr>
              <w:t>euro</w:t>
            </w:r>
            <w:proofErr w:type="spellEnd"/>
            <w:r w:rsidRPr="003F1B84">
              <w:rPr>
                <w:i/>
                <w:sz w:val="25"/>
                <w:szCs w:val="25"/>
              </w:rPr>
              <w:t xml:space="preserve"> </w:t>
            </w:r>
            <w:r w:rsidRPr="003F1B84">
              <w:rPr>
                <w:sz w:val="25"/>
                <w:szCs w:val="25"/>
              </w:rPr>
              <w:t>apmērā apakšprogrammai 69.07.00 “</w:t>
            </w:r>
            <w:r w:rsidR="004A456A" w:rsidRPr="003F1B84">
              <w:rPr>
                <w:iCs/>
                <w:sz w:val="25"/>
                <w:szCs w:val="25"/>
              </w:rPr>
              <w:t>Mērķa “</w:t>
            </w:r>
            <w:r w:rsidRPr="003F1B84">
              <w:rPr>
                <w:iCs/>
                <w:sz w:val="25"/>
                <w:szCs w:val="25"/>
              </w:rPr>
              <w:t>Eiropas teritoriālā sada</w:t>
            </w:r>
            <w:r w:rsidR="004A456A" w:rsidRPr="003F1B84">
              <w:rPr>
                <w:iCs/>
                <w:sz w:val="25"/>
                <w:szCs w:val="25"/>
              </w:rPr>
              <w:t>rbība”</w:t>
            </w:r>
            <w:r w:rsidRPr="003F1B84">
              <w:rPr>
                <w:iCs/>
                <w:sz w:val="25"/>
                <w:szCs w:val="25"/>
              </w:rPr>
              <w:t xml:space="preserve"> VAS "Latvijas Valsts ceļi" realizētie projekti (2014-2020)”</w:t>
            </w:r>
            <w:r w:rsidRPr="003F1B84">
              <w:rPr>
                <w:sz w:val="25"/>
                <w:szCs w:val="25"/>
              </w:rPr>
              <w:t>.</w:t>
            </w:r>
          </w:p>
          <w:p w:rsidR="009F065F" w:rsidRPr="003F1B84" w:rsidRDefault="00D54B2D" w:rsidP="006B3BBA">
            <w:pPr>
              <w:pStyle w:val="ListParagraph"/>
              <w:numPr>
                <w:ilvl w:val="0"/>
                <w:numId w:val="5"/>
              </w:numPr>
              <w:ind w:left="123" w:right="113"/>
              <w:jc w:val="both"/>
              <w:rPr>
                <w:sz w:val="25"/>
                <w:szCs w:val="25"/>
              </w:rPr>
            </w:pPr>
            <w:r w:rsidRPr="003F1B84">
              <w:rPr>
                <w:b/>
                <w:sz w:val="25"/>
                <w:szCs w:val="25"/>
                <w:u w:val="single"/>
              </w:rPr>
              <w:t>Vides aizsardzības un reģionālās attīstības ministrijai</w:t>
            </w:r>
            <w:r w:rsidR="00AC14B6" w:rsidRPr="003F1B84">
              <w:rPr>
                <w:b/>
                <w:sz w:val="25"/>
                <w:szCs w:val="25"/>
              </w:rPr>
              <w:t xml:space="preserve"> 4 05</w:t>
            </w:r>
            <w:r w:rsidR="00B71A99" w:rsidRPr="003F1B84">
              <w:rPr>
                <w:b/>
                <w:sz w:val="25"/>
                <w:szCs w:val="25"/>
              </w:rPr>
              <w:t>5 912</w:t>
            </w:r>
            <w:r w:rsidRPr="003F1B84">
              <w:rPr>
                <w:b/>
                <w:sz w:val="25"/>
                <w:szCs w:val="25"/>
              </w:rPr>
              <w:t xml:space="preserve"> </w:t>
            </w:r>
            <w:proofErr w:type="spellStart"/>
            <w:r w:rsidRPr="003F1B84">
              <w:rPr>
                <w:b/>
                <w:i/>
                <w:sz w:val="25"/>
                <w:szCs w:val="25"/>
              </w:rPr>
              <w:t>euro</w:t>
            </w:r>
            <w:proofErr w:type="spellEnd"/>
            <w:r w:rsidR="009F065F" w:rsidRPr="003F1B84">
              <w:rPr>
                <w:sz w:val="25"/>
                <w:szCs w:val="25"/>
              </w:rPr>
              <w:t xml:space="preserve"> </w:t>
            </w:r>
            <w:r w:rsidR="009F065F" w:rsidRPr="003F1B84">
              <w:rPr>
                <w:iCs/>
                <w:sz w:val="25"/>
                <w:szCs w:val="25"/>
              </w:rPr>
              <w:t>apmērā,</w:t>
            </w:r>
            <w:r w:rsidR="009F065F" w:rsidRPr="003F1B84">
              <w:rPr>
                <w:sz w:val="25"/>
                <w:szCs w:val="25"/>
              </w:rPr>
              <w:t xml:space="preserve"> tajā skaitā:</w:t>
            </w:r>
          </w:p>
          <w:p w:rsidR="00D309B0" w:rsidRPr="003F1B84" w:rsidRDefault="00D309B0" w:rsidP="006B3BBA">
            <w:pPr>
              <w:ind w:left="123" w:right="113"/>
              <w:jc w:val="both"/>
              <w:rPr>
                <w:rFonts w:eastAsia="Calibri"/>
                <w:sz w:val="25"/>
                <w:szCs w:val="25"/>
              </w:rPr>
            </w:pPr>
            <w:r w:rsidRPr="003F1B84">
              <w:rPr>
                <w:rFonts w:eastAsia="Calibri"/>
                <w:sz w:val="25"/>
                <w:szCs w:val="25"/>
              </w:rPr>
              <w:t xml:space="preserve">     </w:t>
            </w:r>
            <w:r w:rsidRPr="003F1B84">
              <w:rPr>
                <w:rFonts w:eastAsia="Calibri"/>
                <w:b/>
                <w:sz w:val="25"/>
                <w:szCs w:val="25"/>
              </w:rPr>
              <w:t>1</w:t>
            </w:r>
            <w:r w:rsidR="00B71A99" w:rsidRPr="003F1B84">
              <w:rPr>
                <w:rFonts w:eastAsia="Calibri"/>
                <w:b/>
                <w:sz w:val="25"/>
                <w:szCs w:val="25"/>
              </w:rPr>
              <w:t> 866 912</w:t>
            </w:r>
            <w:r w:rsidRPr="003F1B84">
              <w:rPr>
                <w:rFonts w:eastAsia="Calibri"/>
                <w:b/>
                <w:sz w:val="25"/>
                <w:szCs w:val="25"/>
              </w:rPr>
              <w:t> </w:t>
            </w:r>
            <w:proofErr w:type="spellStart"/>
            <w:r w:rsidRPr="003F1B84">
              <w:rPr>
                <w:rFonts w:eastAsia="Calibri"/>
                <w:b/>
                <w:i/>
                <w:sz w:val="25"/>
                <w:szCs w:val="25"/>
              </w:rPr>
              <w:t>euro</w:t>
            </w:r>
            <w:proofErr w:type="spellEnd"/>
            <w:r w:rsidRPr="003F1B84">
              <w:rPr>
                <w:rFonts w:eastAsia="Calibri"/>
                <w:sz w:val="25"/>
                <w:szCs w:val="25"/>
              </w:rPr>
              <w:t xml:space="preserve"> </w:t>
            </w:r>
            <w:r w:rsidRPr="003F1B84">
              <w:rPr>
                <w:sz w:val="25"/>
                <w:szCs w:val="25"/>
              </w:rPr>
              <w:t>apmērā</w:t>
            </w:r>
            <w:r w:rsidRPr="003F1B84">
              <w:rPr>
                <w:rFonts w:eastAsia="Calibri"/>
                <w:sz w:val="25"/>
                <w:szCs w:val="25"/>
              </w:rPr>
              <w:t xml:space="preserve"> apakšprogramm</w:t>
            </w:r>
            <w:r w:rsidR="000D0EFF" w:rsidRPr="003F1B84">
              <w:rPr>
                <w:rFonts w:eastAsia="Calibri"/>
                <w:sz w:val="25"/>
                <w:szCs w:val="25"/>
              </w:rPr>
              <w:t>ai</w:t>
            </w:r>
            <w:r w:rsidRPr="003F1B84">
              <w:rPr>
                <w:rFonts w:eastAsia="Calibri"/>
                <w:sz w:val="25"/>
                <w:szCs w:val="25"/>
              </w:rPr>
              <w:t xml:space="preserve"> 62.07.00 “Eiropas Reģionālās attīstības fonda (ERAF) projekti (2014-2020)”;</w:t>
            </w:r>
          </w:p>
          <w:p w:rsidR="00D309B0" w:rsidRPr="003F1B84" w:rsidRDefault="00D309B0" w:rsidP="006B3BBA">
            <w:pPr>
              <w:ind w:left="123" w:right="113"/>
              <w:jc w:val="both"/>
              <w:rPr>
                <w:rFonts w:eastAsia="Calibri"/>
                <w:sz w:val="25"/>
                <w:szCs w:val="25"/>
              </w:rPr>
            </w:pPr>
            <w:r w:rsidRPr="003F1B84">
              <w:rPr>
                <w:rFonts w:eastAsia="Calibri"/>
                <w:b/>
                <w:sz w:val="25"/>
                <w:szCs w:val="25"/>
              </w:rPr>
              <w:t xml:space="preserve">     2</w:t>
            </w:r>
            <w:r w:rsidR="00AC14B6" w:rsidRPr="003F1B84">
              <w:rPr>
                <w:rFonts w:eastAsia="Calibri"/>
                <w:b/>
                <w:sz w:val="25"/>
                <w:szCs w:val="25"/>
              </w:rPr>
              <w:t> 18</w:t>
            </w:r>
            <w:r w:rsidR="00B71A99" w:rsidRPr="003F1B84">
              <w:rPr>
                <w:rFonts w:eastAsia="Calibri"/>
                <w:b/>
                <w:sz w:val="25"/>
                <w:szCs w:val="25"/>
              </w:rPr>
              <w:t>9 000</w:t>
            </w:r>
            <w:r w:rsidRPr="003F1B84">
              <w:rPr>
                <w:rFonts w:eastAsia="Calibri"/>
                <w:b/>
                <w:sz w:val="25"/>
                <w:szCs w:val="25"/>
              </w:rPr>
              <w:t xml:space="preserve">  </w:t>
            </w:r>
            <w:proofErr w:type="spellStart"/>
            <w:r w:rsidRPr="003F1B84">
              <w:rPr>
                <w:rFonts w:eastAsia="Calibri"/>
                <w:b/>
                <w:i/>
                <w:sz w:val="25"/>
                <w:szCs w:val="25"/>
              </w:rPr>
              <w:t>euro</w:t>
            </w:r>
            <w:proofErr w:type="spellEnd"/>
            <w:r w:rsidRPr="003F1B84">
              <w:rPr>
                <w:rFonts w:eastAsia="Calibri"/>
                <w:sz w:val="25"/>
                <w:szCs w:val="25"/>
              </w:rPr>
              <w:t xml:space="preserve"> </w:t>
            </w:r>
            <w:r w:rsidR="000D0EFF" w:rsidRPr="003F1B84">
              <w:rPr>
                <w:sz w:val="25"/>
                <w:szCs w:val="25"/>
              </w:rPr>
              <w:t>apmērā apakšprogrammai 33.02.00 “Emisijas kvotu izsolīšanas instrumenta projekti”</w:t>
            </w:r>
            <w:r w:rsidR="00B71A99" w:rsidRPr="003F1B84">
              <w:rPr>
                <w:sz w:val="25"/>
                <w:szCs w:val="25"/>
              </w:rPr>
              <w:t>.</w:t>
            </w:r>
          </w:p>
          <w:p w:rsidR="00DB7B48" w:rsidRPr="003F1B84" w:rsidRDefault="00D54B2D" w:rsidP="006B3BBA">
            <w:pPr>
              <w:pStyle w:val="ListParagraph"/>
              <w:numPr>
                <w:ilvl w:val="0"/>
                <w:numId w:val="5"/>
              </w:numPr>
              <w:ind w:left="123" w:right="113"/>
              <w:jc w:val="both"/>
              <w:rPr>
                <w:sz w:val="25"/>
                <w:szCs w:val="25"/>
              </w:rPr>
            </w:pPr>
            <w:r w:rsidRPr="003F1B84">
              <w:rPr>
                <w:b/>
                <w:sz w:val="25"/>
                <w:szCs w:val="25"/>
                <w:u w:val="single"/>
              </w:rPr>
              <w:t>Tieslietu ministrijai</w:t>
            </w:r>
            <w:r w:rsidR="00C57036" w:rsidRPr="003F1B84">
              <w:rPr>
                <w:b/>
                <w:sz w:val="25"/>
                <w:szCs w:val="25"/>
              </w:rPr>
              <w:t xml:space="preserve"> </w:t>
            </w:r>
            <w:r w:rsidR="007F18B8" w:rsidRPr="003F1B84">
              <w:rPr>
                <w:b/>
                <w:sz w:val="25"/>
                <w:szCs w:val="25"/>
              </w:rPr>
              <w:t>37</w:t>
            </w:r>
            <w:r w:rsidRPr="003F1B84">
              <w:rPr>
                <w:b/>
                <w:sz w:val="25"/>
                <w:szCs w:val="25"/>
              </w:rPr>
              <w:t xml:space="preserve">0 000 </w:t>
            </w:r>
            <w:proofErr w:type="spellStart"/>
            <w:r w:rsidR="00DB7B48" w:rsidRPr="003F1B84">
              <w:rPr>
                <w:b/>
                <w:i/>
                <w:sz w:val="25"/>
                <w:szCs w:val="25"/>
              </w:rPr>
              <w:t>euro</w:t>
            </w:r>
            <w:proofErr w:type="spellEnd"/>
            <w:r w:rsidR="00DB7B48" w:rsidRPr="003F1B84">
              <w:rPr>
                <w:i/>
                <w:sz w:val="25"/>
                <w:szCs w:val="25"/>
              </w:rPr>
              <w:t xml:space="preserve"> </w:t>
            </w:r>
            <w:r w:rsidR="00DB7B48" w:rsidRPr="003F1B84">
              <w:rPr>
                <w:iCs/>
                <w:sz w:val="25"/>
                <w:szCs w:val="25"/>
              </w:rPr>
              <w:t>apmērā</w:t>
            </w:r>
            <w:r w:rsidR="00170CFC" w:rsidRPr="003F1B84">
              <w:rPr>
                <w:iCs/>
                <w:sz w:val="25"/>
                <w:szCs w:val="25"/>
              </w:rPr>
              <w:t xml:space="preserve"> </w:t>
            </w:r>
            <w:r w:rsidR="00170CFC" w:rsidRPr="003F1B84">
              <w:rPr>
                <w:sz w:val="25"/>
                <w:szCs w:val="25"/>
              </w:rPr>
              <w:t>(Tieslietu ministrijas e-pasts)</w:t>
            </w:r>
            <w:r w:rsidR="00DB7B48" w:rsidRPr="003F1B84">
              <w:rPr>
                <w:iCs/>
                <w:sz w:val="25"/>
                <w:szCs w:val="25"/>
              </w:rPr>
              <w:t>,</w:t>
            </w:r>
            <w:r w:rsidR="00DB7B48" w:rsidRPr="003F1B84">
              <w:rPr>
                <w:sz w:val="25"/>
                <w:szCs w:val="25"/>
              </w:rPr>
              <w:t xml:space="preserve"> tajā skaitā:</w:t>
            </w:r>
          </w:p>
          <w:p w:rsidR="00085845" w:rsidRPr="003F1B84" w:rsidRDefault="00085845" w:rsidP="006B3BBA">
            <w:pPr>
              <w:ind w:left="123" w:right="113" w:firstLine="360"/>
              <w:jc w:val="both"/>
              <w:rPr>
                <w:sz w:val="25"/>
                <w:szCs w:val="25"/>
              </w:rPr>
            </w:pPr>
            <w:r w:rsidRPr="003F1B84">
              <w:rPr>
                <w:b/>
                <w:sz w:val="25"/>
                <w:szCs w:val="25"/>
              </w:rPr>
              <w:t>3</w:t>
            </w:r>
            <w:r w:rsidR="007F18B8" w:rsidRPr="003F1B84">
              <w:rPr>
                <w:b/>
                <w:sz w:val="25"/>
                <w:szCs w:val="25"/>
              </w:rPr>
              <w:t>6</w:t>
            </w:r>
            <w:r w:rsidR="00F405EC" w:rsidRPr="003F1B84">
              <w:rPr>
                <w:b/>
                <w:sz w:val="25"/>
                <w:szCs w:val="25"/>
              </w:rPr>
              <w:t>1</w:t>
            </w:r>
            <w:r w:rsidR="00630442" w:rsidRPr="003F1B84">
              <w:rPr>
                <w:b/>
                <w:sz w:val="25"/>
                <w:szCs w:val="25"/>
              </w:rPr>
              <w:t> </w:t>
            </w:r>
            <w:r w:rsidRPr="003F1B84">
              <w:rPr>
                <w:b/>
                <w:sz w:val="25"/>
                <w:szCs w:val="25"/>
              </w:rPr>
              <w:t xml:space="preserve">000 </w:t>
            </w:r>
            <w:proofErr w:type="spellStart"/>
            <w:r w:rsidRPr="003F1B84">
              <w:rPr>
                <w:b/>
                <w:i/>
                <w:sz w:val="25"/>
                <w:szCs w:val="25"/>
              </w:rPr>
              <w:t>euro</w:t>
            </w:r>
            <w:proofErr w:type="spellEnd"/>
            <w:r w:rsidR="00630442" w:rsidRPr="003F1B84">
              <w:rPr>
                <w:sz w:val="25"/>
                <w:szCs w:val="25"/>
              </w:rPr>
              <w:t xml:space="preserve"> apmērā apakšprogrammai 63.07.00 “Eiropas Sociālā fonda (ESF) projektu un pasākumu īstenošana (2014-2020)”;</w:t>
            </w:r>
          </w:p>
          <w:p w:rsidR="00630442" w:rsidRPr="003F1B84" w:rsidRDefault="00F405EC" w:rsidP="006B3BBA">
            <w:pPr>
              <w:ind w:left="123" w:right="113" w:firstLine="360"/>
              <w:jc w:val="both"/>
              <w:rPr>
                <w:sz w:val="25"/>
                <w:szCs w:val="25"/>
              </w:rPr>
            </w:pPr>
            <w:r w:rsidRPr="003F1B84">
              <w:rPr>
                <w:b/>
                <w:sz w:val="25"/>
                <w:szCs w:val="25"/>
              </w:rPr>
              <w:t>9 </w:t>
            </w:r>
            <w:r w:rsidR="00630442" w:rsidRPr="003F1B84">
              <w:rPr>
                <w:b/>
                <w:sz w:val="25"/>
                <w:szCs w:val="25"/>
              </w:rPr>
              <w:t xml:space="preserve">000 </w:t>
            </w:r>
            <w:proofErr w:type="spellStart"/>
            <w:r w:rsidR="00630442" w:rsidRPr="003F1B84">
              <w:rPr>
                <w:b/>
                <w:i/>
                <w:sz w:val="25"/>
                <w:szCs w:val="25"/>
              </w:rPr>
              <w:t>euro</w:t>
            </w:r>
            <w:proofErr w:type="spellEnd"/>
            <w:r w:rsidR="00630442" w:rsidRPr="003F1B84">
              <w:rPr>
                <w:sz w:val="25"/>
                <w:szCs w:val="25"/>
              </w:rPr>
              <w:t xml:space="preserve"> apmērā apakšprogrammai 70.10.00 “Citu ES politiku instrumentu projektu un pasākumu īstenošana (2014-2020)”.</w:t>
            </w:r>
          </w:p>
          <w:p w:rsidR="00FA753E" w:rsidRPr="003F1B84" w:rsidRDefault="00FA753E" w:rsidP="006B3BBA">
            <w:pPr>
              <w:pStyle w:val="ListParagraph"/>
              <w:numPr>
                <w:ilvl w:val="0"/>
                <w:numId w:val="5"/>
              </w:numPr>
              <w:ind w:left="123" w:right="113"/>
              <w:jc w:val="both"/>
              <w:rPr>
                <w:sz w:val="25"/>
                <w:szCs w:val="25"/>
              </w:rPr>
            </w:pPr>
            <w:r w:rsidRPr="003F1B84">
              <w:rPr>
                <w:b/>
                <w:sz w:val="25"/>
                <w:szCs w:val="25"/>
                <w:u w:val="single"/>
              </w:rPr>
              <w:t>Veselības ministrijai</w:t>
            </w:r>
            <w:r w:rsidRPr="003F1B84">
              <w:rPr>
                <w:b/>
                <w:sz w:val="25"/>
                <w:szCs w:val="25"/>
              </w:rPr>
              <w:t xml:space="preserve"> 1</w:t>
            </w:r>
            <w:r w:rsidR="00152ECC" w:rsidRPr="003F1B84">
              <w:rPr>
                <w:b/>
                <w:sz w:val="25"/>
                <w:szCs w:val="25"/>
              </w:rPr>
              <w:t> 359 603</w:t>
            </w:r>
            <w:r w:rsidRPr="003F1B84">
              <w:rPr>
                <w:b/>
                <w:sz w:val="25"/>
                <w:szCs w:val="25"/>
              </w:rPr>
              <w:t xml:space="preserve"> </w:t>
            </w:r>
            <w:proofErr w:type="spellStart"/>
            <w:r w:rsidRPr="003F1B84">
              <w:rPr>
                <w:b/>
                <w:sz w:val="25"/>
                <w:szCs w:val="25"/>
              </w:rPr>
              <w:t>euro</w:t>
            </w:r>
            <w:proofErr w:type="spellEnd"/>
            <w:r w:rsidRPr="003F1B84">
              <w:rPr>
                <w:sz w:val="25"/>
                <w:szCs w:val="25"/>
              </w:rPr>
              <w:t xml:space="preserve"> </w:t>
            </w:r>
            <w:r w:rsidRPr="003F1B84">
              <w:rPr>
                <w:iCs/>
                <w:sz w:val="25"/>
                <w:szCs w:val="25"/>
              </w:rPr>
              <w:t>apmērā,</w:t>
            </w:r>
            <w:r w:rsidRPr="003F1B84">
              <w:rPr>
                <w:sz w:val="25"/>
                <w:szCs w:val="25"/>
              </w:rPr>
              <w:t xml:space="preserve"> tajā skaitā:</w:t>
            </w:r>
          </w:p>
          <w:p w:rsidR="00FA753E" w:rsidRPr="003F1B84" w:rsidRDefault="00FA753E" w:rsidP="006B3BBA">
            <w:pPr>
              <w:tabs>
                <w:tab w:val="left" w:pos="993"/>
              </w:tabs>
              <w:ind w:left="123" w:right="113"/>
              <w:jc w:val="both"/>
              <w:rPr>
                <w:sz w:val="25"/>
                <w:szCs w:val="25"/>
              </w:rPr>
            </w:pPr>
            <w:r w:rsidRPr="003F1B84">
              <w:rPr>
                <w:sz w:val="25"/>
                <w:szCs w:val="25"/>
              </w:rPr>
              <w:lastRenderedPageBreak/>
              <w:t xml:space="preserve">     </w:t>
            </w:r>
            <w:r w:rsidRPr="003F1B84">
              <w:rPr>
                <w:b/>
                <w:sz w:val="25"/>
                <w:szCs w:val="25"/>
              </w:rPr>
              <w:t>890 221 </w:t>
            </w:r>
            <w:proofErr w:type="spellStart"/>
            <w:r w:rsidRPr="003F1B84">
              <w:rPr>
                <w:b/>
                <w:i/>
                <w:sz w:val="25"/>
                <w:szCs w:val="25"/>
              </w:rPr>
              <w:t>euro</w:t>
            </w:r>
            <w:proofErr w:type="spellEnd"/>
            <w:r w:rsidRPr="003F1B84">
              <w:rPr>
                <w:sz w:val="25"/>
                <w:szCs w:val="25"/>
              </w:rPr>
              <w:t xml:space="preserve"> apmērā </w:t>
            </w:r>
            <w:r w:rsidR="004A456A" w:rsidRPr="003F1B84">
              <w:rPr>
                <w:sz w:val="25"/>
                <w:szCs w:val="25"/>
              </w:rPr>
              <w:t>apakšprogrammā 62.08.00 “</w:t>
            </w:r>
            <w:r w:rsidRPr="003F1B84">
              <w:rPr>
                <w:sz w:val="25"/>
                <w:szCs w:val="25"/>
              </w:rPr>
              <w:t xml:space="preserve">Eiropas Reģionālās attīstības fonda (ERAF) projektu veselības jomā īstenošana </w:t>
            </w:r>
            <w:r w:rsidR="004A456A" w:rsidRPr="003F1B84">
              <w:rPr>
                <w:sz w:val="25"/>
                <w:szCs w:val="25"/>
              </w:rPr>
              <w:t>(2014-2020)”</w:t>
            </w:r>
            <w:r w:rsidRPr="003F1B84">
              <w:rPr>
                <w:sz w:val="25"/>
                <w:szCs w:val="25"/>
              </w:rPr>
              <w:t>;</w:t>
            </w:r>
          </w:p>
          <w:p w:rsidR="00FA753E" w:rsidRPr="003F1B84" w:rsidRDefault="00FA753E" w:rsidP="006B3BBA">
            <w:pPr>
              <w:tabs>
                <w:tab w:val="left" w:pos="993"/>
              </w:tabs>
              <w:ind w:left="123" w:right="113"/>
              <w:jc w:val="both"/>
              <w:rPr>
                <w:sz w:val="25"/>
                <w:szCs w:val="25"/>
              </w:rPr>
            </w:pPr>
            <w:r w:rsidRPr="003F1B84">
              <w:rPr>
                <w:sz w:val="25"/>
                <w:szCs w:val="25"/>
              </w:rPr>
              <w:t xml:space="preserve">     </w:t>
            </w:r>
            <w:r w:rsidR="00152ECC" w:rsidRPr="003F1B84">
              <w:rPr>
                <w:b/>
                <w:sz w:val="25"/>
                <w:szCs w:val="25"/>
              </w:rPr>
              <w:t>464 882</w:t>
            </w:r>
            <w:r w:rsidRPr="003F1B84">
              <w:rPr>
                <w:b/>
                <w:sz w:val="25"/>
                <w:szCs w:val="25"/>
              </w:rPr>
              <w:t> </w:t>
            </w:r>
            <w:proofErr w:type="spellStart"/>
            <w:r w:rsidRPr="003F1B84">
              <w:rPr>
                <w:b/>
                <w:i/>
                <w:sz w:val="25"/>
                <w:szCs w:val="25"/>
              </w:rPr>
              <w:t>euro</w:t>
            </w:r>
            <w:proofErr w:type="spellEnd"/>
            <w:r w:rsidRPr="003F1B84">
              <w:rPr>
                <w:sz w:val="25"/>
                <w:szCs w:val="25"/>
              </w:rPr>
              <w:t xml:space="preserve"> apmērā </w:t>
            </w:r>
            <w:r w:rsidR="004A456A" w:rsidRPr="003F1B84">
              <w:rPr>
                <w:sz w:val="25"/>
                <w:szCs w:val="25"/>
              </w:rPr>
              <w:t>apakšprogrammā 63.07.00 “</w:t>
            </w:r>
            <w:r w:rsidRPr="003F1B84">
              <w:rPr>
                <w:sz w:val="25"/>
                <w:szCs w:val="25"/>
              </w:rPr>
              <w:t>Eiropas Sociālā fonda (ESF) projektu īstenošana (2014-2020)</w:t>
            </w:r>
            <w:r w:rsidR="004A456A" w:rsidRPr="003F1B84">
              <w:rPr>
                <w:sz w:val="25"/>
                <w:szCs w:val="25"/>
              </w:rPr>
              <w:t>”</w:t>
            </w:r>
            <w:r w:rsidR="00152ECC" w:rsidRPr="003F1B84">
              <w:rPr>
                <w:sz w:val="25"/>
                <w:szCs w:val="25"/>
              </w:rPr>
              <w:t>;</w:t>
            </w:r>
          </w:p>
          <w:p w:rsidR="00152ECC" w:rsidRPr="003F1B84" w:rsidRDefault="00152ECC" w:rsidP="006B3BBA">
            <w:pPr>
              <w:tabs>
                <w:tab w:val="left" w:pos="993"/>
              </w:tabs>
              <w:ind w:left="123" w:right="113" w:firstLine="283"/>
              <w:jc w:val="both"/>
              <w:rPr>
                <w:sz w:val="25"/>
                <w:szCs w:val="25"/>
              </w:rPr>
            </w:pPr>
            <w:r w:rsidRPr="003F1B84">
              <w:rPr>
                <w:b/>
                <w:sz w:val="25"/>
                <w:szCs w:val="25"/>
              </w:rPr>
              <w:t xml:space="preserve">4 500 </w:t>
            </w:r>
            <w:proofErr w:type="spellStart"/>
            <w:r w:rsidRPr="003F1B84">
              <w:rPr>
                <w:b/>
                <w:i/>
                <w:sz w:val="25"/>
                <w:szCs w:val="25"/>
              </w:rPr>
              <w:t>euro</w:t>
            </w:r>
            <w:proofErr w:type="spellEnd"/>
            <w:r w:rsidRPr="003F1B84">
              <w:rPr>
                <w:b/>
                <w:sz w:val="25"/>
                <w:szCs w:val="25"/>
              </w:rPr>
              <w:t xml:space="preserve"> </w:t>
            </w:r>
            <w:r w:rsidRPr="003F1B84">
              <w:rPr>
                <w:sz w:val="25"/>
                <w:szCs w:val="25"/>
              </w:rPr>
              <w:t>apmērā apakšprogrammā 70.07.00 “</w:t>
            </w:r>
            <w:r w:rsidR="005E0012" w:rsidRPr="003F1B84">
              <w:rPr>
                <w:sz w:val="25"/>
                <w:szCs w:val="25"/>
              </w:rPr>
              <w:t>Citu Eiropas Kopienas projektu īstenošana</w:t>
            </w:r>
            <w:r w:rsidRPr="003F1B84">
              <w:rPr>
                <w:sz w:val="25"/>
                <w:szCs w:val="25"/>
              </w:rPr>
              <w:t>”</w:t>
            </w:r>
            <w:r w:rsidR="00871282" w:rsidRPr="003F1B84">
              <w:rPr>
                <w:sz w:val="25"/>
                <w:szCs w:val="25"/>
              </w:rPr>
              <w:t>.</w:t>
            </w:r>
          </w:p>
          <w:p w:rsidR="00871282" w:rsidRPr="003F1B84" w:rsidRDefault="00871282" w:rsidP="006B3BBA">
            <w:pPr>
              <w:tabs>
                <w:tab w:val="left" w:pos="993"/>
              </w:tabs>
              <w:ind w:left="123" w:right="113"/>
              <w:rPr>
                <w:sz w:val="25"/>
                <w:szCs w:val="25"/>
              </w:rPr>
            </w:pPr>
            <w:r w:rsidRPr="003F1B84">
              <w:rPr>
                <w:b/>
                <w:sz w:val="25"/>
                <w:szCs w:val="25"/>
                <w:u w:val="single"/>
              </w:rPr>
              <w:t>Citiem projektiem</w:t>
            </w:r>
            <w:r w:rsidR="009226DC" w:rsidRPr="003F1B84">
              <w:rPr>
                <w:b/>
                <w:sz w:val="25"/>
                <w:szCs w:val="25"/>
              </w:rPr>
              <w:t xml:space="preserve"> 1 921 628</w:t>
            </w:r>
            <w:r w:rsidRPr="003F1B84">
              <w:rPr>
                <w:b/>
                <w:sz w:val="25"/>
                <w:szCs w:val="25"/>
              </w:rPr>
              <w:t xml:space="preserve"> </w:t>
            </w:r>
            <w:proofErr w:type="spellStart"/>
            <w:r w:rsidRPr="003F1B84">
              <w:rPr>
                <w:b/>
                <w:i/>
                <w:sz w:val="25"/>
                <w:szCs w:val="25"/>
              </w:rPr>
              <w:t>euro</w:t>
            </w:r>
            <w:proofErr w:type="spellEnd"/>
            <w:r w:rsidRPr="003F1B84">
              <w:rPr>
                <w:sz w:val="25"/>
                <w:szCs w:val="25"/>
              </w:rPr>
              <w:t xml:space="preserve"> apmērā.</w:t>
            </w:r>
          </w:p>
          <w:p w:rsidR="00D6079A" w:rsidRPr="003F1B84" w:rsidRDefault="00D6079A" w:rsidP="006B3BBA">
            <w:pPr>
              <w:spacing w:before="240" w:after="240"/>
              <w:ind w:left="123" w:right="113" w:firstLine="284"/>
              <w:jc w:val="both"/>
              <w:rPr>
                <w:sz w:val="25"/>
                <w:szCs w:val="25"/>
              </w:rPr>
            </w:pPr>
            <w:r w:rsidRPr="003F1B84">
              <w:rPr>
                <w:b/>
                <w:sz w:val="25"/>
                <w:szCs w:val="25"/>
              </w:rPr>
              <w:t xml:space="preserve">2. </w:t>
            </w:r>
            <w:r w:rsidR="0053409A" w:rsidRPr="003F1B84">
              <w:rPr>
                <w:sz w:val="25"/>
                <w:szCs w:val="25"/>
              </w:rPr>
              <w:t>Līdz 2018</w:t>
            </w:r>
            <w:r w:rsidRPr="003F1B84">
              <w:rPr>
                <w:sz w:val="25"/>
                <w:szCs w:val="25"/>
              </w:rPr>
              <w:t xml:space="preserve">.gada </w:t>
            </w:r>
            <w:r w:rsidR="005E435A" w:rsidRPr="003F1B84">
              <w:rPr>
                <w:sz w:val="25"/>
                <w:szCs w:val="25"/>
              </w:rPr>
              <w:t>10</w:t>
            </w:r>
            <w:r w:rsidR="0053409A" w:rsidRPr="003F1B84">
              <w:rPr>
                <w:sz w:val="25"/>
                <w:szCs w:val="25"/>
              </w:rPr>
              <w:t>.oktobrim</w:t>
            </w:r>
            <w:r w:rsidRPr="003F1B84">
              <w:rPr>
                <w:sz w:val="25"/>
                <w:szCs w:val="25"/>
              </w:rPr>
              <w:t xml:space="preserve"> Finanšu ministrija ir saņēmusi </w:t>
            </w:r>
            <w:r w:rsidR="00567C3A" w:rsidRPr="003F1B84">
              <w:rPr>
                <w:sz w:val="25"/>
                <w:szCs w:val="25"/>
              </w:rPr>
              <w:t>informāciju par</w:t>
            </w:r>
            <w:r w:rsidR="008F6918" w:rsidRPr="003F1B84">
              <w:rPr>
                <w:sz w:val="25"/>
                <w:szCs w:val="25"/>
              </w:rPr>
              <w:t xml:space="preserve"> </w:t>
            </w:r>
            <w:r w:rsidR="008F6918" w:rsidRPr="003F1B84">
              <w:rPr>
                <w:b/>
                <w:sz w:val="25"/>
                <w:szCs w:val="25"/>
              </w:rPr>
              <w:t>apropriācijas pārdal</w:t>
            </w:r>
            <w:r w:rsidRPr="003F1B84">
              <w:rPr>
                <w:b/>
                <w:sz w:val="25"/>
                <w:szCs w:val="25"/>
              </w:rPr>
              <w:t>i no ministriju budžetiem uz 80.00.00 programmu</w:t>
            </w:r>
            <w:r w:rsidRPr="003F1B84">
              <w:rPr>
                <w:sz w:val="25"/>
                <w:szCs w:val="25"/>
              </w:rPr>
              <w:t xml:space="preserve"> </w:t>
            </w:r>
            <w:r w:rsidR="00455577" w:rsidRPr="003F1B84">
              <w:rPr>
                <w:b/>
                <w:sz w:val="25"/>
                <w:szCs w:val="25"/>
              </w:rPr>
              <w:t>4 734 796</w:t>
            </w:r>
            <w:r w:rsidRPr="003F1B84">
              <w:rPr>
                <w:color w:val="FF0000"/>
                <w:sz w:val="25"/>
                <w:szCs w:val="25"/>
              </w:rPr>
              <w:t xml:space="preserve"> </w:t>
            </w:r>
            <w:proofErr w:type="spellStart"/>
            <w:r w:rsidRPr="003F1B84">
              <w:rPr>
                <w:b/>
                <w:i/>
                <w:sz w:val="25"/>
                <w:szCs w:val="25"/>
              </w:rPr>
              <w:t>euro</w:t>
            </w:r>
            <w:proofErr w:type="spellEnd"/>
            <w:r w:rsidRPr="003F1B84">
              <w:rPr>
                <w:sz w:val="25"/>
                <w:szCs w:val="25"/>
              </w:rPr>
              <w:t xml:space="preserve"> apmērā, tajā skaitā:</w:t>
            </w:r>
          </w:p>
          <w:p w:rsidR="00D6079A" w:rsidRPr="003F1B84" w:rsidRDefault="00170CFC" w:rsidP="006B3BBA">
            <w:pPr>
              <w:pStyle w:val="ListParagraph"/>
              <w:numPr>
                <w:ilvl w:val="0"/>
                <w:numId w:val="5"/>
              </w:numPr>
              <w:spacing w:before="240" w:after="240"/>
              <w:ind w:left="123" w:right="113"/>
              <w:jc w:val="both"/>
              <w:rPr>
                <w:sz w:val="25"/>
                <w:szCs w:val="25"/>
              </w:rPr>
            </w:pPr>
            <w:r w:rsidRPr="003F1B84">
              <w:rPr>
                <w:b/>
                <w:sz w:val="25"/>
                <w:szCs w:val="25"/>
                <w:u w:val="single"/>
              </w:rPr>
              <w:t>resora “Ministru kabinets”</w:t>
            </w:r>
            <w:r w:rsidR="00567C3A" w:rsidRPr="003F1B84">
              <w:rPr>
                <w:sz w:val="25"/>
                <w:szCs w:val="25"/>
              </w:rPr>
              <w:t xml:space="preserve"> plānotā pārdal</w:t>
            </w:r>
            <w:r w:rsidR="005E6150" w:rsidRPr="003F1B84">
              <w:rPr>
                <w:sz w:val="25"/>
                <w:szCs w:val="25"/>
              </w:rPr>
              <w:t xml:space="preserve">e </w:t>
            </w:r>
            <w:r w:rsidR="00CF1350" w:rsidRPr="003F1B84">
              <w:rPr>
                <w:b/>
                <w:sz w:val="25"/>
                <w:szCs w:val="25"/>
              </w:rPr>
              <w:t xml:space="preserve">305 130 </w:t>
            </w:r>
            <w:proofErr w:type="spellStart"/>
            <w:r w:rsidR="00CF1350" w:rsidRPr="003F1B84">
              <w:rPr>
                <w:b/>
                <w:i/>
                <w:sz w:val="25"/>
                <w:szCs w:val="25"/>
              </w:rPr>
              <w:t>euro</w:t>
            </w:r>
            <w:proofErr w:type="spellEnd"/>
            <w:r w:rsidR="00CF1350" w:rsidRPr="003F1B84">
              <w:rPr>
                <w:sz w:val="25"/>
                <w:szCs w:val="25"/>
              </w:rPr>
              <w:t xml:space="preserve"> apmērā </w:t>
            </w:r>
            <w:r w:rsidR="005E6150" w:rsidRPr="003F1B84">
              <w:rPr>
                <w:sz w:val="25"/>
                <w:szCs w:val="25"/>
              </w:rPr>
              <w:t>no apakšprogrammas 62.06.00. “</w:t>
            </w:r>
            <w:r w:rsidR="00567C3A" w:rsidRPr="003F1B84">
              <w:rPr>
                <w:sz w:val="25"/>
                <w:szCs w:val="25"/>
              </w:rPr>
              <w:t>Eiropas Reģionālās attīstības fo</w:t>
            </w:r>
            <w:r w:rsidR="005E6150" w:rsidRPr="003F1B84">
              <w:rPr>
                <w:sz w:val="25"/>
                <w:szCs w:val="25"/>
              </w:rPr>
              <w:t>nda (ERAF) projekti (2014-2020)”</w:t>
            </w:r>
            <w:r w:rsidR="00CF1350" w:rsidRPr="003F1B84">
              <w:rPr>
                <w:sz w:val="25"/>
                <w:szCs w:val="25"/>
              </w:rPr>
              <w:t>.</w:t>
            </w:r>
          </w:p>
          <w:p w:rsidR="00D6079A" w:rsidRPr="003F1B84" w:rsidRDefault="00567C3A" w:rsidP="006B3BBA">
            <w:pPr>
              <w:pStyle w:val="ListParagraph"/>
              <w:numPr>
                <w:ilvl w:val="0"/>
                <w:numId w:val="5"/>
              </w:numPr>
              <w:spacing w:before="240" w:after="240"/>
              <w:ind w:left="123" w:right="113"/>
              <w:jc w:val="both"/>
              <w:rPr>
                <w:sz w:val="25"/>
                <w:szCs w:val="25"/>
              </w:rPr>
            </w:pPr>
            <w:r w:rsidRPr="003F1B84">
              <w:rPr>
                <w:b/>
                <w:sz w:val="25"/>
                <w:szCs w:val="25"/>
                <w:u w:val="single"/>
              </w:rPr>
              <w:t>Labklājības</w:t>
            </w:r>
            <w:r w:rsidR="00D6079A" w:rsidRPr="003F1B84">
              <w:rPr>
                <w:b/>
                <w:sz w:val="25"/>
                <w:szCs w:val="25"/>
                <w:u w:val="single"/>
              </w:rPr>
              <w:t xml:space="preserve"> ministrijas</w:t>
            </w:r>
            <w:r w:rsidR="00D6079A" w:rsidRPr="003F1B84">
              <w:rPr>
                <w:sz w:val="25"/>
                <w:szCs w:val="25"/>
              </w:rPr>
              <w:t xml:space="preserve"> plānotā pārdale </w:t>
            </w:r>
            <w:r w:rsidR="00301CBB" w:rsidRPr="003F1B84">
              <w:rPr>
                <w:b/>
                <w:sz w:val="25"/>
                <w:szCs w:val="25"/>
              </w:rPr>
              <w:t>4 429 666</w:t>
            </w:r>
            <w:r w:rsidR="00D6079A" w:rsidRPr="003F1B84">
              <w:rPr>
                <w:b/>
                <w:sz w:val="25"/>
                <w:szCs w:val="25"/>
              </w:rPr>
              <w:t xml:space="preserve"> </w:t>
            </w:r>
            <w:proofErr w:type="spellStart"/>
            <w:r w:rsidR="00D6079A" w:rsidRPr="003F1B84">
              <w:rPr>
                <w:b/>
                <w:i/>
                <w:sz w:val="25"/>
                <w:szCs w:val="25"/>
              </w:rPr>
              <w:t>euro</w:t>
            </w:r>
            <w:proofErr w:type="spellEnd"/>
            <w:r w:rsidR="00D6079A" w:rsidRPr="003F1B84">
              <w:rPr>
                <w:i/>
                <w:sz w:val="25"/>
                <w:szCs w:val="25"/>
              </w:rPr>
              <w:t xml:space="preserve"> </w:t>
            </w:r>
            <w:r w:rsidR="00D6079A" w:rsidRPr="003F1B84">
              <w:rPr>
                <w:sz w:val="25"/>
                <w:szCs w:val="25"/>
              </w:rPr>
              <w:t>apmērā</w:t>
            </w:r>
            <w:r w:rsidRPr="003F1B84">
              <w:rPr>
                <w:sz w:val="25"/>
                <w:szCs w:val="25"/>
              </w:rPr>
              <w:t xml:space="preserve"> (</w:t>
            </w:r>
            <w:r w:rsidR="00170CFC" w:rsidRPr="003F1B84">
              <w:rPr>
                <w:sz w:val="25"/>
                <w:szCs w:val="25"/>
              </w:rPr>
              <w:t>Labklājības ministrijas e-pasts</w:t>
            </w:r>
            <w:r w:rsidRPr="003F1B84">
              <w:rPr>
                <w:sz w:val="25"/>
                <w:szCs w:val="25"/>
              </w:rPr>
              <w:t>)</w:t>
            </w:r>
            <w:r w:rsidR="00ED59B9" w:rsidRPr="003F1B84">
              <w:rPr>
                <w:sz w:val="25"/>
                <w:szCs w:val="25"/>
              </w:rPr>
              <w:t>, tajā skaitā</w:t>
            </w:r>
            <w:r w:rsidR="00301CBB" w:rsidRPr="003F1B84">
              <w:rPr>
                <w:sz w:val="25"/>
                <w:szCs w:val="25"/>
              </w:rPr>
              <w:t>:</w:t>
            </w:r>
          </w:p>
          <w:p w:rsidR="00790DC9" w:rsidRPr="003F1B84" w:rsidRDefault="00790DC9" w:rsidP="006B3BBA">
            <w:pPr>
              <w:pStyle w:val="ListParagraph"/>
              <w:spacing w:before="240" w:after="240"/>
              <w:ind w:left="406" w:right="113"/>
              <w:jc w:val="both"/>
              <w:rPr>
                <w:sz w:val="25"/>
                <w:szCs w:val="25"/>
              </w:rPr>
            </w:pPr>
            <w:r w:rsidRPr="003F1B84">
              <w:rPr>
                <w:b/>
                <w:sz w:val="25"/>
                <w:szCs w:val="25"/>
              </w:rPr>
              <w:t xml:space="preserve">719 905 </w:t>
            </w:r>
            <w:proofErr w:type="spellStart"/>
            <w:r w:rsidRPr="003F1B84">
              <w:rPr>
                <w:b/>
                <w:i/>
                <w:sz w:val="25"/>
                <w:szCs w:val="25"/>
              </w:rPr>
              <w:t>euro</w:t>
            </w:r>
            <w:proofErr w:type="spellEnd"/>
            <w:r w:rsidRPr="003F1B84">
              <w:rPr>
                <w:b/>
                <w:sz w:val="25"/>
                <w:szCs w:val="25"/>
              </w:rPr>
              <w:t xml:space="preserve"> </w:t>
            </w:r>
            <w:r w:rsidRPr="003F1B84">
              <w:rPr>
                <w:sz w:val="25"/>
                <w:szCs w:val="25"/>
              </w:rPr>
              <w:t>apmērā apakšprogrammā</w:t>
            </w:r>
            <w:r w:rsidR="004D1D9A" w:rsidRPr="003F1B84">
              <w:rPr>
                <w:sz w:val="25"/>
                <w:szCs w:val="25"/>
              </w:rPr>
              <w:t xml:space="preserve"> 62.07.00 “Eiropas Reģionālās attīstības fonda (ERAF) īstenotie projekti labklājības nozarē (2014-2020)”;</w:t>
            </w:r>
          </w:p>
          <w:p w:rsidR="00790DC9" w:rsidRPr="003F1B84" w:rsidRDefault="00790DC9" w:rsidP="006B3BBA">
            <w:pPr>
              <w:pStyle w:val="ListParagraph"/>
              <w:spacing w:before="240" w:after="240"/>
              <w:ind w:left="406" w:right="113"/>
              <w:jc w:val="both"/>
              <w:rPr>
                <w:sz w:val="25"/>
                <w:szCs w:val="25"/>
              </w:rPr>
            </w:pPr>
            <w:r w:rsidRPr="003F1B84">
              <w:rPr>
                <w:b/>
                <w:sz w:val="25"/>
                <w:szCs w:val="25"/>
              </w:rPr>
              <w:t xml:space="preserve">3 527 891 </w:t>
            </w:r>
            <w:proofErr w:type="spellStart"/>
            <w:r w:rsidRPr="003F1B84">
              <w:rPr>
                <w:b/>
                <w:i/>
                <w:sz w:val="25"/>
                <w:szCs w:val="25"/>
              </w:rPr>
              <w:t>euro</w:t>
            </w:r>
            <w:proofErr w:type="spellEnd"/>
            <w:r w:rsidRPr="003F1B84">
              <w:rPr>
                <w:b/>
                <w:sz w:val="25"/>
                <w:szCs w:val="25"/>
              </w:rPr>
              <w:t xml:space="preserve"> </w:t>
            </w:r>
            <w:r w:rsidRPr="003F1B84">
              <w:rPr>
                <w:sz w:val="25"/>
                <w:szCs w:val="25"/>
              </w:rPr>
              <w:t>apmērā apakšprogrammā</w:t>
            </w:r>
            <w:r w:rsidR="001509E7" w:rsidRPr="003F1B84">
              <w:rPr>
                <w:sz w:val="25"/>
                <w:szCs w:val="25"/>
              </w:rPr>
              <w:t xml:space="preserve"> 63.07.00 “Eiropas Sociālā fonda (ESF) īstenotie projekti labklājības nozarē (2014.-2020.)”;</w:t>
            </w:r>
          </w:p>
          <w:p w:rsidR="00790DC9" w:rsidRPr="003F1B84" w:rsidRDefault="00790DC9" w:rsidP="006B3BBA">
            <w:pPr>
              <w:pStyle w:val="ListParagraph"/>
              <w:spacing w:before="240" w:after="240"/>
              <w:ind w:left="406" w:right="113"/>
              <w:jc w:val="both"/>
              <w:rPr>
                <w:sz w:val="25"/>
                <w:szCs w:val="25"/>
              </w:rPr>
            </w:pPr>
            <w:r w:rsidRPr="003F1B84">
              <w:rPr>
                <w:b/>
                <w:sz w:val="25"/>
                <w:szCs w:val="25"/>
              </w:rPr>
              <w:t xml:space="preserve">40 680 </w:t>
            </w:r>
            <w:proofErr w:type="spellStart"/>
            <w:r w:rsidRPr="003F1B84">
              <w:rPr>
                <w:b/>
                <w:i/>
                <w:sz w:val="25"/>
                <w:szCs w:val="25"/>
              </w:rPr>
              <w:t>euro</w:t>
            </w:r>
            <w:proofErr w:type="spellEnd"/>
            <w:r w:rsidRPr="003F1B84">
              <w:rPr>
                <w:b/>
                <w:sz w:val="25"/>
                <w:szCs w:val="25"/>
              </w:rPr>
              <w:t xml:space="preserve"> </w:t>
            </w:r>
            <w:r w:rsidRPr="003F1B84">
              <w:rPr>
                <w:sz w:val="25"/>
                <w:szCs w:val="25"/>
              </w:rPr>
              <w:t>apmērā apakšprogrammā</w:t>
            </w:r>
            <w:r w:rsidR="00B37017" w:rsidRPr="003F1B84">
              <w:rPr>
                <w:sz w:val="25"/>
                <w:szCs w:val="25"/>
              </w:rPr>
              <w:t xml:space="preserve"> 69.06.00 “Mērķa “Eiropas teritoriālā sadarbība” pārrobežu sadarbības programmu, projektu un pasākumu īstenošana (2014-2020)”;</w:t>
            </w:r>
          </w:p>
          <w:p w:rsidR="00790DC9" w:rsidRPr="003F1B84" w:rsidRDefault="00790DC9" w:rsidP="006B3BBA">
            <w:pPr>
              <w:pStyle w:val="ListParagraph"/>
              <w:spacing w:before="240" w:after="240"/>
              <w:ind w:left="406" w:right="113"/>
              <w:jc w:val="both"/>
              <w:rPr>
                <w:sz w:val="25"/>
                <w:szCs w:val="25"/>
              </w:rPr>
            </w:pPr>
            <w:r w:rsidRPr="003F1B84">
              <w:rPr>
                <w:b/>
                <w:sz w:val="25"/>
                <w:szCs w:val="25"/>
              </w:rPr>
              <w:t xml:space="preserve">105 002 </w:t>
            </w:r>
            <w:proofErr w:type="spellStart"/>
            <w:r w:rsidRPr="003F1B84">
              <w:rPr>
                <w:b/>
                <w:i/>
                <w:sz w:val="25"/>
                <w:szCs w:val="25"/>
              </w:rPr>
              <w:t>euro</w:t>
            </w:r>
            <w:proofErr w:type="spellEnd"/>
            <w:r w:rsidRPr="003F1B84">
              <w:rPr>
                <w:b/>
                <w:sz w:val="25"/>
                <w:szCs w:val="25"/>
              </w:rPr>
              <w:t xml:space="preserve"> </w:t>
            </w:r>
            <w:r w:rsidRPr="003F1B84">
              <w:rPr>
                <w:sz w:val="25"/>
                <w:szCs w:val="25"/>
              </w:rPr>
              <w:t>apmērā apakšprogrammā</w:t>
            </w:r>
            <w:r w:rsidR="00932481" w:rsidRPr="003F1B84">
              <w:rPr>
                <w:sz w:val="25"/>
                <w:szCs w:val="25"/>
              </w:rPr>
              <w:t xml:space="preserve"> 70.08.00 “Citu Eiropas Savienības politiku instrumentu projektu un pasākumu īstenošana labklājības nozarē”;</w:t>
            </w:r>
          </w:p>
          <w:p w:rsidR="00790DC9" w:rsidRPr="003F1B84" w:rsidRDefault="00790DC9" w:rsidP="006B3BBA">
            <w:pPr>
              <w:pStyle w:val="ListParagraph"/>
              <w:spacing w:before="240" w:after="240"/>
              <w:ind w:left="406" w:right="113"/>
              <w:jc w:val="both"/>
              <w:rPr>
                <w:sz w:val="25"/>
                <w:szCs w:val="25"/>
              </w:rPr>
            </w:pPr>
            <w:r w:rsidRPr="003F1B84">
              <w:rPr>
                <w:b/>
                <w:sz w:val="25"/>
                <w:szCs w:val="25"/>
              </w:rPr>
              <w:t xml:space="preserve">36 188 </w:t>
            </w:r>
            <w:proofErr w:type="spellStart"/>
            <w:r w:rsidRPr="003F1B84">
              <w:rPr>
                <w:b/>
                <w:i/>
                <w:sz w:val="25"/>
                <w:szCs w:val="25"/>
              </w:rPr>
              <w:t>euro</w:t>
            </w:r>
            <w:proofErr w:type="spellEnd"/>
            <w:r w:rsidRPr="003F1B84">
              <w:rPr>
                <w:b/>
                <w:i/>
                <w:sz w:val="25"/>
                <w:szCs w:val="25"/>
              </w:rPr>
              <w:t xml:space="preserve"> </w:t>
            </w:r>
            <w:r w:rsidRPr="003F1B84">
              <w:rPr>
                <w:sz w:val="25"/>
                <w:szCs w:val="25"/>
              </w:rPr>
              <w:t xml:space="preserve"> apmērā apakšprogrammā</w:t>
            </w:r>
            <w:r w:rsidR="001B419D" w:rsidRPr="003F1B84">
              <w:rPr>
                <w:sz w:val="25"/>
                <w:szCs w:val="25"/>
              </w:rPr>
              <w:t xml:space="preserve"> 73.06.00 “Ārvalstu finanšu palīdzības finansēto projektu īstenošana labklājības nozarē”.</w:t>
            </w:r>
          </w:p>
          <w:p w:rsidR="00D6079A" w:rsidRPr="003F1B84" w:rsidRDefault="00D6079A" w:rsidP="006B3BBA">
            <w:pPr>
              <w:spacing w:before="240" w:after="240"/>
              <w:ind w:left="123" w:right="113" w:firstLine="284"/>
              <w:jc w:val="both"/>
              <w:rPr>
                <w:b/>
                <w:sz w:val="25"/>
                <w:szCs w:val="25"/>
              </w:rPr>
            </w:pPr>
            <w:r w:rsidRPr="003F1B84">
              <w:rPr>
                <w:b/>
                <w:sz w:val="25"/>
                <w:szCs w:val="25"/>
              </w:rPr>
              <w:t>3.</w:t>
            </w:r>
            <w:r w:rsidRPr="003F1B84">
              <w:rPr>
                <w:sz w:val="25"/>
                <w:szCs w:val="25"/>
              </w:rPr>
              <w:t xml:space="preserve"> </w:t>
            </w:r>
            <w:r w:rsidRPr="003F1B84">
              <w:rPr>
                <w:b/>
                <w:sz w:val="25"/>
                <w:szCs w:val="25"/>
              </w:rPr>
              <w:t>Papildu līdzekļu apjoms, kas nepieciešams līdz 201</w:t>
            </w:r>
            <w:r w:rsidR="00D54B2D" w:rsidRPr="003F1B84">
              <w:rPr>
                <w:b/>
                <w:sz w:val="25"/>
                <w:szCs w:val="25"/>
              </w:rPr>
              <w:t>8</w:t>
            </w:r>
            <w:r w:rsidRPr="003F1B84">
              <w:rPr>
                <w:b/>
                <w:sz w:val="25"/>
                <w:szCs w:val="25"/>
              </w:rPr>
              <w:t>.gada beigām:</w:t>
            </w:r>
          </w:p>
          <w:p w:rsidR="00D6079A" w:rsidRPr="003F1B84" w:rsidRDefault="00D6079A" w:rsidP="006B3BBA">
            <w:pPr>
              <w:spacing w:before="240" w:after="240"/>
              <w:ind w:left="123" w:right="113" w:firstLine="284"/>
              <w:jc w:val="both"/>
              <w:rPr>
                <w:b/>
                <w:sz w:val="25"/>
                <w:szCs w:val="25"/>
              </w:rPr>
            </w:pPr>
            <w:r w:rsidRPr="003F1B84">
              <w:rPr>
                <w:sz w:val="25"/>
                <w:szCs w:val="25"/>
              </w:rPr>
              <w:t>Prognozētais līdzekļu deficīts 80.00.00 programmā, t.sk. ņemot vērā 80.00.00 programmas atlikumu uz 201</w:t>
            </w:r>
            <w:r w:rsidR="00D54B2D" w:rsidRPr="003F1B84">
              <w:rPr>
                <w:sz w:val="25"/>
                <w:szCs w:val="25"/>
              </w:rPr>
              <w:t>8</w:t>
            </w:r>
            <w:r w:rsidRPr="003F1B84">
              <w:rPr>
                <w:sz w:val="25"/>
                <w:szCs w:val="25"/>
              </w:rPr>
              <w:t xml:space="preserve">.gada </w:t>
            </w:r>
            <w:r w:rsidR="00370F44" w:rsidRPr="003F1B84">
              <w:rPr>
                <w:sz w:val="25"/>
                <w:szCs w:val="25"/>
              </w:rPr>
              <w:t>10</w:t>
            </w:r>
            <w:r w:rsidR="00D54B2D" w:rsidRPr="003F1B84">
              <w:rPr>
                <w:sz w:val="25"/>
                <w:szCs w:val="25"/>
              </w:rPr>
              <w:t>.oktobri</w:t>
            </w:r>
            <w:r w:rsidRPr="003F1B84">
              <w:rPr>
                <w:sz w:val="25"/>
                <w:szCs w:val="25"/>
              </w:rPr>
              <w:t xml:space="preserve">, </w:t>
            </w:r>
            <w:r w:rsidR="00D54B2D" w:rsidRPr="003F1B84">
              <w:rPr>
                <w:sz w:val="25"/>
                <w:szCs w:val="25"/>
              </w:rPr>
              <w:t>ministriju</w:t>
            </w:r>
            <w:r w:rsidRPr="003F1B84">
              <w:rPr>
                <w:sz w:val="25"/>
                <w:szCs w:val="25"/>
              </w:rPr>
              <w:t xml:space="preserve"> sniegto</w:t>
            </w:r>
            <w:r w:rsidR="009E5A67" w:rsidRPr="003F1B84">
              <w:rPr>
                <w:sz w:val="25"/>
                <w:szCs w:val="25"/>
              </w:rPr>
              <w:t>s</w:t>
            </w:r>
            <w:r w:rsidRPr="003F1B84">
              <w:rPr>
                <w:sz w:val="25"/>
                <w:szCs w:val="25"/>
              </w:rPr>
              <w:t xml:space="preserve"> </w:t>
            </w:r>
            <w:r w:rsidR="009E5A67" w:rsidRPr="003F1B84">
              <w:rPr>
                <w:sz w:val="25"/>
                <w:szCs w:val="25"/>
              </w:rPr>
              <w:t>pieprasījumus</w:t>
            </w:r>
            <w:r w:rsidRPr="003F1B84">
              <w:rPr>
                <w:sz w:val="25"/>
                <w:szCs w:val="25"/>
              </w:rPr>
              <w:t xml:space="preserve"> par papildus nepieciešamo līdzekļu apjomu līdz 201</w:t>
            </w:r>
            <w:r w:rsidR="00D54B2D" w:rsidRPr="003F1B84">
              <w:rPr>
                <w:sz w:val="25"/>
                <w:szCs w:val="25"/>
              </w:rPr>
              <w:t>8</w:t>
            </w:r>
            <w:r w:rsidRPr="003F1B84">
              <w:rPr>
                <w:sz w:val="25"/>
                <w:szCs w:val="25"/>
              </w:rPr>
              <w:t>.gada beigām un pieprasījumus apropriācijas pārdalei no ministriju budžetiem uz 80.00.00 programmu</w:t>
            </w:r>
            <w:r w:rsidR="009E5A67" w:rsidRPr="003F1B84">
              <w:rPr>
                <w:sz w:val="25"/>
                <w:szCs w:val="25"/>
              </w:rPr>
              <w:t>,</w:t>
            </w:r>
            <w:r w:rsidRPr="003F1B84">
              <w:rPr>
                <w:sz w:val="25"/>
                <w:szCs w:val="25"/>
              </w:rPr>
              <w:t xml:space="preserve"> ir </w:t>
            </w:r>
            <w:r w:rsidR="00BB2AB5" w:rsidRPr="003F1B84">
              <w:rPr>
                <w:b/>
                <w:sz w:val="25"/>
                <w:szCs w:val="25"/>
              </w:rPr>
              <w:t>232 000 000</w:t>
            </w:r>
            <w:r w:rsidR="006F4715" w:rsidRPr="003F1B84">
              <w:rPr>
                <w:b/>
                <w:sz w:val="25"/>
                <w:szCs w:val="25"/>
              </w:rPr>
              <w:t xml:space="preserve"> </w:t>
            </w:r>
            <w:proofErr w:type="spellStart"/>
            <w:r w:rsidRPr="003F1B84">
              <w:rPr>
                <w:b/>
                <w:i/>
                <w:sz w:val="25"/>
                <w:szCs w:val="25"/>
              </w:rPr>
              <w:t>euro</w:t>
            </w:r>
            <w:proofErr w:type="spellEnd"/>
            <w:r w:rsidRPr="003F1B84">
              <w:rPr>
                <w:b/>
                <w:sz w:val="25"/>
                <w:szCs w:val="25"/>
              </w:rPr>
              <w:t>.</w:t>
            </w:r>
          </w:p>
          <w:p w:rsidR="00D6079A" w:rsidRPr="003F1B84" w:rsidRDefault="005C5BDA" w:rsidP="006B3BBA">
            <w:pPr>
              <w:spacing w:before="240"/>
              <w:ind w:left="125" w:right="113" w:firstLine="284"/>
              <w:jc w:val="both"/>
              <w:rPr>
                <w:b/>
                <w:sz w:val="25"/>
                <w:szCs w:val="25"/>
              </w:rPr>
            </w:pPr>
            <w:r w:rsidRPr="003F1B84">
              <w:rPr>
                <w:b/>
                <w:sz w:val="25"/>
                <w:szCs w:val="25"/>
              </w:rPr>
              <w:t xml:space="preserve">4. </w:t>
            </w:r>
            <w:r w:rsidR="00814BB4" w:rsidRPr="003F1B84">
              <w:rPr>
                <w:b/>
                <w:sz w:val="25"/>
                <w:szCs w:val="25"/>
              </w:rPr>
              <w:t>Tālākā rīcība</w:t>
            </w:r>
          </w:p>
          <w:p w:rsidR="00D6079A" w:rsidRPr="003F1B84" w:rsidRDefault="00D6079A" w:rsidP="006B3BBA">
            <w:pPr>
              <w:autoSpaceDE w:val="0"/>
              <w:autoSpaceDN w:val="0"/>
              <w:adjustRightInd w:val="0"/>
              <w:spacing w:after="120"/>
              <w:ind w:left="125" w:right="113" w:firstLine="284"/>
              <w:jc w:val="both"/>
              <w:rPr>
                <w:bCs/>
                <w:sz w:val="25"/>
                <w:szCs w:val="25"/>
              </w:rPr>
            </w:pPr>
            <w:r w:rsidRPr="003F1B84">
              <w:rPr>
                <w:sz w:val="25"/>
                <w:szCs w:val="25"/>
              </w:rPr>
              <w:t>Ņemot vērā iepriekš minēto, Finanšu ministrija ir sagatavojusi Ministru kabineta rīkojuma projektu “</w:t>
            </w:r>
            <w:r w:rsidRPr="003F1B84">
              <w:rPr>
                <w:bCs/>
                <w:sz w:val="25"/>
                <w:szCs w:val="25"/>
              </w:rPr>
              <w:t xml:space="preserve">Par apropriācijas palielināšanu budžeta resora “74. Gadskārtējā valsts budžeta izpildes procesā pārdalāmais finansējums” budžeta programmai 80.00.00 “Nesadalītais finansējums Eiropas Savienības politiku instrumentu un pārējās ārvalstu finanšu palīdzības līdzfinansēto </w:t>
            </w:r>
            <w:r w:rsidRPr="003F1B84">
              <w:rPr>
                <w:bCs/>
                <w:sz w:val="25"/>
                <w:szCs w:val="25"/>
              </w:rPr>
              <w:lastRenderedPageBreak/>
              <w:t>projektu un pasākumu īstenošanai”</w:t>
            </w:r>
            <w:r w:rsidRPr="003F1B84">
              <w:rPr>
                <w:sz w:val="25"/>
                <w:szCs w:val="25"/>
              </w:rPr>
              <w:t xml:space="preserve">”, kas paredz palielināt apropriāciju </w:t>
            </w:r>
            <w:r w:rsidRPr="003F1B84">
              <w:rPr>
                <w:bCs/>
                <w:sz w:val="25"/>
                <w:szCs w:val="25"/>
              </w:rPr>
              <w:t xml:space="preserve">80.00.00 programmai </w:t>
            </w:r>
            <w:r w:rsidR="00BB2AB5" w:rsidRPr="003F1B84">
              <w:rPr>
                <w:b/>
                <w:sz w:val="25"/>
                <w:szCs w:val="25"/>
              </w:rPr>
              <w:t>232 000 000</w:t>
            </w:r>
            <w:r w:rsidR="00814BB4" w:rsidRPr="003F1B84">
              <w:rPr>
                <w:b/>
                <w:sz w:val="25"/>
                <w:szCs w:val="25"/>
              </w:rPr>
              <w:t xml:space="preserve"> </w:t>
            </w:r>
            <w:proofErr w:type="spellStart"/>
            <w:r w:rsidRPr="003F1B84">
              <w:rPr>
                <w:b/>
                <w:i/>
                <w:sz w:val="25"/>
                <w:szCs w:val="25"/>
              </w:rPr>
              <w:t>euro</w:t>
            </w:r>
            <w:proofErr w:type="spellEnd"/>
            <w:r w:rsidRPr="003F1B84">
              <w:rPr>
                <w:i/>
                <w:sz w:val="25"/>
                <w:szCs w:val="25"/>
              </w:rPr>
              <w:t xml:space="preserve"> </w:t>
            </w:r>
            <w:r w:rsidRPr="003F1B84">
              <w:rPr>
                <w:sz w:val="25"/>
                <w:szCs w:val="25"/>
              </w:rPr>
              <w:t>apmērā, lai būtu iespējams veikt apropriācijas pārdali, tādā veidā nodrošinot Eiropas Savienības politiku instrumentu un citu ārvalstu finanšu palīdzības projektu un pasākumu savlaicīgu īstenošanu.</w:t>
            </w:r>
          </w:p>
        </w:tc>
      </w:tr>
      <w:tr w:rsidR="009D36DE" w:rsidRPr="00BA4D20" w:rsidTr="00962079">
        <w:trPr>
          <w:trHeight w:val="134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9D36DE" w:rsidRPr="00BA4D20" w:rsidRDefault="009D36DE" w:rsidP="000044FA">
            <w:pPr>
              <w:spacing w:before="100" w:after="100"/>
            </w:pPr>
            <w:r w:rsidRPr="00BA4D20">
              <w:lastRenderedPageBreak/>
              <w:t>3.</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9D36DE" w:rsidRPr="00BA4D20" w:rsidRDefault="009D36DE" w:rsidP="000044FA">
            <w:pPr>
              <w:spacing w:before="100" w:after="100"/>
            </w:pPr>
            <w:r w:rsidRPr="00BA4D20">
              <w:t>Projekta izstrādē iesaistītās institūcijas un publiskas personas kapitālsabiedrības</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9D36DE" w:rsidRPr="00BA4D20" w:rsidRDefault="003B60B8" w:rsidP="006D245F">
            <w:pPr>
              <w:spacing w:before="100" w:after="100"/>
              <w:ind w:firstLine="123"/>
              <w:jc w:val="both"/>
            </w:pPr>
            <w:r w:rsidRPr="00BA4D20">
              <w:t>Nav</w:t>
            </w:r>
          </w:p>
        </w:tc>
      </w:tr>
      <w:tr w:rsidR="009D36DE" w:rsidRPr="00BA4D20" w:rsidTr="001611E9">
        <w:trPr>
          <w:trHeight w:val="17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9D36DE" w:rsidRPr="00BA4D20" w:rsidRDefault="009D36DE" w:rsidP="000044FA">
            <w:pPr>
              <w:spacing w:before="100" w:after="100"/>
            </w:pPr>
            <w:r w:rsidRPr="00BA4D20">
              <w:t>4.</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9D36DE" w:rsidRPr="00BA4D20" w:rsidRDefault="009D36DE" w:rsidP="000044FA">
            <w:pPr>
              <w:spacing w:before="100" w:after="100"/>
            </w:pPr>
            <w:r w:rsidRPr="00BA4D20">
              <w:t>Cita informācija</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9D36DE" w:rsidRPr="00BA4D20" w:rsidRDefault="003B60B8" w:rsidP="006D245F">
            <w:pPr>
              <w:spacing w:before="100" w:after="100"/>
              <w:ind w:firstLine="123"/>
              <w:jc w:val="both"/>
            </w:pPr>
            <w:r w:rsidRPr="00BA4D20">
              <w:rPr>
                <w:bCs/>
              </w:rPr>
              <w:t>Nav</w:t>
            </w:r>
          </w:p>
        </w:tc>
      </w:tr>
    </w:tbl>
    <w:p w:rsidR="009D36DE" w:rsidRPr="00BA4D20" w:rsidRDefault="009D36DE" w:rsidP="000044FA"/>
    <w:tbl>
      <w:tblPr>
        <w:tblW w:w="5181" w:type="pct"/>
        <w:tblInd w:w="-147" w:type="dxa"/>
        <w:tblCellMar>
          <w:left w:w="10" w:type="dxa"/>
          <w:right w:w="10" w:type="dxa"/>
        </w:tblCellMar>
        <w:tblLook w:val="0000" w:firstRow="0" w:lastRow="0" w:firstColumn="0" w:lastColumn="0" w:noHBand="0" w:noVBand="0"/>
      </w:tblPr>
      <w:tblGrid>
        <w:gridCol w:w="9355"/>
        <w:gridCol w:w="40"/>
      </w:tblGrid>
      <w:tr w:rsidR="009D36DE" w:rsidRPr="009D36DE" w:rsidTr="001611E9">
        <w:trPr>
          <w:trHeight w:val="44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9D36DE" w:rsidRPr="00BA4D20" w:rsidRDefault="009D36DE" w:rsidP="004B4E72">
            <w:pPr>
              <w:ind w:right="-19"/>
              <w:jc w:val="center"/>
              <w:rPr>
                <w:b/>
                <w:bCs/>
              </w:rPr>
            </w:pPr>
            <w:r w:rsidRPr="00BA4D20">
              <w:rPr>
                <w:b/>
                <w:bCs/>
              </w:rPr>
              <w:t>II. Tiesību aktu projektu ietekme uz sabiedrību, tautsaimniecības attīstību un administratīvo slogu</w:t>
            </w:r>
          </w:p>
        </w:tc>
        <w:tc>
          <w:tcPr>
            <w:tcW w:w="40" w:type="dxa"/>
            <w:shd w:val="clear" w:color="auto" w:fill="auto"/>
            <w:tcMar>
              <w:top w:w="0" w:type="dxa"/>
              <w:left w:w="10" w:type="dxa"/>
              <w:bottom w:w="0" w:type="dxa"/>
              <w:right w:w="10" w:type="dxa"/>
            </w:tcMar>
          </w:tcPr>
          <w:p w:rsidR="009D36DE" w:rsidRPr="00BA4D20" w:rsidRDefault="009D36DE" w:rsidP="000044FA">
            <w:pPr>
              <w:ind w:firstLine="1113"/>
              <w:jc w:val="center"/>
              <w:rPr>
                <w:b/>
                <w:bCs/>
              </w:rPr>
            </w:pPr>
          </w:p>
        </w:tc>
      </w:tr>
      <w:tr w:rsidR="001611E9" w:rsidRPr="009D36DE" w:rsidTr="001611E9">
        <w:trPr>
          <w:trHeight w:val="44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1611E9" w:rsidRPr="009D36DE" w:rsidRDefault="001611E9" w:rsidP="004B4E72">
            <w:pPr>
              <w:jc w:val="center"/>
              <w:rPr>
                <w:b/>
                <w:bCs/>
                <w:highlight w:val="green"/>
              </w:rPr>
            </w:pPr>
            <w:r w:rsidRPr="003B60B8">
              <w:t>Projekts šo jomu neskar</w:t>
            </w:r>
          </w:p>
        </w:tc>
        <w:tc>
          <w:tcPr>
            <w:tcW w:w="40" w:type="dxa"/>
            <w:shd w:val="clear" w:color="auto" w:fill="auto"/>
            <w:tcMar>
              <w:top w:w="0" w:type="dxa"/>
              <w:left w:w="10" w:type="dxa"/>
              <w:bottom w:w="0" w:type="dxa"/>
              <w:right w:w="10" w:type="dxa"/>
            </w:tcMar>
          </w:tcPr>
          <w:p w:rsidR="001611E9" w:rsidRPr="009D36DE" w:rsidRDefault="001611E9" w:rsidP="000044FA">
            <w:pPr>
              <w:ind w:firstLine="1113"/>
              <w:jc w:val="center"/>
              <w:rPr>
                <w:b/>
                <w:bCs/>
                <w:highlight w:val="green"/>
              </w:rPr>
            </w:pPr>
          </w:p>
        </w:tc>
      </w:tr>
    </w:tbl>
    <w:p w:rsidR="00064F32" w:rsidRDefault="00064F32" w:rsidP="000044FA">
      <w:pPr>
        <w:pStyle w:val="NoSpacing"/>
        <w:rPr>
          <w:rFonts w:ascii="Times New Roman" w:hAnsi="Times New Roman"/>
          <w:sz w:val="24"/>
          <w:szCs w:val="24"/>
          <w:lang w:eastAsia="lv-LV"/>
        </w:rPr>
      </w:pPr>
    </w:p>
    <w:tbl>
      <w:tblPr>
        <w:tblStyle w:val="TableGrid"/>
        <w:tblW w:w="9501" w:type="dxa"/>
        <w:jc w:val="center"/>
        <w:tblLayout w:type="fixed"/>
        <w:tblLook w:val="04A0" w:firstRow="1" w:lastRow="0" w:firstColumn="1" w:lastColumn="0" w:noHBand="0" w:noVBand="1"/>
      </w:tblPr>
      <w:tblGrid>
        <w:gridCol w:w="1413"/>
        <w:gridCol w:w="1559"/>
        <w:gridCol w:w="1276"/>
        <w:gridCol w:w="992"/>
        <w:gridCol w:w="1134"/>
        <w:gridCol w:w="851"/>
        <w:gridCol w:w="992"/>
        <w:gridCol w:w="1276"/>
        <w:gridCol w:w="8"/>
      </w:tblGrid>
      <w:tr w:rsidR="00064F32" w:rsidTr="00962079">
        <w:trPr>
          <w:jc w:val="center"/>
        </w:trPr>
        <w:tc>
          <w:tcPr>
            <w:tcW w:w="9501" w:type="dxa"/>
            <w:gridSpan w:val="9"/>
          </w:tcPr>
          <w:p w:rsidR="00064F32" w:rsidRPr="00E47E33" w:rsidRDefault="00064F32" w:rsidP="000044FA">
            <w:pPr>
              <w:pStyle w:val="NoSpacing"/>
              <w:jc w:val="center"/>
              <w:rPr>
                <w:rFonts w:ascii="Times New Roman" w:hAnsi="Times New Roman"/>
                <w:sz w:val="24"/>
                <w:szCs w:val="24"/>
                <w:lang w:eastAsia="lv-LV"/>
              </w:rPr>
            </w:pPr>
            <w:r w:rsidRPr="00E47E33">
              <w:rPr>
                <w:rFonts w:ascii="Times New Roman" w:hAnsi="Times New Roman"/>
                <w:b/>
                <w:sz w:val="24"/>
                <w:szCs w:val="24"/>
                <w:lang w:eastAsia="lv-LV"/>
              </w:rPr>
              <w:t>III. Tiesību akta projekta ietekme uz valsts budžetu un pašvaldību budžetiem</w:t>
            </w:r>
          </w:p>
        </w:tc>
      </w:tr>
      <w:tr w:rsidR="00064F32" w:rsidTr="00962079">
        <w:trPr>
          <w:jc w:val="center"/>
        </w:trPr>
        <w:tc>
          <w:tcPr>
            <w:tcW w:w="1413" w:type="dxa"/>
            <w:vMerge w:val="restart"/>
          </w:tcPr>
          <w:p w:rsidR="00064F32" w:rsidRPr="00962079" w:rsidRDefault="00064F32" w:rsidP="000044FA">
            <w:pPr>
              <w:pStyle w:val="NoSpacing"/>
              <w:rPr>
                <w:rFonts w:ascii="Times New Roman" w:hAnsi="Times New Roman"/>
                <w:sz w:val="24"/>
                <w:szCs w:val="24"/>
                <w:lang w:eastAsia="lv-LV"/>
              </w:rPr>
            </w:pPr>
            <w:r w:rsidRPr="00962079">
              <w:rPr>
                <w:rFonts w:ascii="Times New Roman" w:hAnsi="Times New Roman"/>
                <w:sz w:val="24"/>
                <w:szCs w:val="24"/>
                <w:lang w:eastAsia="lv-LV"/>
              </w:rPr>
              <w:t>Rādītāji</w:t>
            </w:r>
          </w:p>
        </w:tc>
        <w:tc>
          <w:tcPr>
            <w:tcW w:w="2835" w:type="dxa"/>
            <w:gridSpan w:val="2"/>
            <w:vMerge w:val="restart"/>
          </w:tcPr>
          <w:p w:rsidR="00064F32" w:rsidRPr="00962079" w:rsidRDefault="00064F32" w:rsidP="000044FA">
            <w:pPr>
              <w:pStyle w:val="NoSpacing"/>
              <w:rPr>
                <w:rFonts w:ascii="Times New Roman" w:hAnsi="Times New Roman"/>
                <w:sz w:val="24"/>
                <w:szCs w:val="24"/>
                <w:lang w:eastAsia="lv-LV"/>
              </w:rPr>
            </w:pPr>
            <w:r w:rsidRPr="00962079">
              <w:rPr>
                <w:rFonts w:ascii="Times New Roman" w:hAnsi="Times New Roman"/>
                <w:sz w:val="24"/>
                <w:szCs w:val="24"/>
                <w:lang w:eastAsia="lv-LV"/>
              </w:rPr>
              <w:t>2018. gads</w:t>
            </w:r>
          </w:p>
        </w:tc>
        <w:tc>
          <w:tcPr>
            <w:tcW w:w="5253" w:type="dxa"/>
            <w:gridSpan w:val="6"/>
          </w:tcPr>
          <w:p w:rsidR="00064F32" w:rsidRPr="0027336A" w:rsidRDefault="00064F32" w:rsidP="000044FA">
            <w:pPr>
              <w:pStyle w:val="NoSpacing"/>
              <w:rPr>
                <w:rFonts w:ascii="Times New Roman" w:hAnsi="Times New Roman"/>
                <w:lang w:eastAsia="lv-LV"/>
              </w:rPr>
            </w:pPr>
            <w:r w:rsidRPr="0027336A">
              <w:rPr>
                <w:rFonts w:ascii="Times New Roman" w:hAnsi="Times New Roman"/>
                <w:lang w:eastAsia="lv-LV"/>
              </w:rPr>
              <w:t>Turpmākie trīs gadi (</w:t>
            </w:r>
            <w:proofErr w:type="spellStart"/>
            <w:r w:rsidRPr="0027336A">
              <w:rPr>
                <w:rFonts w:ascii="Times New Roman" w:hAnsi="Times New Roman"/>
                <w:i/>
                <w:iCs/>
                <w:lang w:eastAsia="lv-LV"/>
              </w:rPr>
              <w:t>euro</w:t>
            </w:r>
            <w:proofErr w:type="spellEnd"/>
            <w:r w:rsidRPr="0027336A">
              <w:rPr>
                <w:rFonts w:ascii="Times New Roman" w:hAnsi="Times New Roman"/>
                <w:lang w:eastAsia="lv-LV"/>
              </w:rPr>
              <w:t>)</w:t>
            </w:r>
          </w:p>
        </w:tc>
      </w:tr>
      <w:tr w:rsidR="00064F32" w:rsidTr="00962079">
        <w:trPr>
          <w:jc w:val="center"/>
        </w:trPr>
        <w:tc>
          <w:tcPr>
            <w:tcW w:w="1413" w:type="dxa"/>
            <w:vMerge/>
          </w:tcPr>
          <w:p w:rsidR="00064F32" w:rsidRPr="00962079" w:rsidRDefault="00064F32" w:rsidP="000044FA">
            <w:pPr>
              <w:pStyle w:val="NoSpacing"/>
              <w:rPr>
                <w:rFonts w:ascii="Times New Roman" w:hAnsi="Times New Roman"/>
                <w:sz w:val="24"/>
                <w:szCs w:val="24"/>
                <w:lang w:eastAsia="lv-LV"/>
              </w:rPr>
            </w:pPr>
          </w:p>
        </w:tc>
        <w:tc>
          <w:tcPr>
            <w:tcW w:w="2835" w:type="dxa"/>
            <w:gridSpan w:val="2"/>
            <w:vMerge/>
          </w:tcPr>
          <w:p w:rsidR="00064F32" w:rsidRPr="00962079" w:rsidRDefault="00064F32" w:rsidP="000044FA">
            <w:pPr>
              <w:pStyle w:val="NoSpacing"/>
              <w:rPr>
                <w:rFonts w:ascii="Times New Roman" w:hAnsi="Times New Roman"/>
                <w:sz w:val="24"/>
                <w:szCs w:val="24"/>
                <w:lang w:eastAsia="lv-LV"/>
              </w:rPr>
            </w:pPr>
          </w:p>
        </w:tc>
        <w:tc>
          <w:tcPr>
            <w:tcW w:w="2126" w:type="dxa"/>
            <w:gridSpan w:val="2"/>
          </w:tcPr>
          <w:p w:rsidR="00064F32" w:rsidRPr="004B0522" w:rsidRDefault="00064F32" w:rsidP="000044FA">
            <w:pPr>
              <w:pStyle w:val="NoSpacing"/>
              <w:rPr>
                <w:rFonts w:ascii="Times New Roman" w:hAnsi="Times New Roman"/>
                <w:sz w:val="20"/>
                <w:szCs w:val="20"/>
                <w:lang w:eastAsia="lv-LV"/>
              </w:rPr>
            </w:pPr>
            <w:r w:rsidRPr="004B0522">
              <w:rPr>
                <w:rFonts w:ascii="Times New Roman" w:hAnsi="Times New Roman"/>
                <w:sz w:val="20"/>
                <w:szCs w:val="20"/>
                <w:lang w:eastAsia="lv-LV"/>
              </w:rPr>
              <w:t>2019.gads</w:t>
            </w:r>
          </w:p>
        </w:tc>
        <w:tc>
          <w:tcPr>
            <w:tcW w:w="1843" w:type="dxa"/>
            <w:gridSpan w:val="2"/>
          </w:tcPr>
          <w:p w:rsidR="00064F32" w:rsidRPr="0027336A" w:rsidRDefault="00064F32" w:rsidP="000044FA">
            <w:pPr>
              <w:pStyle w:val="NoSpacing"/>
              <w:rPr>
                <w:rFonts w:ascii="Times New Roman" w:hAnsi="Times New Roman"/>
                <w:lang w:eastAsia="lv-LV"/>
              </w:rPr>
            </w:pPr>
            <w:r w:rsidRPr="0027336A">
              <w:rPr>
                <w:rFonts w:ascii="Times New Roman" w:hAnsi="Times New Roman"/>
                <w:lang w:eastAsia="lv-LV"/>
              </w:rPr>
              <w:t>2020.gads</w:t>
            </w:r>
          </w:p>
        </w:tc>
        <w:tc>
          <w:tcPr>
            <w:tcW w:w="1284" w:type="dxa"/>
            <w:gridSpan w:val="2"/>
          </w:tcPr>
          <w:p w:rsidR="00064F32" w:rsidRPr="0027336A" w:rsidRDefault="00064F32" w:rsidP="000044FA">
            <w:pPr>
              <w:pStyle w:val="NoSpacing"/>
              <w:rPr>
                <w:rFonts w:ascii="Times New Roman" w:hAnsi="Times New Roman"/>
                <w:lang w:eastAsia="lv-LV"/>
              </w:rPr>
            </w:pPr>
            <w:r w:rsidRPr="0027336A">
              <w:rPr>
                <w:rFonts w:ascii="Times New Roman" w:hAnsi="Times New Roman"/>
                <w:lang w:eastAsia="lv-LV"/>
              </w:rPr>
              <w:t>2021.gads</w:t>
            </w:r>
          </w:p>
        </w:tc>
      </w:tr>
      <w:tr w:rsidR="00064F32" w:rsidTr="00962079">
        <w:trPr>
          <w:gridAfter w:val="1"/>
          <w:wAfter w:w="8" w:type="dxa"/>
          <w:jc w:val="center"/>
        </w:trPr>
        <w:tc>
          <w:tcPr>
            <w:tcW w:w="1413" w:type="dxa"/>
            <w:vMerge/>
          </w:tcPr>
          <w:p w:rsidR="00064F32" w:rsidRPr="00962079" w:rsidRDefault="00064F32" w:rsidP="000044FA">
            <w:pPr>
              <w:pStyle w:val="NoSpacing"/>
              <w:rPr>
                <w:rFonts w:ascii="Times New Roman" w:hAnsi="Times New Roman"/>
                <w:sz w:val="24"/>
                <w:szCs w:val="24"/>
                <w:lang w:eastAsia="lv-LV"/>
              </w:rPr>
            </w:pPr>
          </w:p>
        </w:tc>
        <w:tc>
          <w:tcPr>
            <w:tcW w:w="1559" w:type="dxa"/>
          </w:tcPr>
          <w:p w:rsidR="00064F32" w:rsidRPr="00962079" w:rsidRDefault="00064F32" w:rsidP="000044FA">
            <w:pPr>
              <w:pStyle w:val="NoSpacing"/>
              <w:rPr>
                <w:rFonts w:ascii="Times New Roman" w:hAnsi="Times New Roman"/>
                <w:sz w:val="24"/>
                <w:szCs w:val="24"/>
                <w:lang w:eastAsia="lv-LV"/>
              </w:rPr>
            </w:pPr>
            <w:r w:rsidRPr="00962079">
              <w:rPr>
                <w:rFonts w:ascii="Times New Roman" w:hAnsi="Times New Roman"/>
                <w:sz w:val="24"/>
                <w:szCs w:val="24"/>
                <w:lang w:eastAsia="lv-LV"/>
              </w:rPr>
              <w:t>saskaņā ar valsts budžetu kārtējam gadam</w:t>
            </w:r>
          </w:p>
        </w:tc>
        <w:tc>
          <w:tcPr>
            <w:tcW w:w="1276" w:type="dxa"/>
          </w:tcPr>
          <w:p w:rsidR="00064F32" w:rsidRPr="00962079" w:rsidRDefault="00064F32" w:rsidP="000044FA">
            <w:pPr>
              <w:pStyle w:val="NoSpacing"/>
              <w:rPr>
                <w:rFonts w:ascii="Times New Roman" w:hAnsi="Times New Roman"/>
                <w:sz w:val="24"/>
                <w:szCs w:val="24"/>
                <w:lang w:eastAsia="lv-LV"/>
              </w:rPr>
            </w:pPr>
            <w:r w:rsidRPr="00962079">
              <w:rPr>
                <w:rFonts w:ascii="Times New Roman" w:hAnsi="Times New Roman"/>
                <w:sz w:val="24"/>
                <w:szCs w:val="24"/>
                <w:lang w:eastAsia="lv-LV"/>
              </w:rPr>
              <w:t>izmaiņas kārtējā gadā, salīdzinot ar valsts budžetu kārtējam gadam</w:t>
            </w:r>
          </w:p>
        </w:tc>
        <w:tc>
          <w:tcPr>
            <w:tcW w:w="992" w:type="dxa"/>
          </w:tcPr>
          <w:p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saskaņā ar vidēja termiņa budžeta ietvaru</w:t>
            </w:r>
          </w:p>
        </w:tc>
        <w:tc>
          <w:tcPr>
            <w:tcW w:w="1134" w:type="dxa"/>
          </w:tcPr>
          <w:p w:rsidR="00064F32" w:rsidRPr="00962079" w:rsidRDefault="00064F32" w:rsidP="00962079">
            <w:pPr>
              <w:pStyle w:val="NoSpacing"/>
              <w:jc w:val="both"/>
              <w:rPr>
                <w:rFonts w:ascii="Times New Roman" w:hAnsi="Times New Roman"/>
                <w:lang w:eastAsia="lv-LV"/>
              </w:rPr>
            </w:pPr>
            <w:r w:rsidRPr="00962079">
              <w:rPr>
                <w:rFonts w:ascii="Times New Roman" w:hAnsi="Times New Roman"/>
                <w:lang w:eastAsia="lv-LV"/>
              </w:rPr>
              <w:t>izmaiņas, salīdzinot ar vidēja termiņa budžeta ietvaru 2019. gadam</w:t>
            </w:r>
          </w:p>
        </w:tc>
        <w:tc>
          <w:tcPr>
            <w:tcW w:w="851" w:type="dxa"/>
          </w:tcPr>
          <w:p w:rsidR="00064F32" w:rsidRPr="00962079" w:rsidRDefault="00064F32" w:rsidP="00962079">
            <w:pPr>
              <w:pStyle w:val="NoSpacing"/>
              <w:ind w:left="-102"/>
              <w:rPr>
                <w:rFonts w:ascii="Times New Roman" w:hAnsi="Times New Roman"/>
                <w:lang w:eastAsia="lv-LV"/>
              </w:rPr>
            </w:pPr>
            <w:r w:rsidRPr="00962079">
              <w:rPr>
                <w:rFonts w:ascii="Times New Roman" w:hAnsi="Times New Roman"/>
                <w:lang w:eastAsia="lv-LV"/>
              </w:rPr>
              <w:t>saskaņā ar vidēja termiņa budžeta ietvaru</w:t>
            </w:r>
          </w:p>
        </w:tc>
        <w:tc>
          <w:tcPr>
            <w:tcW w:w="992" w:type="dxa"/>
          </w:tcPr>
          <w:p w:rsidR="00064F32" w:rsidRPr="00962079" w:rsidRDefault="00064F32" w:rsidP="00962079">
            <w:pPr>
              <w:pStyle w:val="NoSpacing"/>
              <w:ind w:left="-102"/>
              <w:rPr>
                <w:rFonts w:ascii="Times New Roman" w:hAnsi="Times New Roman"/>
                <w:lang w:eastAsia="lv-LV"/>
              </w:rPr>
            </w:pPr>
            <w:r w:rsidRPr="00962079">
              <w:rPr>
                <w:rFonts w:ascii="Times New Roman" w:hAnsi="Times New Roman"/>
                <w:lang w:eastAsia="lv-LV"/>
              </w:rPr>
              <w:t>izmaiņas, salīdzinot ar vidēja termiņa budžeta ietvaru 2020. gadam</w:t>
            </w:r>
          </w:p>
        </w:tc>
        <w:tc>
          <w:tcPr>
            <w:tcW w:w="1276" w:type="dxa"/>
          </w:tcPr>
          <w:p w:rsidR="00064F32" w:rsidRPr="00962079" w:rsidRDefault="00064F32" w:rsidP="0027336A">
            <w:pPr>
              <w:pStyle w:val="NoSpacing"/>
              <w:rPr>
                <w:rFonts w:ascii="Times New Roman" w:hAnsi="Times New Roman"/>
                <w:lang w:eastAsia="lv-LV"/>
              </w:rPr>
            </w:pPr>
            <w:r w:rsidRPr="00962079">
              <w:rPr>
                <w:rFonts w:ascii="Times New Roman" w:hAnsi="Times New Roman"/>
                <w:lang w:eastAsia="lv-LV"/>
              </w:rPr>
              <w:t>izmaiņas, salīdzinot ar vidēja termiņa budžeta ietvaru 202</w:t>
            </w:r>
            <w:r w:rsidR="0027336A">
              <w:rPr>
                <w:rFonts w:ascii="Times New Roman" w:hAnsi="Times New Roman"/>
                <w:lang w:eastAsia="lv-LV"/>
              </w:rPr>
              <w:t>0</w:t>
            </w:r>
            <w:r w:rsidRPr="00962079">
              <w:rPr>
                <w:rFonts w:ascii="Times New Roman" w:hAnsi="Times New Roman"/>
                <w:lang w:eastAsia="lv-LV"/>
              </w:rPr>
              <w:t>. gadam</w:t>
            </w:r>
          </w:p>
        </w:tc>
      </w:tr>
      <w:tr w:rsidR="00064F32" w:rsidTr="00962079">
        <w:trPr>
          <w:gridAfter w:val="1"/>
          <w:wAfter w:w="8" w:type="dxa"/>
          <w:jc w:val="center"/>
        </w:trPr>
        <w:tc>
          <w:tcPr>
            <w:tcW w:w="1413" w:type="dxa"/>
            <w:vAlign w:val="center"/>
          </w:tcPr>
          <w:p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1</w:t>
            </w:r>
          </w:p>
        </w:tc>
        <w:tc>
          <w:tcPr>
            <w:tcW w:w="1559" w:type="dxa"/>
            <w:vAlign w:val="center"/>
          </w:tcPr>
          <w:p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2</w:t>
            </w:r>
          </w:p>
        </w:tc>
        <w:tc>
          <w:tcPr>
            <w:tcW w:w="1276" w:type="dxa"/>
            <w:vAlign w:val="center"/>
          </w:tcPr>
          <w:p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3</w:t>
            </w:r>
          </w:p>
        </w:tc>
        <w:tc>
          <w:tcPr>
            <w:tcW w:w="992" w:type="dxa"/>
            <w:vAlign w:val="center"/>
          </w:tcPr>
          <w:p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4</w:t>
            </w:r>
          </w:p>
        </w:tc>
        <w:tc>
          <w:tcPr>
            <w:tcW w:w="1134" w:type="dxa"/>
            <w:vAlign w:val="center"/>
          </w:tcPr>
          <w:p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5</w:t>
            </w:r>
          </w:p>
        </w:tc>
        <w:tc>
          <w:tcPr>
            <w:tcW w:w="851" w:type="dxa"/>
            <w:vAlign w:val="center"/>
          </w:tcPr>
          <w:p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6</w:t>
            </w:r>
          </w:p>
        </w:tc>
        <w:tc>
          <w:tcPr>
            <w:tcW w:w="992" w:type="dxa"/>
            <w:vAlign w:val="center"/>
          </w:tcPr>
          <w:p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7</w:t>
            </w:r>
          </w:p>
        </w:tc>
        <w:tc>
          <w:tcPr>
            <w:tcW w:w="1276" w:type="dxa"/>
            <w:vAlign w:val="center"/>
          </w:tcPr>
          <w:p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8</w:t>
            </w:r>
          </w:p>
        </w:tc>
      </w:tr>
      <w:tr w:rsidR="000044FA" w:rsidTr="00962079">
        <w:trPr>
          <w:gridAfter w:val="1"/>
          <w:wAfter w:w="8" w:type="dxa"/>
          <w:jc w:val="center"/>
        </w:trPr>
        <w:tc>
          <w:tcPr>
            <w:tcW w:w="1413" w:type="dxa"/>
          </w:tcPr>
          <w:p w:rsidR="001611E9" w:rsidRPr="00962079" w:rsidRDefault="001611E9" w:rsidP="000044FA">
            <w:pPr>
              <w:pStyle w:val="NoSpacing"/>
              <w:rPr>
                <w:rFonts w:ascii="Times New Roman" w:hAnsi="Times New Roman"/>
                <w:lang w:eastAsia="lv-LV"/>
              </w:rPr>
            </w:pPr>
            <w:r w:rsidRPr="00962079">
              <w:rPr>
                <w:rFonts w:ascii="Times New Roman" w:hAnsi="Times New Roman"/>
                <w:lang w:eastAsia="lv-LV"/>
              </w:rPr>
              <w:t>1. Budžeta ieņēmumi</w:t>
            </w:r>
          </w:p>
        </w:tc>
        <w:tc>
          <w:tcPr>
            <w:tcW w:w="1559" w:type="dxa"/>
          </w:tcPr>
          <w:p w:rsidR="001611E9" w:rsidRPr="00962079" w:rsidRDefault="00E47E33" w:rsidP="00962079">
            <w:pPr>
              <w:pStyle w:val="NoSpacing"/>
              <w:ind w:left="-253"/>
              <w:jc w:val="right"/>
              <w:rPr>
                <w:rFonts w:ascii="Times New Roman" w:hAnsi="Times New Roman"/>
                <w:lang w:eastAsia="lv-LV"/>
              </w:rPr>
            </w:pPr>
            <w:r w:rsidRPr="00962079">
              <w:rPr>
                <w:rFonts w:ascii="Times New Roman" w:hAnsi="Times New Roman"/>
                <w:lang w:eastAsia="lv-LV"/>
              </w:rPr>
              <w:t>8</w:t>
            </w:r>
            <w:r w:rsidR="00110F94" w:rsidRPr="00962079">
              <w:rPr>
                <w:rFonts w:ascii="Times New Roman" w:hAnsi="Times New Roman"/>
                <w:lang w:eastAsia="lv-LV"/>
              </w:rPr>
              <w:t> </w:t>
            </w:r>
            <w:r w:rsidRPr="00962079">
              <w:rPr>
                <w:rFonts w:ascii="Times New Roman" w:hAnsi="Times New Roman"/>
                <w:lang w:eastAsia="lv-LV"/>
              </w:rPr>
              <w:t>753</w:t>
            </w:r>
            <w:r w:rsidR="00110F94" w:rsidRPr="00962079">
              <w:rPr>
                <w:rFonts w:ascii="Times New Roman" w:hAnsi="Times New Roman"/>
                <w:lang w:eastAsia="lv-LV"/>
              </w:rPr>
              <w:t> </w:t>
            </w:r>
            <w:r w:rsidRPr="00962079">
              <w:rPr>
                <w:rFonts w:ascii="Times New Roman" w:hAnsi="Times New Roman"/>
                <w:lang w:eastAsia="lv-LV"/>
              </w:rPr>
              <w:t>146</w:t>
            </w:r>
            <w:r w:rsidR="00110F94" w:rsidRPr="00962079">
              <w:rPr>
                <w:rFonts w:ascii="Times New Roman" w:hAnsi="Times New Roman"/>
                <w:lang w:eastAsia="lv-LV"/>
              </w:rPr>
              <w:t xml:space="preserve"> </w:t>
            </w:r>
            <w:r w:rsidRPr="00962079">
              <w:rPr>
                <w:rFonts w:ascii="Times New Roman" w:hAnsi="Times New Roman"/>
                <w:lang w:eastAsia="lv-LV"/>
              </w:rPr>
              <w:t>235</w:t>
            </w:r>
          </w:p>
        </w:tc>
        <w:tc>
          <w:tcPr>
            <w:tcW w:w="1276" w:type="dxa"/>
          </w:tcPr>
          <w:p w:rsidR="001611E9" w:rsidRPr="004B0522" w:rsidRDefault="001611E9"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992" w:type="dxa"/>
          </w:tcPr>
          <w:p w:rsidR="001611E9" w:rsidRPr="004B0522" w:rsidRDefault="001611E9"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1134" w:type="dxa"/>
          </w:tcPr>
          <w:p w:rsidR="001611E9" w:rsidRPr="004B0522" w:rsidRDefault="001611E9"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851" w:type="dxa"/>
          </w:tcPr>
          <w:p w:rsidR="001611E9" w:rsidRPr="004B0522" w:rsidRDefault="001611E9"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992" w:type="dxa"/>
          </w:tcPr>
          <w:p w:rsidR="001611E9" w:rsidRPr="004B0522" w:rsidRDefault="001611E9"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1276" w:type="dxa"/>
          </w:tcPr>
          <w:p w:rsidR="001611E9" w:rsidRPr="004B0522" w:rsidRDefault="001611E9"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r>
      <w:tr w:rsidR="000044FA" w:rsidTr="00962079">
        <w:trPr>
          <w:gridAfter w:val="1"/>
          <w:wAfter w:w="8" w:type="dxa"/>
          <w:jc w:val="center"/>
        </w:trPr>
        <w:tc>
          <w:tcPr>
            <w:tcW w:w="1413" w:type="dxa"/>
          </w:tcPr>
          <w:p w:rsidR="001611E9" w:rsidRPr="00962079" w:rsidRDefault="001611E9" w:rsidP="000044FA">
            <w:pPr>
              <w:pStyle w:val="NoSpacing"/>
              <w:rPr>
                <w:rFonts w:ascii="Times New Roman" w:hAnsi="Times New Roman"/>
                <w:lang w:eastAsia="lv-LV"/>
              </w:rPr>
            </w:pPr>
            <w:r w:rsidRPr="00962079">
              <w:rPr>
                <w:rFonts w:ascii="Times New Roman" w:hAnsi="Times New Roman"/>
                <w:lang w:eastAsia="lv-LV"/>
              </w:rPr>
              <w:t>1.1. valsts pamatbudžets, tai skaitā ieņēmumi no maksas pakalpojumiem un citi pašu ieņēmumi</w:t>
            </w:r>
          </w:p>
        </w:tc>
        <w:tc>
          <w:tcPr>
            <w:tcW w:w="1559" w:type="dxa"/>
          </w:tcPr>
          <w:p w:rsidR="001611E9" w:rsidRPr="00962079" w:rsidRDefault="00E47E33" w:rsidP="00962079">
            <w:pPr>
              <w:pStyle w:val="NoSpacing"/>
              <w:ind w:left="-253"/>
              <w:jc w:val="right"/>
              <w:rPr>
                <w:rFonts w:ascii="Times New Roman" w:hAnsi="Times New Roman"/>
                <w:lang w:eastAsia="lv-LV"/>
              </w:rPr>
            </w:pPr>
            <w:r w:rsidRPr="00962079">
              <w:rPr>
                <w:rFonts w:ascii="Times New Roman" w:hAnsi="Times New Roman"/>
                <w:lang w:eastAsia="lv-LV"/>
              </w:rPr>
              <w:t>6</w:t>
            </w:r>
            <w:r w:rsidR="00110F94" w:rsidRPr="00962079">
              <w:rPr>
                <w:rFonts w:ascii="Times New Roman" w:hAnsi="Times New Roman"/>
                <w:lang w:eastAsia="lv-LV"/>
              </w:rPr>
              <w:t xml:space="preserve"> </w:t>
            </w:r>
            <w:r w:rsidRPr="00962079">
              <w:rPr>
                <w:rFonts w:ascii="Times New Roman" w:hAnsi="Times New Roman"/>
                <w:lang w:eastAsia="lv-LV"/>
              </w:rPr>
              <w:t>162</w:t>
            </w:r>
            <w:r w:rsidR="00110F94" w:rsidRPr="00962079">
              <w:rPr>
                <w:rFonts w:ascii="Times New Roman" w:hAnsi="Times New Roman"/>
                <w:lang w:eastAsia="lv-LV"/>
              </w:rPr>
              <w:t xml:space="preserve"> </w:t>
            </w:r>
            <w:r w:rsidRPr="00962079">
              <w:rPr>
                <w:rFonts w:ascii="Times New Roman" w:hAnsi="Times New Roman"/>
                <w:lang w:eastAsia="lv-LV"/>
              </w:rPr>
              <w:t>433</w:t>
            </w:r>
            <w:r w:rsidR="00110F94" w:rsidRPr="00962079">
              <w:rPr>
                <w:rFonts w:ascii="Times New Roman" w:hAnsi="Times New Roman"/>
                <w:lang w:eastAsia="lv-LV"/>
              </w:rPr>
              <w:t xml:space="preserve"> </w:t>
            </w:r>
            <w:r w:rsidRPr="00962079">
              <w:rPr>
                <w:rFonts w:ascii="Times New Roman" w:hAnsi="Times New Roman"/>
                <w:lang w:eastAsia="lv-LV"/>
              </w:rPr>
              <w:t>033</w:t>
            </w:r>
          </w:p>
        </w:tc>
        <w:tc>
          <w:tcPr>
            <w:tcW w:w="1276" w:type="dxa"/>
          </w:tcPr>
          <w:p w:rsidR="001611E9" w:rsidRPr="004B0522" w:rsidRDefault="001611E9"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992" w:type="dxa"/>
          </w:tcPr>
          <w:p w:rsidR="001611E9" w:rsidRPr="004B0522" w:rsidRDefault="001611E9"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1134" w:type="dxa"/>
          </w:tcPr>
          <w:p w:rsidR="001611E9" w:rsidRPr="004B0522" w:rsidRDefault="001611E9"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851" w:type="dxa"/>
          </w:tcPr>
          <w:p w:rsidR="001611E9" w:rsidRPr="004B0522" w:rsidRDefault="001611E9"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992" w:type="dxa"/>
          </w:tcPr>
          <w:p w:rsidR="001611E9" w:rsidRPr="004B0522" w:rsidRDefault="001611E9"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1276" w:type="dxa"/>
          </w:tcPr>
          <w:p w:rsidR="001611E9" w:rsidRPr="004B0522" w:rsidRDefault="001611E9"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r>
      <w:tr w:rsidR="00064F32" w:rsidTr="00962079">
        <w:trPr>
          <w:gridAfter w:val="1"/>
          <w:wAfter w:w="8" w:type="dxa"/>
          <w:jc w:val="center"/>
        </w:trPr>
        <w:tc>
          <w:tcPr>
            <w:tcW w:w="1413" w:type="dxa"/>
          </w:tcPr>
          <w:p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1.2. valsts speciālais budžets</w:t>
            </w:r>
          </w:p>
        </w:tc>
        <w:tc>
          <w:tcPr>
            <w:tcW w:w="1559" w:type="dxa"/>
          </w:tcPr>
          <w:p w:rsidR="00064F32" w:rsidRPr="00962079" w:rsidRDefault="00E47E33" w:rsidP="00962079">
            <w:pPr>
              <w:pStyle w:val="NoSpacing"/>
              <w:ind w:left="-253"/>
              <w:jc w:val="right"/>
              <w:rPr>
                <w:rFonts w:ascii="Times New Roman" w:hAnsi="Times New Roman"/>
                <w:lang w:eastAsia="lv-LV"/>
              </w:rPr>
            </w:pPr>
            <w:r w:rsidRPr="00962079">
              <w:rPr>
                <w:rFonts w:ascii="Times New Roman" w:hAnsi="Times New Roman"/>
                <w:lang w:eastAsia="lv-LV"/>
              </w:rPr>
              <w:t>2</w:t>
            </w:r>
            <w:r w:rsidR="00110F94" w:rsidRPr="00962079">
              <w:rPr>
                <w:rFonts w:ascii="Times New Roman" w:hAnsi="Times New Roman"/>
                <w:lang w:eastAsia="lv-LV"/>
              </w:rPr>
              <w:t xml:space="preserve"> </w:t>
            </w:r>
            <w:r w:rsidRPr="00962079">
              <w:rPr>
                <w:rFonts w:ascii="Times New Roman" w:hAnsi="Times New Roman"/>
                <w:lang w:eastAsia="lv-LV"/>
              </w:rPr>
              <w:t>777</w:t>
            </w:r>
            <w:r w:rsidR="00110F94" w:rsidRPr="00962079">
              <w:rPr>
                <w:rFonts w:ascii="Times New Roman" w:hAnsi="Times New Roman"/>
                <w:lang w:eastAsia="lv-LV"/>
              </w:rPr>
              <w:t xml:space="preserve"> </w:t>
            </w:r>
            <w:r w:rsidRPr="00962079">
              <w:rPr>
                <w:rFonts w:ascii="Times New Roman" w:hAnsi="Times New Roman"/>
                <w:lang w:eastAsia="lv-LV"/>
              </w:rPr>
              <w:t>081</w:t>
            </w:r>
            <w:r w:rsidR="00110F94" w:rsidRPr="00962079">
              <w:rPr>
                <w:rFonts w:ascii="Times New Roman" w:hAnsi="Times New Roman"/>
                <w:lang w:eastAsia="lv-LV"/>
              </w:rPr>
              <w:t xml:space="preserve"> </w:t>
            </w:r>
            <w:r w:rsidRPr="00962079">
              <w:rPr>
                <w:rFonts w:ascii="Times New Roman" w:hAnsi="Times New Roman"/>
                <w:lang w:eastAsia="lv-LV"/>
              </w:rPr>
              <w:t>899</w:t>
            </w:r>
          </w:p>
        </w:tc>
        <w:tc>
          <w:tcPr>
            <w:tcW w:w="1276"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992"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1134"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851"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992"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1276"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r>
      <w:tr w:rsidR="00064F32" w:rsidTr="00962079">
        <w:trPr>
          <w:gridAfter w:val="1"/>
          <w:wAfter w:w="8" w:type="dxa"/>
          <w:jc w:val="center"/>
        </w:trPr>
        <w:tc>
          <w:tcPr>
            <w:tcW w:w="1413" w:type="dxa"/>
          </w:tcPr>
          <w:p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1.3. pašvaldību budžets</w:t>
            </w:r>
          </w:p>
        </w:tc>
        <w:tc>
          <w:tcPr>
            <w:tcW w:w="1559" w:type="dxa"/>
          </w:tcPr>
          <w:p w:rsidR="00064F32" w:rsidRPr="00962079" w:rsidRDefault="00064F32" w:rsidP="00962079">
            <w:pPr>
              <w:pStyle w:val="NoSpacing"/>
              <w:ind w:left="-253"/>
              <w:jc w:val="right"/>
              <w:rPr>
                <w:rFonts w:ascii="Times New Roman" w:hAnsi="Times New Roman"/>
                <w:lang w:eastAsia="lv-LV"/>
              </w:rPr>
            </w:pPr>
            <w:r w:rsidRPr="00962079">
              <w:rPr>
                <w:rFonts w:ascii="Times New Roman" w:hAnsi="Times New Roman"/>
                <w:lang w:eastAsia="lv-LV"/>
              </w:rPr>
              <w:t>0</w:t>
            </w:r>
          </w:p>
        </w:tc>
        <w:tc>
          <w:tcPr>
            <w:tcW w:w="1276"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992"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1134"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851"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992"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1276"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r>
      <w:tr w:rsidR="00064F32" w:rsidTr="00962079">
        <w:trPr>
          <w:gridAfter w:val="1"/>
          <w:wAfter w:w="8" w:type="dxa"/>
          <w:jc w:val="center"/>
        </w:trPr>
        <w:tc>
          <w:tcPr>
            <w:tcW w:w="1413" w:type="dxa"/>
          </w:tcPr>
          <w:p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2. Budžeta izdevumi</w:t>
            </w:r>
          </w:p>
        </w:tc>
        <w:tc>
          <w:tcPr>
            <w:tcW w:w="1559" w:type="dxa"/>
          </w:tcPr>
          <w:p w:rsidR="00064F32" w:rsidRPr="00962079" w:rsidRDefault="00E47E33" w:rsidP="00962079">
            <w:pPr>
              <w:pStyle w:val="NoSpacing"/>
              <w:ind w:left="-253"/>
              <w:jc w:val="right"/>
              <w:rPr>
                <w:rFonts w:ascii="Times New Roman" w:hAnsi="Times New Roman"/>
                <w:lang w:eastAsia="lv-LV"/>
              </w:rPr>
            </w:pPr>
            <w:r w:rsidRPr="00962079">
              <w:rPr>
                <w:rFonts w:ascii="Times New Roman" w:hAnsi="Times New Roman"/>
                <w:lang w:eastAsia="lv-LV"/>
              </w:rPr>
              <w:t>8</w:t>
            </w:r>
            <w:r w:rsidR="00110F94" w:rsidRPr="00962079">
              <w:rPr>
                <w:rFonts w:ascii="Times New Roman" w:hAnsi="Times New Roman"/>
                <w:lang w:eastAsia="lv-LV"/>
              </w:rPr>
              <w:t xml:space="preserve"> </w:t>
            </w:r>
            <w:r w:rsidRPr="00962079">
              <w:rPr>
                <w:rFonts w:ascii="Times New Roman" w:hAnsi="Times New Roman"/>
                <w:lang w:eastAsia="lv-LV"/>
              </w:rPr>
              <w:t>954</w:t>
            </w:r>
            <w:r w:rsidR="00110F94" w:rsidRPr="00962079">
              <w:rPr>
                <w:rFonts w:ascii="Times New Roman" w:hAnsi="Times New Roman"/>
                <w:lang w:eastAsia="lv-LV"/>
              </w:rPr>
              <w:t xml:space="preserve"> </w:t>
            </w:r>
            <w:r w:rsidRPr="00962079">
              <w:rPr>
                <w:rFonts w:ascii="Times New Roman" w:hAnsi="Times New Roman"/>
                <w:lang w:eastAsia="lv-LV"/>
              </w:rPr>
              <w:t>188</w:t>
            </w:r>
            <w:r w:rsidR="00110F94" w:rsidRPr="00962079">
              <w:rPr>
                <w:rFonts w:ascii="Times New Roman" w:hAnsi="Times New Roman"/>
                <w:lang w:eastAsia="lv-LV"/>
              </w:rPr>
              <w:t xml:space="preserve"> </w:t>
            </w:r>
            <w:r w:rsidRPr="00962079">
              <w:rPr>
                <w:rFonts w:ascii="Times New Roman" w:hAnsi="Times New Roman"/>
                <w:lang w:eastAsia="lv-LV"/>
              </w:rPr>
              <w:t>268</w:t>
            </w:r>
          </w:p>
        </w:tc>
        <w:tc>
          <w:tcPr>
            <w:tcW w:w="1276" w:type="dxa"/>
          </w:tcPr>
          <w:p w:rsidR="00064F32" w:rsidRPr="004B0522" w:rsidRDefault="00F14F02" w:rsidP="000044FA">
            <w:pPr>
              <w:pStyle w:val="NoSpacing"/>
              <w:jc w:val="right"/>
              <w:rPr>
                <w:rFonts w:ascii="Times New Roman" w:hAnsi="Times New Roman"/>
                <w:b/>
                <w:sz w:val="20"/>
                <w:szCs w:val="20"/>
                <w:lang w:eastAsia="lv-LV"/>
              </w:rPr>
            </w:pPr>
            <w:r>
              <w:rPr>
                <w:rFonts w:ascii="Times New Roman" w:hAnsi="Times New Roman"/>
                <w:b/>
                <w:sz w:val="20"/>
                <w:szCs w:val="20"/>
              </w:rPr>
              <w:t>232 000 000</w:t>
            </w:r>
          </w:p>
        </w:tc>
        <w:tc>
          <w:tcPr>
            <w:tcW w:w="992"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1134"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851"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992"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1276"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r>
      <w:tr w:rsidR="00064F32" w:rsidTr="00962079">
        <w:trPr>
          <w:gridAfter w:val="1"/>
          <w:wAfter w:w="8" w:type="dxa"/>
          <w:jc w:val="center"/>
        </w:trPr>
        <w:tc>
          <w:tcPr>
            <w:tcW w:w="1413" w:type="dxa"/>
          </w:tcPr>
          <w:p w:rsidR="00064F32" w:rsidRPr="00962079" w:rsidRDefault="00064F32" w:rsidP="000044FA">
            <w:pPr>
              <w:pStyle w:val="NoSpacing"/>
              <w:rPr>
                <w:rFonts w:ascii="Times New Roman" w:hAnsi="Times New Roman"/>
                <w:sz w:val="21"/>
                <w:szCs w:val="21"/>
                <w:lang w:eastAsia="lv-LV"/>
              </w:rPr>
            </w:pPr>
            <w:r w:rsidRPr="00962079">
              <w:rPr>
                <w:rFonts w:ascii="Times New Roman" w:hAnsi="Times New Roman"/>
                <w:sz w:val="21"/>
                <w:szCs w:val="21"/>
                <w:lang w:eastAsia="lv-LV"/>
              </w:rPr>
              <w:t>2.1. valsts pamatbudžets</w:t>
            </w:r>
          </w:p>
        </w:tc>
        <w:tc>
          <w:tcPr>
            <w:tcW w:w="1559" w:type="dxa"/>
          </w:tcPr>
          <w:p w:rsidR="00064F32" w:rsidRPr="00962079" w:rsidRDefault="00E47E33" w:rsidP="00962079">
            <w:pPr>
              <w:pStyle w:val="NoSpacing"/>
              <w:ind w:left="-253"/>
              <w:jc w:val="right"/>
              <w:rPr>
                <w:rFonts w:ascii="Times New Roman" w:hAnsi="Times New Roman"/>
                <w:lang w:eastAsia="lv-LV"/>
              </w:rPr>
            </w:pPr>
            <w:r w:rsidRPr="00962079">
              <w:rPr>
                <w:rFonts w:ascii="Times New Roman" w:hAnsi="Times New Roman"/>
                <w:lang w:eastAsia="lv-LV"/>
              </w:rPr>
              <w:t>6</w:t>
            </w:r>
            <w:r w:rsidR="00110F94" w:rsidRPr="00962079">
              <w:rPr>
                <w:rFonts w:ascii="Times New Roman" w:hAnsi="Times New Roman"/>
                <w:lang w:eastAsia="lv-LV"/>
              </w:rPr>
              <w:t xml:space="preserve"> </w:t>
            </w:r>
            <w:r w:rsidRPr="00962079">
              <w:rPr>
                <w:rFonts w:ascii="Times New Roman" w:hAnsi="Times New Roman"/>
                <w:lang w:eastAsia="lv-LV"/>
              </w:rPr>
              <w:t>489</w:t>
            </w:r>
            <w:r w:rsidR="00110F94" w:rsidRPr="00962079">
              <w:rPr>
                <w:rFonts w:ascii="Times New Roman" w:hAnsi="Times New Roman"/>
                <w:lang w:eastAsia="lv-LV"/>
              </w:rPr>
              <w:t xml:space="preserve"> </w:t>
            </w:r>
            <w:r w:rsidRPr="00962079">
              <w:rPr>
                <w:rFonts w:ascii="Times New Roman" w:hAnsi="Times New Roman"/>
                <w:lang w:eastAsia="lv-LV"/>
              </w:rPr>
              <w:t>358</w:t>
            </w:r>
            <w:r w:rsidR="00110F94" w:rsidRPr="00962079">
              <w:rPr>
                <w:rFonts w:ascii="Times New Roman" w:hAnsi="Times New Roman"/>
                <w:lang w:eastAsia="lv-LV"/>
              </w:rPr>
              <w:t xml:space="preserve"> </w:t>
            </w:r>
            <w:r w:rsidRPr="00962079">
              <w:rPr>
                <w:rFonts w:ascii="Times New Roman" w:hAnsi="Times New Roman"/>
                <w:lang w:eastAsia="lv-LV"/>
              </w:rPr>
              <w:t>029</w:t>
            </w:r>
          </w:p>
        </w:tc>
        <w:tc>
          <w:tcPr>
            <w:tcW w:w="1276" w:type="dxa"/>
          </w:tcPr>
          <w:p w:rsidR="00064F32" w:rsidRPr="004B0522" w:rsidRDefault="00DE1003" w:rsidP="000044FA">
            <w:pPr>
              <w:pStyle w:val="NoSpacing"/>
              <w:jc w:val="right"/>
              <w:rPr>
                <w:rFonts w:ascii="Times New Roman" w:hAnsi="Times New Roman"/>
                <w:sz w:val="20"/>
                <w:szCs w:val="20"/>
                <w:lang w:eastAsia="lv-LV"/>
              </w:rPr>
            </w:pPr>
            <w:r>
              <w:rPr>
                <w:rFonts w:ascii="Times New Roman" w:hAnsi="Times New Roman"/>
                <w:b/>
                <w:sz w:val="20"/>
                <w:szCs w:val="20"/>
              </w:rPr>
              <w:t>232</w:t>
            </w:r>
            <w:r w:rsidR="00F14F02">
              <w:rPr>
                <w:rFonts w:ascii="Times New Roman" w:hAnsi="Times New Roman"/>
                <w:b/>
                <w:sz w:val="20"/>
                <w:szCs w:val="20"/>
              </w:rPr>
              <w:t> 000 000</w:t>
            </w:r>
          </w:p>
        </w:tc>
        <w:tc>
          <w:tcPr>
            <w:tcW w:w="992"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1134"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851"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992"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1276"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r>
      <w:tr w:rsidR="00E16501" w:rsidTr="00962079">
        <w:trPr>
          <w:gridAfter w:val="1"/>
          <w:wAfter w:w="8" w:type="dxa"/>
          <w:jc w:val="center"/>
        </w:trPr>
        <w:tc>
          <w:tcPr>
            <w:tcW w:w="1413" w:type="dxa"/>
          </w:tcPr>
          <w:p w:rsidR="00E16501" w:rsidRPr="00962079" w:rsidRDefault="00E16501" w:rsidP="000044FA">
            <w:pPr>
              <w:pStyle w:val="NoSpacing"/>
              <w:rPr>
                <w:rFonts w:ascii="Times New Roman" w:hAnsi="Times New Roman"/>
                <w:i/>
                <w:lang w:eastAsia="lv-LV"/>
              </w:rPr>
            </w:pPr>
            <w:r w:rsidRPr="00962079">
              <w:rPr>
                <w:rFonts w:ascii="Times New Roman" w:hAnsi="Times New Roman"/>
                <w:i/>
              </w:rPr>
              <w:lastRenderedPageBreak/>
              <w:t>budžeta resora “74. Gadskārtējā valsts budžeta izpildes procesā pārdalāmais finansējums” 80.00.00 programma</w:t>
            </w:r>
          </w:p>
        </w:tc>
        <w:tc>
          <w:tcPr>
            <w:tcW w:w="1559" w:type="dxa"/>
          </w:tcPr>
          <w:p w:rsidR="00E16501" w:rsidRPr="00962079" w:rsidRDefault="00110F94" w:rsidP="00962079">
            <w:pPr>
              <w:pStyle w:val="NoSpacing"/>
              <w:ind w:left="-253"/>
              <w:jc w:val="right"/>
              <w:rPr>
                <w:rFonts w:ascii="Times New Roman" w:hAnsi="Times New Roman"/>
                <w:i/>
                <w:lang w:eastAsia="lv-LV"/>
              </w:rPr>
            </w:pPr>
            <w:r w:rsidRPr="00962079">
              <w:rPr>
                <w:rFonts w:ascii="Times New Roman" w:hAnsi="Times New Roman"/>
                <w:i/>
                <w:lang w:eastAsia="lv-LV"/>
              </w:rPr>
              <w:t>125 595 978</w:t>
            </w:r>
          </w:p>
        </w:tc>
        <w:tc>
          <w:tcPr>
            <w:tcW w:w="1276" w:type="dxa"/>
          </w:tcPr>
          <w:p w:rsidR="00E16501" w:rsidRPr="004B0522" w:rsidRDefault="000B283D" w:rsidP="00DE1003">
            <w:pPr>
              <w:pStyle w:val="NoSpacing"/>
              <w:jc w:val="right"/>
              <w:rPr>
                <w:rFonts w:ascii="Times New Roman" w:hAnsi="Times New Roman"/>
                <w:b/>
                <w:i/>
                <w:sz w:val="20"/>
                <w:szCs w:val="20"/>
              </w:rPr>
            </w:pPr>
            <w:r w:rsidRPr="004B0522">
              <w:rPr>
                <w:rFonts w:ascii="Times New Roman" w:hAnsi="Times New Roman"/>
                <w:b/>
                <w:i/>
                <w:sz w:val="20"/>
                <w:szCs w:val="20"/>
              </w:rPr>
              <w:t>23</w:t>
            </w:r>
            <w:r w:rsidR="00DE1003">
              <w:rPr>
                <w:rFonts w:ascii="Times New Roman" w:hAnsi="Times New Roman"/>
                <w:b/>
                <w:i/>
                <w:sz w:val="20"/>
                <w:szCs w:val="20"/>
              </w:rPr>
              <w:t>2</w:t>
            </w:r>
            <w:r w:rsidR="00F14F02">
              <w:rPr>
                <w:rFonts w:ascii="Times New Roman" w:hAnsi="Times New Roman"/>
                <w:b/>
                <w:i/>
                <w:sz w:val="20"/>
                <w:szCs w:val="20"/>
              </w:rPr>
              <w:t> </w:t>
            </w:r>
            <w:r w:rsidRPr="004B0522">
              <w:rPr>
                <w:rFonts w:ascii="Times New Roman" w:hAnsi="Times New Roman"/>
                <w:b/>
                <w:i/>
                <w:sz w:val="20"/>
                <w:szCs w:val="20"/>
              </w:rPr>
              <w:t>0</w:t>
            </w:r>
            <w:r w:rsidR="00F14F02">
              <w:rPr>
                <w:rFonts w:ascii="Times New Roman" w:hAnsi="Times New Roman"/>
                <w:b/>
                <w:i/>
                <w:sz w:val="20"/>
                <w:szCs w:val="20"/>
              </w:rPr>
              <w:t>00 000</w:t>
            </w:r>
          </w:p>
        </w:tc>
        <w:tc>
          <w:tcPr>
            <w:tcW w:w="992" w:type="dxa"/>
          </w:tcPr>
          <w:p w:rsidR="00E16501" w:rsidRPr="004B0522" w:rsidRDefault="00E16501" w:rsidP="000044FA">
            <w:pPr>
              <w:pStyle w:val="NoSpacing"/>
              <w:jc w:val="right"/>
              <w:rPr>
                <w:rFonts w:ascii="Times New Roman" w:hAnsi="Times New Roman"/>
                <w:sz w:val="20"/>
                <w:szCs w:val="20"/>
                <w:lang w:eastAsia="lv-LV"/>
              </w:rPr>
            </w:pPr>
          </w:p>
        </w:tc>
        <w:tc>
          <w:tcPr>
            <w:tcW w:w="1134" w:type="dxa"/>
          </w:tcPr>
          <w:p w:rsidR="00E16501" w:rsidRPr="004B0522" w:rsidRDefault="00E16501" w:rsidP="000044FA">
            <w:pPr>
              <w:pStyle w:val="NoSpacing"/>
              <w:jc w:val="right"/>
              <w:rPr>
                <w:rFonts w:ascii="Times New Roman" w:hAnsi="Times New Roman"/>
                <w:sz w:val="20"/>
                <w:szCs w:val="20"/>
                <w:lang w:eastAsia="lv-LV"/>
              </w:rPr>
            </w:pPr>
          </w:p>
        </w:tc>
        <w:tc>
          <w:tcPr>
            <w:tcW w:w="851" w:type="dxa"/>
          </w:tcPr>
          <w:p w:rsidR="00E16501" w:rsidRPr="004B0522" w:rsidRDefault="00E16501" w:rsidP="000044FA">
            <w:pPr>
              <w:pStyle w:val="NoSpacing"/>
              <w:jc w:val="right"/>
              <w:rPr>
                <w:rFonts w:ascii="Times New Roman" w:hAnsi="Times New Roman"/>
                <w:sz w:val="20"/>
                <w:szCs w:val="20"/>
                <w:lang w:eastAsia="lv-LV"/>
              </w:rPr>
            </w:pPr>
          </w:p>
        </w:tc>
        <w:tc>
          <w:tcPr>
            <w:tcW w:w="992" w:type="dxa"/>
          </w:tcPr>
          <w:p w:rsidR="00E16501" w:rsidRPr="004B0522" w:rsidRDefault="00E16501" w:rsidP="000044FA">
            <w:pPr>
              <w:pStyle w:val="NoSpacing"/>
              <w:jc w:val="right"/>
              <w:rPr>
                <w:rFonts w:ascii="Times New Roman" w:hAnsi="Times New Roman"/>
                <w:sz w:val="20"/>
                <w:szCs w:val="20"/>
                <w:lang w:eastAsia="lv-LV"/>
              </w:rPr>
            </w:pPr>
          </w:p>
        </w:tc>
        <w:tc>
          <w:tcPr>
            <w:tcW w:w="1276" w:type="dxa"/>
          </w:tcPr>
          <w:p w:rsidR="00E16501" w:rsidRPr="004B0522" w:rsidRDefault="00E16501" w:rsidP="000044FA">
            <w:pPr>
              <w:pStyle w:val="NoSpacing"/>
              <w:jc w:val="right"/>
              <w:rPr>
                <w:rFonts w:ascii="Times New Roman" w:hAnsi="Times New Roman"/>
                <w:sz w:val="20"/>
                <w:szCs w:val="20"/>
                <w:lang w:eastAsia="lv-LV"/>
              </w:rPr>
            </w:pPr>
          </w:p>
        </w:tc>
      </w:tr>
      <w:tr w:rsidR="00064F32" w:rsidTr="00962079">
        <w:trPr>
          <w:gridAfter w:val="1"/>
          <w:wAfter w:w="8" w:type="dxa"/>
          <w:jc w:val="center"/>
        </w:trPr>
        <w:tc>
          <w:tcPr>
            <w:tcW w:w="1413" w:type="dxa"/>
          </w:tcPr>
          <w:p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2.2. valsts speciālais budžets</w:t>
            </w:r>
          </w:p>
        </w:tc>
        <w:tc>
          <w:tcPr>
            <w:tcW w:w="1559" w:type="dxa"/>
          </w:tcPr>
          <w:p w:rsidR="00064F32" w:rsidRPr="004B0522" w:rsidRDefault="00E47E33"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2</w:t>
            </w:r>
            <w:r w:rsidR="00110F94" w:rsidRPr="004B0522">
              <w:rPr>
                <w:rFonts w:ascii="Times New Roman" w:hAnsi="Times New Roman"/>
                <w:sz w:val="20"/>
                <w:szCs w:val="20"/>
                <w:lang w:eastAsia="lv-LV"/>
              </w:rPr>
              <w:t xml:space="preserve"> </w:t>
            </w:r>
            <w:r w:rsidRPr="004B0522">
              <w:rPr>
                <w:rFonts w:ascii="Times New Roman" w:hAnsi="Times New Roman"/>
                <w:sz w:val="20"/>
                <w:szCs w:val="20"/>
                <w:lang w:eastAsia="lv-LV"/>
              </w:rPr>
              <w:t>651</w:t>
            </w:r>
            <w:r w:rsidR="00110F94" w:rsidRPr="004B0522">
              <w:rPr>
                <w:rFonts w:ascii="Times New Roman" w:hAnsi="Times New Roman"/>
                <w:sz w:val="20"/>
                <w:szCs w:val="20"/>
                <w:lang w:eastAsia="lv-LV"/>
              </w:rPr>
              <w:t xml:space="preserve"> </w:t>
            </w:r>
            <w:r w:rsidRPr="004B0522">
              <w:rPr>
                <w:rFonts w:ascii="Times New Roman" w:hAnsi="Times New Roman"/>
                <w:sz w:val="20"/>
                <w:szCs w:val="20"/>
                <w:lang w:eastAsia="lv-LV"/>
              </w:rPr>
              <w:t>198</w:t>
            </w:r>
            <w:r w:rsidR="00110F94" w:rsidRPr="004B0522">
              <w:rPr>
                <w:rFonts w:ascii="Times New Roman" w:hAnsi="Times New Roman"/>
                <w:sz w:val="20"/>
                <w:szCs w:val="20"/>
                <w:lang w:eastAsia="lv-LV"/>
              </w:rPr>
              <w:t xml:space="preserve"> </w:t>
            </w:r>
            <w:r w:rsidRPr="004B0522">
              <w:rPr>
                <w:rFonts w:ascii="Times New Roman" w:hAnsi="Times New Roman"/>
                <w:sz w:val="20"/>
                <w:szCs w:val="20"/>
                <w:lang w:eastAsia="lv-LV"/>
              </w:rPr>
              <w:t>936</w:t>
            </w:r>
          </w:p>
        </w:tc>
        <w:tc>
          <w:tcPr>
            <w:tcW w:w="1276"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992"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1134"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851"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992"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1276"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r>
      <w:tr w:rsidR="00064F32" w:rsidTr="00962079">
        <w:trPr>
          <w:gridAfter w:val="1"/>
          <w:wAfter w:w="8" w:type="dxa"/>
          <w:jc w:val="center"/>
        </w:trPr>
        <w:tc>
          <w:tcPr>
            <w:tcW w:w="1413" w:type="dxa"/>
          </w:tcPr>
          <w:p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2.3. pašvaldību budžets</w:t>
            </w:r>
          </w:p>
        </w:tc>
        <w:tc>
          <w:tcPr>
            <w:tcW w:w="1559"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1276"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992"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1134"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851"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992"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1276"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r>
      <w:tr w:rsidR="00E16501" w:rsidTr="00962079">
        <w:trPr>
          <w:gridAfter w:val="1"/>
          <w:wAfter w:w="8" w:type="dxa"/>
          <w:jc w:val="center"/>
        </w:trPr>
        <w:tc>
          <w:tcPr>
            <w:tcW w:w="1413" w:type="dxa"/>
          </w:tcPr>
          <w:p w:rsidR="00E16501" w:rsidRPr="00962079" w:rsidRDefault="00E16501" w:rsidP="00E16501">
            <w:pPr>
              <w:pStyle w:val="NoSpacing"/>
              <w:rPr>
                <w:rFonts w:ascii="Times New Roman" w:hAnsi="Times New Roman"/>
                <w:lang w:eastAsia="lv-LV"/>
              </w:rPr>
            </w:pPr>
            <w:r w:rsidRPr="00962079">
              <w:rPr>
                <w:rFonts w:ascii="Times New Roman" w:hAnsi="Times New Roman"/>
                <w:lang w:eastAsia="lv-LV"/>
              </w:rPr>
              <w:t>3. Finansiālā ietekme</w:t>
            </w:r>
          </w:p>
        </w:tc>
        <w:tc>
          <w:tcPr>
            <w:tcW w:w="1559" w:type="dxa"/>
          </w:tcPr>
          <w:p w:rsidR="00E16501" w:rsidRPr="004B0522" w:rsidRDefault="00E47E33" w:rsidP="00E16501">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-201</w:t>
            </w:r>
            <w:r w:rsidR="00110F94" w:rsidRPr="004B0522">
              <w:rPr>
                <w:rFonts w:ascii="Times New Roman" w:hAnsi="Times New Roman"/>
                <w:sz w:val="20"/>
                <w:szCs w:val="20"/>
                <w:lang w:eastAsia="lv-LV"/>
              </w:rPr>
              <w:t xml:space="preserve"> </w:t>
            </w:r>
            <w:r w:rsidRPr="004B0522">
              <w:rPr>
                <w:rFonts w:ascii="Times New Roman" w:hAnsi="Times New Roman"/>
                <w:sz w:val="20"/>
                <w:szCs w:val="20"/>
                <w:lang w:eastAsia="lv-LV"/>
              </w:rPr>
              <w:t>042</w:t>
            </w:r>
            <w:r w:rsidR="00110F94" w:rsidRPr="004B0522">
              <w:rPr>
                <w:rFonts w:ascii="Times New Roman" w:hAnsi="Times New Roman"/>
                <w:sz w:val="20"/>
                <w:szCs w:val="20"/>
                <w:lang w:eastAsia="lv-LV"/>
              </w:rPr>
              <w:t xml:space="preserve"> </w:t>
            </w:r>
            <w:r w:rsidRPr="004B0522">
              <w:rPr>
                <w:rFonts w:ascii="Times New Roman" w:hAnsi="Times New Roman"/>
                <w:sz w:val="20"/>
                <w:szCs w:val="20"/>
                <w:lang w:eastAsia="lv-LV"/>
              </w:rPr>
              <w:t>033</w:t>
            </w:r>
          </w:p>
        </w:tc>
        <w:tc>
          <w:tcPr>
            <w:tcW w:w="1276" w:type="dxa"/>
          </w:tcPr>
          <w:p w:rsidR="00E16501" w:rsidRPr="004B0522" w:rsidRDefault="00E16501" w:rsidP="00DE1003">
            <w:pPr>
              <w:ind w:left="-112"/>
              <w:jc w:val="right"/>
              <w:rPr>
                <w:sz w:val="20"/>
                <w:szCs w:val="20"/>
              </w:rPr>
            </w:pPr>
            <w:r w:rsidRPr="004B0522">
              <w:rPr>
                <w:b/>
                <w:sz w:val="20"/>
                <w:szCs w:val="20"/>
              </w:rPr>
              <w:t>-</w:t>
            </w:r>
            <w:r w:rsidR="00F14F02">
              <w:rPr>
                <w:b/>
                <w:sz w:val="20"/>
                <w:szCs w:val="20"/>
              </w:rPr>
              <w:t>23</w:t>
            </w:r>
            <w:r w:rsidR="00DE1003">
              <w:rPr>
                <w:b/>
                <w:sz w:val="20"/>
                <w:szCs w:val="20"/>
              </w:rPr>
              <w:t>2</w:t>
            </w:r>
            <w:r w:rsidR="00F14F02">
              <w:rPr>
                <w:b/>
                <w:sz w:val="20"/>
                <w:szCs w:val="20"/>
              </w:rPr>
              <w:t> 000 000</w:t>
            </w:r>
          </w:p>
        </w:tc>
        <w:tc>
          <w:tcPr>
            <w:tcW w:w="992" w:type="dxa"/>
          </w:tcPr>
          <w:p w:rsidR="00E16501" w:rsidRPr="004B0522" w:rsidRDefault="00E16501" w:rsidP="00E16501">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1134" w:type="dxa"/>
          </w:tcPr>
          <w:p w:rsidR="00E16501" w:rsidRPr="004B0522" w:rsidRDefault="00E16501" w:rsidP="00E16501">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851" w:type="dxa"/>
          </w:tcPr>
          <w:p w:rsidR="00E16501" w:rsidRPr="004B0522" w:rsidRDefault="00E16501" w:rsidP="00E16501">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992" w:type="dxa"/>
          </w:tcPr>
          <w:p w:rsidR="00E16501" w:rsidRPr="004B0522" w:rsidRDefault="00E16501" w:rsidP="00E16501">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1276" w:type="dxa"/>
          </w:tcPr>
          <w:p w:rsidR="00E16501" w:rsidRPr="004B0522" w:rsidRDefault="00E16501" w:rsidP="00E16501">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r>
      <w:tr w:rsidR="00E16501" w:rsidTr="00962079">
        <w:trPr>
          <w:gridAfter w:val="1"/>
          <w:wAfter w:w="8" w:type="dxa"/>
          <w:jc w:val="center"/>
        </w:trPr>
        <w:tc>
          <w:tcPr>
            <w:tcW w:w="1413" w:type="dxa"/>
          </w:tcPr>
          <w:p w:rsidR="00E16501" w:rsidRPr="00962079" w:rsidRDefault="00E16501" w:rsidP="00E16501">
            <w:pPr>
              <w:pStyle w:val="NoSpacing"/>
              <w:rPr>
                <w:rFonts w:ascii="Times New Roman" w:hAnsi="Times New Roman"/>
                <w:sz w:val="21"/>
                <w:szCs w:val="21"/>
                <w:lang w:eastAsia="lv-LV"/>
              </w:rPr>
            </w:pPr>
            <w:r w:rsidRPr="00962079">
              <w:rPr>
                <w:rFonts w:ascii="Times New Roman" w:hAnsi="Times New Roman"/>
                <w:sz w:val="21"/>
                <w:szCs w:val="21"/>
                <w:lang w:eastAsia="lv-LV"/>
              </w:rPr>
              <w:t>3.1. valsts pamatbudžets</w:t>
            </w:r>
          </w:p>
        </w:tc>
        <w:tc>
          <w:tcPr>
            <w:tcW w:w="1559" w:type="dxa"/>
          </w:tcPr>
          <w:p w:rsidR="00E16501" w:rsidRPr="004B0522" w:rsidRDefault="00E47E33" w:rsidP="00E16501">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-326</w:t>
            </w:r>
            <w:r w:rsidR="00110F94" w:rsidRPr="004B0522">
              <w:rPr>
                <w:rFonts w:ascii="Times New Roman" w:hAnsi="Times New Roman"/>
                <w:sz w:val="20"/>
                <w:szCs w:val="20"/>
                <w:lang w:eastAsia="lv-LV"/>
              </w:rPr>
              <w:t xml:space="preserve"> </w:t>
            </w:r>
            <w:r w:rsidRPr="004B0522">
              <w:rPr>
                <w:rFonts w:ascii="Times New Roman" w:hAnsi="Times New Roman"/>
                <w:sz w:val="20"/>
                <w:szCs w:val="20"/>
                <w:lang w:eastAsia="lv-LV"/>
              </w:rPr>
              <w:t>924</w:t>
            </w:r>
            <w:r w:rsidR="00110F94" w:rsidRPr="004B0522">
              <w:rPr>
                <w:rFonts w:ascii="Times New Roman" w:hAnsi="Times New Roman"/>
                <w:sz w:val="20"/>
                <w:szCs w:val="20"/>
                <w:lang w:eastAsia="lv-LV"/>
              </w:rPr>
              <w:t xml:space="preserve"> </w:t>
            </w:r>
            <w:r w:rsidRPr="004B0522">
              <w:rPr>
                <w:rFonts w:ascii="Times New Roman" w:hAnsi="Times New Roman"/>
                <w:sz w:val="20"/>
                <w:szCs w:val="20"/>
                <w:lang w:eastAsia="lv-LV"/>
              </w:rPr>
              <w:t>996</w:t>
            </w:r>
          </w:p>
        </w:tc>
        <w:tc>
          <w:tcPr>
            <w:tcW w:w="1276" w:type="dxa"/>
          </w:tcPr>
          <w:p w:rsidR="00E16501" w:rsidRPr="004B0522" w:rsidRDefault="00E16501" w:rsidP="00962079">
            <w:pPr>
              <w:ind w:left="-112"/>
              <w:jc w:val="right"/>
              <w:rPr>
                <w:sz w:val="20"/>
                <w:szCs w:val="20"/>
              </w:rPr>
            </w:pPr>
            <w:r w:rsidRPr="004B0522">
              <w:rPr>
                <w:b/>
                <w:sz w:val="20"/>
                <w:szCs w:val="20"/>
              </w:rPr>
              <w:t>-</w:t>
            </w:r>
            <w:r w:rsidR="00DE1003">
              <w:rPr>
                <w:b/>
                <w:sz w:val="20"/>
                <w:szCs w:val="20"/>
              </w:rPr>
              <w:t>232</w:t>
            </w:r>
            <w:r w:rsidR="00F14F02">
              <w:rPr>
                <w:b/>
                <w:sz w:val="20"/>
                <w:szCs w:val="20"/>
              </w:rPr>
              <w:t> 000 000</w:t>
            </w:r>
          </w:p>
        </w:tc>
        <w:tc>
          <w:tcPr>
            <w:tcW w:w="992" w:type="dxa"/>
          </w:tcPr>
          <w:p w:rsidR="00E16501" w:rsidRPr="004B0522" w:rsidRDefault="00E16501" w:rsidP="00E16501">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1134" w:type="dxa"/>
          </w:tcPr>
          <w:p w:rsidR="00E16501" w:rsidRPr="004B0522" w:rsidRDefault="00E16501" w:rsidP="00E16501">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851" w:type="dxa"/>
          </w:tcPr>
          <w:p w:rsidR="00E16501" w:rsidRPr="004B0522" w:rsidRDefault="00E16501" w:rsidP="00E16501">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992" w:type="dxa"/>
          </w:tcPr>
          <w:p w:rsidR="00E16501" w:rsidRPr="004B0522" w:rsidRDefault="00E16501" w:rsidP="00E16501">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1276" w:type="dxa"/>
          </w:tcPr>
          <w:p w:rsidR="00E16501" w:rsidRPr="004B0522" w:rsidRDefault="00E16501" w:rsidP="00E16501">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r>
      <w:tr w:rsidR="00064F32" w:rsidTr="00962079">
        <w:trPr>
          <w:gridAfter w:val="1"/>
          <w:wAfter w:w="8" w:type="dxa"/>
          <w:jc w:val="center"/>
        </w:trPr>
        <w:tc>
          <w:tcPr>
            <w:tcW w:w="1413" w:type="dxa"/>
          </w:tcPr>
          <w:p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3.2. speciālais budžets</w:t>
            </w:r>
          </w:p>
        </w:tc>
        <w:tc>
          <w:tcPr>
            <w:tcW w:w="1559" w:type="dxa"/>
          </w:tcPr>
          <w:p w:rsidR="00064F32" w:rsidRPr="004B0522" w:rsidRDefault="00110F94"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-125 882 963</w:t>
            </w:r>
          </w:p>
        </w:tc>
        <w:tc>
          <w:tcPr>
            <w:tcW w:w="1276"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992"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1134"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851"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992"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1276"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r>
      <w:tr w:rsidR="00064F32" w:rsidTr="00962079">
        <w:trPr>
          <w:gridAfter w:val="1"/>
          <w:wAfter w:w="8" w:type="dxa"/>
          <w:jc w:val="center"/>
        </w:trPr>
        <w:tc>
          <w:tcPr>
            <w:tcW w:w="1413" w:type="dxa"/>
          </w:tcPr>
          <w:p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3.3. pašvaldību budžets</w:t>
            </w:r>
          </w:p>
        </w:tc>
        <w:tc>
          <w:tcPr>
            <w:tcW w:w="1559"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1276"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992"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1134"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851"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992"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1276"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r>
      <w:tr w:rsidR="00064F32" w:rsidTr="00962079">
        <w:trPr>
          <w:gridAfter w:val="1"/>
          <w:wAfter w:w="8" w:type="dxa"/>
          <w:jc w:val="center"/>
        </w:trPr>
        <w:tc>
          <w:tcPr>
            <w:tcW w:w="1413" w:type="dxa"/>
          </w:tcPr>
          <w:p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4. Finanšu līdzekļi papildu izdevumu finansēšanai (kompensējošu izdevumu samazinājumu norāda ar "+" zīmi)</w:t>
            </w:r>
          </w:p>
        </w:tc>
        <w:tc>
          <w:tcPr>
            <w:tcW w:w="1559"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X</w:t>
            </w:r>
          </w:p>
        </w:tc>
        <w:tc>
          <w:tcPr>
            <w:tcW w:w="1276" w:type="dxa"/>
          </w:tcPr>
          <w:p w:rsidR="00064F32" w:rsidRPr="004B0522" w:rsidRDefault="00E16501" w:rsidP="000044FA">
            <w:pPr>
              <w:pStyle w:val="NoSpacing"/>
              <w:jc w:val="right"/>
              <w:rPr>
                <w:rFonts w:ascii="Times New Roman" w:hAnsi="Times New Roman"/>
                <w:sz w:val="20"/>
                <w:szCs w:val="20"/>
                <w:lang w:eastAsia="lv-LV"/>
              </w:rPr>
            </w:pPr>
            <w:r w:rsidRPr="004B0522">
              <w:rPr>
                <w:rFonts w:ascii="Times New Roman" w:hAnsi="Times New Roman"/>
                <w:sz w:val="20"/>
                <w:szCs w:val="20"/>
              </w:rPr>
              <w:t>0</w:t>
            </w:r>
          </w:p>
        </w:tc>
        <w:tc>
          <w:tcPr>
            <w:tcW w:w="992"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1134"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851"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992"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1276"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r>
      <w:tr w:rsidR="00064F32" w:rsidTr="00962079">
        <w:trPr>
          <w:gridAfter w:val="1"/>
          <w:wAfter w:w="8" w:type="dxa"/>
          <w:jc w:val="center"/>
        </w:trPr>
        <w:tc>
          <w:tcPr>
            <w:tcW w:w="1413" w:type="dxa"/>
          </w:tcPr>
          <w:p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5. Precizēta finansiālā ietekme</w:t>
            </w:r>
          </w:p>
        </w:tc>
        <w:tc>
          <w:tcPr>
            <w:tcW w:w="1559" w:type="dxa"/>
            <w:vMerge w:val="restart"/>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X</w:t>
            </w:r>
          </w:p>
        </w:tc>
        <w:tc>
          <w:tcPr>
            <w:tcW w:w="1276"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rPr>
              <w:t>0</w:t>
            </w:r>
          </w:p>
        </w:tc>
        <w:tc>
          <w:tcPr>
            <w:tcW w:w="992" w:type="dxa"/>
            <w:vMerge w:val="restart"/>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1134"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851" w:type="dxa"/>
            <w:vMerge w:val="restart"/>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992"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1276"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r>
      <w:tr w:rsidR="00064F32" w:rsidTr="00962079">
        <w:trPr>
          <w:gridAfter w:val="1"/>
          <w:wAfter w:w="8" w:type="dxa"/>
          <w:jc w:val="center"/>
        </w:trPr>
        <w:tc>
          <w:tcPr>
            <w:tcW w:w="1413" w:type="dxa"/>
          </w:tcPr>
          <w:p w:rsidR="00064F32" w:rsidRPr="00962079" w:rsidRDefault="00064F32" w:rsidP="000044FA">
            <w:pPr>
              <w:pStyle w:val="NoSpacing"/>
              <w:rPr>
                <w:rFonts w:ascii="Times New Roman" w:hAnsi="Times New Roman"/>
                <w:sz w:val="20"/>
                <w:szCs w:val="20"/>
                <w:lang w:eastAsia="lv-LV"/>
              </w:rPr>
            </w:pPr>
            <w:r w:rsidRPr="00962079">
              <w:rPr>
                <w:rFonts w:ascii="Times New Roman" w:hAnsi="Times New Roman"/>
                <w:sz w:val="20"/>
                <w:szCs w:val="20"/>
                <w:lang w:eastAsia="lv-LV"/>
              </w:rPr>
              <w:t>5.1. valsts pamatbudžets</w:t>
            </w:r>
          </w:p>
        </w:tc>
        <w:tc>
          <w:tcPr>
            <w:tcW w:w="1559" w:type="dxa"/>
            <w:vMerge/>
          </w:tcPr>
          <w:p w:rsidR="00064F32" w:rsidRPr="004B0522" w:rsidRDefault="00064F32" w:rsidP="000044FA">
            <w:pPr>
              <w:pStyle w:val="NoSpacing"/>
              <w:jc w:val="right"/>
              <w:rPr>
                <w:rFonts w:ascii="Times New Roman" w:hAnsi="Times New Roman"/>
                <w:sz w:val="20"/>
                <w:szCs w:val="20"/>
                <w:lang w:eastAsia="lv-LV"/>
              </w:rPr>
            </w:pPr>
          </w:p>
        </w:tc>
        <w:tc>
          <w:tcPr>
            <w:tcW w:w="1276"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rPr>
              <w:t>0</w:t>
            </w:r>
          </w:p>
        </w:tc>
        <w:tc>
          <w:tcPr>
            <w:tcW w:w="992" w:type="dxa"/>
            <w:vMerge/>
          </w:tcPr>
          <w:p w:rsidR="00064F32" w:rsidRPr="004B0522" w:rsidRDefault="00064F32" w:rsidP="000044FA">
            <w:pPr>
              <w:pStyle w:val="NoSpacing"/>
              <w:jc w:val="right"/>
              <w:rPr>
                <w:rFonts w:ascii="Times New Roman" w:hAnsi="Times New Roman"/>
                <w:sz w:val="20"/>
                <w:szCs w:val="20"/>
                <w:lang w:eastAsia="lv-LV"/>
              </w:rPr>
            </w:pPr>
          </w:p>
        </w:tc>
        <w:tc>
          <w:tcPr>
            <w:tcW w:w="1134"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851" w:type="dxa"/>
            <w:vMerge/>
          </w:tcPr>
          <w:p w:rsidR="00064F32" w:rsidRPr="004B0522" w:rsidRDefault="00064F32" w:rsidP="000044FA">
            <w:pPr>
              <w:pStyle w:val="NoSpacing"/>
              <w:jc w:val="right"/>
              <w:rPr>
                <w:rFonts w:ascii="Times New Roman" w:hAnsi="Times New Roman"/>
                <w:sz w:val="20"/>
                <w:szCs w:val="20"/>
                <w:lang w:eastAsia="lv-LV"/>
              </w:rPr>
            </w:pPr>
          </w:p>
        </w:tc>
        <w:tc>
          <w:tcPr>
            <w:tcW w:w="992"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1276"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r>
      <w:tr w:rsidR="00064F32" w:rsidTr="00962079">
        <w:trPr>
          <w:gridAfter w:val="1"/>
          <w:wAfter w:w="8" w:type="dxa"/>
          <w:jc w:val="center"/>
        </w:trPr>
        <w:tc>
          <w:tcPr>
            <w:tcW w:w="1413" w:type="dxa"/>
          </w:tcPr>
          <w:p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5.2. speciālais budžets</w:t>
            </w:r>
          </w:p>
        </w:tc>
        <w:tc>
          <w:tcPr>
            <w:tcW w:w="1559" w:type="dxa"/>
            <w:vMerge/>
          </w:tcPr>
          <w:p w:rsidR="00064F32" w:rsidRPr="004B0522" w:rsidRDefault="00064F32" w:rsidP="000044FA">
            <w:pPr>
              <w:pStyle w:val="NoSpacing"/>
              <w:jc w:val="right"/>
              <w:rPr>
                <w:rFonts w:ascii="Times New Roman" w:hAnsi="Times New Roman"/>
                <w:sz w:val="20"/>
                <w:szCs w:val="20"/>
                <w:lang w:eastAsia="lv-LV"/>
              </w:rPr>
            </w:pPr>
          </w:p>
        </w:tc>
        <w:tc>
          <w:tcPr>
            <w:tcW w:w="1276"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992" w:type="dxa"/>
            <w:vMerge/>
          </w:tcPr>
          <w:p w:rsidR="00064F32" w:rsidRPr="004B0522" w:rsidRDefault="00064F32" w:rsidP="000044FA">
            <w:pPr>
              <w:pStyle w:val="NoSpacing"/>
              <w:jc w:val="right"/>
              <w:rPr>
                <w:rFonts w:ascii="Times New Roman" w:hAnsi="Times New Roman"/>
                <w:sz w:val="20"/>
                <w:szCs w:val="20"/>
                <w:lang w:eastAsia="lv-LV"/>
              </w:rPr>
            </w:pPr>
          </w:p>
        </w:tc>
        <w:tc>
          <w:tcPr>
            <w:tcW w:w="1134"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851" w:type="dxa"/>
            <w:vMerge/>
          </w:tcPr>
          <w:p w:rsidR="00064F32" w:rsidRPr="004B0522" w:rsidRDefault="00064F32" w:rsidP="000044FA">
            <w:pPr>
              <w:pStyle w:val="NoSpacing"/>
              <w:jc w:val="right"/>
              <w:rPr>
                <w:rFonts w:ascii="Times New Roman" w:hAnsi="Times New Roman"/>
                <w:sz w:val="20"/>
                <w:szCs w:val="20"/>
                <w:lang w:eastAsia="lv-LV"/>
              </w:rPr>
            </w:pPr>
          </w:p>
        </w:tc>
        <w:tc>
          <w:tcPr>
            <w:tcW w:w="992"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1276"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r>
      <w:tr w:rsidR="00064F32" w:rsidTr="00962079">
        <w:trPr>
          <w:gridAfter w:val="1"/>
          <w:wAfter w:w="8" w:type="dxa"/>
          <w:jc w:val="center"/>
        </w:trPr>
        <w:tc>
          <w:tcPr>
            <w:tcW w:w="1413" w:type="dxa"/>
          </w:tcPr>
          <w:p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5.3. pašvaldību budžets</w:t>
            </w:r>
          </w:p>
        </w:tc>
        <w:tc>
          <w:tcPr>
            <w:tcW w:w="1559" w:type="dxa"/>
            <w:vMerge/>
          </w:tcPr>
          <w:p w:rsidR="00064F32" w:rsidRPr="004B0522" w:rsidRDefault="00064F32" w:rsidP="000044FA">
            <w:pPr>
              <w:pStyle w:val="NoSpacing"/>
              <w:jc w:val="right"/>
              <w:rPr>
                <w:rFonts w:ascii="Times New Roman" w:hAnsi="Times New Roman"/>
                <w:sz w:val="20"/>
                <w:szCs w:val="20"/>
                <w:lang w:eastAsia="lv-LV"/>
              </w:rPr>
            </w:pPr>
          </w:p>
        </w:tc>
        <w:tc>
          <w:tcPr>
            <w:tcW w:w="1276"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992" w:type="dxa"/>
            <w:vMerge/>
          </w:tcPr>
          <w:p w:rsidR="00064F32" w:rsidRPr="004B0522" w:rsidRDefault="00064F32" w:rsidP="000044FA">
            <w:pPr>
              <w:pStyle w:val="NoSpacing"/>
              <w:jc w:val="right"/>
              <w:rPr>
                <w:rFonts w:ascii="Times New Roman" w:hAnsi="Times New Roman"/>
                <w:sz w:val="20"/>
                <w:szCs w:val="20"/>
                <w:lang w:eastAsia="lv-LV"/>
              </w:rPr>
            </w:pPr>
          </w:p>
        </w:tc>
        <w:tc>
          <w:tcPr>
            <w:tcW w:w="1134"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851" w:type="dxa"/>
            <w:vMerge/>
          </w:tcPr>
          <w:p w:rsidR="00064F32" w:rsidRPr="004B0522" w:rsidRDefault="00064F32" w:rsidP="000044FA">
            <w:pPr>
              <w:pStyle w:val="NoSpacing"/>
              <w:jc w:val="right"/>
              <w:rPr>
                <w:rFonts w:ascii="Times New Roman" w:hAnsi="Times New Roman"/>
                <w:sz w:val="20"/>
                <w:szCs w:val="20"/>
                <w:lang w:eastAsia="lv-LV"/>
              </w:rPr>
            </w:pPr>
          </w:p>
        </w:tc>
        <w:tc>
          <w:tcPr>
            <w:tcW w:w="992"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c>
          <w:tcPr>
            <w:tcW w:w="1276" w:type="dxa"/>
          </w:tcPr>
          <w:p w:rsidR="00064F32" w:rsidRPr="004B0522" w:rsidRDefault="00064F32" w:rsidP="000044FA">
            <w:pPr>
              <w:pStyle w:val="NoSpacing"/>
              <w:jc w:val="right"/>
              <w:rPr>
                <w:rFonts w:ascii="Times New Roman" w:hAnsi="Times New Roman"/>
                <w:sz w:val="20"/>
                <w:szCs w:val="20"/>
                <w:lang w:eastAsia="lv-LV"/>
              </w:rPr>
            </w:pPr>
            <w:r w:rsidRPr="004B0522">
              <w:rPr>
                <w:rFonts w:ascii="Times New Roman" w:hAnsi="Times New Roman"/>
                <w:sz w:val="20"/>
                <w:szCs w:val="20"/>
                <w:lang w:eastAsia="lv-LV"/>
              </w:rPr>
              <w:t>0</w:t>
            </w:r>
          </w:p>
        </w:tc>
      </w:tr>
      <w:tr w:rsidR="00422AFA" w:rsidTr="00962079">
        <w:trPr>
          <w:jc w:val="center"/>
        </w:trPr>
        <w:tc>
          <w:tcPr>
            <w:tcW w:w="1413" w:type="dxa"/>
          </w:tcPr>
          <w:p w:rsidR="00422AFA" w:rsidRPr="00962079" w:rsidRDefault="00422AFA" w:rsidP="000044FA">
            <w:pPr>
              <w:pStyle w:val="NoSpacing"/>
              <w:rPr>
                <w:rFonts w:ascii="Times New Roman" w:hAnsi="Times New Roman"/>
                <w:lang w:eastAsia="lv-LV"/>
              </w:rPr>
            </w:pPr>
            <w:r w:rsidRPr="00962079">
              <w:rPr>
                <w:rFonts w:ascii="Times New Roman" w:hAnsi="Times New Roman"/>
                <w:lang w:eastAsia="lv-LV"/>
              </w:rPr>
              <w:t xml:space="preserve">6. Detalizēts ieņēmumu un izdevumu aprēķins (ja nepieciešams, detalizētu ieņēmumu un izdevumu aprēķinu var </w:t>
            </w:r>
            <w:r w:rsidRPr="00962079">
              <w:rPr>
                <w:rFonts w:ascii="Times New Roman" w:hAnsi="Times New Roman"/>
                <w:lang w:eastAsia="lv-LV"/>
              </w:rPr>
              <w:lastRenderedPageBreak/>
              <w:t>pievienot anotācijas pielikumā)</w:t>
            </w:r>
          </w:p>
        </w:tc>
        <w:tc>
          <w:tcPr>
            <w:tcW w:w="8088" w:type="dxa"/>
            <w:gridSpan w:val="8"/>
            <w:vMerge w:val="restart"/>
          </w:tcPr>
          <w:p w:rsidR="00422AFA" w:rsidRDefault="00422AFA" w:rsidP="00422AFA">
            <w:pPr>
              <w:pStyle w:val="NoSpacing"/>
              <w:rPr>
                <w:rFonts w:ascii="Times New Roman" w:hAnsi="Times New Roman"/>
                <w:sz w:val="20"/>
                <w:szCs w:val="20"/>
                <w:lang w:eastAsia="lv-LV"/>
              </w:rPr>
            </w:pPr>
          </w:p>
          <w:p w:rsidR="004B4E72" w:rsidRPr="004B0522" w:rsidRDefault="004B4E72" w:rsidP="00422AFA">
            <w:pPr>
              <w:pStyle w:val="NoSpacing"/>
              <w:rPr>
                <w:rFonts w:ascii="Times New Roman" w:hAnsi="Times New Roman"/>
                <w:sz w:val="20"/>
                <w:szCs w:val="20"/>
                <w:lang w:eastAsia="lv-LV"/>
              </w:rPr>
            </w:pPr>
          </w:p>
          <w:tbl>
            <w:tblPr>
              <w:tblW w:w="7679" w:type="dxa"/>
              <w:tblLayout w:type="fixed"/>
              <w:tblLook w:val="04A0" w:firstRow="1" w:lastRow="0" w:firstColumn="1" w:lastColumn="0" w:noHBand="0" w:noVBand="1"/>
            </w:tblPr>
            <w:tblGrid>
              <w:gridCol w:w="6120"/>
              <w:gridCol w:w="1559"/>
            </w:tblGrid>
            <w:tr w:rsidR="00422AFA" w:rsidRPr="004B0522" w:rsidTr="00422AFA">
              <w:trPr>
                <w:trHeight w:val="300"/>
              </w:trPr>
              <w:tc>
                <w:tcPr>
                  <w:tcW w:w="76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2AFA" w:rsidRPr="004B0522" w:rsidRDefault="00422AFA" w:rsidP="00422AFA">
                  <w:pPr>
                    <w:jc w:val="center"/>
                    <w:rPr>
                      <w:b/>
                      <w:bCs/>
                      <w:color w:val="000000"/>
                    </w:rPr>
                  </w:pPr>
                  <w:r w:rsidRPr="004B0522">
                    <w:rPr>
                      <w:b/>
                      <w:bCs/>
                      <w:color w:val="000000"/>
                    </w:rPr>
                    <w:t>Pārdale no 80.00.00 programmas</w:t>
                  </w:r>
                </w:p>
              </w:tc>
            </w:tr>
            <w:tr w:rsidR="00422AFA" w:rsidRPr="004B0522" w:rsidTr="00422AFA">
              <w:trPr>
                <w:trHeight w:val="127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422AFA" w:rsidRPr="004B0522" w:rsidRDefault="00422AFA" w:rsidP="00422AFA">
                  <w:pPr>
                    <w:rPr>
                      <w:color w:val="000000"/>
                    </w:rPr>
                  </w:pPr>
                  <w:r w:rsidRPr="004B0522">
                    <w:rPr>
                      <w:color w:val="000000"/>
                    </w:rPr>
                    <w:t xml:space="preserve">Likumā "Par valsts budžetu 2018.gadam" budžeta resora “74. Gadskārtējā valsts budžeta izpildes procesā pārdalāmais finansējums” 80.00.00 programmā “Nesadalītais finansējums Eiropas Savienības politiku instrumentu un pārējās ārvalstu </w:t>
                  </w:r>
                  <w:r w:rsidRPr="004B0522">
                    <w:rPr>
                      <w:color w:val="000000"/>
                    </w:rPr>
                    <w:lastRenderedPageBreak/>
                    <w:t>finanšu palīdzības līdzfinansēto projektu un pasākumu īstenošanai” apstiprinātais finansējums</w:t>
                  </w:r>
                </w:p>
              </w:tc>
              <w:tc>
                <w:tcPr>
                  <w:tcW w:w="1559" w:type="dxa"/>
                  <w:tcBorders>
                    <w:top w:val="nil"/>
                    <w:left w:val="nil"/>
                    <w:bottom w:val="single" w:sz="4" w:space="0" w:color="auto"/>
                    <w:right w:val="single" w:sz="4" w:space="0" w:color="auto"/>
                  </w:tcBorders>
                  <w:shd w:val="clear" w:color="auto" w:fill="auto"/>
                  <w:vAlign w:val="center"/>
                  <w:hideMark/>
                </w:tcPr>
                <w:p w:rsidR="00422AFA" w:rsidRPr="004B0522" w:rsidRDefault="00422AFA" w:rsidP="00422AFA">
                  <w:pPr>
                    <w:jc w:val="right"/>
                    <w:rPr>
                      <w:b/>
                      <w:bCs/>
                      <w:color w:val="000000"/>
                    </w:rPr>
                  </w:pPr>
                  <w:r w:rsidRPr="004B0522">
                    <w:rPr>
                      <w:b/>
                      <w:bCs/>
                      <w:color w:val="000000"/>
                    </w:rPr>
                    <w:lastRenderedPageBreak/>
                    <w:t>125 595 978</w:t>
                  </w:r>
                </w:p>
              </w:tc>
            </w:tr>
            <w:tr w:rsidR="00422AFA" w:rsidRPr="004B0522" w:rsidTr="00422AFA">
              <w:trPr>
                <w:trHeight w:val="277"/>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422AFA" w:rsidRPr="004B0522" w:rsidRDefault="00422AFA" w:rsidP="00A0018F">
                  <w:pPr>
                    <w:rPr>
                      <w:bCs/>
                      <w:color w:val="000000"/>
                    </w:rPr>
                  </w:pPr>
                  <w:r w:rsidRPr="004B0522">
                    <w:rPr>
                      <w:bCs/>
                      <w:color w:val="000000"/>
                    </w:rPr>
                    <w:t xml:space="preserve">Pārdalīts uz ministriju budžetiem līdz </w:t>
                  </w:r>
                  <w:r w:rsidR="00A0018F">
                    <w:rPr>
                      <w:bCs/>
                      <w:color w:val="000000"/>
                    </w:rPr>
                    <w:t>10</w:t>
                  </w:r>
                  <w:r w:rsidRPr="004B0522">
                    <w:rPr>
                      <w:bCs/>
                      <w:color w:val="000000"/>
                    </w:rPr>
                    <w:t>.10.2018.</w:t>
                  </w:r>
                </w:p>
              </w:tc>
              <w:tc>
                <w:tcPr>
                  <w:tcW w:w="1559" w:type="dxa"/>
                  <w:tcBorders>
                    <w:top w:val="nil"/>
                    <w:left w:val="nil"/>
                    <w:bottom w:val="single" w:sz="4" w:space="0" w:color="auto"/>
                    <w:right w:val="single" w:sz="4" w:space="0" w:color="auto"/>
                  </w:tcBorders>
                  <w:shd w:val="clear" w:color="auto" w:fill="auto"/>
                  <w:vAlign w:val="center"/>
                  <w:hideMark/>
                </w:tcPr>
                <w:p w:rsidR="00422AFA" w:rsidRPr="004B0522" w:rsidRDefault="00422AFA" w:rsidP="00422AFA">
                  <w:pPr>
                    <w:jc w:val="right"/>
                    <w:rPr>
                      <w:b/>
                      <w:bCs/>
                      <w:color w:val="000000"/>
                    </w:rPr>
                  </w:pPr>
                  <w:r w:rsidRPr="004B0522">
                    <w:rPr>
                      <w:b/>
                      <w:bCs/>
                      <w:color w:val="000000"/>
                    </w:rPr>
                    <w:t>-122 668 708</w:t>
                  </w:r>
                </w:p>
              </w:tc>
            </w:tr>
            <w:tr w:rsidR="00422AFA" w:rsidRPr="004B0522" w:rsidTr="00422AFA">
              <w:trPr>
                <w:trHeight w:val="30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422AFA" w:rsidRPr="004B0522" w:rsidRDefault="00422AFA" w:rsidP="00A0018F">
                  <w:pPr>
                    <w:rPr>
                      <w:bCs/>
                      <w:color w:val="000000"/>
                    </w:rPr>
                  </w:pPr>
                  <w:r w:rsidRPr="004B0522">
                    <w:rPr>
                      <w:bCs/>
                      <w:color w:val="000000"/>
                    </w:rPr>
                    <w:t xml:space="preserve">Atlikums uz </w:t>
                  </w:r>
                  <w:r w:rsidR="00A0018F">
                    <w:rPr>
                      <w:bCs/>
                      <w:color w:val="000000"/>
                    </w:rPr>
                    <w:t>10</w:t>
                  </w:r>
                  <w:r w:rsidRPr="004B0522">
                    <w:rPr>
                      <w:bCs/>
                      <w:color w:val="000000"/>
                    </w:rPr>
                    <w:t>.10.2018.</w:t>
                  </w:r>
                </w:p>
              </w:tc>
              <w:tc>
                <w:tcPr>
                  <w:tcW w:w="1559" w:type="dxa"/>
                  <w:tcBorders>
                    <w:top w:val="nil"/>
                    <w:left w:val="nil"/>
                    <w:bottom w:val="single" w:sz="4" w:space="0" w:color="auto"/>
                    <w:right w:val="single" w:sz="4" w:space="0" w:color="auto"/>
                  </w:tcBorders>
                  <w:shd w:val="clear" w:color="auto" w:fill="auto"/>
                  <w:vAlign w:val="center"/>
                  <w:hideMark/>
                </w:tcPr>
                <w:p w:rsidR="00422AFA" w:rsidRPr="004B0522" w:rsidRDefault="00422AFA" w:rsidP="00422AFA">
                  <w:pPr>
                    <w:jc w:val="right"/>
                    <w:rPr>
                      <w:b/>
                      <w:bCs/>
                      <w:color w:val="000000"/>
                    </w:rPr>
                  </w:pPr>
                  <w:r w:rsidRPr="004B0522">
                    <w:rPr>
                      <w:b/>
                      <w:bCs/>
                      <w:color w:val="000000"/>
                    </w:rPr>
                    <w:t>2 927 270</w:t>
                  </w:r>
                </w:p>
              </w:tc>
            </w:tr>
            <w:tr w:rsidR="00422AFA" w:rsidRPr="004B0522" w:rsidTr="00422AFA">
              <w:trPr>
                <w:trHeight w:val="51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422AFA" w:rsidRPr="004B0522" w:rsidRDefault="00422AFA" w:rsidP="00A0018F">
                  <w:pPr>
                    <w:rPr>
                      <w:bCs/>
                      <w:color w:val="000000"/>
                    </w:rPr>
                  </w:pPr>
                  <w:r w:rsidRPr="004B0522">
                    <w:rPr>
                      <w:bCs/>
                      <w:color w:val="000000"/>
                    </w:rPr>
                    <w:t xml:space="preserve">Iesniegti ministriju pieprasījumi pārdalei uz 80.00.00 programmu uz </w:t>
                  </w:r>
                  <w:r w:rsidR="00A0018F">
                    <w:rPr>
                      <w:bCs/>
                      <w:color w:val="000000"/>
                    </w:rPr>
                    <w:t>10</w:t>
                  </w:r>
                  <w:r w:rsidRPr="004B0522">
                    <w:rPr>
                      <w:bCs/>
                      <w:color w:val="000000"/>
                    </w:rPr>
                    <w:t>.10.2018.</w:t>
                  </w:r>
                </w:p>
              </w:tc>
              <w:tc>
                <w:tcPr>
                  <w:tcW w:w="1559" w:type="dxa"/>
                  <w:tcBorders>
                    <w:top w:val="nil"/>
                    <w:left w:val="nil"/>
                    <w:bottom w:val="single" w:sz="4" w:space="0" w:color="auto"/>
                    <w:right w:val="single" w:sz="4" w:space="0" w:color="auto"/>
                  </w:tcBorders>
                  <w:shd w:val="clear" w:color="auto" w:fill="auto"/>
                  <w:vAlign w:val="center"/>
                  <w:hideMark/>
                </w:tcPr>
                <w:p w:rsidR="00422AFA" w:rsidRPr="004B0522" w:rsidRDefault="005222BD" w:rsidP="00B672D4">
                  <w:pPr>
                    <w:jc w:val="right"/>
                    <w:rPr>
                      <w:b/>
                      <w:bCs/>
                      <w:color w:val="000000"/>
                    </w:rPr>
                  </w:pPr>
                  <w:r>
                    <w:rPr>
                      <w:b/>
                      <w:bCs/>
                      <w:color w:val="000000"/>
                    </w:rPr>
                    <w:t>4</w:t>
                  </w:r>
                  <w:r w:rsidR="00B672D4">
                    <w:rPr>
                      <w:b/>
                      <w:bCs/>
                      <w:color w:val="000000"/>
                    </w:rPr>
                    <w:t> 734 796</w:t>
                  </w:r>
                </w:p>
              </w:tc>
            </w:tr>
            <w:tr w:rsidR="00422AFA" w:rsidRPr="004B0522" w:rsidTr="00422AFA">
              <w:trPr>
                <w:trHeight w:val="353"/>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422AFA" w:rsidRPr="004B0522" w:rsidRDefault="00422AFA" w:rsidP="00422AFA">
                  <w:pPr>
                    <w:rPr>
                      <w:bCs/>
                      <w:color w:val="000000"/>
                    </w:rPr>
                  </w:pPr>
                  <w:r w:rsidRPr="004B0522">
                    <w:rPr>
                      <w:bCs/>
                      <w:color w:val="000000"/>
                    </w:rPr>
                    <w:t>Papildus nepieciešamo līdzekļu apjoms līdz 2018.gada beigām</w:t>
                  </w:r>
                </w:p>
              </w:tc>
              <w:tc>
                <w:tcPr>
                  <w:tcW w:w="1559" w:type="dxa"/>
                  <w:tcBorders>
                    <w:top w:val="nil"/>
                    <w:left w:val="nil"/>
                    <w:bottom w:val="single" w:sz="4" w:space="0" w:color="auto"/>
                    <w:right w:val="single" w:sz="4" w:space="0" w:color="auto"/>
                  </w:tcBorders>
                  <w:shd w:val="clear" w:color="auto" w:fill="auto"/>
                  <w:vAlign w:val="center"/>
                  <w:hideMark/>
                </w:tcPr>
                <w:p w:rsidR="00422AFA" w:rsidRPr="004B0522" w:rsidRDefault="009A4A62" w:rsidP="00B672D4">
                  <w:pPr>
                    <w:jc w:val="right"/>
                    <w:rPr>
                      <w:b/>
                      <w:bCs/>
                      <w:color w:val="000000"/>
                    </w:rPr>
                  </w:pPr>
                  <w:r>
                    <w:rPr>
                      <w:b/>
                      <w:bCs/>
                      <w:color w:val="000000"/>
                    </w:rPr>
                    <w:t>239</w:t>
                  </w:r>
                  <w:r w:rsidR="00B672D4">
                    <w:rPr>
                      <w:b/>
                      <w:bCs/>
                      <w:color w:val="000000"/>
                    </w:rPr>
                    <w:t> 662 066</w:t>
                  </w:r>
                </w:p>
              </w:tc>
            </w:tr>
            <w:tr w:rsidR="00422AFA" w:rsidRPr="004B0522" w:rsidTr="00422AFA">
              <w:trPr>
                <w:trHeight w:val="30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422AFA" w:rsidRPr="004B0522" w:rsidRDefault="00422AFA" w:rsidP="00422AFA">
                  <w:pPr>
                    <w:rPr>
                      <w:bCs/>
                      <w:color w:val="000000"/>
                    </w:rPr>
                  </w:pPr>
                  <w:r w:rsidRPr="004B0522">
                    <w:rPr>
                      <w:bCs/>
                      <w:color w:val="000000"/>
                    </w:rPr>
                    <w:t>Finansējuma deficīts</w:t>
                  </w:r>
                </w:p>
              </w:tc>
              <w:tc>
                <w:tcPr>
                  <w:tcW w:w="1559" w:type="dxa"/>
                  <w:tcBorders>
                    <w:top w:val="nil"/>
                    <w:left w:val="nil"/>
                    <w:bottom w:val="single" w:sz="4" w:space="0" w:color="auto"/>
                    <w:right w:val="single" w:sz="4" w:space="0" w:color="auto"/>
                  </w:tcBorders>
                  <w:shd w:val="clear" w:color="auto" w:fill="auto"/>
                  <w:vAlign w:val="center"/>
                  <w:hideMark/>
                </w:tcPr>
                <w:p w:rsidR="00422AFA" w:rsidRPr="004B0522" w:rsidRDefault="009A4A62" w:rsidP="00422AFA">
                  <w:pPr>
                    <w:jc w:val="right"/>
                    <w:rPr>
                      <w:b/>
                      <w:bCs/>
                      <w:color w:val="000000"/>
                    </w:rPr>
                  </w:pPr>
                  <w:r>
                    <w:rPr>
                      <w:b/>
                      <w:bCs/>
                      <w:color w:val="000000"/>
                    </w:rPr>
                    <w:t>-232 000 000</w:t>
                  </w:r>
                </w:p>
              </w:tc>
            </w:tr>
          </w:tbl>
          <w:p w:rsidR="004B0522" w:rsidRDefault="004B0522" w:rsidP="00422AFA">
            <w:pPr>
              <w:pStyle w:val="NoSpacing"/>
              <w:rPr>
                <w:rFonts w:ascii="Times New Roman" w:hAnsi="Times New Roman"/>
                <w:sz w:val="20"/>
                <w:szCs w:val="20"/>
                <w:lang w:eastAsia="lv-LV"/>
              </w:rPr>
            </w:pPr>
          </w:p>
          <w:p w:rsidR="004876F3" w:rsidRPr="003F1B84" w:rsidRDefault="003F1B84" w:rsidP="004B4E72">
            <w:pPr>
              <w:spacing w:before="120" w:after="120"/>
              <w:ind w:right="192" w:firstLine="314"/>
              <w:jc w:val="both"/>
              <w:rPr>
                <w:u w:val="single"/>
              </w:rPr>
            </w:pPr>
            <w:r w:rsidRPr="003F1B84">
              <w:rPr>
                <w:u w:val="single"/>
              </w:rPr>
              <w:t xml:space="preserve">Palielinot apropriāciju par 232 000 000 </w:t>
            </w:r>
            <w:proofErr w:type="spellStart"/>
            <w:r w:rsidRPr="003F1B84">
              <w:rPr>
                <w:i/>
                <w:iCs/>
                <w:u w:val="single"/>
              </w:rPr>
              <w:t>euro</w:t>
            </w:r>
            <w:proofErr w:type="spellEnd"/>
            <w:r w:rsidRPr="003F1B84">
              <w:rPr>
                <w:u w:val="single"/>
              </w:rPr>
              <w:t xml:space="preserve">, vispārējās valdības budžeta deficīts saskaņā ar Eiropas nacionālo un reģionālo kontu sistēmu palielināsies par 36 400 000 </w:t>
            </w:r>
            <w:proofErr w:type="spellStart"/>
            <w:r w:rsidRPr="003F1B84">
              <w:rPr>
                <w:i/>
                <w:iCs/>
                <w:u w:val="single"/>
              </w:rPr>
              <w:t>euro</w:t>
            </w:r>
            <w:proofErr w:type="spellEnd"/>
            <w:r w:rsidRPr="003F1B84">
              <w:rPr>
                <w:u w:val="single"/>
              </w:rPr>
              <w:t xml:space="preserve"> un tas ir ņemts vērā 2018.gada vispārējās valdības budžeta deficīta novērtējumā,  prognozējot to 0,8% apmērā no iekšzemes kopprodukta</w:t>
            </w:r>
            <w:r w:rsidR="00B3568E" w:rsidRPr="003F1B84">
              <w:rPr>
                <w:u w:val="single"/>
              </w:rPr>
              <w:t>.</w:t>
            </w:r>
            <w:r w:rsidR="00A12EFD" w:rsidRPr="003F1B84">
              <w:rPr>
                <w:u w:val="single"/>
              </w:rPr>
              <w:t xml:space="preserve"> </w:t>
            </w:r>
          </w:p>
          <w:p w:rsidR="00A0018F" w:rsidRPr="00A0018F" w:rsidRDefault="00A0018F">
            <w:pPr>
              <w:spacing w:before="120" w:after="120"/>
              <w:ind w:firstLine="314"/>
              <w:jc w:val="both"/>
              <w:rPr>
                <w:color w:val="FF0000"/>
                <w:sz w:val="20"/>
                <w:szCs w:val="20"/>
              </w:rPr>
            </w:pPr>
          </w:p>
        </w:tc>
      </w:tr>
      <w:tr w:rsidR="00422AFA" w:rsidTr="00962079">
        <w:trPr>
          <w:jc w:val="center"/>
        </w:trPr>
        <w:tc>
          <w:tcPr>
            <w:tcW w:w="1413" w:type="dxa"/>
          </w:tcPr>
          <w:p w:rsidR="00422AFA" w:rsidRPr="00962079" w:rsidRDefault="00422AFA" w:rsidP="000044FA">
            <w:pPr>
              <w:pStyle w:val="NoSpacing"/>
              <w:rPr>
                <w:rFonts w:ascii="Times New Roman" w:hAnsi="Times New Roman"/>
                <w:lang w:eastAsia="lv-LV"/>
              </w:rPr>
            </w:pPr>
            <w:r w:rsidRPr="00962079">
              <w:rPr>
                <w:rFonts w:ascii="Times New Roman" w:hAnsi="Times New Roman"/>
                <w:lang w:eastAsia="lv-LV"/>
              </w:rPr>
              <w:lastRenderedPageBreak/>
              <w:t>6.1. detalizēts ieņēmumu aprēķins</w:t>
            </w:r>
          </w:p>
        </w:tc>
        <w:tc>
          <w:tcPr>
            <w:tcW w:w="8088" w:type="dxa"/>
            <w:gridSpan w:val="8"/>
            <w:vMerge/>
          </w:tcPr>
          <w:p w:rsidR="00422AFA" w:rsidRPr="004B0522" w:rsidRDefault="00422AFA" w:rsidP="000044FA">
            <w:pPr>
              <w:pStyle w:val="NoSpacing"/>
              <w:jc w:val="right"/>
              <w:rPr>
                <w:rFonts w:ascii="Times New Roman" w:hAnsi="Times New Roman"/>
                <w:sz w:val="20"/>
                <w:szCs w:val="20"/>
                <w:lang w:eastAsia="lv-LV"/>
              </w:rPr>
            </w:pPr>
          </w:p>
        </w:tc>
      </w:tr>
      <w:tr w:rsidR="00422AFA" w:rsidTr="00962079">
        <w:trPr>
          <w:jc w:val="center"/>
        </w:trPr>
        <w:tc>
          <w:tcPr>
            <w:tcW w:w="1413" w:type="dxa"/>
          </w:tcPr>
          <w:p w:rsidR="00422AFA" w:rsidRPr="00962079" w:rsidRDefault="00422AFA" w:rsidP="000044FA">
            <w:pPr>
              <w:pStyle w:val="NoSpacing"/>
              <w:rPr>
                <w:rFonts w:ascii="Times New Roman" w:hAnsi="Times New Roman"/>
                <w:lang w:eastAsia="lv-LV"/>
              </w:rPr>
            </w:pPr>
            <w:r w:rsidRPr="00962079">
              <w:rPr>
                <w:rFonts w:ascii="Times New Roman" w:hAnsi="Times New Roman"/>
                <w:lang w:eastAsia="lv-LV"/>
              </w:rPr>
              <w:t>6.2. detalizēts izdevumu aprēķins</w:t>
            </w:r>
          </w:p>
        </w:tc>
        <w:tc>
          <w:tcPr>
            <w:tcW w:w="8088" w:type="dxa"/>
            <w:gridSpan w:val="8"/>
            <w:vMerge/>
          </w:tcPr>
          <w:p w:rsidR="00422AFA" w:rsidRPr="004B0522" w:rsidRDefault="00422AFA" w:rsidP="000044FA">
            <w:pPr>
              <w:pStyle w:val="NoSpacing"/>
              <w:jc w:val="right"/>
              <w:rPr>
                <w:rFonts w:ascii="Times New Roman" w:hAnsi="Times New Roman"/>
                <w:sz w:val="20"/>
                <w:szCs w:val="20"/>
                <w:lang w:eastAsia="lv-LV"/>
              </w:rPr>
            </w:pPr>
          </w:p>
        </w:tc>
      </w:tr>
      <w:tr w:rsidR="001611E9" w:rsidTr="00962079">
        <w:trPr>
          <w:jc w:val="center"/>
        </w:trPr>
        <w:tc>
          <w:tcPr>
            <w:tcW w:w="1413" w:type="dxa"/>
          </w:tcPr>
          <w:p w:rsidR="001611E9" w:rsidRPr="00962079" w:rsidRDefault="001611E9" w:rsidP="000044FA">
            <w:pPr>
              <w:pStyle w:val="NoSpacing"/>
              <w:rPr>
                <w:rFonts w:ascii="Times New Roman" w:hAnsi="Times New Roman"/>
                <w:lang w:eastAsia="lv-LV"/>
              </w:rPr>
            </w:pPr>
            <w:r w:rsidRPr="00962079">
              <w:rPr>
                <w:rFonts w:ascii="Times New Roman" w:hAnsi="Times New Roman"/>
                <w:lang w:eastAsia="lv-LV"/>
              </w:rPr>
              <w:t>7. Amata vietu skaita izmaiņas</w:t>
            </w:r>
          </w:p>
        </w:tc>
        <w:tc>
          <w:tcPr>
            <w:tcW w:w="8088" w:type="dxa"/>
            <w:gridSpan w:val="8"/>
          </w:tcPr>
          <w:p w:rsidR="001611E9" w:rsidRPr="004B0522" w:rsidRDefault="00B4749B" w:rsidP="000044FA">
            <w:pPr>
              <w:pStyle w:val="NoSpacing"/>
              <w:rPr>
                <w:rFonts w:ascii="Times New Roman" w:hAnsi="Times New Roman"/>
                <w:sz w:val="24"/>
                <w:szCs w:val="24"/>
                <w:lang w:eastAsia="lv-LV"/>
              </w:rPr>
            </w:pPr>
            <w:r>
              <w:rPr>
                <w:rFonts w:ascii="Times New Roman" w:hAnsi="Times New Roman"/>
                <w:sz w:val="24"/>
                <w:szCs w:val="24"/>
              </w:rPr>
              <w:t>Projekts šo jomu neskar</w:t>
            </w:r>
          </w:p>
        </w:tc>
      </w:tr>
      <w:tr w:rsidR="001611E9" w:rsidTr="00962079">
        <w:trPr>
          <w:jc w:val="center"/>
        </w:trPr>
        <w:tc>
          <w:tcPr>
            <w:tcW w:w="1413" w:type="dxa"/>
          </w:tcPr>
          <w:p w:rsidR="001611E9" w:rsidRPr="00962079" w:rsidRDefault="001611E9" w:rsidP="000044FA">
            <w:pPr>
              <w:pStyle w:val="NoSpacing"/>
              <w:rPr>
                <w:rFonts w:ascii="Times New Roman" w:hAnsi="Times New Roman"/>
                <w:lang w:eastAsia="lv-LV"/>
              </w:rPr>
            </w:pPr>
            <w:r w:rsidRPr="00962079">
              <w:rPr>
                <w:rFonts w:ascii="Times New Roman" w:hAnsi="Times New Roman"/>
                <w:lang w:eastAsia="lv-LV"/>
              </w:rPr>
              <w:t>8. Cita informācija</w:t>
            </w:r>
          </w:p>
        </w:tc>
        <w:tc>
          <w:tcPr>
            <w:tcW w:w="8088" w:type="dxa"/>
            <w:gridSpan w:val="8"/>
          </w:tcPr>
          <w:p w:rsidR="001611E9" w:rsidRPr="004B0522" w:rsidRDefault="001611E9" w:rsidP="000044FA">
            <w:pPr>
              <w:jc w:val="both"/>
              <w:rPr>
                <w:bCs/>
                <w:color w:val="000000"/>
              </w:rPr>
            </w:pPr>
            <w:r w:rsidRPr="004B0522">
              <w:rPr>
                <w:bCs/>
                <w:color w:val="000000"/>
              </w:rPr>
              <w:t>Nav</w:t>
            </w:r>
          </w:p>
        </w:tc>
      </w:tr>
    </w:tbl>
    <w:p w:rsidR="009D36DE" w:rsidRPr="009D36DE" w:rsidRDefault="009D36DE" w:rsidP="000044FA">
      <w:pPr>
        <w:rPr>
          <w:highlight w:val="green"/>
        </w:rPr>
      </w:pPr>
    </w:p>
    <w:tbl>
      <w:tblPr>
        <w:tblW w:w="5160" w:type="pct"/>
        <w:tblInd w:w="-145" w:type="dxa"/>
        <w:tblCellMar>
          <w:left w:w="10" w:type="dxa"/>
          <w:right w:w="10" w:type="dxa"/>
        </w:tblCellMar>
        <w:tblLook w:val="0000" w:firstRow="0" w:lastRow="0" w:firstColumn="0" w:lastColumn="0" w:noHBand="0" w:noVBand="0"/>
      </w:tblPr>
      <w:tblGrid>
        <w:gridCol w:w="9356"/>
      </w:tblGrid>
      <w:tr w:rsidR="009D36DE" w:rsidRPr="003B60B8"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9D36DE" w:rsidRPr="003B60B8" w:rsidRDefault="009D36DE" w:rsidP="000044FA">
            <w:pPr>
              <w:spacing w:before="100" w:after="100" w:line="293" w:lineRule="atLeast"/>
              <w:jc w:val="center"/>
            </w:pPr>
            <w:r w:rsidRPr="003B60B8">
              <w:rPr>
                <w:b/>
                <w:bCs/>
              </w:rPr>
              <w:t>IV. Tiesību aktu projektu ietekme uz spēkā esošo tiesību normu sistēmu</w:t>
            </w:r>
          </w:p>
        </w:tc>
      </w:tr>
      <w:tr w:rsidR="009D36DE" w:rsidRPr="003B60B8"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9D36DE" w:rsidRPr="003B60B8" w:rsidRDefault="009D36DE" w:rsidP="000044FA">
            <w:pPr>
              <w:spacing w:before="100" w:after="100" w:line="293" w:lineRule="atLeast"/>
              <w:jc w:val="center"/>
            </w:pPr>
            <w:r w:rsidRPr="003B60B8">
              <w:t>Projekts šo jomu neskar</w:t>
            </w:r>
          </w:p>
        </w:tc>
      </w:tr>
    </w:tbl>
    <w:p w:rsidR="009D36DE" w:rsidRPr="003B60B8" w:rsidRDefault="009D36DE" w:rsidP="000044FA"/>
    <w:tbl>
      <w:tblPr>
        <w:tblW w:w="5160" w:type="pct"/>
        <w:tblInd w:w="-145" w:type="dxa"/>
        <w:tblCellMar>
          <w:left w:w="10" w:type="dxa"/>
          <w:right w:w="10" w:type="dxa"/>
        </w:tblCellMar>
        <w:tblLook w:val="0000" w:firstRow="0" w:lastRow="0" w:firstColumn="0" w:lastColumn="0" w:noHBand="0" w:noVBand="0"/>
      </w:tblPr>
      <w:tblGrid>
        <w:gridCol w:w="9356"/>
      </w:tblGrid>
      <w:tr w:rsidR="009D36DE" w:rsidRPr="003B60B8"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9D36DE" w:rsidRPr="003B60B8" w:rsidRDefault="009D36DE" w:rsidP="000044FA">
            <w:pPr>
              <w:spacing w:before="100" w:after="100" w:line="293" w:lineRule="atLeast"/>
              <w:jc w:val="center"/>
            </w:pPr>
            <w:r w:rsidRPr="003B60B8">
              <w:rPr>
                <w:b/>
                <w:bCs/>
              </w:rPr>
              <w:t>V. Tiesību aktu projektu atbilstība Latvijas Republikas starptautiskajām saistībām</w:t>
            </w:r>
          </w:p>
        </w:tc>
      </w:tr>
      <w:tr w:rsidR="009D36DE" w:rsidRPr="003B60B8"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9D36DE" w:rsidRPr="003B60B8" w:rsidRDefault="009D36DE" w:rsidP="000044FA">
            <w:pPr>
              <w:spacing w:before="100" w:after="100" w:line="293" w:lineRule="atLeast"/>
              <w:jc w:val="center"/>
            </w:pPr>
            <w:r w:rsidRPr="003B60B8">
              <w:t>Projekts šo jomu neskar</w:t>
            </w:r>
          </w:p>
        </w:tc>
      </w:tr>
    </w:tbl>
    <w:p w:rsidR="009D36DE" w:rsidRPr="003B60B8" w:rsidRDefault="009D36DE" w:rsidP="000044FA"/>
    <w:tbl>
      <w:tblPr>
        <w:tblW w:w="5159" w:type="pct"/>
        <w:jc w:val="center"/>
        <w:tblCellMar>
          <w:left w:w="10" w:type="dxa"/>
          <w:right w:w="10" w:type="dxa"/>
        </w:tblCellMar>
        <w:tblLook w:val="0000" w:firstRow="0" w:lastRow="0" w:firstColumn="0" w:lastColumn="0" w:noHBand="0" w:noVBand="0"/>
      </w:tblPr>
      <w:tblGrid>
        <w:gridCol w:w="9350"/>
      </w:tblGrid>
      <w:tr w:rsidR="009D36DE" w:rsidRPr="003B60B8" w:rsidTr="001611E9">
        <w:trPr>
          <w:trHeight w:val="33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9D36DE" w:rsidRPr="003B60B8" w:rsidRDefault="009D36DE" w:rsidP="000044FA">
            <w:pPr>
              <w:spacing w:before="100" w:after="100" w:line="360" w:lineRule="auto"/>
              <w:ind w:firstLine="300"/>
              <w:jc w:val="center"/>
              <w:rPr>
                <w:b/>
                <w:bCs/>
              </w:rPr>
            </w:pPr>
            <w:r w:rsidRPr="003B60B8">
              <w:rPr>
                <w:b/>
                <w:bCs/>
              </w:rPr>
              <w:t>VI. Sabiedrības līdzdalība un komunikācijas aktivitātes</w:t>
            </w:r>
          </w:p>
        </w:tc>
      </w:tr>
      <w:tr w:rsidR="003B60B8" w:rsidRPr="003B60B8" w:rsidTr="001611E9">
        <w:trPr>
          <w:trHeight w:val="36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3B60B8" w:rsidRPr="003B60B8" w:rsidRDefault="003B60B8" w:rsidP="000044FA">
            <w:pPr>
              <w:spacing w:before="100" w:after="100" w:line="360" w:lineRule="auto"/>
              <w:ind w:firstLine="300"/>
              <w:jc w:val="center"/>
              <w:rPr>
                <w:b/>
                <w:bCs/>
              </w:rPr>
            </w:pPr>
            <w:r w:rsidRPr="003B60B8">
              <w:t>Projekts šo jomu neskar</w:t>
            </w:r>
          </w:p>
        </w:tc>
      </w:tr>
    </w:tbl>
    <w:p w:rsidR="009D36DE" w:rsidRPr="003B60B8" w:rsidRDefault="009D36DE" w:rsidP="000044FA"/>
    <w:tbl>
      <w:tblPr>
        <w:tblW w:w="5166" w:type="pct"/>
        <w:tblInd w:w="-150" w:type="dxa"/>
        <w:tblCellMar>
          <w:left w:w="10" w:type="dxa"/>
          <w:right w:w="10" w:type="dxa"/>
        </w:tblCellMar>
        <w:tblLook w:val="0000" w:firstRow="0" w:lastRow="0" w:firstColumn="0" w:lastColumn="0" w:noHBand="0" w:noVBand="0"/>
      </w:tblPr>
      <w:tblGrid>
        <w:gridCol w:w="748"/>
        <w:gridCol w:w="2206"/>
        <w:gridCol w:w="6403"/>
      </w:tblGrid>
      <w:tr w:rsidR="009D36DE" w:rsidRPr="003B60B8" w:rsidTr="001611E9">
        <w:tc>
          <w:tcPr>
            <w:tcW w:w="9356"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9D36DE" w:rsidRPr="003B60B8" w:rsidRDefault="009D36DE" w:rsidP="000044FA">
            <w:pPr>
              <w:spacing w:before="100" w:after="100"/>
              <w:jc w:val="center"/>
              <w:rPr>
                <w:b/>
                <w:bCs/>
              </w:rPr>
            </w:pPr>
            <w:r w:rsidRPr="003B60B8">
              <w:rPr>
                <w:b/>
                <w:bCs/>
              </w:rPr>
              <w:t>VII. Tiesību akta projekta izpildes nodrošināšana un tās ietekme uz institūcijām</w:t>
            </w:r>
          </w:p>
        </w:tc>
      </w:tr>
      <w:tr w:rsidR="003B60B8" w:rsidRPr="003B60B8" w:rsidTr="001611E9">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B60B8" w:rsidRPr="003B60B8" w:rsidRDefault="003B60B8" w:rsidP="000044FA">
            <w:pPr>
              <w:spacing w:before="100" w:after="100"/>
            </w:pPr>
            <w:r w:rsidRPr="003B60B8">
              <w:t>1.</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B60B8" w:rsidRPr="003B60B8" w:rsidRDefault="003B60B8" w:rsidP="000044FA">
            <w:pPr>
              <w:spacing w:before="100" w:after="100"/>
            </w:pPr>
            <w:r w:rsidRPr="003B60B8">
              <w:t>Projekta izpildē iesaistītās institūcijas</w:t>
            </w:r>
          </w:p>
        </w:tc>
        <w:tc>
          <w:tcPr>
            <w:tcW w:w="640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B60B8" w:rsidRPr="003B60B8" w:rsidRDefault="004422AA" w:rsidP="000044FA">
            <w:pPr>
              <w:shd w:val="clear" w:color="auto" w:fill="FFFFFF"/>
              <w:spacing w:before="120" w:after="120"/>
              <w:jc w:val="both"/>
            </w:pPr>
            <w:r>
              <w:rPr>
                <w:bCs/>
                <w:color w:val="000000"/>
              </w:rPr>
              <w:t xml:space="preserve">Ministrijas un </w:t>
            </w:r>
            <w:r w:rsidR="00B4749B">
              <w:rPr>
                <w:bCs/>
                <w:color w:val="000000"/>
              </w:rPr>
              <w:t>citas centrālās valsts iestādes</w:t>
            </w:r>
          </w:p>
        </w:tc>
      </w:tr>
      <w:tr w:rsidR="003B60B8" w:rsidRPr="003B60B8" w:rsidTr="001611E9">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B60B8" w:rsidRPr="003B60B8" w:rsidRDefault="003B60B8" w:rsidP="000044FA">
            <w:pPr>
              <w:spacing w:before="100" w:after="100"/>
            </w:pPr>
            <w:r w:rsidRPr="003B60B8">
              <w:t>2.</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B60B8" w:rsidRPr="003B60B8" w:rsidRDefault="003B60B8" w:rsidP="000044FA">
            <w:pPr>
              <w:spacing w:before="100" w:after="100"/>
            </w:pPr>
            <w:r w:rsidRPr="003B60B8">
              <w:t xml:space="preserve">Projekta izpildes ietekme uz pārvaldes funkcijām un institucionālo struktūru. </w:t>
            </w:r>
          </w:p>
          <w:p w:rsidR="003B60B8" w:rsidRPr="003B60B8" w:rsidRDefault="003B60B8" w:rsidP="000044FA">
            <w:pPr>
              <w:spacing w:before="100" w:after="100"/>
            </w:pPr>
            <w:r w:rsidRPr="003B60B8">
              <w:lastRenderedPageBreak/>
              <w:t>Jaunu institūciju izveide, esošu institūciju likvidācija vai reorganizācija, to ietekme uz institūcijas cilvēkresursiem</w:t>
            </w:r>
          </w:p>
        </w:tc>
        <w:tc>
          <w:tcPr>
            <w:tcW w:w="640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B60B8" w:rsidRPr="003B60B8" w:rsidRDefault="00B4749B" w:rsidP="000044FA">
            <w:pPr>
              <w:shd w:val="clear" w:color="auto" w:fill="FFFFFF"/>
              <w:spacing w:before="120" w:after="120"/>
              <w:jc w:val="both"/>
            </w:pPr>
            <w:r>
              <w:lastRenderedPageBreak/>
              <w:t>Projekts šo jomu neskar</w:t>
            </w:r>
          </w:p>
          <w:p w:rsidR="003B60B8" w:rsidRPr="003B60B8" w:rsidRDefault="003B60B8" w:rsidP="000044FA">
            <w:pPr>
              <w:shd w:val="clear" w:color="auto" w:fill="FFFFFF"/>
              <w:jc w:val="both"/>
            </w:pPr>
          </w:p>
        </w:tc>
      </w:tr>
      <w:tr w:rsidR="009D36DE" w:rsidTr="001611E9">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9D36DE" w:rsidRPr="003B60B8" w:rsidRDefault="009D36DE" w:rsidP="000044FA">
            <w:r w:rsidRPr="003B60B8">
              <w:t>3.</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9D36DE" w:rsidRPr="003B60B8" w:rsidRDefault="009D36DE" w:rsidP="000044FA">
            <w:r w:rsidRPr="003B60B8">
              <w:t>Cita informācija</w:t>
            </w:r>
          </w:p>
        </w:tc>
        <w:tc>
          <w:tcPr>
            <w:tcW w:w="640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9D36DE" w:rsidRDefault="009D36DE" w:rsidP="000044FA">
            <w:pPr>
              <w:ind w:firstLine="720"/>
              <w:jc w:val="both"/>
            </w:pPr>
            <w:r w:rsidRPr="003B60B8">
              <w:t>Nav</w:t>
            </w:r>
          </w:p>
        </w:tc>
      </w:tr>
    </w:tbl>
    <w:p w:rsidR="009D36DE" w:rsidRDefault="009D36DE" w:rsidP="000044FA">
      <w:pPr>
        <w:ind w:firstLine="720"/>
      </w:pPr>
    </w:p>
    <w:p w:rsidR="009D36DE" w:rsidRDefault="009D36DE" w:rsidP="000044FA"/>
    <w:p w:rsidR="003B60B8" w:rsidRPr="003F10D1" w:rsidRDefault="003B60B8" w:rsidP="009A7EE9">
      <w:pPr>
        <w:ind w:left="283" w:firstLine="437"/>
      </w:pPr>
    </w:p>
    <w:p w:rsidR="00171A81" w:rsidRPr="003F10D1" w:rsidRDefault="00171A81" w:rsidP="009A7EE9">
      <w:pPr>
        <w:ind w:left="283" w:firstLine="437"/>
      </w:pPr>
    </w:p>
    <w:p w:rsidR="00D444BA" w:rsidRPr="003F10D1" w:rsidRDefault="00857FA9" w:rsidP="00E218B9">
      <w:pPr>
        <w:pStyle w:val="BodyText"/>
        <w:jc w:val="both"/>
        <w:rPr>
          <w:sz w:val="24"/>
        </w:rPr>
      </w:pPr>
      <w:r>
        <w:rPr>
          <w:sz w:val="24"/>
        </w:rPr>
        <w:t>Finanšu ministre</w:t>
      </w:r>
      <w:r>
        <w:rPr>
          <w:sz w:val="24"/>
        </w:rPr>
        <w:tab/>
      </w:r>
      <w:r>
        <w:rPr>
          <w:sz w:val="24"/>
        </w:rPr>
        <w:tab/>
      </w:r>
      <w:r>
        <w:rPr>
          <w:sz w:val="24"/>
        </w:rPr>
        <w:tab/>
      </w:r>
      <w:r>
        <w:rPr>
          <w:sz w:val="24"/>
        </w:rPr>
        <w:tab/>
      </w:r>
      <w:r w:rsidR="0091691A" w:rsidRPr="000C07B8">
        <w:rPr>
          <w:sz w:val="24"/>
        </w:rPr>
        <w:tab/>
      </w:r>
      <w:r w:rsidR="0091691A" w:rsidRPr="000C07B8">
        <w:rPr>
          <w:sz w:val="24"/>
        </w:rPr>
        <w:tab/>
      </w:r>
      <w:r w:rsidR="00F154FE" w:rsidRPr="000C07B8">
        <w:rPr>
          <w:sz w:val="24"/>
        </w:rPr>
        <w:t xml:space="preserve">   </w:t>
      </w:r>
      <w:r w:rsidR="0091691A" w:rsidRPr="000C07B8">
        <w:rPr>
          <w:sz w:val="24"/>
        </w:rPr>
        <w:t xml:space="preserve">  </w:t>
      </w:r>
      <w:r w:rsidR="00F154FE" w:rsidRPr="000C07B8">
        <w:rPr>
          <w:sz w:val="24"/>
        </w:rPr>
        <w:t xml:space="preserve">  </w:t>
      </w:r>
      <w:proofErr w:type="spellStart"/>
      <w:r w:rsidR="0076428F">
        <w:rPr>
          <w:sz w:val="24"/>
        </w:rPr>
        <w:t>D.Reizniece</w:t>
      </w:r>
      <w:proofErr w:type="spellEnd"/>
      <w:r w:rsidR="0076428F">
        <w:rPr>
          <w:sz w:val="24"/>
        </w:rPr>
        <w:t>-Ozola</w:t>
      </w:r>
      <w:r w:rsidR="0091691A" w:rsidRPr="003F10D1">
        <w:rPr>
          <w:sz w:val="24"/>
        </w:rPr>
        <w:tab/>
      </w:r>
    </w:p>
    <w:p w:rsidR="00E218B9" w:rsidRPr="003F10D1" w:rsidRDefault="00E218B9" w:rsidP="00E218B9">
      <w:pPr>
        <w:pStyle w:val="BodyText"/>
        <w:jc w:val="both"/>
        <w:rPr>
          <w:sz w:val="24"/>
        </w:rPr>
      </w:pPr>
    </w:p>
    <w:p w:rsidR="00171A81" w:rsidRDefault="00171A81" w:rsidP="00E218B9">
      <w:pPr>
        <w:pStyle w:val="BodyText"/>
        <w:jc w:val="both"/>
        <w:rPr>
          <w:sz w:val="24"/>
        </w:rPr>
      </w:pPr>
    </w:p>
    <w:p w:rsidR="00C66B75" w:rsidRDefault="00C66B75" w:rsidP="00E218B9">
      <w:pPr>
        <w:pStyle w:val="BodyText"/>
        <w:jc w:val="both"/>
        <w:rPr>
          <w:sz w:val="24"/>
        </w:rPr>
      </w:pPr>
    </w:p>
    <w:p w:rsidR="00C66B75" w:rsidRDefault="00C66B75" w:rsidP="00E218B9">
      <w:pPr>
        <w:pStyle w:val="BodyText"/>
        <w:jc w:val="both"/>
        <w:rPr>
          <w:sz w:val="24"/>
        </w:rPr>
      </w:pPr>
    </w:p>
    <w:p w:rsidR="00C66B75" w:rsidRDefault="00C66B75" w:rsidP="00E218B9">
      <w:pPr>
        <w:pStyle w:val="BodyText"/>
        <w:jc w:val="both"/>
        <w:rPr>
          <w:sz w:val="24"/>
        </w:rPr>
      </w:pPr>
    </w:p>
    <w:p w:rsidR="00C66B75" w:rsidRPr="003F10D1" w:rsidRDefault="00C66B75" w:rsidP="00E218B9">
      <w:pPr>
        <w:pStyle w:val="BodyText"/>
        <w:jc w:val="both"/>
        <w:rPr>
          <w:sz w:val="24"/>
        </w:rPr>
      </w:pPr>
    </w:p>
    <w:p w:rsidR="000C703D" w:rsidRPr="00BC3FCD" w:rsidRDefault="000C703D" w:rsidP="000C703D">
      <w:pPr>
        <w:pStyle w:val="BodyText"/>
        <w:jc w:val="left"/>
        <w:rPr>
          <w:sz w:val="20"/>
          <w:szCs w:val="20"/>
        </w:rPr>
      </w:pPr>
    </w:p>
    <w:p w:rsidR="000C703D" w:rsidRPr="00BC3FCD" w:rsidRDefault="00DB37C4" w:rsidP="000C703D">
      <w:pPr>
        <w:pStyle w:val="BodyText"/>
        <w:jc w:val="left"/>
        <w:rPr>
          <w:sz w:val="20"/>
          <w:szCs w:val="20"/>
        </w:rPr>
      </w:pPr>
      <w:r>
        <w:rPr>
          <w:sz w:val="20"/>
          <w:szCs w:val="20"/>
        </w:rPr>
        <w:t>Siņkovska</w:t>
      </w:r>
      <w:r w:rsidR="000C703D" w:rsidRPr="00BC3FCD">
        <w:rPr>
          <w:sz w:val="20"/>
          <w:szCs w:val="20"/>
        </w:rPr>
        <w:t xml:space="preserve"> </w:t>
      </w:r>
      <w:r w:rsidR="00BF7635">
        <w:rPr>
          <w:sz w:val="20"/>
          <w:szCs w:val="20"/>
        </w:rPr>
        <w:t>6</w:t>
      </w:r>
      <w:r>
        <w:rPr>
          <w:sz w:val="20"/>
          <w:szCs w:val="20"/>
        </w:rPr>
        <w:t>7083813</w:t>
      </w:r>
    </w:p>
    <w:p w:rsidR="002204E8" w:rsidRPr="001C1669" w:rsidRDefault="00363F9A" w:rsidP="000C703D">
      <w:pPr>
        <w:pStyle w:val="BodyText"/>
        <w:jc w:val="left"/>
        <w:rPr>
          <w:sz w:val="20"/>
          <w:szCs w:val="20"/>
        </w:rPr>
      </w:pPr>
      <w:hyperlink r:id="rId8" w:history="1">
        <w:r w:rsidR="00F154FE" w:rsidRPr="00EA4710">
          <w:rPr>
            <w:rStyle w:val="Hyperlink"/>
            <w:sz w:val="20"/>
            <w:szCs w:val="20"/>
          </w:rPr>
          <w:t>dace.sinkovska@fm.gov.lv</w:t>
        </w:r>
      </w:hyperlink>
    </w:p>
    <w:sectPr w:rsidR="002204E8" w:rsidRPr="001C1669" w:rsidSect="002D3E38">
      <w:headerReference w:type="default" r:id="rId9"/>
      <w:footerReference w:type="default" r:id="rId10"/>
      <w:pgSz w:w="11906" w:h="16838"/>
      <w:pgMar w:top="993" w:right="1133"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84C" w:rsidRDefault="0047084C" w:rsidP="009A7EE9">
      <w:r>
        <w:separator/>
      </w:r>
    </w:p>
  </w:endnote>
  <w:endnote w:type="continuationSeparator" w:id="0">
    <w:p w:rsidR="0047084C" w:rsidRDefault="0047084C" w:rsidP="009A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C6A" w:rsidRPr="009D6DC8" w:rsidRDefault="003F1B84" w:rsidP="009D6DC8">
    <w:pPr>
      <w:pStyle w:val="Footer"/>
    </w:pPr>
    <w:r>
      <w:rPr>
        <w:noProof/>
      </w:rPr>
      <w:fldChar w:fldCharType="begin"/>
    </w:r>
    <w:r>
      <w:rPr>
        <w:noProof/>
      </w:rPr>
      <w:instrText xml:space="preserve"> FILENAME \* MERGEFORMAT </w:instrText>
    </w:r>
    <w:r>
      <w:rPr>
        <w:noProof/>
      </w:rPr>
      <w:fldChar w:fldCharType="separate"/>
    </w:r>
    <w:r w:rsidR="009D6DC8">
      <w:rPr>
        <w:noProof/>
      </w:rPr>
      <w:t>FMAnot_121018.docx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84C" w:rsidRDefault="0047084C" w:rsidP="009A7EE9">
      <w:r>
        <w:separator/>
      </w:r>
    </w:p>
  </w:footnote>
  <w:footnote w:type="continuationSeparator" w:id="0">
    <w:p w:rsidR="0047084C" w:rsidRDefault="0047084C" w:rsidP="009A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612465"/>
      <w:docPartObj>
        <w:docPartGallery w:val="Page Numbers (Top of Page)"/>
        <w:docPartUnique/>
      </w:docPartObj>
    </w:sdtPr>
    <w:sdtEndPr>
      <w:rPr>
        <w:noProof/>
      </w:rPr>
    </w:sdtEndPr>
    <w:sdtContent>
      <w:p w:rsidR="00320C6A" w:rsidRDefault="00320C6A">
        <w:pPr>
          <w:pStyle w:val="Header"/>
          <w:jc w:val="center"/>
        </w:pPr>
        <w:r>
          <w:fldChar w:fldCharType="begin"/>
        </w:r>
        <w:r>
          <w:instrText xml:space="preserve"> PAGE   \* MERGEFORMAT </w:instrText>
        </w:r>
        <w:r>
          <w:fldChar w:fldCharType="separate"/>
        </w:r>
        <w:r w:rsidR="00363F9A">
          <w:rPr>
            <w:noProof/>
          </w:rPr>
          <w:t>8</w:t>
        </w:r>
        <w:r>
          <w:rPr>
            <w:noProof/>
          </w:rPr>
          <w:fldChar w:fldCharType="end"/>
        </w:r>
      </w:p>
    </w:sdtContent>
  </w:sdt>
  <w:p w:rsidR="00320C6A" w:rsidRDefault="00320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2AC9"/>
    <w:multiLevelType w:val="hybridMultilevel"/>
    <w:tmpl w:val="C2769D18"/>
    <w:lvl w:ilvl="0" w:tplc="6C5C9B78">
      <w:start w:val="1"/>
      <w:numFmt w:val="decimal"/>
      <w:lvlText w:val="%1."/>
      <w:lvlJc w:val="left"/>
      <w:pPr>
        <w:ind w:left="380" w:hanging="360"/>
      </w:pPr>
      <w:rPr>
        <w:rFonts w:cstheme="minorBidi" w:hint="default"/>
        <w:sz w:val="28"/>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1" w15:restartNumberingAfterBreak="0">
    <w:nsid w:val="28643C5C"/>
    <w:multiLevelType w:val="hybridMultilevel"/>
    <w:tmpl w:val="71D8D78C"/>
    <w:lvl w:ilvl="0" w:tplc="04260003">
      <w:start w:val="1"/>
      <w:numFmt w:val="bullet"/>
      <w:lvlText w:val="o"/>
      <w:lvlJc w:val="left"/>
      <w:pPr>
        <w:ind w:left="1434" w:hanging="360"/>
      </w:pPr>
      <w:rPr>
        <w:rFonts w:ascii="Courier New" w:hAnsi="Courier New" w:cs="Courier New" w:hint="default"/>
      </w:rPr>
    </w:lvl>
    <w:lvl w:ilvl="1" w:tplc="04260003">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2" w15:restartNumberingAfterBreak="1">
    <w:nsid w:val="2AA5344B"/>
    <w:multiLevelType w:val="hybridMultilevel"/>
    <w:tmpl w:val="CCDA5EEE"/>
    <w:lvl w:ilvl="0" w:tplc="FA1215CA">
      <w:start w:val="3"/>
      <w:numFmt w:val="bullet"/>
      <w:lvlText w:val="-"/>
      <w:lvlJc w:val="left"/>
      <w:pPr>
        <w:ind w:left="786" w:hanging="360"/>
      </w:pPr>
      <w:rPr>
        <w:rFonts w:ascii="Times New Roman" w:eastAsia="Times New Roman" w:hAnsi="Times New Roman" w:cs="Times New Roman" w:hint="default"/>
      </w:rPr>
    </w:lvl>
    <w:lvl w:ilvl="1" w:tplc="3D02CDE4" w:tentative="1">
      <w:start w:val="1"/>
      <w:numFmt w:val="bullet"/>
      <w:lvlText w:val="o"/>
      <w:lvlJc w:val="left"/>
      <w:pPr>
        <w:ind w:left="1506" w:hanging="360"/>
      </w:pPr>
      <w:rPr>
        <w:rFonts w:ascii="Courier New" w:hAnsi="Courier New" w:cs="Courier New" w:hint="default"/>
      </w:rPr>
    </w:lvl>
    <w:lvl w:ilvl="2" w:tplc="6254B974" w:tentative="1">
      <w:start w:val="1"/>
      <w:numFmt w:val="bullet"/>
      <w:lvlText w:val=""/>
      <w:lvlJc w:val="left"/>
      <w:pPr>
        <w:ind w:left="2226" w:hanging="360"/>
      </w:pPr>
      <w:rPr>
        <w:rFonts w:ascii="Wingdings" w:hAnsi="Wingdings" w:hint="default"/>
      </w:rPr>
    </w:lvl>
    <w:lvl w:ilvl="3" w:tplc="47C49A16" w:tentative="1">
      <w:start w:val="1"/>
      <w:numFmt w:val="bullet"/>
      <w:lvlText w:val=""/>
      <w:lvlJc w:val="left"/>
      <w:pPr>
        <w:ind w:left="2946" w:hanging="360"/>
      </w:pPr>
      <w:rPr>
        <w:rFonts w:ascii="Symbol" w:hAnsi="Symbol" w:hint="default"/>
      </w:rPr>
    </w:lvl>
    <w:lvl w:ilvl="4" w:tplc="D62AA4A4" w:tentative="1">
      <w:start w:val="1"/>
      <w:numFmt w:val="bullet"/>
      <w:lvlText w:val="o"/>
      <w:lvlJc w:val="left"/>
      <w:pPr>
        <w:ind w:left="3666" w:hanging="360"/>
      </w:pPr>
      <w:rPr>
        <w:rFonts w:ascii="Courier New" w:hAnsi="Courier New" w:cs="Courier New" w:hint="default"/>
      </w:rPr>
    </w:lvl>
    <w:lvl w:ilvl="5" w:tplc="CA3E5528" w:tentative="1">
      <w:start w:val="1"/>
      <w:numFmt w:val="bullet"/>
      <w:lvlText w:val=""/>
      <w:lvlJc w:val="left"/>
      <w:pPr>
        <w:ind w:left="4386" w:hanging="360"/>
      </w:pPr>
      <w:rPr>
        <w:rFonts w:ascii="Wingdings" w:hAnsi="Wingdings" w:hint="default"/>
      </w:rPr>
    </w:lvl>
    <w:lvl w:ilvl="6" w:tplc="44143DE2" w:tentative="1">
      <w:start w:val="1"/>
      <w:numFmt w:val="bullet"/>
      <w:lvlText w:val=""/>
      <w:lvlJc w:val="left"/>
      <w:pPr>
        <w:ind w:left="5106" w:hanging="360"/>
      </w:pPr>
      <w:rPr>
        <w:rFonts w:ascii="Symbol" w:hAnsi="Symbol" w:hint="default"/>
      </w:rPr>
    </w:lvl>
    <w:lvl w:ilvl="7" w:tplc="5D62D0F6" w:tentative="1">
      <w:start w:val="1"/>
      <w:numFmt w:val="bullet"/>
      <w:lvlText w:val="o"/>
      <w:lvlJc w:val="left"/>
      <w:pPr>
        <w:ind w:left="5826" w:hanging="360"/>
      </w:pPr>
      <w:rPr>
        <w:rFonts w:ascii="Courier New" w:hAnsi="Courier New" w:cs="Courier New" w:hint="default"/>
      </w:rPr>
    </w:lvl>
    <w:lvl w:ilvl="8" w:tplc="EDAEDB70" w:tentative="1">
      <w:start w:val="1"/>
      <w:numFmt w:val="bullet"/>
      <w:lvlText w:val=""/>
      <w:lvlJc w:val="left"/>
      <w:pPr>
        <w:ind w:left="6546" w:hanging="360"/>
      </w:pPr>
      <w:rPr>
        <w:rFonts w:ascii="Wingdings" w:hAnsi="Wingdings" w:hint="default"/>
      </w:rPr>
    </w:lvl>
  </w:abstractNum>
  <w:abstractNum w:abstractNumId="3" w15:restartNumberingAfterBreak="0">
    <w:nsid w:val="314B55F3"/>
    <w:multiLevelType w:val="hybridMultilevel"/>
    <w:tmpl w:val="4AB684F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4" w15:restartNumberingAfterBreak="1">
    <w:nsid w:val="350E16AC"/>
    <w:multiLevelType w:val="hybridMultilevel"/>
    <w:tmpl w:val="4E706C82"/>
    <w:lvl w:ilvl="0" w:tplc="C92E9E3A">
      <w:start w:val="1"/>
      <w:numFmt w:val="decimal"/>
      <w:lvlText w:val="%1)"/>
      <w:lvlJc w:val="left"/>
      <w:pPr>
        <w:ind w:left="1080" w:hanging="360"/>
      </w:pPr>
      <w:rPr>
        <w:rFonts w:hint="default"/>
      </w:rPr>
    </w:lvl>
    <w:lvl w:ilvl="1" w:tplc="97C624EE" w:tentative="1">
      <w:start w:val="1"/>
      <w:numFmt w:val="lowerLetter"/>
      <w:lvlText w:val="%2."/>
      <w:lvlJc w:val="left"/>
      <w:pPr>
        <w:ind w:left="1800" w:hanging="360"/>
      </w:pPr>
    </w:lvl>
    <w:lvl w:ilvl="2" w:tplc="4A949F52" w:tentative="1">
      <w:start w:val="1"/>
      <w:numFmt w:val="lowerRoman"/>
      <w:lvlText w:val="%3."/>
      <w:lvlJc w:val="right"/>
      <w:pPr>
        <w:ind w:left="2520" w:hanging="180"/>
      </w:pPr>
    </w:lvl>
    <w:lvl w:ilvl="3" w:tplc="B7445C6E" w:tentative="1">
      <w:start w:val="1"/>
      <w:numFmt w:val="decimal"/>
      <w:lvlText w:val="%4."/>
      <w:lvlJc w:val="left"/>
      <w:pPr>
        <w:ind w:left="3240" w:hanging="360"/>
      </w:pPr>
    </w:lvl>
    <w:lvl w:ilvl="4" w:tplc="8206ADDC" w:tentative="1">
      <w:start w:val="1"/>
      <w:numFmt w:val="lowerLetter"/>
      <w:lvlText w:val="%5."/>
      <w:lvlJc w:val="left"/>
      <w:pPr>
        <w:ind w:left="3960" w:hanging="360"/>
      </w:pPr>
    </w:lvl>
    <w:lvl w:ilvl="5" w:tplc="5FD4C794" w:tentative="1">
      <w:start w:val="1"/>
      <w:numFmt w:val="lowerRoman"/>
      <w:lvlText w:val="%6."/>
      <w:lvlJc w:val="right"/>
      <w:pPr>
        <w:ind w:left="4680" w:hanging="180"/>
      </w:pPr>
    </w:lvl>
    <w:lvl w:ilvl="6" w:tplc="F77881F4" w:tentative="1">
      <w:start w:val="1"/>
      <w:numFmt w:val="decimal"/>
      <w:lvlText w:val="%7."/>
      <w:lvlJc w:val="left"/>
      <w:pPr>
        <w:ind w:left="5400" w:hanging="360"/>
      </w:pPr>
    </w:lvl>
    <w:lvl w:ilvl="7" w:tplc="D9E00FEC" w:tentative="1">
      <w:start w:val="1"/>
      <w:numFmt w:val="lowerLetter"/>
      <w:lvlText w:val="%8."/>
      <w:lvlJc w:val="left"/>
      <w:pPr>
        <w:ind w:left="6120" w:hanging="360"/>
      </w:pPr>
    </w:lvl>
    <w:lvl w:ilvl="8" w:tplc="2140E608" w:tentative="1">
      <w:start w:val="1"/>
      <w:numFmt w:val="lowerRoman"/>
      <w:lvlText w:val="%9."/>
      <w:lvlJc w:val="right"/>
      <w:pPr>
        <w:ind w:left="6840" w:hanging="180"/>
      </w:pPr>
    </w:lvl>
  </w:abstractNum>
  <w:abstractNum w:abstractNumId="5" w15:restartNumberingAfterBreak="0">
    <w:nsid w:val="3794730D"/>
    <w:multiLevelType w:val="hybridMultilevel"/>
    <w:tmpl w:val="FF646ABE"/>
    <w:lvl w:ilvl="0" w:tplc="04260001">
      <w:start w:val="1"/>
      <w:numFmt w:val="bullet"/>
      <w:lvlText w:val=""/>
      <w:lvlJc w:val="left"/>
      <w:pPr>
        <w:ind w:left="1105" w:hanging="360"/>
      </w:pPr>
      <w:rPr>
        <w:rFonts w:ascii="Symbol" w:hAnsi="Symbol" w:hint="default"/>
      </w:rPr>
    </w:lvl>
    <w:lvl w:ilvl="1" w:tplc="04260003" w:tentative="1">
      <w:start w:val="1"/>
      <w:numFmt w:val="bullet"/>
      <w:lvlText w:val="o"/>
      <w:lvlJc w:val="left"/>
      <w:pPr>
        <w:ind w:left="1825" w:hanging="360"/>
      </w:pPr>
      <w:rPr>
        <w:rFonts w:ascii="Courier New" w:hAnsi="Courier New" w:cs="Courier New" w:hint="default"/>
      </w:rPr>
    </w:lvl>
    <w:lvl w:ilvl="2" w:tplc="04260005" w:tentative="1">
      <w:start w:val="1"/>
      <w:numFmt w:val="bullet"/>
      <w:lvlText w:val=""/>
      <w:lvlJc w:val="left"/>
      <w:pPr>
        <w:ind w:left="2545" w:hanging="360"/>
      </w:pPr>
      <w:rPr>
        <w:rFonts w:ascii="Wingdings" w:hAnsi="Wingdings" w:hint="default"/>
      </w:rPr>
    </w:lvl>
    <w:lvl w:ilvl="3" w:tplc="04260001" w:tentative="1">
      <w:start w:val="1"/>
      <w:numFmt w:val="bullet"/>
      <w:lvlText w:val=""/>
      <w:lvlJc w:val="left"/>
      <w:pPr>
        <w:ind w:left="3265" w:hanging="360"/>
      </w:pPr>
      <w:rPr>
        <w:rFonts w:ascii="Symbol" w:hAnsi="Symbol" w:hint="default"/>
      </w:rPr>
    </w:lvl>
    <w:lvl w:ilvl="4" w:tplc="04260003" w:tentative="1">
      <w:start w:val="1"/>
      <w:numFmt w:val="bullet"/>
      <w:lvlText w:val="o"/>
      <w:lvlJc w:val="left"/>
      <w:pPr>
        <w:ind w:left="3985" w:hanging="360"/>
      </w:pPr>
      <w:rPr>
        <w:rFonts w:ascii="Courier New" w:hAnsi="Courier New" w:cs="Courier New" w:hint="default"/>
      </w:rPr>
    </w:lvl>
    <w:lvl w:ilvl="5" w:tplc="04260005" w:tentative="1">
      <w:start w:val="1"/>
      <w:numFmt w:val="bullet"/>
      <w:lvlText w:val=""/>
      <w:lvlJc w:val="left"/>
      <w:pPr>
        <w:ind w:left="4705" w:hanging="360"/>
      </w:pPr>
      <w:rPr>
        <w:rFonts w:ascii="Wingdings" w:hAnsi="Wingdings" w:hint="default"/>
      </w:rPr>
    </w:lvl>
    <w:lvl w:ilvl="6" w:tplc="04260001" w:tentative="1">
      <w:start w:val="1"/>
      <w:numFmt w:val="bullet"/>
      <w:lvlText w:val=""/>
      <w:lvlJc w:val="left"/>
      <w:pPr>
        <w:ind w:left="5425" w:hanging="360"/>
      </w:pPr>
      <w:rPr>
        <w:rFonts w:ascii="Symbol" w:hAnsi="Symbol" w:hint="default"/>
      </w:rPr>
    </w:lvl>
    <w:lvl w:ilvl="7" w:tplc="04260003" w:tentative="1">
      <w:start w:val="1"/>
      <w:numFmt w:val="bullet"/>
      <w:lvlText w:val="o"/>
      <w:lvlJc w:val="left"/>
      <w:pPr>
        <w:ind w:left="6145" w:hanging="360"/>
      </w:pPr>
      <w:rPr>
        <w:rFonts w:ascii="Courier New" w:hAnsi="Courier New" w:cs="Courier New" w:hint="default"/>
      </w:rPr>
    </w:lvl>
    <w:lvl w:ilvl="8" w:tplc="04260005" w:tentative="1">
      <w:start w:val="1"/>
      <w:numFmt w:val="bullet"/>
      <w:lvlText w:val=""/>
      <w:lvlJc w:val="left"/>
      <w:pPr>
        <w:ind w:left="6865" w:hanging="360"/>
      </w:pPr>
      <w:rPr>
        <w:rFonts w:ascii="Wingdings" w:hAnsi="Wingdings" w:hint="default"/>
      </w:rPr>
    </w:lvl>
  </w:abstractNum>
  <w:abstractNum w:abstractNumId="6" w15:restartNumberingAfterBreak="0">
    <w:nsid w:val="44EE1B87"/>
    <w:multiLevelType w:val="multilevel"/>
    <w:tmpl w:val="85BCE7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0477225"/>
    <w:multiLevelType w:val="hybridMultilevel"/>
    <w:tmpl w:val="627C8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55A97986"/>
    <w:multiLevelType w:val="hybridMultilevel"/>
    <w:tmpl w:val="F480611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D3A3717"/>
    <w:multiLevelType w:val="hybridMultilevel"/>
    <w:tmpl w:val="4E9C23CE"/>
    <w:lvl w:ilvl="0" w:tplc="04260001">
      <w:start w:val="1"/>
      <w:numFmt w:val="bullet"/>
      <w:lvlText w:val=""/>
      <w:lvlJc w:val="left"/>
      <w:pPr>
        <w:ind w:left="1259" w:hanging="360"/>
      </w:pPr>
      <w:rPr>
        <w:rFonts w:ascii="Symbol" w:hAnsi="Symbol" w:hint="default"/>
      </w:rPr>
    </w:lvl>
    <w:lvl w:ilvl="1" w:tplc="04260003" w:tentative="1">
      <w:start w:val="1"/>
      <w:numFmt w:val="bullet"/>
      <w:lvlText w:val="o"/>
      <w:lvlJc w:val="left"/>
      <w:pPr>
        <w:ind w:left="1979" w:hanging="360"/>
      </w:pPr>
      <w:rPr>
        <w:rFonts w:ascii="Courier New" w:hAnsi="Courier New" w:cs="Courier New" w:hint="default"/>
      </w:rPr>
    </w:lvl>
    <w:lvl w:ilvl="2" w:tplc="04260005" w:tentative="1">
      <w:start w:val="1"/>
      <w:numFmt w:val="bullet"/>
      <w:lvlText w:val=""/>
      <w:lvlJc w:val="left"/>
      <w:pPr>
        <w:ind w:left="2699" w:hanging="360"/>
      </w:pPr>
      <w:rPr>
        <w:rFonts w:ascii="Wingdings" w:hAnsi="Wingdings" w:hint="default"/>
      </w:rPr>
    </w:lvl>
    <w:lvl w:ilvl="3" w:tplc="04260001" w:tentative="1">
      <w:start w:val="1"/>
      <w:numFmt w:val="bullet"/>
      <w:lvlText w:val=""/>
      <w:lvlJc w:val="left"/>
      <w:pPr>
        <w:ind w:left="3419" w:hanging="360"/>
      </w:pPr>
      <w:rPr>
        <w:rFonts w:ascii="Symbol" w:hAnsi="Symbol" w:hint="default"/>
      </w:rPr>
    </w:lvl>
    <w:lvl w:ilvl="4" w:tplc="04260003" w:tentative="1">
      <w:start w:val="1"/>
      <w:numFmt w:val="bullet"/>
      <w:lvlText w:val="o"/>
      <w:lvlJc w:val="left"/>
      <w:pPr>
        <w:ind w:left="4139" w:hanging="360"/>
      </w:pPr>
      <w:rPr>
        <w:rFonts w:ascii="Courier New" w:hAnsi="Courier New" w:cs="Courier New" w:hint="default"/>
      </w:rPr>
    </w:lvl>
    <w:lvl w:ilvl="5" w:tplc="04260005" w:tentative="1">
      <w:start w:val="1"/>
      <w:numFmt w:val="bullet"/>
      <w:lvlText w:val=""/>
      <w:lvlJc w:val="left"/>
      <w:pPr>
        <w:ind w:left="4859" w:hanging="360"/>
      </w:pPr>
      <w:rPr>
        <w:rFonts w:ascii="Wingdings" w:hAnsi="Wingdings" w:hint="default"/>
      </w:rPr>
    </w:lvl>
    <w:lvl w:ilvl="6" w:tplc="04260001" w:tentative="1">
      <w:start w:val="1"/>
      <w:numFmt w:val="bullet"/>
      <w:lvlText w:val=""/>
      <w:lvlJc w:val="left"/>
      <w:pPr>
        <w:ind w:left="5579" w:hanging="360"/>
      </w:pPr>
      <w:rPr>
        <w:rFonts w:ascii="Symbol" w:hAnsi="Symbol" w:hint="default"/>
      </w:rPr>
    </w:lvl>
    <w:lvl w:ilvl="7" w:tplc="04260003" w:tentative="1">
      <w:start w:val="1"/>
      <w:numFmt w:val="bullet"/>
      <w:lvlText w:val="o"/>
      <w:lvlJc w:val="left"/>
      <w:pPr>
        <w:ind w:left="6299" w:hanging="360"/>
      </w:pPr>
      <w:rPr>
        <w:rFonts w:ascii="Courier New" w:hAnsi="Courier New" w:cs="Courier New" w:hint="default"/>
      </w:rPr>
    </w:lvl>
    <w:lvl w:ilvl="8" w:tplc="04260005" w:tentative="1">
      <w:start w:val="1"/>
      <w:numFmt w:val="bullet"/>
      <w:lvlText w:val=""/>
      <w:lvlJc w:val="left"/>
      <w:pPr>
        <w:ind w:left="7019" w:hanging="360"/>
      </w:pPr>
      <w:rPr>
        <w:rFonts w:ascii="Wingdings" w:hAnsi="Wingdings" w:hint="default"/>
      </w:rPr>
    </w:lvl>
  </w:abstractNum>
  <w:abstractNum w:abstractNumId="10" w15:restartNumberingAfterBreak="1">
    <w:nsid w:val="6AE64DEE"/>
    <w:multiLevelType w:val="hybridMultilevel"/>
    <w:tmpl w:val="44888E1A"/>
    <w:lvl w:ilvl="0" w:tplc="C7D0EB22">
      <w:start w:val="1"/>
      <w:numFmt w:val="decimal"/>
      <w:lvlText w:val="%1."/>
      <w:lvlJc w:val="left"/>
      <w:pPr>
        <w:ind w:left="720" w:hanging="360"/>
      </w:pPr>
      <w:rPr>
        <w:rFonts w:hint="default"/>
      </w:rPr>
    </w:lvl>
    <w:lvl w:ilvl="1" w:tplc="031C890C" w:tentative="1">
      <w:start w:val="1"/>
      <w:numFmt w:val="lowerLetter"/>
      <w:lvlText w:val="%2."/>
      <w:lvlJc w:val="left"/>
      <w:pPr>
        <w:ind w:left="1440" w:hanging="360"/>
      </w:pPr>
    </w:lvl>
    <w:lvl w:ilvl="2" w:tplc="FD9CD9E0" w:tentative="1">
      <w:start w:val="1"/>
      <w:numFmt w:val="lowerRoman"/>
      <w:lvlText w:val="%3."/>
      <w:lvlJc w:val="right"/>
      <w:pPr>
        <w:ind w:left="2160" w:hanging="180"/>
      </w:pPr>
    </w:lvl>
    <w:lvl w:ilvl="3" w:tplc="06822826" w:tentative="1">
      <w:start w:val="1"/>
      <w:numFmt w:val="decimal"/>
      <w:lvlText w:val="%4."/>
      <w:lvlJc w:val="left"/>
      <w:pPr>
        <w:ind w:left="2880" w:hanging="360"/>
      </w:pPr>
    </w:lvl>
    <w:lvl w:ilvl="4" w:tplc="845AFF0E" w:tentative="1">
      <w:start w:val="1"/>
      <w:numFmt w:val="lowerLetter"/>
      <w:lvlText w:val="%5."/>
      <w:lvlJc w:val="left"/>
      <w:pPr>
        <w:ind w:left="3600" w:hanging="360"/>
      </w:pPr>
    </w:lvl>
    <w:lvl w:ilvl="5" w:tplc="5E8CA23A" w:tentative="1">
      <w:start w:val="1"/>
      <w:numFmt w:val="lowerRoman"/>
      <w:lvlText w:val="%6."/>
      <w:lvlJc w:val="right"/>
      <w:pPr>
        <w:ind w:left="4320" w:hanging="180"/>
      </w:pPr>
    </w:lvl>
    <w:lvl w:ilvl="6" w:tplc="0386A564" w:tentative="1">
      <w:start w:val="1"/>
      <w:numFmt w:val="decimal"/>
      <w:lvlText w:val="%7."/>
      <w:lvlJc w:val="left"/>
      <w:pPr>
        <w:ind w:left="5040" w:hanging="360"/>
      </w:pPr>
    </w:lvl>
    <w:lvl w:ilvl="7" w:tplc="63C4E4AE" w:tentative="1">
      <w:start w:val="1"/>
      <w:numFmt w:val="lowerLetter"/>
      <w:lvlText w:val="%8."/>
      <w:lvlJc w:val="left"/>
      <w:pPr>
        <w:ind w:left="5760" w:hanging="360"/>
      </w:pPr>
    </w:lvl>
    <w:lvl w:ilvl="8" w:tplc="91C80E4C" w:tentative="1">
      <w:start w:val="1"/>
      <w:numFmt w:val="lowerRoman"/>
      <w:lvlText w:val="%9."/>
      <w:lvlJc w:val="right"/>
      <w:pPr>
        <w:ind w:left="6480" w:hanging="180"/>
      </w:pPr>
    </w:lvl>
  </w:abstractNum>
  <w:abstractNum w:abstractNumId="11" w15:restartNumberingAfterBreak="0">
    <w:nsid w:val="6B501BD2"/>
    <w:multiLevelType w:val="hybridMultilevel"/>
    <w:tmpl w:val="EA8E0C5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C77699F"/>
    <w:multiLevelType w:val="hybridMultilevel"/>
    <w:tmpl w:val="9DE27EE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A7C3B16"/>
    <w:multiLevelType w:val="hybridMultilevel"/>
    <w:tmpl w:val="F9666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8"/>
  </w:num>
  <w:num w:numId="6">
    <w:abstractNumId w:val="12"/>
  </w:num>
  <w:num w:numId="7">
    <w:abstractNumId w:val="6"/>
  </w:num>
  <w:num w:numId="8">
    <w:abstractNumId w:val="13"/>
  </w:num>
  <w:num w:numId="9">
    <w:abstractNumId w:val="11"/>
  </w:num>
  <w:num w:numId="10">
    <w:abstractNumId w:val="10"/>
  </w:num>
  <w:num w:numId="11">
    <w:abstractNumId w:val="4"/>
  </w:num>
  <w:num w:numId="12">
    <w:abstractNumId w:val="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28"/>
    <w:rsid w:val="000044FA"/>
    <w:rsid w:val="00011587"/>
    <w:rsid w:val="00011820"/>
    <w:rsid w:val="0005038A"/>
    <w:rsid w:val="000614F5"/>
    <w:rsid w:val="00064F32"/>
    <w:rsid w:val="000766F8"/>
    <w:rsid w:val="000818D2"/>
    <w:rsid w:val="00085845"/>
    <w:rsid w:val="000916CE"/>
    <w:rsid w:val="000A6B9A"/>
    <w:rsid w:val="000B283D"/>
    <w:rsid w:val="000B2CA0"/>
    <w:rsid w:val="000C07B8"/>
    <w:rsid w:val="000C703D"/>
    <w:rsid w:val="000D0EFF"/>
    <w:rsid w:val="00110F94"/>
    <w:rsid w:val="00111617"/>
    <w:rsid w:val="0012264C"/>
    <w:rsid w:val="001509E7"/>
    <w:rsid w:val="00152ECC"/>
    <w:rsid w:val="00156E18"/>
    <w:rsid w:val="001611E9"/>
    <w:rsid w:val="00162EB9"/>
    <w:rsid w:val="00170CFC"/>
    <w:rsid w:val="00171A81"/>
    <w:rsid w:val="00183027"/>
    <w:rsid w:val="0019469A"/>
    <w:rsid w:val="001B419D"/>
    <w:rsid w:val="001C0756"/>
    <w:rsid w:val="001C1669"/>
    <w:rsid w:val="001C59ED"/>
    <w:rsid w:val="0020584E"/>
    <w:rsid w:val="002128BD"/>
    <w:rsid w:val="002204E8"/>
    <w:rsid w:val="00261740"/>
    <w:rsid w:val="0027336A"/>
    <w:rsid w:val="00283E0D"/>
    <w:rsid w:val="00285775"/>
    <w:rsid w:val="002B19A5"/>
    <w:rsid w:val="002B3D2F"/>
    <w:rsid w:val="002B5EE7"/>
    <w:rsid w:val="002C3DC9"/>
    <w:rsid w:val="002D3E38"/>
    <w:rsid w:val="002F5428"/>
    <w:rsid w:val="00301CBB"/>
    <w:rsid w:val="00304F3B"/>
    <w:rsid w:val="00320C6A"/>
    <w:rsid w:val="0032120D"/>
    <w:rsid w:val="0032647A"/>
    <w:rsid w:val="00335619"/>
    <w:rsid w:val="00352431"/>
    <w:rsid w:val="00363F9A"/>
    <w:rsid w:val="00370F44"/>
    <w:rsid w:val="003735E2"/>
    <w:rsid w:val="003B60B8"/>
    <w:rsid w:val="003C21F6"/>
    <w:rsid w:val="003C6F6D"/>
    <w:rsid w:val="003D6BD2"/>
    <w:rsid w:val="003F10D1"/>
    <w:rsid w:val="003F1B84"/>
    <w:rsid w:val="003F4BF1"/>
    <w:rsid w:val="00407869"/>
    <w:rsid w:val="004170B3"/>
    <w:rsid w:val="00422AFA"/>
    <w:rsid w:val="004422AA"/>
    <w:rsid w:val="00455577"/>
    <w:rsid w:val="0047084C"/>
    <w:rsid w:val="00474ED8"/>
    <w:rsid w:val="00480A1B"/>
    <w:rsid w:val="00482307"/>
    <w:rsid w:val="004876F3"/>
    <w:rsid w:val="00493060"/>
    <w:rsid w:val="004A456A"/>
    <w:rsid w:val="004A7D0E"/>
    <w:rsid w:val="004B0522"/>
    <w:rsid w:val="004B4E72"/>
    <w:rsid w:val="004C4D7F"/>
    <w:rsid w:val="004D1D9A"/>
    <w:rsid w:val="004F70B8"/>
    <w:rsid w:val="005222BD"/>
    <w:rsid w:val="00524414"/>
    <w:rsid w:val="00524926"/>
    <w:rsid w:val="005331D5"/>
    <w:rsid w:val="0053409A"/>
    <w:rsid w:val="00542B98"/>
    <w:rsid w:val="005437C3"/>
    <w:rsid w:val="00545A7B"/>
    <w:rsid w:val="00567C3A"/>
    <w:rsid w:val="005717CC"/>
    <w:rsid w:val="005802FC"/>
    <w:rsid w:val="00580CBE"/>
    <w:rsid w:val="00583D19"/>
    <w:rsid w:val="005B0615"/>
    <w:rsid w:val="005B7346"/>
    <w:rsid w:val="005C5BDA"/>
    <w:rsid w:val="005D2988"/>
    <w:rsid w:val="005D489A"/>
    <w:rsid w:val="005E0012"/>
    <w:rsid w:val="005E435A"/>
    <w:rsid w:val="005E6150"/>
    <w:rsid w:val="00603455"/>
    <w:rsid w:val="00611862"/>
    <w:rsid w:val="00630442"/>
    <w:rsid w:val="00632159"/>
    <w:rsid w:val="00641D60"/>
    <w:rsid w:val="00645290"/>
    <w:rsid w:val="00652E48"/>
    <w:rsid w:val="00664DE2"/>
    <w:rsid w:val="00666039"/>
    <w:rsid w:val="00684B77"/>
    <w:rsid w:val="006B3BBA"/>
    <w:rsid w:val="006D245F"/>
    <w:rsid w:val="006F2B5A"/>
    <w:rsid w:val="006F4715"/>
    <w:rsid w:val="0070316C"/>
    <w:rsid w:val="00705A8F"/>
    <w:rsid w:val="0071285B"/>
    <w:rsid w:val="00725640"/>
    <w:rsid w:val="00751999"/>
    <w:rsid w:val="00754E7D"/>
    <w:rsid w:val="00763F04"/>
    <w:rsid w:val="0076428F"/>
    <w:rsid w:val="00764807"/>
    <w:rsid w:val="007733C9"/>
    <w:rsid w:val="00777791"/>
    <w:rsid w:val="00790DC9"/>
    <w:rsid w:val="00793B6F"/>
    <w:rsid w:val="007B6C93"/>
    <w:rsid w:val="007C300C"/>
    <w:rsid w:val="007D693E"/>
    <w:rsid w:val="007E0FA9"/>
    <w:rsid w:val="007E157D"/>
    <w:rsid w:val="007E492A"/>
    <w:rsid w:val="007F18B8"/>
    <w:rsid w:val="00811EAA"/>
    <w:rsid w:val="00814BB4"/>
    <w:rsid w:val="008278B4"/>
    <w:rsid w:val="008412CC"/>
    <w:rsid w:val="00853AC5"/>
    <w:rsid w:val="00857FA9"/>
    <w:rsid w:val="0086037C"/>
    <w:rsid w:val="00860930"/>
    <w:rsid w:val="00870008"/>
    <w:rsid w:val="00871282"/>
    <w:rsid w:val="00875E3E"/>
    <w:rsid w:val="008B46B2"/>
    <w:rsid w:val="008C0091"/>
    <w:rsid w:val="008C4C8E"/>
    <w:rsid w:val="008C54BF"/>
    <w:rsid w:val="008E0870"/>
    <w:rsid w:val="008E3C19"/>
    <w:rsid w:val="008F6918"/>
    <w:rsid w:val="00905312"/>
    <w:rsid w:val="0091691A"/>
    <w:rsid w:val="009226DC"/>
    <w:rsid w:val="009228D2"/>
    <w:rsid w:val="00923946"/>
    <w:rsid w:val="00930BF9"/>
    <w:rsid w:val="00932481"/>
    <w:rsid w:val="00945363"/>
    <w:rsid w:val="00962079"/>
    <w:rsid w:val="009757FD"/>
    <w:rsid w:val="00977221"/>
    <w:rsid w:val="00982034"/>
    <w:rsid w:val="009873B8"/>
    <w:rsid w:val="0099499C"/>
    <w:rsid w:val="009A48FE"/>
    <w:rsid w:val="009A4A62"/>
    <w:rsid w:val="009A7EE9"/>
    <w:rsid w:val="009C6D89"/>
    <w:rsid w:val="009D36DE"/>
    <w:rsid w:val="009D6DC8"/>
    <w:rsid w:val="009E5A67"/>
    <w:rsid w:val="009F065F"/>
    <w:rsid w:val="00A0018F"/>
    <w:rsid w:val="00A11E5A"/>
    <w:rsid w:val="00A12EFD"/>
    <w:rsid w:val="00A23985"/>
    <w:rsid w:val="00A310DC"/>
    <w:rsid w:val="00A37ADF"/>
    <w:rsid w:val="00A511BA"/>
    <w:rsid w:val="00A8127B"/>
    <w:rsid w:val="00A85919"/>
    <w:rsid w:val="00A914D2"/>
    <w:rsid w:val="00A93CF7"/>
    <w:rsid w:val="00A97367"/>
    <w:rsid w:val="00AA1528"/>
    <w:rsid w:val="00AA4A17"/>
    <w:rsid w:val="00AA5033"/>
    <w:rsid w:val="00AB45E9"/>
    <w:rsid w:val="00AB7DDF"/>
    <w:rsid w:val="00AC14B6"/>
    <w:rsid w:val="00AC7C0E"/>
    <w:rsid w:val="00AD2335"/>
    <w:rsid w:val="00AD6E8B"/>
    <w:rsid w:val="00AE7DAC"/>
    <w:rsid w:val="00B03683"/>
    <w:rsid w:val="00B14C2E"/>
    <w:rsid w:val="00B17BAC"/>
    <w:rsid w:val="00B2761E"/>
    <w:rsid w:val="00B2791A"/>
    <w:rsid w:val="00B344E5"/>
    <w:rsid w:val="00B3568E"/>
    <w:rsid w:val="00B37017"/>
    <w:rsid w:val="00B4749B"/>
    <w:rsid w:val="00B61A29"/>
    <w:rsid w:val="00B64477"/>
    <w:rsid w:val="00B672D4"/>
    <w:rsid w:val="00B71A99"/>
    <w:rsid w:val="00B7663C"/>
    <w:rsid w:val="00B87AF4"/>
    <w:rsid w:val="00BA091C"/>
    <w:rsid w:val="00BA10D2"/>
    <w:rsid w:val="00BA4D20"/>
    <w:rsid w:val="00BB2AB5"/>
    <w:rsid w:val="00BD2338"/>
    <w:rsid w:val="00BD4180"/>
    <w:rsid w:val="00BD7B24"/>
    <w:rsid w:val="00BF0C19"/>
    <w:rsid w:val="00BF18C9"/>
    <w:rsid w:val="00BF7635"/>
    <w:rsid w:val="00C13638"/>
    <w:rsid w:val="00C41B93"/>
    <w:rsid w:val="00C437F7"/>
    <w:rsid w:val="00C44880"/>
    <w:rsid w:val="00C57036"/>
    <w:rsid w:val="00C621A0"/>
    <w:rsid w:val="00C64112"/>
    <w:rsid w:val="00C656FF"/>
    <w:rsid w:val="00C66B75"/>
    <w:rsid w:val="00C73478"/>
    <w:rsid w:val="00C94740"/>
    <w:rsid w:val="00CB2E04"/>
    <w:rsid w:val="00CC1E07"/>
    <w:rsid w:val="00CF1350"/>
    <w:rsid w:val="00CF2F7B"/>
    <w:rsid w:val="00D25421"/>
    <w:rsid w:val="00D309B0"/>
    <w:rsid w:val="00D312A6"/>
    <w:rsid w:val="00D43AB3"/>
    <w:rsid w:val="00D444BA"/>
    <w:rsid w:val="00D54B2D"/>
    <w:rsid w:val="00D6079A"/>
    <w:rsid w:val="00D82EC1"/>
    <w:rsid w:val="00D84D37"/>
    <w:rsid w:val="00D94EC3"/>
    <w:rsid w:val="00D97850"/>
    <w:rsid w:val="00DA451A"/>
    <w:rsid w:val="00DB1865"/>
    <w:rsid w:val="00DB37C4"/>
    <w:rsid w:val="00DB5A7F"/>
    <w:rsid w:val="00DB7B48"/>
    <w:rsid w:val="00DC37EA"/>
    <w:rsid w:val="00DE1003"/>
    <w:rsid w:val="00DE3336"/>
    <w:rsid w:val="00E16501"/>
    <w:rsid w:val="00E218B9"/>
    <w:rsid w:val="00E315C4"/>
    <w:rsid w:val="00E366AD"/>
    <w:rsid w:val="00E458CF"/>
    <w:rsid w:val="00E47E33"/>
    <w:rsid w:val="00E50E39"/>
    <w:rsid w:val="00E8499A"/>
    <w:rsid w:val="00ED59B9"/>
    <w:rsid w:val="00EE3ADF"/>
    <w:rsid w:val="00EE4FC4"/>
    <w:rsid w:val="00F14DB0"/>
    <w:rsid w:val="00F14F02"/>
    <w:rsid w:val="00F154FE"/>
    <w:rsid w:val="00F21AC1"/>
    <w:rsid w:val="00F32B28"/>
    <w:rsid w:val="00F405EC"/>
    <w:rsid w:val="00F529F2"/>
    <w:rsid w:val="00F920C2"/>
    <w:rsid w:val="00F95876"/>
    <w:rsid w:val="00FA0AC6"/>
    <w:rsid w:val="00FA753E"/>
    <w:rsid w:val="00FC73BD"/>
    <w:rsid w:val="00FD4884"/>
    <w:rsid w:val="00FE6A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6C429-3305-472F-9C79-4996D4DE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B2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9D36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A7E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2B28"/>
    <w:pPr>
      <w:tabs>
        <w:tab w:val="center" w:pos="4153"/>
        <w:tab w:val="right" w:pos="8306"/>
      </w:tabs>
    </w:pPr>
  </w:style>
  <w:style w:type="character" w:customStyle="1" w:styleId="FooterChar">
    <w:name w:val="Footer Char"/>
    <w:basedOn w:val="DefaultParagraphFont"/>
    <w:link w:val="Footer"/>
    <w:rsid w:val="00F32B28"/>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32B28"/>
    <w:pPr>
      <w:ind w:left="720"/>
      <w:contextualSpacing/>
    </w:pPr>
  </w:style>
  <w:style w:type="paragraph" w:styleId="Header">
    <w:name w:val="header"/>
    <w:basedOn w:val="Normal"/>
    <w:link w:val="HeaderChar"/>
    <w:uiPriority w:val="99"/>
    <w:unhideWhenUsed/>
    <w:rsid w:val="009A7EE9"/>
    <w:pPr>
      <w:tabs>
        <w:tab w:val="center" w:pos="4153"/>
        <w:tab w:val="right" w:pos="8306"/>
      </w:tabs>
    </w:pPr>
  </w:style>
  <w:style w:type="character" w:customStyle="1" w:styleId="HeaderChar">
    <w:name w:val="Header Char"/>
    <w:basedOn w:val="DefaultParagraphFont"/>
    <w:link w:val="Header"/>
    <w:uiPriority w:val="99"/>
    <w:rsid w:val="009A7EE9"/>
    <w:rPr>
      <w:rFonts w:ascii="Times New Roman" w:eastAsia="Times New Roman" w:hAnsi="Times New Roman" w:cs="Times New Roman"/>
      <w:sz w:val="24"/>
      <w:szCs w:val="24"/>
      <w:lang w:eastAsia="lv-LV"/>
    </w:rPr>
  </w:style>
  <w:style w:type="paragraph" w:customStyle="1" w:styleId="naisf">
    <w:name w:val="naisf"/>
    <w:basedOn w:val="Normal"/>
    <w:rsid w:val="009A7EE9"/>
    <w:pPr>
      <w:spacing w:before="100" w:beforeAutospacing="1" w:after="100" w:afterAutospacing="1"/>
    </w:pPr>
  </w:style>
  <w:style w:type="paragraph" w:customStyle="1" w:styleId="naisnod">
    <w:name w:val="naisnod"/>
    <w:basedOn w:val="Normal"/>
    <w:rsid w:val="009A7EE9"/>
    <w:pPr>
      <w:spacing w:before="100" w:beforeAutospacing="1" w:after="100" w:afterAutospacing="1"/>
    </w:pPr>
  </w:style>
  <w:style w:type="character" w:customStyle="1" w:styleId="Heading3Char">
    <w:name w:val="Heading 3 Char"/>
    <w:basedOn w:val="DefaultParagraphFont"/>
    <w:link w:val="Heading3"/>
    <w:uiPriority w:val="9"/>
    <w:rsid w:val="009A7EE9"/>
    <w:rPr>
      <w:rFonts w:ascii="Times New Roman" w:eastAsia="Times New Roman" w:hAnsi="Times New Roman" w:cs="Times New Roman"/>
      <w:b/>
      <w:bCs/>
      <w:sz w:val="27"/>
      <w:szCs w:val="27"/>
      <w:lang w:eastAsia="lv-LV"/>
    </w:rPr>
  </w:style>
  <w:style w:type="paragraph" w:customStyle="1" w:styleId="naiskr">
    <w:name w:val="naiskr"/>
    <w:basedOn w:val="Normal"/>
    <w:rsid w:val="009A7EE9"/>
    <w:pPr>
      <w:spacing w:before="100" w:beforeAutospacing="1" w:after="100" w:afterAutospacing="1"/>
    </w:pPr>
  </w:style>
  <w:style w:type="paragraph" w:styleId="BodyText">
    <w:name w:val="Body Text"/>
    <w:basedOn w:val="Normal"/>
    <w:link w:val="BodyTextChar"/>
    <w:rsid w:val="009A7EE9"/>
    <w:pPr>
      <w:jc w:val="center"/>
    </w:pPr>
    <w:rPr>
      <w:sz w:val="28"/>
      <w:lang w:eastAsia="en-US"/>
    </w:rPr>
  </w:style>
  <w:style w:type="character" w:customStyle="1" w:styleId="BodyTextChar">
    <w:name w:val="Body Text Char"/>
    <w:basedOn w:val="DefaultParagraphFont"/>
    <w:link w:val="BodyText"/>
    <w:rsid w:val="009A7EE9"/>
    <w:rPr>
      <w:rFonts w:ascii="Times New Roman" w:eastAsia="Times New Roman" w:hAnsi="Times New Roman" w:cs="Times New Roman"/>
      <w:sz w:val="28"/>
      <w:szCs w:val="24"/>
    </w:rPr>
  </w:style>
  <w:style w:type="character" w:styleId="Hyperlink">
    <w:name w:val="Hyperlink"/>
    <w:rsid w:val="000C703D"/>
    <w:rPr>
      <w:color w:val="0000FF"/>
      <w:u w:val="single"/>
    </w:rPr>
  </w:style>
  <w:style w:type="paragraph" w:styleId="BalloonText">
    <w:name w:val="Balloon Text"/>
    <w:basedOn w:val="Normal"/>
    <w:link w:val="BalloonTextChar"/>
    <w:uiPriority w:val="99"/>
    <w:semiHidden/>
    <w:unhideWhenUsed/>
    <w:rsid w:val="00B61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29"/>
    <w:rPr>
      <w:rFonts w:ascii="Segoe UI" w:eastAsia="Times New Roman" w:hAnsi="Segoe UI" w:cs="Segoe UI"/>
      <w:sz w:val="18"/>
      <w:szCs w:val="18"/>
      <w:lang w:eastAsia="lv-LV"/>
    </w:rPr>
  </w:style>
  <w:style w:type="character" w:customStyle="1" w:styleId="Heading2Char">
    <w:name w:val="Heading 2 Char"/>
    <w:basedOn w:val="DefaultParagraphFont"/>
    <w:link w:val="Heading2"/>
    <w:uiPriority w:val="9"/>
    <w:semiHidden/>
    <w:rsid w:val="009D36DE"/>
    <w:rPr>
      <w:rFonts w:asciiTheme="majorHAnsi" w:eastAsiaTheme="majorEastAsia" w:hAnsiTheme="majorHAnsi" w:cstheme="majorBidi"/>
      <w:color w:val="2E74B5" w:themeColor="accent1" w:themeShade="BF"/>
      <w:sz w:val="26"/>
      <w:szCs w:val="26"/>
      <w:lang w:eastAsia="lv-LV"/>
    </w:rPr>
  </w:style>
  <w:style w:type="paragraph" w:styleId="NoSpacing">
    <w:name w:val="No Spacing"/>
    <w:uiPriority w:val="1"/>
    <w:qFormat/>
    <w:rsid w:val="009D36DE"/>
    <w:pPr>
      <w:suppressAutoHyphens/>
      <w:autoSpaceDN w:val="0"/>
      <w:spacing w:after="0" w:line="240" w:lineRule="auto"/>
      <w:textAlignment w:val="baseline"/>
    </w:pPr>
    <w:rPr>
      <w:rFonts w:ascii="Calibri" w:eastAsia="Calibri" w:hAnsi="Calibri" w:cs="Times New Roman"/>
    </w:rPr>
  </w:style>
  <w:style w:type="table" w:styleId="TableGridLight">
    <w:name w:val="Grid Table Light"/>
    <w:basedOn w:val="TableNormal"/>
    <w:uiPriority w:val="40"/>
    <w:rsid w:val="003524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6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0930"/>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3495">
      <w:bodyDiv w:val="1"/>
      <w:marLeft w:val="0"/>
      <w:marRight w:val="0"/>
      <w:marTop w:val="0"/>
      <w:marBottom w:val="0"/>
      <w:divBdr>
        <w:top w:val="none" w:sz="0" w:space="0" w:color="auto"/>
        <w:left w:val="none" w:sz="0" w:space="0" w:color="auto"/>
        <w:bottom w:val="none" w:sz="0" w:space="0" w:color="auto"/>
        <w:right w:val="none" w:sz="0" w:space="0" w:color="auto"/>
      </w:divBdr>
    </w:div>
    <w:div w:id="280386031">
      <w:bodyDiv w:val="1"/>
      <w:marLeft w:val="0"/>
      <w:marRight w:val="0"/>
      <w:marTop w:val="0"/>
      <w:marBottom w:val="0"/>
      <w:divBdr>
        <w:top w:val="none" w:sz="0" w:space="0" w:color="auto"/>
        <w:left w:val="none" w:sz="0" w:space="0" w:color="auto"/>
        <w:bottom w:val="none" w:sz="0" w:space="0" w:color="auto"/>
        <w:right w:val="none" w:sz="0" w:space="0" w:color="auto"/>
      </w:divBdr>
    </w:div>
    <w:div w:id="780030038">
      <w:bodyDiv w:val="1"/>
      <w:marLeft w:val="0"/>
      <w:marRight w:val="0"/>
      <w:marTop w:val="0"/>
      <w:marBottom w:val="0"/>
      <w:divBdr>
        <w:top w:val="none" w:sz="0" w:space="0" w:color="auto"/>
        <w:left w:val="none" w:sz="0" w:space="0" w:color="auto"/>
        <w:bottom w:val="none" w:sz="0" w:space="0" w:color="auto"/>
        <w:right w:val="none" w:sz="0" w:space="0" w:color="auto"/>
      </w:divBdr>
    </w:div>
    <w:div w:id="20699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sinkovska@f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3423C-A355-424A-8EDB-93E2087CD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9113</Words>
  <Characters>5195</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Par precizētu Ministru kabineta rīkojuma projekta "Par apropriācijas palielināšanu budžeta resora "74. Gadskārtējā valsts budžeta izpildes procesā pārdalāmais finansējums" budžeta programmai 80.00.00 "Nesadalītais finansējums Eiropas Savienības politiku i</vt:lpstr>
    </vt:vector>
  </TitlesOfParts>
  <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precizētu Ministru kabineta rīkojuma projekta "Par apropriācijas palielināšanu budžeta resora "74. Gadskārtējā valsts budžeta izpildes procesā pārdalāmais finansējums" budžeta programmai 80.00.00 "Nesadalītais finansējums Eiropas Savienības politiku instrumentu un pārējās ārvalstu finanšu palīdzības līdzfinansēto projektu un pasākumu īstenošanai"" sākotnējās ietekmes novērtējuma ziņojumu (anotāciju)</dc:title>
  <dc:subject>Anotācija</dc:subject>
  <dc:creator>Dace Siņkovska</dc:creator>
  <cp:keywords/>
  <dc:description>dace.sinkovska@fm.gov.lv; 67083813</dc:description>
  <cp:lastModifiedBy>Dace Siņkovska</cp:lastModifiedBy>
  <cp:revision>7</cp:revision>
  <cp:lastPrinted>2018-10-09T13:19:00Z</cp:lastPrinted>
  <dcterms:created xsi:type="dcterms:W3CDTF">2018-10-12T07:57:00Z</dcterms:created>
  <dcterms:modified xsi:type="dcterms:W3CDTF">2018-10-12T08:44:00Z</dcterms:modified>
</cp:coreProperties>
</file>