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6F" w:rsidRPr="009709E0" w:rsidRDefault="006F336F" w:rsidP="006F336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6F336F" w:rsidRPr="006F336F" w:rsidRDefault="006F336F" w:rsidP="006F336F">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6F336F">
        <w:rPr>
          <w:rFonts w:ascii="Times New Roman" w:eastAsia="Times New Roman" w:hAnsi="Times New Roman" w:cs="Times New Roman"/>
          <w:b/>
          <w:sz w:val="24"/>
          <w:szCs w:val="24"/>
          <w:lang w:eastAsia="lv-LV"/>
        </w:rPr>
        <w:t>„</w:t>
      </w:r>
      <w:r w:rsidRPr="006F336F">
        <w:rPr>
          <w:rFonts w:ascii="Times New Roman" w:eastAsia="Times New Roman" w:hAnsi="Times New Roman" w:cs="Times New Roman"/>
          <w:b/>
          <w:bCs/>
          <w:sz w:val="24"/>
          <w:szCs w:val="24"/>
          <w:lang w:eastAsia="lv-LV"/>
        </w:rPr>
        <w:t>Par zemes vienību Ventspils pilsētā piederību vai piekritību valstij un to nostiprināšanu zemesgrāmatā uz valsts vārda Finanšu ministrijas personā</w:t>
      </w:r>
      <w:r w:rsidRPr="006F336F">
        <w:rPr>
          <w:rFonts w:ascii="Times New Roman" w:eastAsia="Times New Roman" w:hAnsi="Times New Roman" w:cs="Times New Roman"/>
          <w:b/>
          <w:sz w:val="24"/>
          <w:szCs w:val="24"/>
          <w:lang w:eastAsia="lv-LV"/>
        </w:rPr>
        <w:t>”</w:t>
      </w:r>
    </w:p>
    <w:p w:rsidR="006F336F" w:rsidRPr="000F2C36" w:rsidRDefault="006F336F" w:rsidP="000F2C36">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6F336F" w:rsidRDefault="006F336F" w:rsidP="006F336F">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6F336F" w:rsidRPr="00333434" w:rsidTr="00C274B5">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F336F" w:rsidRPr="00333434" w:rsidRDefault="006F336F" w:rsidP="00C274B5">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6F336F" w:rsidRPr="00333434" w:rsidTr="005A14E2">
        <w:trPr>
          <w:trHeight w:val="2275"/>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6F336F" w:rsidRPr="00333434" w:rsidRDefault="006F336F" w:rsidP="00C274B5">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6F336F" w:rsidRDefault="006F336F" w:rsidP="005A14E2">
            <w:pPr>
              <w:pStyle w:val="NoSpacing"/>
              <w:spacing w:before="120"/>
              <w:ind w:firstLine="432"/>
              <w:jc w:val="both"/>
              <w:rPr>
                <w:rFonts w:ascii="Times New Roman" w:hAnsi="Times New Roman" w:cs="Times New Roman"/>
                <w:sz w:val="24"/>
                <w:szCs w:val="24"/>
                <w:lang w:eastAsia="lv-LV"/>
              </w:rPr>
            </w:pPr>
            <w:r w:rsidRPr="00333434">
              <w:t xml:space="preserve"> </w:t>
            </w:r>
            <w:r w:rsidRPr="006F336F">
              <w:rPr>
                <w:rFonts w:ascii="Times New Roman" w:hAnsi="Times New Roman" w:cs="Times New Roman"/>
                <w:sz w:val="24"/>
                <w:szCs w:val="24"/>
                <w:lang w:eastAsia="lv-LV"/>
              </w:rPr>
              <w:t xml:space="preserve">Projekts paredz 91 rezerves zemes fondā ieskaitīto zemes vienību Ventspils pilsētā saglabāt valsts īpašumā un nodot Finanšu ministrijas valdījumā, kas nepieciešamas </w:t>
            </w:r>
            <w:r w:rsidRPr="005A14E2">
              <w:rPr>
                <w:rFonts w:ascii="Times New Roman" w:hAnsi="Times New Roman" w:cs="Times New Roman"/>
                <w:i/>
                <w:sz w:val="24"/>
                <w:szCs w:val="24"/>
                <w:lang w:eastAsia="lv-LV"/>
              </w:rPr>
              <w:t>Publiskas personas mantas atsavināšanas likumā</w:t>
            </w:r>
            <w:r w:rsidRPr="006F336F">
              <w:rPr>
                <w:rFonts w:ascii="Times New Roman" w:hAnsi="Times New Roman" w:cs="Times New Roman"/>
                <w:sz w:val="24"/>
                <w:szCs w:val="24"/>
                <w:lang w:eastAsia="lv-LV"/>
              </w:rPr>
              <w:t xml:space="preserve"> minēto funkciju veikšanai.</w:t>
            </w:r>
          </w:p>
          <w:p w:rsidR="006F336F" w:rsidRPr="006F336F" w:rsidRDefault="006F336F" w:rsidP="005A14E2">
            <w:pPr>
              <w:pStyle w:val="NoSpacing"/>
              <w:spacing w:before="120"/>
              <w:ind w:firstLine="432"/>
              <w:jc w:val="both"/>
              <w:rPr>
                <w:lang w:eastAsia="lv-LV"/>
              </w:rPr>
            </w:pPr>
            <w:r w:rsidRPr="006F336F">
              <w:rPr>
                <w:rFonts w:ascii="Times New Roman" w:hAnsi="Times New Roman" w:cs="Times New Roman"/>
                <w:sz w:val="24"/>
                <w:szCs w:val="24"/>
                <w:lang w:eastAsia="lv-LV"/>
              </w:rPr>
              <w:t>Ministru kabineta rīkojums stāsies spēkā tā parakstīšanas brīdī.</w:t>
            </w:r>
          </w:p>
        </w:tc>
      </w:tr>
    </w:tbl>
    <w:p w:rsidR="006F336F" w:rsidRPr="00284A12" w:rsidRDefault="006F336F" w:rsidP="006F336F">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6F336F" w:rsidRPr="00284A12" w:rsidTr="00C274B5">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6F336F" w:rsidRPr="00284A12" w:rsidRDefault="006F336F" w:rsidP="00C274B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6F336F" w:rsidRPr="006A433C" w:rsidRDefault="006F336F" w:rsidP="00C274B5">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001D59FE" w:rsidRPr="001B6175">
              <w:rPr>
                <w:rFonts w:ascii="Times New Roman" w:eastAsia="Times New Roman" w:hAnsi="Times New Roman" w:cs="Times New Roman"/>
                <w:sz w:val="24"/>
                <w:szCs w:val="24"/>
              </w:rPr>
              <w:t>2.panta pirmā daļa, 2.panta otrās daļas 2.punkts, 2.panta trešās daļas 2. un 3.punkts, 4.</w:t>
            </w:r>
            <w:r w:rsidR="001D59FE" w:rsidRPr="001B6175">
              <w:rPr>
                <w:rFonts w:ascii="Times New Roman" w:eastAsia="Times New Roman" w:hAnsi="Times New Roman" w:cs="Times New Roman"/>
                <w:sz w:val="24"/>
                <w:szCs w:val="24"/>
                <w:vertAlign w:val="superscript"/>
              </w:rPr>
              <w:t>1</w:t>
            </w:r>
            <w:r w:rsidR="001D59FE" w:rsidRPr="001B6175">
              <w:rPr>
                <w:rFonts w:ascii="Times New Roman" w:eastAsia="Times New Roman" w:hAnsi="Times New Roman" w:cs="Times New Roman"/>
                <w:sz w:val="24"/>
                <w:szCs w:val="24"/>
              </w:rPr>
              <w:t xml:space="preserve">panta pirmās daļas 2., 3. un 4.punkts, </w:t>
            </w:r>
            <w:r w:rsidRPr="001B6175">
              <w:rPr>
                <w:rFonts w:ascii="Times New Roman" w:eastAsia="Times New Roman" w:hAnsi="Times New Roman" w:cs="Times New Roman"/>
                <w:bCs/>
                <w:sz w:val="24"/>
                <w:szCs w:val="24"/>
                <w:lang w:eastAsia="lv-LV"/>
              </w:rPr>
              <w:t>8.panta sestā daļa</w:t>
            </w:r>
            <w:r w:rsidRPr="001B6175">
              <w:rPr>
                <w:rFonts w:ascii="Times New Roman" w:eastAsia="Times New Roman" w:hAnsi="Times New Roman" w:cs="Times New Roman"/>
                <w:sz w:val="24"/>
                <w:szCs w:val="24"/>
              </w:rPr>
              <w:t>.</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6F336F"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jc w:val="cente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tc>
        <w:tc>
          <w:tcPr>
            <w:tcW w:w="3849" w:type="pct"/>
            <w:tcBorders>
              <w:top w:val="outset" w:sz="6" w:space="0" w:color="000000"/>
              <w:left w:val="outset" w:sz="6" w:space="0" w:color="000000"/>
              <w:bottom w:val="outset" w:sz="6" w:space="0" w:color="000000"/>
            </w:tcBorders>
          </w:tcPr>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6F336F" w:rsidRPr="006F336F" w:rsidRDefault="006F336F" w:rsidP="006F336F">
            <w:pPr>
              <w:pStyle w:val="NoSpacing"/>
              <w:ind w:firstLine="752"/>
              <w:jc w:val="both"/>
              <w:rPr>
                <w:rFonts w:ascii="Times New Roman" w:hAnsi="Times New Roman" w:cs="Times New Roman"/>
                <w:sz w:val="24"/>
                <w:szCs w:val="24"/>
                <w:lang w:eastAsia="lv-LV"/>
              </w:rPr>
            </w:pPr>
            <w:r w:rsidRPr="009A5278">
              <w:rPr>
                <w:rFonts w:ascii="Times New Roman" w:hAnsi="Times New Roman" w:cs="Times New Roman"/>
                <w:sz w:val="24"/>
                <w:szCs w:val="24"/>
                <w:lang w:eastAsia="lv-LV"/>
              </w:rPr>
              <w:lastRenderedPageBreak/>
              <w:t>Ministru kabinets</w:t>
            </w:r>
            <w:r w:rsidR="009F7175">
              <w:rPr>
                <w:rFonts w:ascii="Times New Roman" w:hAnsi="Times New Roman" w:cs="Times New Roman"/>
                <w:sz w:val="24"/>
                <w:szCs w:val="24"/>
                <w:lang w:eastAsia="lv-LV"/>
              </w:rPr>
              <w:t xml:space="preserve"> ir pieņēmis Ministru kabineta</w:t>
            </w:r>
            <w:r w:rsidRPr="009A5278">
              <w:rPr>
                <w:rFonts w:ascii="Times New Roman" w:hAnsi="Times New Roman" w:cs="Times New Roman"/>
                <w:sz w:val="24"/>
                <w:szCs w:val="24"/>
                <w:lang w:eastAsia="lv-LV"/>
              </w:rPr>
              <w:t>2016. g</w:t>
            </w:r>
            <w:r w:rsidR="009F7175">
              <w:rPr>
                <w:rFonts w:ascii="Times New Roman" w:hAnsi="Times New Roman" w:cs="Times New Roman"/>
                <w:sz w:val="24"/>
                <w:szCs w:val="24"/>
                <w:lang w:eastAsia="lv-LV"/>
              </w:rPr>
              <w:t xml:space="preserve"> </w:t>
            </w:r>
            <w:r w:rsidRPr="009A5278">
              <w:rPr>
                <w:rFonts w:ascii="Times New Roman" w:hAnsi="Times New Roman" w:cs="Times New Roman"/>
                <w:sz w:val="24"/>
                <w:szCs w:val="24"/>
                <w:lang w:eastAsia="lv-LV"/>
              </w:rPr>
              <w:t>ada 28. janvā</w:t>
            </w:r>
            <w:r>
              <w:rPr>
                <w:rFonts w:ascii="Times New Roman" w:hAnsi="Times New Roman" w:cs="Times New Roman"/>
                <w:sz w:val="24"/>
                <w:szCs w:val="24"/>
                <w:lang w:eastAsia="lv-LV"/>
              </w:rPr>
              <w:t>r</w:t>
            </w:r>
            <w:r w:rsidR="009F7175">
              <w:rPr>
                <w:rFonts w:ascii="Times New Roman" w:hAnsi="Times New Roman" w:cs="Times New Roman"/>
                <w:sz w:val="24"/>
                <w:szCs w:val="24"/>
                <w:lang w:eastAsia="lv-LV"/>
              </w:rPr>
              <w:t xml:space="preserve">a </w:t>
            </w:r>
            <w:r>
              <w:rPr>
                <w:rFonts w:ascii="Times New Roman" w:hAnsi="Times New Roman" w:cs="Times New Roman"/>
                <w:sz w:val="24"/>
                <w:szCs w:val="24"/>
                <w:lang w:eastAsia="lv-LV"/>
              </w:rPr>
              <w:t>rīkojumu Nr. 74</w:t>
            </w:r>
            <w:r w:rsidRPr="009A5278">
              <w:rPr>
                <w:rFonts w:ascii="Times New Roman" w:hAnsi="Times New Roman" w:cs="Times New Roman"/>
                <w:sz w:val="24"/>
                <w:szCs w:val="24"/>
                <w:lang w:eastAsia="lv-LV"/>
              </w:rPr>
              <w:t xml:space="preserve"> “</w:t>
            </w:r>
            <w:r w:rsidRPr="009A5278">
              <w:rPr>
                <w:rFonts w:ascii="Times New Roman" w:hAnsi="Times New Roman" w:cs="Times New Roman"/>
                <w:bCs/>
                <w:sz w:val="24"/>
                <w:szCs w:val="24"/>
                <w:lang w:eastAsia="lv-LV"/>
              </w:rPr>
              <w:t xml:space="preserve">Par zemes reformas pabeigšanu </w:t>
            </w:r>
            <w:r>
              <w:rPr>
                <w:rFonts w:ascii="Times New Roman" w:hAnsi="Times New Roman" w:cs="Times New Roman"/>
                <w:bCs/>
                <w:sz w:val="24"/>
                <w:szCs w:val="24"/>
                <w:lang w:eastAsia="lv-LV"/>
              </w:rPr>
              <w:t>Ventspils pilsētā</w:t>
            </w:r>
            <w:r w:rsidRPr="009A5278">
              <w:rPr>
                <w:rFonts w:ascii="Times New Roman" w:hAnsi="Times New Roman" w:cs="Times New Roman"/>
                <w:bCs/>
                <w:sz w:val="24"/>
                <w:szCs w:val="24"/>
                <w:lang w:eastAsia="lv-LV"/>
              </w:rPr>
              <w:t>”.</w:t>
            </w:r>
          </w:p>
          <w:p w:rsidR="006C1D47" w:rsidRPr="00420EDA" w:rsidRDefault="006C1D47" w:rsidP="006C1D47">
            <w:pPr>
              <w:spacing w:after="0" w:line="240" w:lineRule="auto"/>
              <w:ind w:firstLine="720"/>
              <w:jc w:val="both"/>
              <w:rPr>
                <w:rFonts w:ascii="Times New Roman" w:hAnsi="Times New Roman" w:cs="Times New Roman"/>
                <w:sz w:val="24"/>
                <w:szCs w:val="24"/>
              </w:rPr>
            </w:pPr>
            <w:r w:rsidRPr="00420EDA">
              <w:rPr>
                <w:rFonts w:ascii="Times New Roman" w:hAnsi="Times New Roman" w:cs="Times New Roman"/>
                <w:sz w:val="24"/>
                <w:szCs w:val="24"/>
              </w:rPr>
              <w:t xml:space="preserve">Ministru kabinetam pieņemot rīkojumus par zemes reformas pabeigšanu attiecīgajā administratīvajā teritorijā, tiek apliecināts, ka visi procesi attiecībā uz </w:t>
            </w:r>
            <w:r w:rsidR="00BD39BD">
              <w:rPr>
                <w:rFonts w:ascii="Times New Roman" w:hAnsi="Times New Roman" w:cs="Times New Roman"/>
                <w:sz w:val="24"/>
                <w:szCs w:val="24"/>
              </w:rPr>
              <w:t>privāt</w:t>
            </w:r>
            <w:r w:rsidRPr="00420EDA">
              <w:rPr>
                <w:rFonts w:ascii="Times New Roman" w:hAnsi="Times New Roman" w:cs="Times New Roman"/>
                <w:sz w:val="24"/>
                <w:szCs w:val="24"/>
              </w:rPr>
              <w:t xml:space="preserve">personu tiesībām </w:t>
            </w:r>
            <w:r w:rsidR="00BD39BD">
              <w:rPr>
                <w:rFonts w:ascii="Times New Roman" w:hAnsi="Times New Roman" w:cs="Times New Roman"/>
                <w:sz w:val="24"/>
                <w:szCs w:val="24"/>
              </w:rPr>
              <w:t>ie</w:t>
            </w:r>
            <w:r w:rsidRPr="00420EDA">
              <w:rPr>
                <w:rFonts w:ascii="Times New Roman" w:hAnsi="Times New Roman" w:cs="Times New Roman"/>
                <w:sz w:val="24"/>
                <w:szCs w:val="24"/>
              </w:rPr>
              <w:t>gūt zemi</w:t>
            </w:r>
            <w:r w:rsidR="00BD39BD">
              <w:rPr>
                <w:rFonts w:ascii="Times New Roman" w:hAnsi="Times New Roman" w:cs="Times New Roman"/>
                <w:sz w:val="24"/>
                <w:szCs w:val="24"/>
              </w:rPr>
              <w:t xml:space="preserve"> zemes reformas ietvaros</w:t>
            </w:r>
            <w:r w:rsidRPr="00420EDA">
              <w:rPr>
                <w:rFonts w:ascii="Times New Roman" w:hAnsi="Times New Roman" w:cs="Times New Roman"/>
                <w:sz w:val="24"/>
                <w:szCs w:val="24"/>
              </w:rPr>
              <w:t xml:space="preserve"> ir pabeigti. Ir sācies jauns posms - zemes piekritības vai piederības valstij vai pašvaldībai izvērtēšana, izslēdzot iespēju, ka kādas privātpersonas tiesības </w:t>
            </w:r>
            <w:r w:rsidR="00BD39BD">
              <w:rPr>
                <w:rFonts w:ascii="Times New Roman" w:hAnsi="Times New Roman" w:cs="Times New Roman"/>
                <w:sz w:val="24"/>
                <w:szCs w:val="24"/>
              </w:rPr>
              <w:t xml:space="preserve">uz </w:t>
            </w:r>
            <w:r w:rsidRPr="00420EDA">
              <w:rPr>
                <w:rFonts w:ascii="Times New Roman" w:hAnsi="Times New Roman" w:cs="Times New Roman"/>
                <w:sz w:val="24"/>
                <w:szCs w:val="24"/>
              </w:rPr>
              <w:t>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Pr>
                <w:rFonts w:ascii="Times New Roman" w:eastAsia="Times New Roman" w:hAnsi="Times New Roman" w:cs="Times New Roman"/>
                <w:sz w:val="24"/>
                <w:szCs w:val="24"/>
              </w:rPr>
              <w:t>Ventspils pilsētā</w:t>
            </w:r>
            <w:r w:rsidRPr="009A5278">
              <w:rPr>
                <w:rFonts w:ascii="Times New Roman" w:eastAsia="Times New Roman" w:hAnsi="Times New Roman" w:cs="Times New Roman"/>
                <w:sz w:val="24"/>
                <w:szCs w:val="24"/>
              </w:rPr>
              <w:t xml:space="preserve"> norādītājām zemes vienībām. </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Par sarakstā norādītajām valstij piekritīgajām zemes vienībām nepastāv strīds ar c</w:t>
            </w:r>
            <w:r>
              <w:rPr>
                <w:rFonts w:ascii="Times New Roman" w:eastAsia="Times New Roman" w:hAnsi="Times New Roman" w:cs="Times New Roman"/>
                <w:sz w:val="24"/>
                <w:szCs w:val="24"/>
              </w:rPr>
              <w:t>itām ministrijām un attiecīgo</w:t>
            </w:r>
            <w:r w:rsidRPr="009A5278">
              <w:rPr>
                <w:rFonts w:ascii="Times New Roman" w:eastAsia="Times New Roman" w:hAnsi="Times New Roman" w:cs="Times New Roman"/>
                <w:sz w:val="24"/>
                <w:szCs w:val="24"/>
              </w:rPr>
              <w:t xml:space="preserve"> pašva</w:t>
            </w:r>
            <w:r>
              <w:rPr>
                <w:rFonts w:ascii="Times New Roman" w:eastAsia="Times New Roman" w:hAnsi="Times New Roman" w:cs="Times New Roman"/>
                <w:sz w:val="24"/>
                <w:szCs w:val="24"/>
              </w:rPr>
              <w:t>ldību</w:t>
            </w:r>
            <w:r w:rsidRPr="009A5278">
              <w:rPr>
                <w:rFonts w:ascii="Times New Roman" w:eastAsia="Times New Roman" w:hAnsi="Times New Roman" w:cs="Times New Roman"/>
                <w:sz w:val="24"/>
                <w:szCs w:val="24"/>
              </w:rPr>
              <w:t xml:space="preserve">. Atbilstoši Noteikumu Nr.190 8.punktā noteiktajam Valsts zemes dienests ir saņēmis šo noteikumu 7.1.3. apakšpunktā minēto sarakstu ar ministriju un pašvaldību izdarītajām atzīmēm no pašvaldībām, un savā tīmekļvietnē ir publiskojis izvērtētos gala sarakstus par </w:t>
            </w:r>
            <w:r>
              <w:rPr>
                <w:rFonts w:ascii="Times New Roman" w:eastAsia="Times New Roman" w:hAnsi="Times New Roman" w:cs="Times New Roman"/>
                <w:sz w:val="24"/>
                <w:szCs w:val="24"/>
              </w:rPr>
              <w:t>Ventspils pilsētu</w:t>
            </w:r>
            <w:r w:rsidRPr="009A5278">
              <w:rPr>
                <w:rFonts w:ascii="Times New Roman" w:eastAsia="Times New Roman" w:hAnsi="Times New Roman" w:cs="Times New Roman"/>
                <w:sz w:val="24"/>
                <w:szCs w:val="24"/>
              </w:rPr>
              <w:t xml:space="preserve"> (</w:t>
            </w:r>
            <w:hyperlink r:id="rId6" w:history="1">
              <w:r w:rsidRPr="009A5278">
                <w:rPr>
                  <w:rFonts w:ascii="Times New Roman" w:eastAsia="Times New Roman" w:hAnsi="Times New Roman" w:cs="Times New Roman"/>
                  <w:color w:val="0000FF"/>
                  <w:sz w:val="24"/>
                  <w:szCs w:val="24"/>
                  <w:u w:val="single"/>
                </w:rPr>
                <w:t>http://www.vzd.gov.lv/lv/par-mums/darbibas-jomas/zemes-reforma/izvertesana/</w:t>
              </w:r>
            </w:hyperlink>
            <w:r w:rsidRPr="009A5278">
              <w:rPr>
                <w:rFonts w:ascii="Times New Roman" w:eastAsia="Times New Roman" w:hAnsi="Times New Roman" w:cs="Times New Roman"/>
                <w:sz w:val="24"/>
                <w:szCs w:val="24"/>
              </w:rPr>
              <w:t>).</w:t>
            </w:r>
          </w:p>
          <w:p w:rsidR="00ED45E3" w:rsidRPr="001B6175" w:rsidRDefault="006F336F" w:rsidP="00ED45E3">
            <w:pPr>
              <w:autoSpaceDE w:val="0"/>
              <w:autoSpaceDN w:val="0"/>
              <w:adjustRightInd w:val="0"/>
              <w:spacing w:after="0" w:line="240" w:lineRule="auto"/>
              <w:ind w:firstLine="758"/>
              <w:contextualSpacing/>
              <w:jc w:val="both"/>
              <w:rPr>
                <w:rFonts w:ascii="Times New Roman" w:eastAsia="Times New Roman" w:hAnsi="Times New Roman" w:cs="Times New Roman"/>
                <w:sz w:val="24"/>
                <w:szCs w:val="24"/>
              </w:rPr>
            </w:pPr>
            <w:r w:rsidRPr="006F336F">
              <w:rPr>
                <w:rFonts w:ascii="Times New Roman" w:eastAsia="Times New Roman" w:hAnsi="Times New Roman" w:cs="Times New Roman"/>
                <w:sz w:val="24"/>
                <w:szCs w:val="24"/>
              </w:rPr>
              <w:t>Ievērojot iepriekš minēto, Finanšu ministrija ir izstrādājusi Ministru kabineta rīkojuma projektu „</w:t>
            </w:r>
            <w:r w:rsidRPr="006F336F">
              <w:rPr>
                <w:rFonts w:ascii="Times New Roman" w:eastAsia="Times New Roman" w:hAnsi="Times New Roman" w:cs="Times New Roman"/>
                <w:bCs/>
                <w:sz w:val="24"/>
                <w:szCs w:val="24"/>
                <w:lang w:eastAsia="lv-LV"/>
              </w:rPr>
              <w:t>Par zemes vienību Ventspils pilsētā piederību vai piekritību valstij un to nostiprināšanu zemesgrāmatā uz valsts vārda Finanšu ministrijas personā</w:t>
            </w:r>
            <w:r w:rsidRPr="006F336F">
              <w:rPr>
                <w:rFonts w:ascii="Times New Roman" w:eastAsia="Times New Roman" w:hAnsi="Times New Roman" w:cs="Times New Roman"/>
                <w:sz w:val="24"/>
                <w:szCs w:val="24"/>
              </w:rPr>
              <w:t xml:space="preserve">” (turpmāk – rīkojuma projekts), kas paredz rīkojuma projekta </w:t>
            </w:r>
            <w:r>
              <w:rPr>
                <w:rFonts w:ascii="Times New Roman" w:eastAsia="Times New Roman" w:hAnsi="Times New Roman" w:cs="Times New Roman"/>
                <w:sz w:val="24"/>
                <w:szCs w:val="24"/>
              </w:rPr>
              <w:t>pielikumā</w:t>
            </w:r>
            <w:r w:rsidRPr="006F336F">
              <w:rPr>
                <w:rFonts w:ascii="Times New Roman" w:eastAsia="Times New Roman" w:hAnsi="Times New Roman" w:cs="Times New Roman"/>
                <w:sz w:val="24"/>
                <w:szCs w:val="24"/>
              </w:rPr>
              <w:t xml:space="preserve"> minētās zemes vienības saglabāt valsts īpašumā un reģistrēt tās zemesgrāmatā uz valsts vārda Finanšu ministrijas personā</w:t>
            </w:r>
            <w:r w:rsidR="0075488F">
              <w:rPr>
                <w:rFonts w:ascii="Times New Roman" w:eastAsia="Times New Roman" w:hAnsi="Times New Roman" w:cs="Times New Roman"/>
                <w:sz w:val="24"/>
                <w:szCs w:val="24"/>
              </w:rPr>
              <w:t xml:space="preserve">, </w:t>
            </w:r>
            <w:r w:rsidR="00ED45E3" w:rsidRPr="001B6175">
              <w:rPr>
                <w:rFonts w:ascii="Times New Roman" w:eastAsia="Times New Roman" w:hAnsi="Times New Roman" w:cs="Times New Roman"/>
                <w:sz w:val="24"/>
                <w:szCs w:val="24"/>
              </w:rPr>
              <w:t>ņemot vērā to, ka zemes vienības piekrīt valstij saskaņā ar likuma “Par valsts un pašvaldību zemes īpašuma tiesībām un to nostiprināšanu zemesgrāmatās" 2.panta pirmo daļu vai 2.panta otrās daļas 2.punktu vai 2.panta trešās daļas 2. vai 3.punktu vai 4.</w:t>
            </w:r>
            <w:r w:rsidR="00ED45E3" w:rsidRPr="001B6175">
              <w:rPr>
                <w:rFonts w:ascii="Times New Roman" w:eastAsia="Times New Roman" w:hAnsi="Times New Roman" w:cs="Times New Roman"/>
                <w:sz w:val="24"/>
                <w:szCs w:val="24"/>
                <w:vertAlign w:val="superscript"/>
              </w:rPr>
              <w:t>1</w:t>
            </w:r>
            <w:r w:rsidR="00ED45E3" w:rsidRPr="001B6175">
              <w:rPr>
                <w:rFonts w:ascii="Times New Roman" w:eastAsia="Times New Roman" w:hAnsi="Times New Roman" w:cs="Times New Roman"/>
                <w:sz w:val="24"/>
                <w:szCs w:val="24"/>
              </w:rPr>
              <w:t>panta pirmās daļas 2. vai 3. vai 4.punktu.</w:t>
            </w:r>
          </w:p>
          <w:p w:rsidR="00963CE8" w:rsidRPr="001B6175" w:rsidRDefault="00963CE8" w:rsidP="00963CE8">
            <w:pPr>
              <w:autoSpaceDE w:val="0"/>
              <w:autoSpaceDN w:val="0"/>
              <w:adjustRightInd w:val="0"/>
              <w:spacing w:after="0" w:line="240" w:lineRule="auto"/>
              <w:ind w:firstLine="758"/>
              <w:contextualSpacing/>
              <w:jc w:val="both"/>
              <w:rPr>
                <w:rFonts w:ascii="Times New Roman" w:eastAsia="Times New Roman" w:hAnsi="Times New Roman" w:cs="Times New Roman"/>
                <w:bCs/>
                <w:sz w:val="24"/>
                <w:szCs w:val="24"/>
                <w:lang w:eastAsia="lv-LV"/>
              </w:rPr>
            </w:pPr>
            <w:r w:rsidRPr="001B6175">
              <w:rPr>
                <w:rFonts w:ascii="Times New Roman" w:eastAsia="Times New Roman" w:hAnsi="Times New Roman" w:cs="Times New Roman"/>
                <w:sz w:val="24"/>
                <w:szCs w:val="24"/>
              </w:rPr>
              <w:t xml:space="preserve">Saskaņā ar informāciju no </w:t>
            </w:r>
            <w:r w:rsidRPr="001B6175">
              <w:rPr>
                <w:rFonts w:ascii="Times New Roman" w:hAnsi="Times New Roman" w:cs="Times New Roman"/>
                <w:sz w:val="24"/>
                <w:szCs w:val="24"/>
              </w:rPr>
              <w:t>Nekustamā īpašuma valsts kadastra informācijas sistēmas, rīkojuma projekta pielikumā iekļauto zemes vienību statuss – rezerves zemes fonds.</w:t>
            </w:r>
          </w:p>
          <w:p w:rsidR="006F336F" w:rsidRPr="001B6175" w:rsidRDefault="00ED45E3" w:rsidP="00ED45E3">
            <w:pPr>
              <w:autoSpaceDE w:val="0"/>
              <w:autoSpaceDN w:val="0"/>
              <w:adjustRightInd w:val="0"/>
              <w:spacing w:after="0" w:line="240" w:lineRule="auto"/>
              <w:ind w:firstLine="758"/>
              <w:contextualSpacing/>
              <w:jc w:val="both"/>
              <w:rPr>
                <w:rFonts w:ascii="Times New Roman" w:eastAsia="Times New Roman" w:hAnsi="Times New Roman" w:cs="Times New Roman"/>
                <w:sz w:val="24"/>
                <w:szCs w:val="24"/>
              </w:rPr>
            </w:pPr>
            <w:r w:rsidRPr="001B6175">
              <w:rPr>
                <w:rFonts w:ascii="Times New Roman" w:eastAsia="Times New Roman" w:hAnsi="Times New Roman" w:cs="Times New Roman"/>
                <w:sz w:val="24"/>
                <w:szCs w:val="24"/>
              </w:rPr>
              <w:t xml:space="preserve">Uz rīkojuma projekta </w:t>
            </w:r>
            <w:r w:rsidR="00963CE8" w:rsidRPr="001B6175">
              <w:rPr>
                <w:rFonts w:ascii="Times New Roman" w:eastAsia="Times New Roman" w:hAnsi="Times New Roman" w:cs="Times New Roman"/>
                <w:sz w:val="24"/>
                <w:szCs w:val="24"/>
              </w:rPr>
              <w:t>pielikumā</w:t>
            </w:r>
            <w:r w:rsidRPr="001B6175">
              <w:rPr>
                <w:rFonts w:ascii="Times New Roman" w:eastAsia="Times New Roman" w:hAnsi="Times New Roman" w:cs="Times New Roman"/>
                <w:sz w:val="24"/>
                <w:szCs w:val="24"/>
              </w:rPr>
              <w:t xml:space="preserve"> iekļautajām zemes vienībām atrodas fizisko un juridisko personu īpašumā vai tiesiskajā valdījumā esošas būves. Ņemot vē</w:t>
            </w:r>
            <w:bookmarkStart w:id="0" w:name="_GoBack"/>
            <w:bookmarkEnd w:id="0"/>
            <w:r w:rsidRPr="001B6175">
              <w:rPr>
                <w:rFonts w:ascii="Times New Roman" w:eastAsia="Times New Roman" w:hAnsi="Times New Roman" w:cs="Times New Roman"/>
                <w:sz w:val="24"/>
                <w:szCs w:val="24"/>
              </w:rPr>
              <w:t>rā, ka zemes reforma konkrētajā administratīvajā teritorijā ir pabeigta, būvju īpašniekiem un tiesiskajiem valdītājiem šobrīd nav tiesību iegūt īpašumā zemes vienību saskaņā ar zemes reformas likumiem.</w:t>
            </w:r>
          </w:p>
          <w:p w:rsidR="006F336F" w:rsidRPr="006F336F" w:rsidRDefault="006F336F" w:rsidP="006F336F">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w:t>
            </w:r>
            <w:r w:rsidRPr="009A5278">
              <w:rPr>
                <w:rFonts w:ascii="Times New Roman" w:eastAsia="Times New Roman" w:hAnsi="Times New Roman" w:cs="Times New Roman"/>
                <w:sz w:val="24"/>
                <w:szCs w:val="24"/>
              </w:rPr>
              <w:lastRenderedPageBreak/>
              <w:t xml:space="preserve">atsavināšanas procesu un atsavina apbūvēto valsts zemi personām, kurām saskaņā ar Publiskas personas mantas atsavināšanas likuma 4.panta ceturto daļu ir tiesības ierosināt to atsavināšanu. </w:t>
            </w:r>
          </w:p>
          <w:p w:rsidR="006F336F" w:rsidRPr="00420EDA" w:rsidRDefault="006F336F" w:rsidP="00163386">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Ievērojot to, ka uz rīkojuma </w:t>
            </w:r>
            <w:r w:rsidR="00222549">
              <w:rPr>
                <w:rFonts w:ascii="Times New Roman" w:eastAsia="Times New Roman" w:hAnsi="Times New Roman" w:cs="Times New Roman"/>
                <w:sz w:val="24"/>
                <w:szCs w:val="24"/>
              </w:rPr>
              <w:t>pielikumā</w:t>
            </w:r>
            <w:r w:rsidRPr="009A5278">
              <w:rPr>
                <w:rFonts w:ascii="Times New Roman" w:eastAsia="Times New Roman" w:hAnsi="Times New Roman" w:cs="Times New Roman"/>
                <w:sz w:val="24"/>
                <w:szCs w:val="24"/>
              </w:rPr>
              <w:t xml:space="preserve"> minētajām valstij piekritīgajām zemes vienībām </w:t>
            </w:r>
            <w:r>
              <w:rPr>
                <w:rFonts w:ascii="Times New Roman" w:eastAsia="Times New Roman" w:hAnsi="Times New Roman" w:cs="Times New Roman"/>
                <w:sz w:val="24"/>
                <w:szCs w:val="24"/>
              </w:rPr>
              <w:t>Ventspils pilsētā</w:t>
            </w:r>
            <w:r w:rsidRPr="009A5278">
              <w:rPr>
                <w:rFonts w:ascii="Times New Roman" w:eastAsia="Times New Roman" w:hAnsi="Times New Roman" w:cs="Times New Roman"/>
                <w:sz w:val="24"/>
                <w:szCs w:val="24"/>
              </w:rPr>
              <w:t xml:space="preserve">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r>
              <w:rPr>
                <w:rFonts w:ascii="Times New Roman" w:eastAsia="Times New Roman" w:hAnsi="Times New Roman" w:cs="Times New Roman"/>
                <w:sz w:val="24"/>
                <w:szCs w:val="24"/>
              </w:rPr>
              <w:t xml:space="preserve"> </w:t>
            </w:r>
            <w:r w:rsidR="00963CE8">
              <w:rPr>
                <w:rFonts w:ascii="Times New Roman" w:eastAsia="Times New Roman" w:hAnsi="Times New Roman" w:cs="Times New Roman"/>
                <w:sz w:val="24"/>
                <w:szCs w:val="24"/>
              </w:rPr>
              <w:t>V</w:t>
            </w:r>
            <w:r w:rsidRPr="00420EDA">
              <w:rPr>
                <w:rFonts w:ascii="Times New Roman" w:eastAsia="Times New Roman" w:hAnsi="Times New Roman" w:cs="Times New Roman"/>
                <w:sz w:val="24"/>
                <w:szCs w:val="24"/>
                <w:lang w:eastAsia="lv-LV"/>
              </w:rPr>
              <w:t>alsts akciju sabiedrība „Valsts nekustamie īpašumi” attiecīgajos gadījumos</w:t>
            </w:r>
            <w:r w:rsidR="00163386" w:rsidRPr="00420EDA">
              <w:rPr>
                <w:rFonts w:ascii="Times New Roman" w:eastAsia="Times New Roman" w:hAnsi="Times New Roman" w:cs="Times New Roman"/>
                <w:sz w:val="24"/>
                <w:szCs w:val="24"/>
                <w:lang w:eastAsia="lv-LV"/>
              </w:rPr>
              <w:t>, kad bez privātpersonu īpašumā vai tiesiskajā valdījumā esošām būvēm uz zemes vienības atradīsies arī būves, kurām īpašuma tiesības nav reģistrētas,</w:t>
            </w:r>
            <w:r w:rsidRPr="00420EDA">
              <w:rPr>
                <w:rFonts w:ascii="Times New Roman" w:eastAsia="Times New Roman" w:hAnsi="Times New Roman" w:cs="Times New Roman"/>
                <w:sz w:val="24"/>
                <w:szCs w:val="24"/>
                <w:lang w:eastAsia="lv-LV"/>
              </w:rPr>
              <w:t xml:space="preserve"> veiks </w:t>
            </w:r>
            <w:r w:rsidR="00163386" w:rsidRPr="00420EDA">
              <w:rPr>
                <w:rFonts w:ascii="Times New Roman" w:eastAsia="Times New Roman" w:hAnsi="Times New Roman" w:cs="Times New Roman"/>
                <w:sz w:val="24"/>
                <w:szCs w:val="24"/>
                <w:lang w:eastAsia="lv-LV"/>
              </w:rPr>
              <w:t xml:space="preserve">šo būvju </w:t>
            </w:r>
            <w:r w:rsidRPr="00420EDA">
              <w:rPr>
                <w:rFonts w:ascii="Times New Roman" w:eastAsia="Times New Roman" w:hAnsi="Times New Roman" w:cs="Times New Roman"/>
                <w:sz w:val="24"/>
                <w:szCs w:val="24"/>
                <w:lang w:eastAsia="lv-LV"/>
              </w:rPr>
              <w:t>tiesiskā statusa noskaidrošanu, un, ja nepieciešams, sakārtošanu.</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6F336F" w:rsidRPr="00284A12" w:rsidRDefault="006F336F" w:rsidP="00C274B5">
            <w:pPr>
              <w:spacing w:after="0" w:line="240" w:lineRule="auto"/>
              <w:ind w:firstLine="663"/>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w:t>
            </w:r>
            <w:r w:rsidR="00963CE8">
              <w:rPr>
                <w:rFonts w:ascii="Times New Roman" w:eastAsia="Times New Roman" w:hAnsi="Times New Roman" w:cs="Times New Roman"/>
                <w:sz w:val="24"/>
                <w:szCs w:val="24"/>
              </w:rPr>
              <w:t xml:space="preserve">, </w:t>
            </w:r>
            <w:r w:rsidR="007966DE" w:rsidRPr="001B6175">
              <w:rPr>
                <w:rFonts w:ascii="Times New Roman" w:eastAsia="Times New Roman" w:hAnsi="Times New Roman" w:cs="Times New Roman"/>
                <w:sz w:val="24"/>
                <w:szCs w:val="24"/>
              </w:rPr>
              <w:t>iesniedzot likuma „Par valsts un pašvaldību zemes īpašuma tiesībām un to nostiprināšanu zemesgrāmatās” 13.panta pirmajā daļā noteiktos dokumentus.</w:t>
            </w:r>
            <w:r w:rsidRPr="009A5278">
              <w:rPr>
                <w:rFonts w:ascii="Times New Roman" w:eastAsia="Times New Roman" w:hAnsi="Times New Roman" w:cs="Times New Roman"/>
                <w:sz w:val="24"/>
                <w:szCs w:val="24"/>
              </w:rPr>
              <w:t xml:space="preserve"> Zemes vienību platības norādītas atbilstoši Nekustamā īpašuma valsts kadastra informācijas sistēmā norādītajai informācijai. Veicot zemes vienību kadastrālo uzmērīšanu, zemes vienību platības var tikt precizētas.</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6F336F" w:rsidRPr="00367858"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6F336F" w:rsidRPr="00367858" w:rsidRDefault="006F336F" w:rsidP="00C274B5">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6F336F" w:rsidRPr="00802975" w:rsidTr="00C274B5">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F336F" w:rsidRPr="00802975" w:rsidTr="00C274B5">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0F2C36">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w:t>
            </w:r>
            <w:r w:rsidR="000F2C36">
              <w:rPr>
                <w:rFonts w:ascii="Times New Roman" w:hAnsi="Times New Roman" w:cs="Times New Roman"/>
                <w:sz w:val="24"/>
                <w:szCs w:val="24"/>
                <w:lang w:eastAsia="lv-LV"/>
              </w:rPr>
              <w:t xml:space="preserve">ridiskas personas, kuru īpašumā </w:t>
            </w:r>
            <w:r w:rsidR="00C4363D">
              <w:rPr>
                <w:rFonts w:ascii="Times New Roman" w:hAnsi="Times New Roman" w:cs="Times New Roman"/>
                <w:sz w:val="24"/>
                <w:szCs w:val="24"/>
                <w:lang w:eastAsia="lv-LV"/>
              </w:rPr>
              <w:t>vai</w:t>
            </w:r>
            <w:r w:rsidRPr="00367858">
              <w:rPr>
                <w:rFonts w:ascii="Times New Roman" w:hAnsi="Times New Roman" w:cs="Times New Roman"/>
                <w:sz w:val="24"/>
                <w:szCs w:val="24"/>
                <w:lang w:eastAsia="lv-LV"/>
              </w:rPr>
              <w:t xml:space="preserve"> tiesiskajā valdījumā </w:t>
            </w:r>
            <w:r w:rsidR="000F2C36">
              <w:rPr>
                <w:rFonts w:ascii="Times New Roman" w:hAnsi="Times New Roman" w:cs="Times New Roman"/>
                <w:sz w:val="24"/>
                <w:szCs w:val="24"/>
                <w:lang w:eastAsia="lv-LV"/>
              </w:rPr>
              <w:t>esošās ēkas atrodas uz rīkojuma projekta</w:t>
            </w:r>
            <w:r w:rsidRPr="00367858">
              <w:rPr>
                <w:rFonts w:ascii="Times New Roman" w:hAnsi="Times New Roman" w:cs="Times New Roman"/>
                <w:sz w:val="24"/>
                <w:szCs w:val="24"/>
                <w:lang w:eastAsia="lv-LV"/>
              </w:rPr>
              <w:t xml:space="preserve"> </w:t>
            </w:r>
            <w:r w:rsidR="000F2C36">
              <w:rPr>
                <w:rFonts w:ascii="Times New Roman" w:hAnsi="Times New Roman" w:cs="Times New Roman"/>
                <w:sz w:val="24"/>
                <w:szCs w:val="24"/>
                <w:lang w:eastAsia="lv-LV"/>
              </w:rPr>
              <w:t>pielikumā</w:t>
            </w:r>
            <w:r w:rsidRPr="00367858">
              <w:rPr>
                <w:rFonts w:ascii="Times New Roman" w:hAnsi="Times New Roman" w:cs="Times New Roman"/>
                <w:sz w:val="24"/>
                <w:szCs w:val="24"/>
                <w:lang w:eastAsia="lv-LV"/>
              </w:rPr>
              <w:t xml:space="preserve"> minētajām zemes vienībām</w:t>
            </w:r>
            <w:r w:rsidR="000F2C36">
              <w:rPr>
                <w:rFonts w:ascii="Times New Roman" w:hAnsi="Times New Roman" w:cs="Times New Roman"/>
                <w:sz w:val="24"/>
                <w:szCs w:val="24"/>
                <w:lang w:eastAsia="lv-LV"/>
              </w:rPr>
              <w:t>,</w:t>
            </w:r>
            <w:r w:rsidRPr="00367858">
              <w:rPr>
                <w:rFonts w:ascii="Times New Roman" w:hAnsi="Times New Roman" w:cs="Times New Roman"/>
                <w:sz w:val="24"/>
                <w:szCs w:val="24"/>
                <w:lang w:eastAsia="lv-LV"/>
              </w:rPr>
              <w:t xml:space="preserve"> </w:t>
            </w:r>
            <w:r w:rsidRPr="001B6175">
              <w:rPr>
                <w:rFonts w:ascii="Times New Roman" w:hAnsi="Times New Roman" w:cs="Times New Roman"/>
                <w:sz w:val="24"/>
                <w:szCs w:val="24"/>
                <w:lang w:eastAsia="lv-LV"/>
              </w:rPr>
              <w:t xml:space="preserve">un ar kurām </w:t>
            </w:r>
            <w:r w:rsidR="00BA4DA2" w:rsidRPr="001B6175">
              <w:rPr>
                <w:rFonts w:ascii="Times New Roman" w:hAnsi="Times New Roman" w:cs="Times New Roman"/>
                <w:sz w:val="24"/>
                <w:szCs w:val="24"/>
                <w:lang w:eastAsia="lv-LV"/>
              </w:rPr>
              <w:t>pastāv piespiedu nomas attiecības</w:t>
            </w:r>
            <w:r w:rsidRPr="001B6175">
              <w:rPr>
                <w:rFonts w:ascii="Times New Roman" w:hAnsi="Times New Roman" w:cs="Times New Roman"/>
                <w:sz w:val="24"/>
                <w:szCs w:val="24"/>
                <w:lang w:eastAsia="lv-LV"/>
              </w:rPr>
              <w:t>,</w:t>
            </w:r>
            <w:r w:rsidRPr="00367858">
              <w:rPr>
                <w:rFonts w:ascii="Times New Roman" w:hAnsi="Times New Roman" w:cs="Times New Roman"/>
                <w:sz w:val="24"/>
                <w:szCs w:val="24"/>
                <w:lang w:eastAsia="lv-LV"/>
              </w:rPr>
              <w:t xml:space="preserve"> un kas var izmantot savas normatīvos aktos noteiktās tiesības un realizēt pirmpirkuma tiesības uz valsts zemes vienībām.</w:t>
            </w:r>
          </w:p>
        </w:tc>
      </w:tr>
      <w:tr w:rsidR="006F336F" w:rsidRPr="00802975" w:rsidTr="00C274B5">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p>
        </w:tc>
      </w:tr>
      <w:tr w:rsidR="006F336F" w:rsidRPr="00802975" w:rsidTr="00C274B5">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6F336F" w:rsidRPr="00802975" w:rsidTr="00C274B5">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0F2C36" w:rsidRPr="00284A12" w:rsidRDefault="000F2C36"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6F336F" w:rsidRPr="00284A12" w:rsidTr="00C274B5">
        <w:trPr>
          <w:trHeight w:val="336"/>
          <w:tblCellSpacing w:w="15" w:type="dxa"/>
          <w:jc w:val="center"/>
        </w:trPr>
        <w:tc>
          <w:tcPr>
            <w:tcW w:w="4967" w:type="pct"/>
            <w:gridSpan w:val="3"/>
          </w:tcPr>
          <w:p w:rsidR="006F336F" w:rsidRPr="00284A12" w:rsidRDefault="006F336F" w:rsidP="00C274B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6F336F" w:rsidRPr="00284A12" w:rsidTr="00C274B5">
        <w:trPr>
          <w:trHeight w:val="43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6F336F" w:rsidRPr="00284A12" w:rsidTr="00C274B5">
        <w:trPr>
          <w:trHeight w:val="264"/>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F336F" w:rsidRPr="00284A12" w:rsidTr="00C274B5">
        <w:trPr>
          <w:trHeight w:val="37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F336F" w:rsidRPr="00284A12" w:rsidTr="00C274B5">
        <w:trPr>
          <w:trHeight w:val="37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6F336F" w:rsidRPr="00284A12" w:rsidRDefault="006F336F" w:rsidP="00C274B5">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6F336F" w:rsidRPr="00284A12" w:rsidTr="00C274B5">
        <w:trPr>
          <w:tblCellSpacing w:w="15" w:type="dxa"/>
        </w:trPr>
        <w:tc>
          <w:tcPr>
            <w:tcW w:w="4967" w:type="pct"/>
            <w:gridSpan w:val="3"/>
            <w:tcBorders>
              <w:top w:val="outset" w:sz="6" w:space="0" w:color="000000"/>
              <w:bottom w:val="outset" w:sz="6" w:space="0" w:color="000000"/>
            </w:tcBorders>
          </w:tcPr>
          <w:p w:rsidR="006F336F" w:rsidRPr="00284A12" w:rsidRDefault="006F336F" w:rsidP="00C274B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6F336F" w:rsidRPr="00284A12"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846E7D">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6F336F" w:rsidRPr="00284A12"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6F336F" w:rsidRPr="00367858" w:rsidRDefault="006F336F" w:rsidP="00C274B5">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6F336F" w:rsidRPr="00284A12" w:rsidRDefault="006F336F" w:rsidP="006F336F">
      <w:pPr>
        <w:spacing w:after="0" w:line="240" w:lineRule="auto"/>
        <w:ind w:firstLine="720"/>
        <w:rPr>
          <w:rFonts w:ascii="Times New Roman" w:eastAsia="Times New Roman" w:hAnsi="Times New Roman" w:cs="Times New Roman"/>
          <w:sz w:val="24"/>
          <w:szCs w:val="24"/>
          <w:lang w:eastAsia="lv-LV"/>
        </w:rPr>
      </w:pPr>
    </w:p>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6F336F" w:rsidRPr="00284A12" w:rsidRDefault="006F336F" w:rsidP="006F336F">
      <w:pPr>
        <w:spacing w:after="0" w:line="240" w:lineRule="auto"/>
        <w:rPr>
          <w:rFonts w:ascii="Times New Roman" w:eastAsia="Times New Roman" w:hAnsi="Times New Roman" w:cs="Times New Roman"/>
          <w:sz w:val="18"/>
          <w:szCs w:val="18"/>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EF38F4" w:rsidRDefault="00EF38F4" w:rsidP="006F336F">
      <w:pPr>
        <w:spacing w:after="0" w:line="240" w:lineRule="auto"/>
        <w:rPr>
          <w:rFonts w:ascii="Times New Roman" w:eastAsia="Times New Roman" w:hAnsi="Times New Roman" w:cs="Times New Roman"/>
          <w:sz w:val="16"/>
          <w:szCs w:val="16"/>
          <w:lang w:eastAsia="lv-LV"/>
        </w:rPr>
      </w:pPr>
    </w:p>
    <w:p w:rsidR="00EF38F4" w:rsidRDefault="00EF38F4" w:rsidP="006F336F">
      <w:pPr>
        <w:spacing w:after="0" w:line="240" w:lineRule="auto"/>
        <w:rPr>
          <w:rFonts w:ascii="Times New Roman" w:eastAsia="Times New Roman" w:hAnsi="Times New Roman" w:cs="Times New Roman"/>
          <w:sz w:val="16"/>
          <w:szCs w:val="16"/>
          <w:lang w:eastAsia="lv-LV"/>
        </w:rPr>
      </w:pPr>
    </w:p>
    <w:p w:rsidR="00EF38F4" w:rsidRDefault="00EF38F4" w:rsidP="006F336F">
      <w:pPr>
        <w:spacing w:after="0" w:line="240" w:lineRule="auto"/>
        <w:rPr>
          <w:rFonts w:ascii="Times New Roman" w:eastAsia="Times New Roman" w:hAnsi="Times New Roman" w:cs="Times New Roman"/>
          <w:sz w:val="16"/>
          <w:szCs w:val="16"/>
          <w:lang w:eastAsia="lv-LV"/>
        </w:rPr>
      </w:pPr>
    </w:p>
    <w:p w:rsidR="00EF38F4" w:rsidRDefault="00EF38F4" w:rsidP="006F336F">
      <w:pPr>
        <w:spacing w:after="0" w:line="240" w:lineRule="auto"/>
        <w:rPr>
          <w:rFonts w:ascii="Times New Roman" w:eastAsia="Times New Roman" w:hAnsi="Times New Roman" w:cs="Times New Roman"/>
          <w:sz w:val="16"/>
          <w:szCs w:val="16"/>
          <w:lang w:eastAsia="lv-LV"/>
        </w:rPr>
      </w:pPr>
    </w:p>
    <w:p w:rsidR="00EF38F4" w:rsidRDefault="00EF38F4" w:rsidP="006F336F">
      <w:pPr>
        <w:spacing w:after="0" w:line="240" w:lineRule="auto"/>
        <w:rPr>
          <w:rFonts w:ascii="Times New Roman" w:eastAsia="Times New Roman" w:hAnsi="Times New Roman" w:cs="Times New Roman"/>
          <w:sz w:val="16"/>
          <w:szCs w:val="16"/>
          <w:lang w:eastAsia="lv-LV"/>
        </w:rPr>
      </w:pPr>
    </w:p>
    <w:p w:rsidR="00EF38F4" w:rsidRDefault="00EF38F4" w:rsidP="006F336F">
      <w:pPr>
        <w:spacing w:after="0" w:line="240" w:lineRule="auto"/>
        <w:rPr>
          <w:rFonts w:ascii="Times New Roman" w:eastAsia="Times New Roman" w:hAnsi="Times New Roman" w:cs="Times New Roman"/>
          <w:sz w:val="16"/>
          <w:szCs w:val="16"/>
          <w:lang w:eastAsia="lv-LV"/>
        </w:rPr>
      </w:pPr>
    </w:p>
    <w:p w:rsidR="00EF38F4" w:rsidRDefault="00EF38F4"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Pr="000F2C36" w:rsidRDefault="006F336F" w:rsidP="006F336F">
      <w:pPr>
        <w:spacing w:after="0" w:line="240" w:lineRule="auto"/>
        <w:rPr>
          <w:rFonts w:ascii="Times New Roman" w:eastAsia="Times New Roman" w:hAnsi="Times New Roman" w:cs="Times New Roman"/>
          <w:sz w:val="20"/>
          <w:szCs w:val="20"/>
          <w:lang w:eastAsia="lv-LV"/>
        </w:rPr>
      </w:pPr>
      <w:r w:rsidRPr="000F2C36">
        <w:rPr>
          <w:rFonts w:ascii="Times New Roman" w:eastAsia="Times New Roman" w:hAnsi="Times New Roman" w:cs="Times New Roman"/>
          <w:sz w:val="20"/>
          <w:szCs w:val="20"/>
          <w:lang w:eastAsia="lv-LV"/>
        </w:rPr>
        <w:t xml:space="preserve">Tupiņa </w:t>
      </w:r>
      <w:r w:rsidRPr="000F2C36">
        <w:rPr>
          <w:rFonts w:ascii="Times New Roman" w:eastAsia="Times New Roman" w:hAnsi="Times New Roman" w:cs="Times New Roman"/>
          <w:color w:val="000000"/>
          <w:sz w:val="20"/>
          <w:szCs w:val="20"/>
        </w:rPr>
        <w:t>67024679</w:t>
      </w:r>
    </w:p>
    <w:p w:rsidR="006F336F" w:rsidRPr="000F2C36" w:rsidRDefault="00AD2AD4" w:rsidP="006F336F">
      <w:pPr>
        <w:spacing w:after="0" w:line="240" w:lineRule="auto"/>
        <w:rPr>
          <w:rFonts w:ascii="Times New Roman" w:eastAsia="Times New Roman" w:hAnsi="Times New Roman" w:cs="Times New Roman"/>
          <w:sz w:val="20"/>
          <w:szCs w:val="20"/>
          <w:lang w:eastAsia="lv-LV"/>
        </w:rPr>
      </w:pPr>
      <w:hyperlink r:id="rId7" w:history="1">
        <w:r w:rsidR="006F336F" w:rsidRPr="000F2C36">
          <w:rPr>
            <w:rFonts w:ascii="Times New Roman" w:eastAsia="Times New Roman" w:hAnsi="Times New Roman" w:cs="Times New Roman"/>
            <w:color w:val="0000FF"/>
            <w:sz w:val="20"/>
            <w:szCs w:val="20"/>
            <w:u w:val="single"/>
            <w:lang w:eastAsia="lv-LV"/>
          </w:rPr>
          <w:t>arta.tupina@vni.lv</w:t>
        </w:r>
      </w:hyperlink>
    </w:p>
    <w:p w:rsidR="00A363B2" w:rsidRDefault="00AD2AD4"/>
    <w:sectPr w:rsidR="00A363B2" w:rsidSect="00BC46C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6F" w:rsidRDefault="006F336F" w:rsidP="006F336F">
      <w:pPr>
        <w:spacing w:after="0" w:line="240" w:lineRule="auto"/>
      </w:pPr>
      <w:r>
        <w:separator/>
      </w:r>
    </w:p>
  </w:endnote>
  <w:endnote w:type="continuationSeparator" w:id="0">
    <w:p w:rsidR="006F336F" w:rsidRDefault="006F336F" w:rsidP="006F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36F" w:rsidRPr="00F469B0" w:rsidRDefault="006F336F" w:rsidP="006F336F">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AD2AD4">
      <w:rPr>
        <w:rFonts w:ascii="Times New Roman" w:hAnsi="Times New Roman" w:cs="Times New Roman"/>
        <w:sz w:val="20"/>
        <w:szCs w:val="20"/>
      </w:rPr>
      <w:t>2210</w:t>
    </w:r>
    <w:r>
      <w:rPr>
        <w:rFonts w:ascii="Times New Roman" w:hAnsi="Times New Roman" w:cs="Times New Roman"/>
        <w:sz w:val="20"/>
        <w:szCs w:val="20"/>
      </w:rPr>
      <w:t>18_</w:t>
    </w:r>
    <w:r w:rsidR="00AD2AD4">
      <w:rPr>
        <w:rFonts w:ascii="Times New Roman" w:hAnsi="Times New Roman" w:cs="Times New Roman"/>
        <w:sz w:val="20"/>
        <w:szCs w:val="20"/>
      </w:rPr>
      <w:t>TA988</w:t>
    </w:r>
  </w:p>
  <w:p w:rsidR="00A6452C" w:rsidRPr="00F74AF1" w:rsidRDefault="00AD2AD4"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B0" w:rsidRPr="00F469B0" w:rsidRDefault="006F336F" w:rsidP="00F469B0">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AD2AD4">
      <w:rPr>
        <w:rFonts w:ascii="Times New Roman" w:hAnsi="Times New Roman" w:cs="Times New Roman"/>
        <w:sz w:val="20"/>
        <w:szCs w:val="20"/>
      </w:rPr>
      <w:t>2210</w:t>
    </w:r>
    <w:r>
      <w:rPr>
        <w:rFonts w:ascii="Times New Roman" w:hAnsi="Times New Roman" w:cs="Times New Roman"/>
        <w:sz w:val="20"/>
        <w:szCs w:val="20"/>
      </w:rPr>
      <w:t>18_</w:t>
    </w:r>
    <w:r w:rsidR="00AD2AD4">
      <w:rPr>
        <w:rFonts w:ascii="Times New Roman" w:hAnsi="Times New Roman" w:cs="Times New Roman"/>
        <w:sz w:val="20"/>
        <w:szCs w:val="20"/>
      </w:rPr>
      <w:t>TA988</w:t>
    </w:r>
  </w:p>
  <w:p w:rsidR="00A6452C" w:rsidRPr="0043547C" w:rsidRDefault="00AD2AD4"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6F" w:rsidRDefault="006F336F" w:rsidP="006F336F">
      <w:pPr>
        <w:spacing w:after="0" w:line="240" w:lineRule="auto"/>
      </w:pPr>
      <w:r>
        <w:separator/>
      </w:r>
    </w:p>
  </w:footnote>
  <w:footnote w:type="continuationSeparator" w:id="0">
    <w:p w:rsidR="006F336F" w:rsidRDefault="006F336F" w:rsidP="006F3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0F2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D2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0F2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42E">
      <w:rPr>
        <w:rStyle w:val="PageNumber"/>
        <w:noProof/>
      </w:rPr>
      <w:t>6</w:t>
    </w:r>
    <w:r>
      <w:rPr>
        <w:rStyle w:val="PageNumber"/>
      </w:rPr>
      <w:fldChar w:fldCharType="end"/>
    </w:r>
  </w:p>
  <w:p w:rsidR="00A6452C" w:rsidRDefault="00AD2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6F"/>
    <w:rsid w:val="000F2C36"/>
    <w:rsid w:val="00163386"/>
    <w:rsid w:val="001B6175"/>
    <w:rsid w:val="001D59FE"/>
    <w:rsid w:val="00222549"/>
    <w:rsid w:val="0029671F"/>
    <w:rsid w:val="00420EDA"/>
    <w:rsid w:val="004A00B6"/>
    <w:rsid w:val="005A14E2"/>
    <w:rsid w:val="006C1D47"/>
    <w:rsid w:val="006F336F"/>
    <w:rsid w:val="007020D8"/>
    <w:rsid w:val="0075488F"/>
    <w:rsid w:val="007966DE"/>
    <w:rsid w:val="007F5F82"/>
    <w:rsid w:val="00846E7D"/>
    <w:rsid w:val="008A25C7"/>
    <w:rsid w:val="00963CE8"/>
    <w:rsid w:val="009F7175"/>
    <w:rsid w:val="00AB742E"/>
    <w:rsid w:val="00AD2AD4"/>
    <w:rsid w:val="00BA4DA2"/>
    <w:rsid w:val="00BD39BD"/>
    <w:rsid w:val="00C4363D"/>
    <w:rsid w:val="00E8161D"/>
    <w:rsid w:val="00EC5328"/>
    <w:rsid w:val="00ED45E3"/>
    <w:rsid w:val="00EF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C81F3"/>
  <w15:chartTrackingRefBased/>
  <w15:docId w15:val="{8A9CFA93-175F-4A7C-A608-DB021C8A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36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36F"/>
    <w:rPr>
      <w:lang w:val="lv-LV"/>
    </w:rPr>
  </w:style>
  <w:style w:type="paragraph" w:styleId="Footer">
    <w:name w:val="footer"/>
    <w:basedOn w:val="Normal"/>
    <w:link w:val="FooterChar"/>
    <w:uiPriority w:val="99"/>
    <w:unhideWhenUsed/>
    <w:rsid w:val="006F33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36F"/>
    <w:rPr>
      <w:lang w:val="lv-LV"/>
    </w:rPr>
  </w:style>
  <w:style w:type="character" w:styleId="PageNumber">
    <w:name w:val="page number"/>
    <w:basedOn w:val="DefaultParagraphFont"/>
    <w:rsid w:val="006F336F"/>
  </w:style>
  <w:style w:type="paragraph" w:styleId="NoSpacing">
    <w:name w:val="No Spacing"/>
    <w:uiPriority w:val="1"/>
    <w:qFormat/>
    <w:rsid w:val="006F336F"/>
    <w:pPr>
      <w:spacing w:after="0" w:line="240" w:lineRule="auto"/>
    </w:pPr>
    <w:rPr>
      <w:lang w:val="lv-LV"/>
    </w:rPr>
  </w:style>
  <w:style w:type="paragraph" w:customStyle="1" w:styleId="liknoteik">
    <w:name w:val="lik_noteik"/>
    <w:basedOn w:val="Normal"/>
    <w:rsid w:val="006F33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6F33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7487">
      <w:bodyDiv w:val="1"/>
      <w:marLeft w:val="0"/>
      <w:marRight w:val="0"/>
      <w:marTop w:val="0"/>
      <w:marBottom w:val="0"/>
      <w:divBdr>
        <w:top w:val="none" w:sz="0" w:space="0" w:color="auto"/>
        <w:left w:val="none" w:sz="0" w:space="0" w:color="auto"/>
        <w:bottom w:val="none" w:sz="0" w:space="0" w:color="auto"/>
        <w:right w:val="none" w:sz="0" w:space="0" w:color="auto"/>
      </w:divBdr>
      <w:divsChild>
        <w:div w:id="89468628">
          <w:marLeft w:val="0"/>
          <w:marRight w:val="0"/>
          <w:marTop w:val="0"/>
          <w:marBottom w:val="0"/>
          <w:divBdr>
            <w:top w:val="none" w:sz="0" w:space="0" w:color="auto"/>
            <w:left w:val="none" w:sz="0" w:space="0" w:color="auto"/>
            <w:bottom w:val="none" w:sz="0" w:space="0" w:color="auto"/>
            <w:right w:val="none" w:sz="0" w:space="0" w:color="auto"/>
          </w:divBdr>
          <w:divsChild>
            <w:div w:id="1475444555">
              <w:marLeft w:val="0"/>
              <w:marRight w:val="0"/>
              <w:marTop w:val="0"/>
              <w:marBottom w:val="0"/>
              <w:divBdr>
                <w:top w:val="none" w:sz="0" w:space="0" w:color="auto"/>
                <w:left w:val="none" w:sz="0" w:space="0" w:color="auto"/>
                <w:bottom w:val="none" w:sz="0" w:space="0" w:color="auto"/>
                <w:right w:val="none" w:sz="0" w:space="0" w:color="auto"/>
              </w:divBdr>
              <w:divsChild>
                <w:div w:id="332538558">
                  <w:marLeft w:val="0"/>
                  <w:marRight w:val="0"/>
                  <w:marTop w:val="0"/>
                  <w:marBottom w:val="0"/>
                  <w:divBdr>
                    <w:top w:val="none" w:sz="0" w:space="0" w:color="auto"/>
                    <w:left w:val="none" w:sz="0" w:space="0" w:color="auto"/>
                    <w:bottom w:val="none" w:sz="0" w:space="0" w:color="auto"/>
                    <w:right w:val="none" w:sz="0" w:space="0" w:color="auto"/>
                  </w:divBdr>
                  <w:divsChild>
                    <w:div w:id="1493595775">
                      <w:marLeft w:val="0"/>
                      <w:marRight w:val="0"/>
                      <w:marTop w:val="0"/>
                      <w:marBottom w:val="0"/>
                      <w:divBdr>
                        <w:top w:val="none" w:sz="0" w:space="0" w:color="auto"/>
                        <w:left w:val="none" w:sz="0" w:space="0" w:color="auto"/>
                        <w:bottom w:val="none" w:sz="0" w:space="0" w:color="auto"/>
                        <w:right w:val="none" w:sz="0" w:space="0" w:color="auto"/>
                      </w:divBdr>
                      <w:divsChild>
                        <w:div w:id="1586188720">
                          <w:marLeft w:val="0"/>
                          <w:marRight w:val="0"/>
                          <w:marTop w:val="0"/>
                          <w:marBottom w:val="0"/>
                          <w:divBdr>
                            <w:top w:val="none" w:sz="0" w:space="0" w:color="auto"/>
                            <w:left w:val="none" w:sz="0" w:space="0" w:color="auto"/>
                            <w:bottom w:val="none" w:sz="0" w:space="0" w:color="auto"/>
                            <w:right w:val="none" w:sz="0" w:space="0" w:color="auto"/>
                          </w:divBdr>
                          <w:divsChild>
                            <w:div w:id="1871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ta.tupina@vni.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zd.gov.lv/lv/par-mums/darbibas-jomas/zemes-reforma/izvertesan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7554</Words>
  <Characters>4307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zemes vienību Ventspils pilsētā piederību vai piekritību valstij un to nostiprināšanu zemesgrāmatā uz valsts vārda Finanšu ministrijas personā</vt:lpstr>
    </vt:vector>
  </TitlesOfParts>
  <Company>VAS ''Valsts nekustamie īpašumi''</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Ventspils pilsētā piederību vai piekritību valstij un to nostiprināšanu zemesgrāmatā uz valsts vārda Finanšu ministrijas personā</dc:title>
  <dc:subject>Tiesību akta anotācija</dc:subject>
  <dc:creator>Arta Tupiņa</dc:creator>
  <cp:keywords/>
  <dc:description>arta.tupina@vni.lv , 67024679</dc:description>
  <cp:lastModifiedBy>Līga Rozenberga</cp:lastModifiedBy>
  <cp:revision>3</cp:revision>
  <cp:lastPrinted>2018-10-23T06:19:00Z</cp:lastPrinted>
  <dcterms:created xsi:type="dcterms:W3CDTF">2018-10-23T06:20:00Z</dcterms:created>
  <dcterms:modified xsi:type="dcterms:W3CDTF">2018-10-23T06:31:00Z</dcterms:modified>
</cp:coreProperties>
</file>