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575E" w14:textId="77777777" w:rsidR="0069425C" w:rsidRPr="009A3C54" w:rsidRDefault="0069425C" w:rsidP="0069425C">
      <w:pPr>
        <w:widowControl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14:paraId="1D641079" w14:textId="77777777" w:rsidR="00825043" w:rsidRPr="00E9178F" w:rsidRDefault="00825043" w:rsidP="0082504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9178F">
        <w:rPr>
          <w:rFonts w:ascii="Times New Roman" w:hAnsi="Times New Roman"/>
          <w:b/>
          <w:sz w:val="26"/>
          <w:szCs w:val="26"/>
        </w:rPr>
        <w:t>Latvijas Republikas tiesībsargam</w:t>
      </w:r>
    </w:p>
    <w:p w14:paraId="22D8A762" w14:textId="77777777" w:rsidR="00825043" w:rsidRPr="00E9178F" w:rsidRDefault="0014346E" w:rsidP="0082504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hyperlink r:id="rId8" w:history="1">
        <w:r w:rsidR="00825043" w:rsidRPr="00E9178F">
          <w:rPr>
            <w:rFonts w:ascii="Times New Roman" w:hAnsi="Times New Roman"/>
            <w:sz w:val="26"/>
            <w:szCs w:val="26"/>
            <w:u w:val="single"/>
          </w:rPr>
          <w:t>tiesibsargs@tiesibsargs.lv</w:t>
        </w:r>
      </w:hyperlink>
    </w:p>
    <w:p w14:paraId="6C9A21A2" w14:textId="77777777" w:rsidR="00825043" w:rsidRPr="00E9178F" w:rsidRDefault="00825043" w:rsidP="0082504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14:paraId="38257F4F" w14:textId="77777777" w:rsidR="009042FE" w:rsidRDefault="00825043" w:rsidP="0082504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9178F">
        <w:rPr>
          <w:rFonts w:ascii="Times New Roman" w:hAnsi="Times New Roman"/>
          <w:i/>
          <w:sz w:val="26"/>
          <w:szCs w:val="26"/>
        </w:rPr>
        <w:t xml:space="preserve">Par Ministru kabineta </w:t>
      </w:r>
      <w:r w:rsidR="009042FE" w:rsidRPr="009042FE">
        <w:rPr>
          <w:rFonts w:ascii="Times New Roman" w:hAnsi="Times New Roman"/>
          <w:i/>
          <w:sz w:val="26"/>
          <w:szCs w:val="26"/>
        </w:rPr>
        <w:t xml:space="preserve">2013.gada 26.novembra </w:t>
      </w:r>
    </w:p>
    <w:p w14:paraId="2288B619" w14:textId="404BD48A" w:rsidR="00825043" w:rsidRPr="00E9178F" w:rsidRDefault="00825043" w:rsidP="0082504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9178F">
        <w:rPr>
          <w:rFonts w:ascii="Times New Roman" w:hAnsi="Times New Roman"/>
          <w:i/>
          <w:sz w:val="26"/>
          <w:szCs w:val="26"/>
        </w:rPr>
        <w:t>noteikumu Nr.1354 pilnveidošanu</w:t>
      </w:r>
    </w:p>
    <w:p w14:paraId="71BE9E31" w14:textId="77777777" w:rsidR="00825043" w:rsidRPr="00E9178F" w:rsidRDefault="00825043" w:rsidP="008250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C7B816" w14:textId="6EF21C68" w:rsidR="00825043" w:rsidRPr="00E9178F" w:rsidRDefault="00825043" w:rsidP="009042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9178F">
        <w:rPr>
          <w:rFonts w:ascii="Times New Roman" w:hAnsi="Times New Roman"/>
          <w:sz w:val="26"/>
          <w:szCs w:val="26"/>
        </w:rPr>
        <w:t>Pamatojoties uz Ministru prezidenta 2018.gada 25.jūnija rezolūciju Nr.90/TA-1143, Finanšu ministrija sadarbībā ar Tieslietu ministriju (turpmāk</w:t>
      </w:r>
      <w:r w:rsidR="009042FE">
        <w:rPr>
          <w:rFonts w:ascii="Times New Roman" w:hAnsi="Times New Roman"/>
          <w:sz w:val="26"/>
          <w:szCs w:val="26"/>
        </w:rPr>
        <w:t> –</w:t>
      </w:r>
      <w:r w:rsidR="002D6AAD" w:rsidRPr="00E9178F">
        <w:rPr>
          <w:rFonts w:ascii="Times New Roman" w:hAnsi="Times New Roman"/>
          <w:sz w:val="26"/>
          <w:szCs w:val="26"/>
        </w:rPr>
        <w:t xml:space="preserve"> </w:t>
      </w:r>
      <w:r w:rsidRPr="00E9178F">
        <w:rPr>
          <w:rFonts w:ascii="Times New Roman" w:hAnsi="Times New Roman"/>
          <w:sz w:val="26"/>
          <w:szCs w:val="26"/>
        </w:rPr>
        <w:t>Ministrijas) ir izvērtējusi Latvijas Republikas tiesībsarga (turpmāk</w:t>
      </w:r>
      <w:r w:rsidR="009042FE">
        <w:rPr>
          <w:rFonts w:ascii="Times New Roman" w:hAnsi="Times New Roman"/>
          <w:sz w:val="26"/>
          <w:szCs w:val="26"/>
        </w:rPr>
        <w:t> –</w:t>
      </w:r>
      <w:r w:rsidR="002D6AAD" w:rsidRPr="00E9178F">
        <w:rPr>
          <w:rFonts w:ascii="Times New Roman" w:hAnsi="Times New Roman"/>
          <w:sz w:val="26"/>
          <w:szCs w:val="26"/>
        </w:rPr>
        <w:t xml:space="preserve"> </w:t>
      </w:r>
      <w:r w:rsidRPr="00E9178F">
        <w:rPr>
          <w:rFonts w:ascii="Times New Roman" w:hAnsi="Times New Roman"/>
          <w:sz w:val="26"/>
          <w:szCs w:val="26"/>
        </w:rPr>
        <w:t xml:space="preserve">Tiesībsargs) 2018.gada 12.jūnija vēstulē </w:t>
      </w:r>
      <w:r w:rsidR="009042FE">
        <w:rPr>
          <w:rFonts w:ascii="Times New Roman" w:hAnsi="Times New Roman"/>
          <w:sz w:val="26"/>
          <w:szCs w:val="26"/>
        </w:rPr>
        <w:br/>
      </w:r>
      <w:r w:rsidRPr="00E9178F">
        <w:rPr>
          <w:rFonts w:ascii="Times New Roman" w:hAnsi="Times New Roman"/>
          <w:sz w:val="26"/>
          <w:szCs w:val="26"/>
        </w:rPr>
        <w:t xml:space="preserve">Nr.6-8/179 minēto problemātiku un piedāvātos risinājumus, un </w:t>
      </w:r>
      <w:r w:rsidR="009042FE">
        <w:rPr>
          <w:rFonts w:ascii="Times New Roman" w:hAnsi="Times New Roman"/>
          <w:sz w:val="26"/>
          <w:szCs w:val="26"/>
        </w:rPr>
        <w:t>sniedz šādu informāciju</w:t>
      </w:r>
      <w:r w:rsidRPr="00E9178F">
        <w:rPr>
          <w:rFonts w:ascii="Times New Roman" w:hAnsi="Times New Roman"/>
          <w:sz w:val="26"/>
          <w:szCs w:val="26"/>
        </w:rPr>
        <w:t>.</w:t>
      </w:r>
    </w:p>
    <w:p w14:paraId="60EDE840" w14:textId="258427E0" w:rsidR="00825043" w:rsidRPr="00E9178F" w:rsidRDefault="00825043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9178F">
        <w:rPr>
          <w:rFonts w:ascii="Times New Roman" w:hAnsi="Times New Roman"/>
          <w:sz w:val="26"/>
          <w:szCs w:val="26"/>
        </w:rPr>
        <w:t xml:space="preserve">Tiesībsargs savā vēstulē norāda, ka gadījumos, kad 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maksātnespējas administrators atbilstoši Maksātnespējas likuma 111.panta septītajai daļai ar kreditoru piekrišanu ir </w:t>
      </w:r>
      <w:r w:rsidRPr="00E9178F">
        <w:rPr>
          <w:rFonts w:ascii="Times New Roman" w:hAnsi="Times New Roman"/>
          <w:sz w:val="26"/>
          <w:szCs w:val="26"/>
        </w:rPr>
        <w:t xml:space="preserve">izslēdzis jelkādu mantu no mantas pārdošanas plāna, 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tiesai atbilstoši Civilprocesa likuma </w:t>
      </w:r>
      <w:r w:rsidRPr="00E9178F">
        <w:rPr>
          <w:rFonts w:ascii="Times New Roman" w:hAnsi="Times New Roman"/>
          <w:bCs/>
          <w:sz w:val="26"/>
          <w:szCs w:val="26"/>
        </w:rPr>
        <w:t>363.</w:t>
      </w:r>
      <w:r w:rsidRPr="00E9178F">
        <w:rPr>
          <w:rFonts w:ascii="Times New Roman" w:hAnsi="Times New Roman"/>
          <w:bCs/>
          <w:sz w:val="26"/>
          <w:szCs w:val="26"/>
          <w:vertAlign w:val="superscript"/>
        </w:rPr>
        <w:t>20</w:t>
      </w:r>
      <w:r w:rsidR="009042FE">
        <w:rPr>
          <w:rFonts w:ascii="Times New Roman" w:hAnsi="Times New Roman"/>
          <w:b/>
          <w:bCs/>
          <w:sz w:val="26"/>
          <w:szCs w:val="26"/>
          <w:vertAlign w:val="superscript"/>
        </w:rPr>
        <w:t> 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pantam ir pienākums pārliecināties par administratora rīcību ar mantu. Atzīstot mantas izslēgšanu no mantas pārdošanas plāna par pamatotu, tiesa pēc būtības akceptē, ka </w:t>
      </w:r>
      <w:r w:rsidRPr="00E9178F">
        <w:rPr>
          <w:rFonts w:ascii="Times New Roman" w:hAnsi="Times New Roman"/>
          <w:sz w:val="26"/>
          <w:szCs w:val="26"/>
        </w:rPr>
        <w:t>tā paliks par bezsaimnieka mantu. Tiesībsarga ieskatā</w:t>
      </w:r>
      <w:bookmarkStart w:id="0" w:name="_GoBack"/>
      <w:bookmarkEnd w:id="0"/>
      <w:r w:rsidRPr="00E9178F">
        <w:rPr>
          <w:rFonts w:ascii="Times New Roman" w:hAnsi="Times New Roman"/>
          <w:sz w:val="26"/>
          <w:szCs w:val="26"/>
        </w:rPr>
        <w:t xml:space="preserve"> tiesa </w:t>
      </w:r>
      <w:r w:rsidRPr="00E9178F">
        <w:rPr>
          <w:rFonts w:ascii="Times New Roman" w:hAnsi="Times New Roman"/>
          <w:sz w:val="26"/>
          <w:szCs w:val="26"/>
          <w:lang w:bidi="lo-LA"/>
        </w:rPr>
        <w:t>pēc būtības apstiprina (konstatē juridisku faktu), ka attiecīgās juridiskās personas manta paliek bez īpašnieka, kas atbilstoši Civillikuma 417.pantam un Komerclikuma 317. panta trešajai daļai ir atzīstama par valstij piekritīgu.</w:t>
      </w:r>
    </w:p>
    <w:p w14:paraId="21F3CB4C" w14:textId="64730B41" w:rsidR="00825043" w:rsidRPr="00E9178F" w:rsidRDefault="00825043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bidi="lo-LA"/>
        </w:rPr>
      </w:pPr>
      <w:r w:rsidRPr="00E9178F">
        <w:rPr>
          <w:rFonts w:ascii="Times New Roman" w:hAnsi="Times New Roman"/>
          <w:sz w:val="26"/>
          <w:szCs w:val="26"/>
          <w:lang w:bidi="lo-LA"/>
        </w:rPr>
        <w:t>Ievērojot minēto, Tiesībsargs ierosina grozīt Ministru kabineta 2013.gada 26.novembra noteikumu Nr.1354</w:t>
      </w:r>
      <w:r w:rsidRPr="000F04E3">
        <w:rPr>
          <w:rFonts w:ascii="Times New Roman" w:hAnsi="Times New Roman"/>
          <w:sz w:val="26"/>
          <w:szCs w:val="26"/>
          <w:lang w:bidi="lo-LA"/>
        </w:rPr>
        <w:t xml:space="preserve"> </w:t>
      </w:r>
      <w:r w:rsidRPr="00E9178F">
        <w:rPr>
          <w:rFonts w:ascii="Times New Roman" w:hAnsi="Times New Roman"/>
          <w:sz w:val="26"/>
          <w:szCs w:val="26"/>
        </w:rPr>
        <w:t>“Kārtība, kādā veicama valstij piekritīgās mantas uzskaite, novērtēšana, realizācija, nodošana bez maksas, iznīcināšana un realizācijas ieņēmumu ieskaitīšana valsts budžetā” (turpmāk</w:t>
      </w:r>
      <w:r w:rsidR="009042FE">
        <w:rPr>
          <w:rFonts w:ascii="Times New Roman" w:hAnsi="Times New Roman"/>
          <w:sz w:val="26"/>
          <w:szCs w:val="26"/>
        </w:rPr>
        <w:t> –</w:t>
      </w:r>
      <w:r w:rsidR="002D6AAD" w:rsidRPr="00E9178F">
        <w:rPr>
          <w:rFonts w:ascii="Times New Roman" w:hAnsi="Times New Roman"/>
          <w:sz w:val="26"/>
          <w:szCs w:val="26"/>
        </w:rPr>
        <w:t xml:space="preserve"> </w:t>
      </w:r>
      <w:r w:rsidRPr="00E9178F">
        <w:rPr>
          <w:rFonts w:ascii="Times New Roman" w:hAnsi="Times New Roman"/>
          <w:sz w:val="26"/>
          <w:szCs w:val="26"/>
        </w:rPr>
        <w:t>M</w:t>
      </w:r>
      <w:r w:rsidR="009042FE">
        <w:rPr>
          <w:rFonts w:ascii="Times New Roman" w:hAnsi="Times New Roman"/>
          <w:sz w:val="26"/>
          <w:szCs w:val="26"/>
        </w:rPr>
        <w:t>inistru kabineta</w:t>
      </w:r>
      <w:r w:rsidRPr="00E9178F">
        <w:rPr>
          <w:rFonts w:ascii="Times New Roman" w:hAnsi="Times New Roman"/>
          <w:sz w:val="26"/>
          <w:szCs w:val="26"/>
        </w:rPr>
        <w:t xml:space="preserve"> </w:t>
      </w:r>
      <w:r w:rsidR="009042FE" w:rsidRPr="009042FE">
        <w:rPr>
          <w:rFonts w:ascii="Times New Roman" w:hAnsi="Times New Roman"/>
          <w:sz w:val="26"/>
          <w:szCs w:val="26"/>
        </w:rPr>
        <w:t xml:space="preserve">2013.gada 26.novembra </w:t>
      </w:r>
      <w:r w:rsidR="009042FE">
        <w:rPr>
          <w:rFonts w:ascii="Times New Roman" w:hAnsi="Times New Roman"/>
          <w:sz w:val="26"/>
          <w:szCs w:val="26"/>
        </w:rPr>
        <w:t>n</w:t>
      </w:r>
      <w:r w:rsidRPr="00E9178F">
        <w:rPr>
          <w:rFonts w:ascii="Times New Roman" w:hAnsi="Times New Roman"/>
          <w:sz w:val="26"/>
          <w:szCs w:val="26"/>
        </w:rPr>
        <w:t>oteikumi Nr.1354)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 2.punktu, papildinot to ar gadījumu, ka </w:t>
      </w:r>
      <w:r w:rsidRPr="00E9178F">
        <w:rPr>
          <w:rFonts w:ascii="Times New Roman" w:hAnsi="Times New Roman"/>
          <w:sz w:val="26"/>
          <w:szCs w:val="26"/>
        </w:rPr>
        <w:t xml:space="preserve">atbildīgā iestāde paziņo Valsts ieņēmumu dienestam 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par izpildāmu tiesas lēmumu par maksātspējas procesa izbeigšanu (sakarā ar izpildītu </w:t>
      </w:r>
      <w:r w:rsidRPr="00E9178F">
        <w:rPr>
          <w:rFonts w:ascii="Times New Roman" w:hAnsi="Times New Roman"/>
          <w:sz w:val="26"/>
          <w:szCs w:val="26"/>
        </w:rPr>
        <w:t>kreditoru prasījumu segšanas plānu),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 kura slēguma bilancē ir maksātnespējas procesa ietvaros nerealizēts īpašums.</w:t>
      </w:r>
    </w:p>
    <w:p w14:paraId="20CAF99A" w14:textId="75492C26" w:rsidR="00825043" w:rsidRPr="00E9178F" w:rsidRDefault="00825043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bidi="lo-LA"/>
        </w:rPr>
      </w:pPr>
      <w:proofErr w:type="spellStart"/>
      <w:r w:rsidRPr="00E9178F">
        <w:rPr>
          <w:rFonts w:ascii="Times New Roman" w:hAnsi="Times New Roman"/>
          <w:sz w:val="26"/>
          <w:szCs w:val="26"/>
          <w:lang w:bidi="lo-LA"/>
        </w:rPr>
        <w:t>Tiesībsarga</w:t>
      </w:r>
      <w:proofErr w:type="spellEnd"/>
      <w:r w:rsidRPr="00E9178F">
        <w:rPr>
          <w:rFonts w:ascii="Times New Roman" w:hAnsi="Times New Roman"/>
          <w:sz w:val="26"/>
          <w:szCs w:val="26"/>
          <w:lang w:bidi="lo-LA"/>
        </w:rPr>
        <w:t xml:space="preserve"> ieskatā šāda gadījuma paredzēšana M</w:t>
      </w:r>
      <w:r w:rsidR="009042FE">
        <w:rPr>
          <w:rFonts w:ascii="Times New Roman" w:hAnsi="Times New Roman"/>
          <w:sz w:val="26"/>
          <w:szCs w:val="26"/>
          <w:lang w:bidi="lo-LA"/>
        </w:rPr>
        <w:t>inistru kabineta 2013.gada 26.novembra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 </w:t>
      </w:r>
      <w:r w:rsidR="009042FE">
        <w:rPr>
          <w:rFonts w:ascii="Times New Roman" w:hAnsi="Times New Roman"/>
          <w:sz w:val="26"/>
          <w:szCs w:val="26"/>
          <w:lang w:bidi="lo-LA"/>
        </w:rPr>
        <w:t>n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oteikumu Nr.1354 2.punktā atbilst Latvijas tiesiskajai realitātei, proti, personu maksātnespējas procesi var tikt un tiek izbeigti ar mantu, kas paliek nerealizēta (valstij piekritīga), kā arī šāda gadījuma paredzēšana </w:t>
      </w:r>
      <w:r w:rsidR="002D6AAD" w:rsidRPr="00E9178F">
        <w:rPr>
          <w:rFonts w:ascii="Times New Roman" w:hAnsi="Times New Roman"/>
          <w:sz w:val="26"/>
          <w:szCs w:val="26"/>
          <w:lang w:bidi="lo-LA"/>
        </w:rPr>
        <w:t xml:space="preserve">normatīvajos aktos </w:t>
      </w:r>
      <w:r w:rsidRPr="00E9178F">
        <w:rPr>
          <w:rFonts w:ascii="Times New Roman" w:hAnsi="Times New Roman"/>
          <w:sz w:val="26"/>
          <w:szCs w:val="26"/>
          <w:lang w:bidi="lo-LA"/>
        </w:rPr>
        <w:t>izslēgtu atkārtotu vēršanos tiesā par jautājumu, ko tā paša līmeņa tiesa pēc būtības jau ir izvērtējusi, tādējādi mazin</w:t>
      </w:r>
      <w:r w:rsidR="002D6AAD" w:rsidRPr="00E9178F">
        <w:rPr>
          <w:rFonts w:ascii="Times New Roman" w:hAnsi="Times New Roman"/>
          <w:sz w:val="26"/>
          <w:szCs w:val="26"/>
          <w:lang w:bidi="lo-LA"/>
        </w:rPr>
        <w:t>ot</w:t>
      </w:r>
      <w:r w:rsidRPr="00E9178F">
        <w:rPr>
          <w:rFonts w:ascii="Times New Roman" w:hAnsi="Times New Roman"/>
          <w:sz w:val="26"/>
          <w:szCs w:val="26"/>
          <w:lang w:bidi="lo-LA"/>
        </w:rPr>
        <w:t xml:space="preserve"> tiesu noslogotību un </w:t>
      </w:r>
      <w:proofErr w:type="spellStart"/>
      <w:r w:rsidRPr="00E9178F">
        <w:rPr>
          <w:rFonts w:ascii="Times New Roman" w:hAnsi="Times New Roman"/>
          <w:sz w:val="26"/>
          <w:szCs w:val="26"/>
          <w:lang w:bidi="lo-LA"/>
        </w:rPr>
        <w:t>efektivizē</w:t>
      </w:r>
      <w:r w:rsidR="002D6AAD" w:rsidRPr="00E9178F">
        <w:rPr>
          <w:rFonts w:ascii="Times New Roman" w:hAnsi="Times New Roman"/>
          <w:sz w:val="26"/>
          <w:szCs w:val="26"/>
          <w:lang w:bidi="lo-LA"/>
        </w:rPr>
        <w:t>jot</w:t>
      </w:r>
      <w:proofErr w:type="spellEnd"/>
      <w:r w:rsidRPr="00E9178F">
        <w:rPr>
          <w:rFonts w:ascii="Times New Roman" w:hAnsi="Times New Roman"/>
          <w:sz w:val="26"/>
          <w:szCs w:val="26"/>
          <w:lang w:bidi="lo-LA"/>
        </w:rPr>
        <w:t xml:space="preserve"> attiecīgo procesu kopumā.</w:t>
      </w:r>
    </w:p>
    <w:p w14:paraId="25D65E5E" w14:textId="1C903D91" w:rsidR="00825043" w:rsidRPr="00D23E2B" w:rsidRDefault="00825043" w:rsidP="0082504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178F">
        <w:rPr>
          <w:rFonts w:ascii="Times New Roman" w:hAnsi="Times New Roman"/>
          <w:sz w:val="26"/>
          <w:szCs w:val="26"/>
        </w:rPr>
        <w:t>Ministrijas piekrīt Tiesībsarga vēstulē paustajam viedoklim, ka rīcība ar mantu, kas palikusi pēc sabiedrības izslēgšanas no komercreģistra, izbeidzoties maksātnespējas procesam,</w:t>
      </w:r>
      <w:r w:rsidR="000A5444">
        <w:rPr>
          <w:rFonts w:ascii="Times New Roman" w:hAnsi="Times New Roman"/>
          <w:sz w:val="26"/>
          <w:szCs w:val="26"/>
        </w:rPr>
        <w:t xml:space="preserve"> un ir reģistrē</w:t>
      </w:r>
      <w:r w:rsidR="00E63BA7">
        <w:rPr>
          <w:rFonts w:ascii="Times New Roman" w:hAnsi="Times New Roman"/>
          <w:sz w:val="26"/>
          <w:szCs w:val="26"/>
        </w:rPr>
        <w:t>t</w:t>
      </w:r>
      <w:r w:rsidR="000A5444">
        <w:rPr>
          <w:rFonts w:ascii="Times New Roman" w:hAnsi="Times New Roman"/>
          <w:sz w:val="26"/>
          <w:szCs w:val="26"/>
        </w:rPr>
        <w:t>a publiskos reģistros uz sabiedrības vārda,</w:t>
      </w:r>
      <w:r w:rsidRPr="00E9178F">
        <w:rPr>
          <w:rFonts w:ascii="Times New Roman" w:hAnsi="Times New Roman"/>
          <w:sz w:val="26"/>
          <w:szCs w:val="26"/>
        </w:rPr>
        <w:t xml:space="preserve"> </w:t>
      </w:r>
      <w:r w:rsidR="000A5444">
        <w:rPr>
          <w:rFonts w:ascii="Times New Roman" w:hAnsi="Times New Roman"/>
          <w:sz w:val="26"/>
          <w:szCs w:val="26"/>
        </w:rPr>
        <w:t>šobrīd</w:t>
      </w:r>
      <w:r w:rsidRPr="00E9178F">
        <w:rPr>
          <w:rFonts w:ascii="Times New Roman" w:hAnsi="Times New Roman"/>
          <w:sz w:val="26"/>
          <w:szCs w:val="26"/>
        </w:rPr>
        <w:t xml:space="preserve"> spēkā esošajos normatīvajos aktos nav tiesiski noregulēta, </w:t>
      </w:r>
      <w:r w:rsidR="009042FE">
        <w:rPr>
          <w:rFonts w:ascii="Times New Roman" w:hAnsi="Times New Roman"/>
          <w:sz w:val="26"/>
          <w:szCs w:val="26"/>
        </w:rPr>
        <w:t>tādējādi</w:t>
      </w:r>
      <w:r w:rsidRPr="00E9178F">
        <w:rPr>
          <w:rFonts w:ascii="Times New Roman" w:hAnsi="Times New Roman"/>
          <w:sz w:val="26"/>
          <w:szCs w:val="26"/>
        </w:rPr>
        <w:t xml:space="preserve"> pastāv zināma problēma par mantas piekritību un kompetenci rīkoties ar to. </w:t>
      </w:r>
      <w:r w:rsidRPr="00D23E2B">
        <w:rPr>
          <w:rFonts w:ascii="Times New Roman" w:hAnsi="Times New Roman"/>
          <w:sz w:val="26"/>
          <w:szCs w:val="26"/>
        </w:rPr>
        <w:t>Vienlaikus Ministrijas piekrīt Tiesībsarga norādītajiem apsvērumiem, ka nevajadzētu papildu</w:t>
      </w:r>
      <w:r w:rsidR="009042FE">
        <w:rPr>
          <w:rFonts w:ascii="Times New Roman" w:hAnsi="Times New Roman"/>
          <w:sz w:val="26"/>
          <w:szCs w:val="26"/>
        </w:rPr>
        <w:t>s</w:t>
      </w:r>
      <w:r w:rsidRPr="00D23E2B">
        <w:rPr>
          <w:rFonts w:ascii="Times New Roman" w:hAnsi="Times New Roman"/>
          <w:sz w:val="26"/>
          <w:szCs w:val="26"/>
        </w:rPr>
        <w:t xml:space="preserve"> noslogot tiesas</w:t>
      </w:r>
      <w:r w:rsidR="009042FE" w:rsidRPr="009042FE">
        <w:rPr>
          <w:rFonts w:ascii="Times New Roman" w:hAnsi="Times New Roman"/>
          <w:sz w:val="26"/>
          <w:szCs w:val="26"/>
        </w:rPr>
        <w:t xml:space="preserve"> </w:t>
      </w:r>
      <w:r w:rsidR="009042FE" w:rsidRPr="00D23E2B">
        <w:rPr>
          <w:rFonts w:ascii="Times New Roman" w:hAnsi="Times New Roman"/>
          <w:sz w:val="26"/>
          <w:szCs w:val="26"/>
        </w:rPr>
        <w:t>ar šādu jautājumu</w:t>
      </w:r>
      <w:r w:rsidRPr="00D23E2B">
        <w:rPr>
          <w:rFonts w:ascii="Times New Roman" w:hAnsi="Times New Roman"/>
          <w:sz w:val="26"/>
          <w:szCs w:val="26"/>
        </w:rPr>
        <w:t xml:space="preserve">, jo </w:t>
      </w:r>
      <w:r w:rsidR="00726809">
        <w:rPr>
          <w:rFonts w:ascii="Times New Roman" w:hAnsi="Times New Roman"/>
          <w:sz w:val="26"/>
          <w:szCs w:val="26"/>
        </w:rPr>
        <w:t>nekustamais īpašums</w:t>
      </w:r>
      <w:r w:rsidRPr="00D23E2B">
        <w:rPr>
          <w:rFonts w:ascii="Times New Roman" w:hAnsi="Times New Roman"/>
          <w:sz w:val="26"/>
          <w:szCs w:val="26"/>
        </w:rPr>
        <w:t xml:space="preserve">, kas </w:t>
      </w:r>
      <w:r w:rsidR="00726809">
        <w:rPr>
          <w:rFonts w:ascii="Times New Roman" w:hAnsi="Times New Roman"/>
          <w:sz w:val="26"/>
          <w:szCs w:val="26"/>
        </w:rPr>
        <w:t>palicis</w:t>
      </w:r>
      <w:r w:rsidR="00726809" w:rsidRPr="00D23E2B">
        <w:rPr>
          <w:rFonts w:ascii="Times New Roman" w:hAnsi="Times New Roman"/>
          <w:sz w:val="26"/>
          <w:szCs w:val="26"/>
        </w:rPr>
        <w:t xml:space="preserve"> </w:t>
      </w:r>
      <w:r w:rsidRPr="00A10C9E">
        <w:rPr>
          <w:rFonts w:ascii="Times New Roman" w:hAnsi="Times New Roman"/>
          <w:sz w:val="26"/>
          <w:szCs w:val="26"/>
        </w:rPr>
        <w:t xml:space="preserve">pēc </w:t>
      </w:r>
      <w:r w:rsidRPr="000F04E3">
        <w:rPr>
          <w:rFonts w:ascii="Times New Roman" w:hAnsi="Times New Roman"/>
          <w:sz w:val="26"/>
          <w:szCs w:val="26"/>
        </w:rPr>
        <w:t xml:space="preserve">juridiskās personas </w:t>
      </w:r>
      <w:r w:rsidR="00140C65" w:rsidRPr="000F04E3">
        <w:rPr>
          <w:rFonts w:ascii="Times New Roman" w:hAnsi="Times New Roman"/>
          <w:sz w:val="26"/>
          <w:szCs w:val="26"/>
        </w:rPr>
        <w:t xml:space="preserve">darbības </w:t>
      </w:r>
      <w:r w:rsidRPr="000F04E3">
        <w:rPr>
          <w:rFonts w:ascii="Times New Roman" w:hAnsi="Times New Roman"/>
          <w:sz w:val="26"/>
          <w:szCs w:val="26"/>
        </w:rPr>
        <w:t>izbeigšan</w:t>
      </w:r>
      <w:r w:rsidR="00140C65" w:rsidRPr="000F04E3">
        <w:rPr>
          <w:rFonts w:ascii="Times New Roman" w:hAnsi="Times New Roman"/>
          <w:sz w:val="26"/>
          <w:szCs w:val="26"/>
        </w:rPr>
        <w:t>a</w:t>
      </w:r>
      <w:r w:rsidRPr="000F04E3">
        <w:rPr>
          <w:rFonts w:ascii="Times New Roman" w:hAnsi="Times New Roman"/>
          <w:sz w:val="26"/>
          <w:szCs w:val="26"/>
        </w:rPr>
        <w:t>s, ja tai nav tiesību un saistību pārņēmēja (t.sk. maksātnespējas procesa rezultātā izbeig</w:t>
      </w:r>
      <w:r w:rsidR="00140C65" w:rsidRPr="000F04E3">
        <w:rPr>
          <w:rFonts w:ascii="Times New Roman" w:hAnsi="Times New Roman"/>
          <w:sz w:val="26"/>
          <w:szCs w:val="26"/>
        </w:rPr>
        <w:t>ta</w:t>
      </w:r>
      <w:r w:rsidRPr="000F04E3">
        <w:rPr>
          <w:rFonts w:ascii="Times New Roman" w:hAnsi="Times New Roman"/>
          <w:sz w:val="26"/>
          <w:szCs w:val="26"/>
        </w:rPr>
        <w:t xml:space="preserve"> kapitālsabiedrība</w:t>
      </w:r>
      <w:r w:rsidR="00140C65" w:rsidRPr="000F04E3">
        <w:rPr>
          <w:rFonts w:ascii="Times New Roman" w:hAnsi="Times New Roman"/>
          <w:sz w:val="26"/>
          <w:szCs w:val="26"/>
        </w:rPr>
        <w:t>s darbība</w:t>
      </w:r>
      <w:r w:rsidRPr="000F04E3">
        <w:rPr>
          <w:rFonts w:ascii="Times New Roman" w:hAnsi="Times New Roman"/>
          <w:sz w:val="26"/>
          <w:szCs w:val="26"/>
        </w:rPr>
        <w:t>), ir piekritīg</w:t>
      </w:r>
      <w:r w:rsidR="00726809">
        <w:rPr>
          <w:rFonts w:ascii="Times New Roman" w:hAnsi="Times New Roman"/>
          <w:sz w:val="26"/>
          <w:szCs w:val="26"/>
        </w:rPr>
        <w:t>s</w:t>
      </w:r>
      <w:r w:rsidRPr="000F04E3">
        <w:rPr>
          <w:rFonts w:ascii="Times New Roman" w:hAnsi="Times New Roman"/>
          <w:sz w:val="26"/>
          <w:szCs w:val="26"/>
        </w:rPr>
        <w:t xml:space="preserve"> valstij uz likuma pamata un </w:t>
      </w:r>
      <w:r w:rsidR="00A10C9E" w:rsidRPr="000F04E3">
        <w:rPr>
          <w:rFonts w:ascii="Times New Roman" w:hAnsi="Times New Roman"/>
          <w:sz w:val="26"/>
          <w:szCs w:val="26"/>
        </w:rPr>
        <w:t xml:space="preserve">papildus </w:t>
      </w:r>
      <w:r w:rsidRPr="000F04E3">
        <w:rPr>
          <w:rFonts w:ascii="Times New Roman" w:hAnsi="Times New Roman"/>
          <w:sz w:val="26"/>
          <w:szCs w:val="26"/>
        </w:rPr>
        <w:t>nav nepieciešams tiesas</w:t>
      </w:r>
      <w:r w:rsidRPr="00D23E2B">
        <w:rPr>
          <w:rFonts w:ascii="Times New Roman" w:hAnsi="Times New Roman"/>
          <w:sz w:val="26"/>
          <w:szCs w:val="26"/>
        </w:rPr>
        <w:t xml:space="preserve"> vai kādas citas iestādes </w:t>
      </w:r>
      <w:r w:rsidRPr="00D23E2B">
        <w:rPr>
          <w:rFonts w:ascii="Times New Roman" w:hAnsi="Times New Roman"/>
          <w:color w:val="000000" w:themeColor="text1"/>
          <w:sz w:val="26"/>
          <w:szCs w:val="26"/>
        </w:rPr>
        <w:t xml:space="preserve">apstiprinājums. </w:t>
      </w:r>
    </w:p>
    <w:p w14:paraId="2BEEF253" w14:textId="01F6C685" w:rsidR="00825043" w:rsidRPr="00E9178F" w:rsidRDefault="00A10C9E" w:rsidP="008250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Tādējādi</w:t>
      </w:r>
      <w:r w:rsidR="00825043" w:rsidRPr="00E9178F">
        <w:rPr>
          <w:rFonts w:ascii="Times New Roman" w:hAnsi="Times New Roman"/>
          <w:sz w:val="26"/>
          <w:szCs w:val="26"/>
        </w:rPr>
        <w:t xml:space="preserve">, apzinot konkrēto problēmu, tika </w:t>
      </w:r>
      <w:r w:rsidR="00CC136F">
        <w:rPr>
          <w:rFonts w:ascii="Times New Roman" w:hAnsi="Times New Roman"/>
          <w:sz w:val="26"/>
          <w:szCs w:val="26"/>
        </w:rPr>
        <w:t>izvērtēts</w:t>
      </w:r>
      <w:r w:rsidR="00825043" w:rsidRPr="00E9178F">
        <w:rPr>
          <w:rFonts w:ascii="Times New Roman" w:hAnsi="Times New Roman"/>
          <w:sz w:val="26"/>
          <w:szCs w:val="26"/>
        </w:rPr>
        <w:t xml:space="preserve"> Tiesībsarga vēstulē piedāvātais risinājums un, izstrādājot Ministru kabineta noteikumu projektu “Grozījumi Ministru kabineta 2013.gada 26.novembra noteikumos Nr.1354 “Kārtība, kādā veicama valstij piekritīgās mantas uzskaite, novērtēšana, realizācija, nodošana bez maksas, iznīcināšana </w:t>
      </w:r>
      <w:r w:rsidR="00825043" w:rsidRPr="00E9178F">
        <w:rPr>
          <w:rFonts w:ascii="Times New Roman" w:hAnsi="Times New Roman"/>
          <w:sz w:val="26"/>
          <w:szCs w:val="26"/>
        </w:rPr>
        <w:lastRenderedPageBreak/>
        <w:t>un realizācijas ieņēmumu ieskaitīšana valsts budžetā”” (</w:t>
      </w:r>
      <w:r w:rsidR="00BF0B6E" w:rsidRPr="00E9178F">
        <w:rPr>
          <w:rFonts w:ascii="Times New Roman" w:hAnsi="Times New Roman"/>
          <w:sz w:val="26"/>
          <w:szCs w:val="26"/>
        </w:rPr>
        <w:t>projekts iz</w:t>
      </w:r>
      <w:r w:rsidR="00E63BA7">
        <w:rPr>
          <w:rFonts w:ascii="Times New Roman" w:hAnsi="Times New Roman"/>
          <w:sz w:val="26"/>
          <w:szCs w:val="26"/>
        </w:rPr>
        <w:t>s</w:t>
      </w:r>
      <w:r w:rsidR="00BF0B6E" w:rsidRPr="00E9178F">
        <w:rPr>
          <w:rFonts w:ascii="Times New Roman" w:hAnsi="Times New Roman"/>
          <w:sz w:val="26"/>
          <w:szCs w:val="26"/>
        </w:rPr>
        <w:t xml:space="preserve">ludināts </w:t>
      </w:r>
      <w:r w:rsidR="00140C65" w:rsidRPr="00E9178F">
        <w:rPr>
          <w:rFonts w:ascii="Times New Roman" w:hAnsi="Times New Roman"/>
          <w:sz w:val="26"/>
          <w:szCs w:val="26"/>
        </w:rPr>
        <w:t xml:space="preserve">Valsts sekretāru </w:t>
      </w:r>
      <w:r w:rsidR="00BF0B6E" w:rsidRPr="00E9178F">
        <w:rPr>
          <w:rFonts w:ascii="Times New Roman" w:hAnsi="Times New Roman"/>
          <w:sz w:val="26"/>
          <w:szCs w:val="26"/>
        </w:rPr>
        <w:t xml:space="preserve">2018.gada 9.augusta sanāksmē, </w:t>
      </w:r>
      <w:r w:rsidR="00825043" w:rsidRPr="00E9178F">
        <w:rPr>
          <w:rFonts w:ascii="Times New Roman" w:hAnsi="Times New Roman"/>
          <w:sz w:val="26"/>
          <w:szCs w:val="26"/>
        </w:rPr>
        <w:t>prot</w:t>
      </w:r>
      <w:r w:rsidR="00BF0B6E" w:rsidRPr="00E9178F">
        <w:rPr>
          <w:rFonts w:ascii="Times New Roman" w:hAnsi="Times New Roman"/>
          <w:sz w:val="26"/>
          <w:szCs w:val="26"/>
        </w:rPr>
        <w:t xml:space="preserve">. </w:t>
      </w:r>
      <w:r w:rsidR="00825043" w:rsidRPr="00E9178F">
        <w:rPr>
          <w:rFonts w:ascii="Times New Roman" w:hAnsi="Times New Roman"/>
          <w:sz w:val="26"/>
          <w:szCs w:val="26"/>
        </w:rPr>
        <w:t>Nr.31 10.§</w:t>
      </w:r>
      <w:r w:rsidR="00BF0B6E" w:rsidRPr="00E9178F">
        <w:rPr>
          <w:rFonts w:ascii="Times New Roman" w:hAnsi="Times New Roman"/>
          <w:sz w:val="26"/>
          <w:szCs w:val="26"/>
        </w:rPr>
        <w:t xml:space="preserve">, </w:t>
      </w:r>
      <w:r w:rsidR="00825043" w:rsidRPr="00E9178F">
        <w:rPr>
          <w:rFonts w:ascii="Times New Roman" w:hAnsi="Times New Roman"/>
          <w:sz w:val="26"/>
          <w:szCs w:val="26"/>
        </w:rPr>
        <w:t>VSS-785), tika veikti precizējumi M</w:t>
      </w:r>
      <w:r w:rsidR="00140C65">
        <w:rPr>
          <w:rFonts w:ascii="Times New Roman" w:hAnsi="Times New Roman"/>
          <w:sz w:val="26"/>
          <w:szCs w:val="26"/>
        </w:rPr>
        <w:t>inistru kabineta</w:t>
      </w:r>
      <w:r w:rsidR="00825043" w:rsidRPr="00E9178F">
        <w:rPr>
          <w:rFonts w:ascii="Times New Roman" w:hAnsi="Times New Roman"/>
          <w:sz w:val="26"/>
          <w:szCs w:val="26"/>
        </w:rPr>
        <w:t xml:space="preserve"> </w:t>
      </w:r>
      <w:r w:rsidR="00140C65" w:rsidRPr="00140C65">
        <w:rPr>
          <w:rFonts w:ascii="Times New Roman" w:hAnsi="Times New Roman"/>
          <w:sz w:val="26"/>
          <w:szCs w:val="26"/>
        </w:rPr>
        <w:t xml:space="preserve">2013.gada 26.novembra </w:t>
      </w:r>
      <w:r w:rsidR="00140C65">
        <w:rPr>
          <w:rFonts w:ascii="Times New Roman" w:hAnsi="Times New Roman"/>
          <w:sz w:val="26"/>
          <w:szCs w:val="26"/>
        </w:rPr>
        <w:t>n</w:t>
      </w:r>
      <w:r w:rsidR="00825043" w:rsidRPr="00E9178F">
        <w:rPr>
          <w:rFonts w:ascii="Times New Roman" w:hAnsi="Times New Roman"/>
          <w:sz w:val="26"/>
          <w:szCs w:val="26"/>
        </w:rPr>
        <w:t xml:space="preserve">oteikumu Nr.1354 2.punktā, vārdu “spriedums” aizstājot ar vārdu “nolēmums”. </w:t>
      </w:r>
    </w:p>
    <w:p w14:paraId="6EAE4C5C" w14:textId="765EFD5A" w:rsidR="00B367C5" w:rsidRDefault="00825043" w:rsidP="00D23E2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>Vienlai</w:t>
      </w:r>
      <w:r w:rsidR="00140C65">
        <w:rPr>
          <w:rFonts w:ascii="Times New Roman" w:eastAsia="Times New Roman" w:hAnsi="Times New Roman"/>
          <w:sz w:val="26"/>
          <w:szCs w:val="26"/>
          <w:lang w:eastAsia="lv-LV"/>
        </w:rPr>
        <w:t>kus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 Ministrijas vērš</w:t>
      </w:r>
      <w:r w:rsidR="00D23E2B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>uzmanību, ka ir apzinātas arī citas problēmsituācijas par rīcību ar mantu,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kas palikusi pēc </w:t>
      </w:r>
      <w:r w:rsidR="00B367C5" w:rsidRPr="000F04E3">
        <w:rPr>
          <w:rFonts w:ascii="Times New Roman" w:eastAsia="Times New Roman" w:hAnsi="Times New Roman"/>
          <w:sz w:val="26"/>
          <w:szCs w:val="26"/>
          <w:lang w:eastAsia="lv-LV"/>
        </w:rPr>
        <w:t xml:space="preserve">juridiskas </w:t>
      </w:r>
      <w:r w:rsidRPr="000F04E3">
        <w:rPr>
          <w:rFonts w:ascii="Times New Roman" w:eastAsia="Times New Roman" w:hAnsi="Times New Roman"/>
          <w:sz w:val="26"/>
          <w:szCs w:val="26"/>
          <w:lang w:eastAsia="lv-LV"/>
        </w:rPr>
        <w:t xml:space="preserve">personas </w:t>
      </w:r>
      <w:r w:rsidR="00140C65" w:rsidRPr="000F04E3">
        <w:rPr>
          <w:rFonts w:ascii="Times New Roman" w:eastAsia="Times New Roman" w:hAnsi="Times New Roman"/>
          <w:sz w:val="26"/>
          <w:szCs w:val="26"/>
          <w:lang w:eastAsia="lv-LV"/>
        </w:rPr>
        <w:t xml:space="preserve">darbības </w:t>
      </w:r>
      <w:r w:rsidRPr="000F04E3">
        <w:rPr>
          <w:rFonts w:ascii="Times New Roman" w:eastAsia="Times New Roman" w:hAnsi="Times New Roman"/>
          <w:sz w:val="26"/>
          <w:szCs w:val="26"/>
          <w:lang w:eastAsia="lv-LV"/>
        </w:rPr>
        <w:t>izbeigšan</w:t>
      </w:r>
      <w:r w:rsidR="000F04E3" w:rsidRPr="000F04E3">
        <w:rPr>
          <w:rFonts w:ascii="Times New Roman" w:eastAsia="Times New Roman" w:hAnsi="Times New Roman"/>
          <w:sz w:val="26"/>
          <w:szCs w:val="26"/>
          <w:lang w:eastAsia="lv-LV"/>
        </w:rPr>
        <w:t>ā</w:t>
      </w:r>
      <w:r w:rsidRPr="000F04E3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="00140C65">
        <w:rPr>
          <w:rFonts w:ascii="Times New Roman" w:eastAsia="Times New Roman" w:hAnsi="Times New Roman"/>
          <w:sz w:val="26"/>
          <w:szCs w:val="26"/>
          <w:lang w:eastAsia="lv-LV"/>
        </w:rPr>
        <w:t>,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 un 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>t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am ir nepieciešams 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 xml:space="preserve">daudz 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>plašāks izvērtējums tiesiskā regulējuma precizēšanai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140C65">
        <w:rPr>
          <w:rFonts w:ascii="Times New Roman" w:eastAsia="Times New Roman" w:hAnsi="Times New Roman"/>
          <w:sz w:val="26"/>
          <w:szCs w:val="26"/>
          <w:lang w:eastAsia="lv-LV"/>
        </w:rPr>
        <w:t>Ņemot vērā minēto,</w:t>
      </w:r>
      <w:r w:rsidR="008E778E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8E778E" w:rsidRPr="008E778E">
        <w:rPr>
          <w:rFonts w:ascii="Times New Roman" w:eastAsia="Times New Roman" w:hAnsi="Times New Roman"/>
          <w:sz w:val="26"/>
          <w:szCs w:val="26"/>
          <w:lang w:eastAsia="lv-LV"/>
        </w:rPr>
        <w:t>tiks veikta rūpīga analīze, lai šos jautājumus sakārtot</w:t>
      </w:r>
      <w:r w:rsidR="008E778E">
        <w:rPr>
          <w:rFonts w:ascii="Times New Roman" w:eastAsia="Times New Roman" w:hAnsi="Times New Roman"/>
          <w:sz w:val="26"/>
          <w:szCs w:val="26"/>
          <w:lang w:eastAsia="lv-LV"/>
        </w:rPr>
        <w:t>u</w:t>
      </w:r>
      <w:r w:rsidR="008E778E" w:rsidRPr="008E778E">
        <w:rPr>
          <w:rFonts w:ascii="Times New Roman" w:eastAsia="Times New Roman" w:hAnsi="Times New Roman"/>
          <w:sz w:val="26"/>
          <w:szCs w:val="26"/>
          <w:lang w:eastAsia="lv-LV"/>
        </w:rPr>
        <w:t xml:space="preserve"> kompleksi attiecībā uz visu bezmantinieka un bezīpašnieka mantu.</w:t>
      </w:r>
      <w:r w:rsidR="008E778E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</w:p>
    <w:p w14:paraId="54A83106" w14:textId="5499828B" w:rsidR="00825043" w:rsidRPr="00E9178F" w:rsidRDefault="00825043" w:rsidP="008E778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>Tādējādi informē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>ja</w:t>
      </w:r>
      <w:r w:rsidR="00CC136F">
        <w:rPr>
          <w:rFonts w:ascii="Times New Roman" w:eastAsia="Times New Roman" w:hAnsi="Times New Roman"/>
          <w:sz w:val="26"/>
          <w:szCs w:val="26"/>
          <w:lang w:eastAsia="lv-LV"/>
        </w:rPr>
        <w:t>m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>, ka</w:t>
      </w:r>
      <w:r w:rsidR="008E778E">
        <w:rPr>
          <w:rFonts w:ascii="Times New Roman" w:eastAsia="Times New Roman" w:hAnsi="Times New Roman"/>
          <w:sz w:val="26"/>
          <w:szCs w:val="26"/>
          <w:lang w:eastAsia="lv-LV"/>
        </w:rPr>
        <w:t xml:space="preserve">, ņemot vērā 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>Tiesībsarga ierosinājum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>us,</w:t>
      </w:r>
      <w:r w:rsidR="008E778E">
        <w:rPr>
          <w:rFonts w:ascii="Times New Roman" w:eastAsia="Times New Roman" w:hAnsi="Times New Roman"/>
          <w:sz w:val="26"/>
          <w:szCs w:val="26"/>
          <w:lang w:eastAsia="lv-LV"/>
        </w:rPr>
        <w:t xml:space="preserve"> jaut</w:t>
      </w:r>
      <w:r w:rsidR="00B367C5">
        <w:rPr>
          <w:rFonts w:ascii="Times New Roman" w:eastAsia="Times New Roman" w:hAnsi="Times New Roman"/>
          <w:sz w:val="26"/>
          <w:szCs w:val="26"/>
          <w:lang w:eastAsia="lv-LV"/>
        </w:rPr>
        <w:t>ā</w:t>
      </w:r>
      <w:r w:rsidR="008E778E">
        <w:rPr>
          <w:rFonts w:ascii="Times New Roman" w:eastAsia="Times New Roman" w:hAnsi="Times New Roman"/>
          <w:sz w:val="26"/>
          <w:szCs w:val="26"/>
          <w:lang w:eastAsia="lv-LV"/>
        </w:rPr>
        <w:t xml:space="preserve">jums 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 xml:space="preserve">problēmsituācijas </w:t>
      </w:r>
      <w:r w:rsidR="008E778E">
        <w:rPr>
          <w:rFonts w:ascii="Times New Roman" w:eastAsia="Times New Roman" w:hAnsi="Times New Roman"/>
          <w:sz w:val="26"/>
          <w:szCs w:val="26"/>
          <w:lang w:eastAsia="lv-LV"/>
        </w:rPr>
        <w:t xml:space="preserve">sakārtošanai </w:t>
      </w:r>
      <w:r w:rsidR="00B367C5">
        <w:rPr>
          <w:rFonts w:ascii="Times New Roman" w:eastAsia="Times New Roman" w:hAnsi="Times New Roman"/>
          <w:sz w:val="26"/>
          <w:szCs w:val="26"/>
          <w:lang w:eastAsia="lv-LV"/>
        </w:rPr>
        <w:t>tiks risināts kompleksi,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140C65">
        <w:rPr>
          <w:rFonts w:ascii="Times New Roman" w:eastAsia="Times New Roman" w:hAnsi="Times New Roman"/>
          <w:sz w:val="26"/>
          <w:szCs w:val="26"/>
          <w:lang w:eastAsia="lv-LV"/>
        </w:rPr>
        <w:t>tādēļ</w:t>
      </w:r>
      <w:r w:rsidR="00B367C5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B367C5" w:rsidRPr="00B367C5">
        <w:rPr>
          <w:rFonts w:ascii="Times New Roman" w:eastAsia="Times New Roman" w:hAnsi="Times New Roman"/>
          <w:sz w:val="26"/>
          <w:szCs w:val="26"/>
          <w:lang w:eastAsia="lv-LV"/>
        </w:rPr>
        <w:t xml:space="preserve">Tiesībsarga 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 xml:space="preserve">vēstulē </w:t>
      </w:r>
      <w:r w:rsidR="00B367C5" w:rsidRPr="00B367C5">
        <w:rPr>
          <w:rFonts w:ascii="Times New Roman" w:eastAsia="Times New Roman" w:hAnsi="Times New Roman"/>
          <w:sz w:val="26"/>
          <w:szCs w:val="26"/>
          <w:lang w:eastAsia="lv-LV"/>
        </w:rPr>
        <w:t xml:space="preserve">norādītajā termiņā 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>sa</w:t>
      </w:r>
      <w:r w:rsidR="00B367C5" w:rsidRPr="00B367C5">
        <w:rPr>
          <w:rFonts w:ascii="Times New Roman" w:eastAsia="Times New Roman" w:hAnsi="Times New Roman"/>
          <w:sz w:val="26"/>
          <w:szCs w:val="26"/>
          <w:lang w:eastAsia="lv-LV"/>
        </w:rPr>
        <w:t>sniegt konkrētu rezultātu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B367C5">
        <w:rPr>
          <w:rFonts w:ascii="Times New Roman" w:eastAsia="Times New Roman" w:hAnsi="Times New Roman"/>
          <w:sz w:val="26"/>
          <w:szCs w:val="26"/>
          <w:lang w:eastAsia="lv-LV"/>
        </w:rPr>
        <w:t xml:space="preserve">nav iespējams. Savukārt 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>M</w:t>
      </w:r>
      <w:r w:rsidR="00140C65">
        <w:rPr>
          <w:rFonts w:ascii="Times New Roman" w:eastAsia="Times New Roman" w:hAnsi="Times New Roman"/>
          <w:sz w:val="26"/>
          <w:szCs w:val="26"/>
          <w:lang w:eastAsia="lv-LV"/>
        </w:rPr>
        <w:t xml:space="preserve">inistru kabineta </w:t>
      </w:r>
      <w:r w:rsidR="00140C65" w:rsidRPr="00140C65">
        <w:rPr>
          <w:rFonts w:ascii="Times New Roman" w:eastAsia="Times New Roman" w:hAnsi="Times New Roman"/>
          <w:sz w:val="26"/>
          <w:szCs w:val="26"/>
          <w:lang w:eastAsia="lv-LV"/>
        </w:rPr>
        <w:t>2013.gada 26.novembra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 noteikumu Nr.1354 grozījum</w:t>
      </w:r>
      <w:r w:rsidR="000A5444">
        <w:rPr>
          <w:rFonts w:ascii="Times New Roman" w:eastAsia="Times New Roman" w:hAnsi="Times New Roman"/>
          <w:sz w:val="26"/>
          <w:szCs w:val="26"/>
          <w:lang w:eastAsia="lv-LV"/>
        </w:rPr>
        <w:t>i ir tikai viens no pasākumiem problēmsituācijas risināšanā, un</w:t>
      </w:r>
      <w:r w:rsidR="00140C65">
        <w:rPr>
          <w:rFonts w:ascii="Times New Roman" w:eastAsia="Times New Roman" w:hAnsi="Times New Roman"/>
          <w:sz w:val="26"/>
          <w:szCs w:val="26"/>
          <w:lang w:eastAsia="lv-LV"/>
        </w:rPr>
        <w:t>,</w:t>
      </w:r>
      <w:r w:rsidR="000A5444">
        <w:rPr>
          <w:rFonts w:ascii="Times New Roman" w:eastAsia="Times New Roman" w:hAnsi="Times New Roman"/>
          <w:sz w:val="26"/>
          <w:szCs w:val="26"/>
          <w:lang w:eastAsia="lv-LV"/>
        </w:rPr>
        <w:t xml:space="preserve"> tā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 xml:space="preserve">kā 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projekts vēl atrodas 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>saskaņošanas procesā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, </w:t>
      </w:r>
      <w:r w:rsidR="00E63BA7">
        <w:rPr>
          <w:rFonts w:ascii="Times New Roman" w:eastAsia="Times New Roman" w:hAnsi="Times New Roman"/>
          <w:sz w:val="26"/>
          <w:szCs w:val="26"/>
          <w:lang w:eastAsia="lv-LV"/>
        </w:rPr>
        <w:t xml:space="preserve">tajā </w:t>
      </w:r>
      <w:r w:rsidR="00BF0B6E"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piedāvātā redakcija vēl </w:t>
      </w:r>
      <w:r w:rsidRPr="00E9178F">
        <w:rPr>
          <w:rFonts w:ascii="Times New Roman" w:eastAsia="Times New Roman" w:hAnsi="Times New Roman"/>
          <w:sz w:val="26"/>
          <w:szCs w:val="26"/>
          <w:lang w:eastAsia="lv-LV"/>
        </w:rPr>
        <w:t xml:space="preserve">var tikt precizēta. </w:t>
      </w:r>
    </w:p>
    <w:p w14:paraId="68AC4C25" w14:textId="77777777" w:rsidR="0069425C" w:rsidRPr="00E9178F" w:rsidRDefault="0069425C" w:rsidP="006942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EDA1DD" w14:textId="77777777" w:rsidR="001306E5" w:rsidRPr="00E9178F" w:rsidRDefault="001306E5" w:rsidP="00793C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26781F1" w14:textId="6BDEBD81" w:rsidR="00A277D0" w:rsidRPr="00E9178F" w:rsidRDefault="00A277D0" w:rsidP="00793C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9178F">
        <w:rPr>
          <w:rFonts w:ascii="Times New Roman" w:eastAsia="Times New Roman" w:hAnsi="Times New Roman"/>
          <w:sz w:val="26"/>
          <w:szCs w:val="26"/>
        </w:rPr>
        <w:t>Ministru prezidents</w:t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="00BF0B6E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>M.Kučinskis</w:t>
      </w:r>
    </w:p>
    <w:p w14:paraId="57F0A82E" w14:textId="77777777" w:rsidR="00793C66" w:rsidRPr="00E9178F" w:rsidRDefault="00793C66" w:rsidP="0069425C">
      <w:pPr>
        <w:widowControl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4670DE4E" w14:textId="71B9BCF1" w:rsidR="0069425C" w:rsidRPr="00E9178F" w:rsidRDefault="0069425C" w:rsidP="0069425C">
      <w:pPr>
        <w:widowControl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E9178F">
        <w:rPr>
          <w:rFonts w:ascii="Times New Roman" w:eastAsia="Times New Roman" w:hAnsi="Times New Roman"/>
          <w:sz w:val="26"/>
          <w:szCs w:val="26"/>
        </w:rPr>
        <w:t>Finanšu ministre</w:t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</w:r>
      <w:r w:rsidRPr="00E9178F">
        <w:rPr>
          <w:rFonts w:ascii="Times New Roman" w:eastAsia="Times New Roman" w:hAnsi="Times New Roman"/>
          <w:sz w:val="26"/>
          <w:szCs w:val="26"/>
        </w:rPr>
        <w:tab/>
        <w:t>D.Reizniece-Ozola</w:t>
      </w:r>
    </w:p>
    <w:p w14:paraId="730D2EE6" w14:textId="77777777" w:rsidR="00EC7DC5" w:rsidRDefault="00EC7DC5" w:rsidP="0069425C">
      <w:pPr>
        <w:widowControl/>
        <w:spacing w:after="0" w:line="240" w:lineRule="auto"/>
        <w:rPr>
          <w:rFonts w:ascii="Times New Roman" w:eastAsiaTheme="minorHAnsi" w:hAnsi="Times New Roman" w:cstheme="minorBidi"/>
          <w:sz w:val="20"/>
        </w:rPr>
      </w:pPr>
    </w:p>
    <w:p w14:paraId="5BCD2237" w14:textId="77777777" w:rsidR="00793C66" w:rsidRPr="00EC7DC5" w:rsidRDefault="00793C66" w:rsidP="00EC7DC5">
      <w:pPr>
        <w:jc w:val="center"/>
        <w:rPr>
          <w:rFonts w:ascii="Times New Roman" w:eastAsiaTheme="minorHAnsi" w:hAnsi="Times New Roman" w:cstheme="minorBidi"/>
          <w:sz w:val="20"/>
        </w:rPr>
      </w:pPr>
    </w:p>
    <w:sectPr w:rsidR="00793C66" w:rsidRPr="00EC7DC5" w:rsidSect="000F04E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DB59" w14:textId="77777777" w:rsidR="000F2B0F" w:rsidRDefault="000F2B0F" w:rsidP="0069425C">
      <w:pPr>
        <w:spacing w:after="0" w:line="240" w:lineRule="auto"/>
      </w:pPr>
      <w:r>
        <w:separator/>
      </w:r>
    </w:p>
  </w:endnote>
  <w:endnote w:type="continuationSeparator" w:id="0">
    <w:p w14:paraId="41B9B935" w14:textId="77777777" w:rsidR="000F2B0F" w:rsidRDefault="000F2B0F" w:rsidP="006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3E32" w14:textId="3B9D61B9" w:rsidR="0069425C" w:rsidRPr="00793C66" w:rsidRDefault="00BB140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FMatbv_TM_190918_90TA-1143</w:t>
    </w:r>
  </w:p>
  <w:p w14:paraId="6E39D396" w14:textId="77777777" w:rsidR="0069425C" w:rsidRDefault="0069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3A62" w14:textId="77777777" w:rsidR="000F2B0F" w:rsidRDefault="000F2B0F" w:rsidP="0069425C">
      <w:pPr>
        <w:spacing w:after="0" w:line="240" w:lineRule="auto"/>
      </w:pPr>
      <w:r>
        <w:separator/>
      </w:r>
    </w:p>
  </w:footnote>
  <w:footnote w:type="continuationSeparator" w:id="0">
    <w:p w14:paraId="0A9FC511" w14:textId="77777777" w:rsidR="000F2B0F" w:rsidRDefault="000F2B0F" w:rsidP="0069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529B" w14:textId="77777777" w:rsidR="0069425C" w:rsidRPr="0069425C" w:rsidRDefault="0069425C" w:rsidP="0069425C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69425C">
      <w:rPr>
        <w:rFonts w:ascii="Times New Roman" w:hAnsi="Times New Roman"/>
        <w:i/>
        <w:sz w:val="24"/>
        <w:szCs w:val="24"/>
      </w:rPr>
      <w:t>Ministru kabineta vēstules projekts</w:t>
    </w:r>
  </w:p>
  <w:p w14:paraId="5D0CBF0D" w14:textId="77777777" w:rsidR="0069425C" w:rsidRPr="0069425C" w:rsidRDefault="0069425C" w:rsidP="0069425C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85D"/>
    <w:multiLevelType w:val="hybridMultilevel"/>
    <w:tmpl w:val="E0D4C8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67D"/>
    <w:multiLevelType w:val="hybridMultilevel"/>
    <w:tmpl w:val="9B5C86D2"/>
    <w:lvl w:ilvl="0" w:tplc="EC74D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6782E"/>
    <w:multiLevelType w:val="hybridMultilevel"/>
    <w:tmpl w:val="1D4E8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C"/>
    <w:rsid w:val="00024B13"/>
    <w:rsid w:val="00065863"/>
    <w:rsid w:val="00070678"/>
    <w:rsid w:val="000A44D9"/>
    <w:rsid w:val="000A5444"/>
    <w:rsid w:val="000B71EE"/>
    <w:rsid w:val="000D199C"/>
    <w:rsid w:val="000F04E3"/>
    <w:rsid w:val="000F2B0F"/>
    <w:rsid w:val="0011062A"/>
    <w:rsid w:val="00113BDD"/>
    <w:rsid w:val="001156EF"/>
    <w:rsid w:val="00121B52"/>
    <w:rsid w:val="00121E04"/>
    <w:rsid w:val="001306E5"/>
    <w:rsid w:val="0013653B"/>
    <w:rsid w:val="00140C65"/>
    <w:rsid w:val="0014346E"/>
    <w:rsid w:val="001474A1"/>
    <w:rsid w:val="00154E91"/>
    <w:rsid w:val="0016253B"/>
    <w:rsid w:val="001D506B"/>
    <w:rsid w:val="0023444C"/>
    <w:rsid w:val="002527CA"/>
    <w:rsid w:val="0028703B"/>
    <w:rsid w:val="002922E7"/>
    <w:rsid w:val="002A2604"/>
    <w:rsid w:val="002C152D"/>
    <w:rsid w:val="002D6AAD"/>
    <w:rsid w:val="002E4C16"/>
    <w:rsid w:val="002E7B51"/>
    <w:rsid w:val="002F2235"/>
    <w:rsid w:val="002F6403"/>
    <w:rsid w:val="003017B8"/>
    <w:rsid w:val="0030692C"/>
    <w:rsid w:val="0033235F"/>
    <w:rsid w:val="00367AB0"/>
    <w:rsid w:val="00375BB9"/>
    <w:rsid w:val="003A3D57"/>
    <w:rsid w:val="003A3EFD"/>
    <w:rsid w:val="003C58D4"/>
    <w:rsid w:val="003C70D1"/>
    <w:rsid w:val="00401BB3"/>
    <w:rsid w:val="00417AF6"/>
    <w:rsid w:val="00496B1E"/>
    <w:rsid w:val="004A0709"/>
    <w:rsid w:val="004C4FF4"/>
    <w:rsid w:val="004D7417"/>
    <w:rsid w:val="004F72CB"/>
    <w:rsid w:val="0051103A"/>
    <w:rsid w:val="005225F3"/>
    <w:rsid w:val="005477DE"/>
    <w:rsid w:val="005A67E5"/>
    <w:rsid w:val="005B123C"/>
    <w:rsid w:val="005C0868"/>
    <w:rsid w:val="006138A0"/>
    <w:rsid w:val="00617906"/>
    <w:rsid w:val="00622BCC"/>
    <w:rsid w:val="006524E2"/>
    <w:rsid w:val="00655448"/>
    <w:rsid w:val="006600CF"/>
    <w:rsid w:val="0067611D"/>
    <w:rsid w:val="0069419D"/>
    <w:rsid w:val="0069425C"/>
    <w:rsid w:val="006A3E34"/>
    <w:rsid w:val="006C46BE"/>
    <w:rsid w:val="0070335C"/>
    <w:rsid w:val="007113C4"/>
    <w:rsid w:val="00721159"/>
    <w:rsid w:val="007255ED"/>
    <w:rsid w:val="00726809"/>
    <w:rsid w:val="00752ADF"/>
    <w:rsid w:val="00777AFE"/>
    <w:rsid w:val="00781615"/>
    <w:rsid w:val="007820B5"/>
    <w:rsid w:val="00793C66"/>
    <w:rsid w:val="007A7414"/>
    <w:rsid w:val="007B692C"/>
    <w:rsid w:val="007F0334"/>
    <w:rsid w:val="00825043"/>
    <w:rsid w:val="00835B6F"/>
    <w:rsid w:val="00841AA7"/>
    <w:rsid w:val="00842AB2"/>
    <w:rsid w:val="00870E71"/>
    <w:rsid w:val="00880BEC"/>
    <w:rsid w:val="00891A58"/>
    <w:rsid w:val="008D4B93"/>
    <w:rsid w:val="008D52E8"/>
    <w:rsid w:val="008E778E"/>
    <w:rsid w:val="009042FE"/>
    <w:rsid w:val="0091491A"/>
    <w:rsid w:val="00967B79"/>
    <w:rsid w:val="00972699"/>
    <w:rsid w:val="009A7E5C"/>
    <w:rsid w:val="009B1071"/>
    <w:rsid w:val="009B6C6C"/>
    <w:rsid w:val="009D7C3E"/>
    <w:rsid w:val="009E1920"/>
    <w:rsid w:val="00A03F8E"/>
    <w:rsid w:val="00A10C9E"/>
    <w:rsid w:val="00A148F2"/>
    <w:rsid w:val="00A25F73"/>
    <w:rsid w:val="00A277D0"/>
    <w:rsid w:val="00A4693A"/>
    <w:rsid w:val="00A46DBB"/>
    <w:rsid w:val="00A57913"/>
    <w:rsid w:val="00A6011F"/>
    <w:rsid w:val="00A60B5F"/>
    <w:rsid w:val="00A67124"/>
    <w:rsid w:val="00A82163"/>
    <w:rsid w:val="00A9463E"/>
    <w:rsid w:val="00AC2B8A"/>
    <w:rsid w:val="00AD19BC"/>
    <w:rsid w:val="00AE25F0"/>
    <w:rsid w:val="00B0296D"/>
    <w:rsid w:val="00B252EF"/>
    <w:rsid w:val="00B27EBE"/>
    <w:rsid w:val="00B367C5"/>
    <w:rsid w:val="00B43616"/>
    <w:rsid w:val="00B53182"/>
    <w:rsid w:val="00B80FF2"/>
    <w:rsid w:val="00BB1409"/>
    <w:rsid w:val="00BE3BA3"/>
    <w:rsid w:val="00BF0B6E"/>
    <w:rsid w:val="00C003D4"/>
    <w:rsid w:val="00C0226A"/>
    <w:rsid w:val="00C3761B"/>
    <w:rsid w:val="00C42A37"/>
    <w:rsid w:val="00C76AAB"/>
    <w:rsid w:val="00C9186F"/>
    <w:rsid w:val="00C922E3"/>
    <w:rsid w:val="00C97317"/>
    <w:rsid w:val="00CC0584"/>
    <w:rsid w:val="00CC136F"/>
    <w:rsid w:val="00CD0853"/>
    <w:rsid w:val="00CD215F"/>
    <w:rsid w:val="00CF4F86"/>
    <w:rsid w:val="00D2215B"/>
    <w:rsid w:val="00D23E2B"/>
    <w:rsid w:val="00D354C4"/>
    <w:rsid w:val="00D413CF"/>
    <w:rsid w:val="00D65F84"/>
    <w:rsid w:val="00D669F1"/>
    <w:rsid w:val="00D72E4E"/>
    <w:rsid w:val="00DB60E5"/>
    <w:rsid w:val="00E16CAA"/>
    <w:rsid w:val="00E53C41"/>
    <w:rsid w:val="00E63BA7"/>
    <w:rsid w:val="00E7025D"/>
    <w:rsid w:val="00E70ED0"/>
    <w:rsid w:val="00E82D2D"/>
    <w:rsid w:val="00E90CD6"/>
    <w:rsid w:val="00E90E61"/>
    <w:rsid w:val="00E9178F"/>
    <w:rsid w:val="00EB2A46"/>
    <w:rsid w:val="00EC32F0"/>
    <w:rsid w:val="00EC7DC5"/>
    <w:rsid w:val="00EF03C8"/>
    <w:rsid w:val="00EF0E54"/>
    <w:rsid w:val="00EF6C09"/>
    <w:rsid w:val="00F37287"/>
    <w:rsid w:val="00F50721"/>
    <w:rsid w:val="00F64A3B"/>
    <w:rsid w:val="00F650E9"/>
    <w:rsid w:val="00F728A6"/>
    <w:rsid w:val="00F775CD"/>
    <w:rsid w:val="00F806E9"/>
    <w:rsid w:val="00F93DF7"/>
    <w:rsid w:val="00F960CF"/>
    <w:rsid w:val="00FB25C2"/>
    <w:rsid w:val="00FB2AE7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2119"/>
  <w15:docId w15:val="{74927FB0-ED76-4BF9-9D4F-9C49EB8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5C"/>
    <w:pPr>
      <w:widowControl w:val="0"/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5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94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5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527CA"/>
  </w:style>
  <w:style w:type="paragraph" w:styleId="ListParagraph">
    <w:name w:val="List Paragraph"/>
    <w:basedOn w:val="Normal"/>
    <w:uiPriority w:val="34"/>
    <w:qFormat/>
    <w:rsid w:val="00B53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B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A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78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sibsargs@tiesibsarg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110C-BA51-4FDB-A78E-6C33681A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3054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vēstules projekts Latvijas Republikas tiesībsargam</vt:lpstr>
      <vt:lpstr>Ministru kabineta vēstules projekts</vt:lpstr>
    </vt:vector>
  </TitlesOfParts>
  <Company>Finanšu ministrija (VID)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Latvijas Republikas tiesībsargam</dc:title>
  <dc:subject>Ministru kabineta vēstules projekts </dc:subject>
  <dc:creator>Ingrīda Vonda</dc:creator>
  <dc:description>ingrida.vonda@vid.gov.lv; 67121685</dc:description>
  <cp:lastModifiedBy>Rita Dreiškena-Lāce</cp:lastModifiedBy>
  <cp:revision>5</cp:revision>
  <cp:lastPrinted>2018-09-20T06:28:00Z</cp:lastPrinted>
  <dcterms:created xsi:type="dcterms:W3CDTF">2018-09-20T07:26:00Z</dcterms:created>
  <dcterms:modified xsi:type="dcterms:W3CDTF">2018-09-20T08:02:00Z</dcterms:modified>
</cp:coreProperties>
</file>