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9D7A" w14:textId="77777777" w:rsidR="000115B5" w:rsidRPr="001168CB" w:rsidRDefault="00B51894" w:rsidP="005B5585">
      <w:pPr>
        <w:pStyle w:val="Style1"/>
        <w:numPr>
          <w:ilvl w:val="0"/>
          <w:numId w:val="0"/>
        </w:numPr>
        <w:ind w:left="360" w:hanging="360"/>
        <w:jc w:val="center"/>
        <w:rPr>
          <w:b/>
          <w:sz w:val="24"/>
        </w:rPr>
      </w:pPr>
      <w:r w:rsidRPr="001168CB">
        <w:rPr>
          <w:b/>
          <w:sz w:val="24"/>
        </w:rPr>
        <w:t xml:space="preserve">Ministru kabineta rīkojuma projekta </w:t>
      </w:r>
      <w:r w:rsidR="007B3D26" w:rsidRPr="001168CB">
        <w:rPr>
          <w:b/>
          <w:sz w:val="24"/>
        </w:rPr>
        <w:t>“</w:t>
      </w:r>
      <w:r w:rsidR="00961B16" w:rsidRPr="001168CB">
        <w:rPr>
          <w:b/>
          <w:sz w:val="24"/>
        </w:rPr>
        <w:t>Par informācijas sabiedrības attīstības pamatnostādņu ieviešanu publiskās pārvaldes informācijas sistēmu jomā (</w:t>
      </w:r>
      <w:proofErr w:type="spellStart"/>
      <w:r w:rsidR="00961B16" w:rsidRPr="001168CB">
        <w:rPr>
          <w:b/>
          <w:sz w:val="24"/>
        </w:rPr>
        <w:t>mērķarhitektūras</w:t>
      </w:r>
      <w:proofErr w:type="spellEnd"/>
      <w:r w:rsidR="00961B16" w:rsidRPr="001168CB">
        <w:rPr>
          <w:b/>
          <w:sz w:val="24"/>
        </w:rPr>
        <w:t xml:space="preserve"> </w:t>
      </w:r>
      <w:r w:rsidR="002F481A" w:rsidRPr="001168CB">
        <w:rPr>
          <w:b/>
          <w:sz w:val="24"/>
        </w:rPr>
        <w:t>4</w:t>
      </w:r>
      <w:r w:rsidR="00DA6420">
        <w:rPr>
          <w:b/>
          <w:sz w:val="24"/>
        </w:rPr>
        <w:t>3</w:t>
      </w:r>
      <w:r w:rsidR="00961B16" w:rsidRPr="001168CB">
        <w:rPr>
          <w:b/>
          <w:sz w:val="24"/>
        </w:rPr>
        <w:t>.0</w:t>
      </w:r>
      <w:r w:rsidR="00CD5E66">
        <w:rPr>
          <w:b/>
          <w:sz w:val="24"/>
        </w:rPr>
        <w:t>.</w:t>
      </w:r>
      <w:r w:rsidR="00C24406" w:rsidRPr="001168CB">
        <w:rPr>
          <w:b/>
          <w:sz w:val="24"/>
        </w:rPr>
        <w:t xml:space="preserve"> </w:t>
      </w:r>
      <w:r w:rsidR="00961B16" w:rsidRPr="001168CB">
        <w:rPr>
          <w:b/>
          <w:sz w:val="24"/>
        </w:rPr>
        <w:t>versija</w:t>
      </w:r>
      <w:r w:rsidR="000E317C" w:rsidRPr="001168CB">
        <w:rPr>
          <w:b/>
          <w:sz w:val="24"/>
        </w:rPr>
        <w:t>)</w:t>
      </w:r>
      <w:r w:rsidR="001D19C2" w:rsidRPr="001168CB">
        <w:rPr>
          <w:b/>
          <w:sz w:val="24"/>
        </w:rPr>
        <w:t xml:space="preserve"> sākotnējās ietekmes novērtējuma ziņojums (anotācija)</w:t>
      </w:r>
    </w:p>
    <w:p w14:paraId="098F9D7B" w14:textId="77777777" w:rsidR="005148E7" w:rsidRPr="001168CB" w:rsidRDefault="005148E7" w:rsidP="008948F1">
      <w:pPr>
        <w:spacing w:before="120" w:after="120"/>
        <w:jc w:val="center"/>
        <w:rPr>
          <w:lang w:eastAsia="en-US"/>
        </w:rPr>
      </w:pPr>
    </w:p>
    <w:tbl>
      <w:tblPr>
        <w:tblW w:w="5618" w:type="pct"/>
        <w:tblInd w:w="-460" w:type="dxa"/>
        <w:tblBorders>
          <w:top w:val="single" w:sz="2" w:space="0" w:color="414142"/>
          <w:left w:val="single" w:sz="2" w:space="0" w:color="414142"/>
          <w:bottom w:val="single" w:sz="2" w:space="0" w:color="414142"/>
          <w:right w:val="single" w:sz="2" w:space="0" w:color="414142"/>
          <w:insideH w:val="single" w:sz="2" w:space="0" w:color="414142"/>
          <w:insideV w:val="single" w:sz="2" w:space="0" w:color="414142"/>
        </w:tblBorders>
        <w:tblCellMar>
          <w:top w:w="30" w:type="dxa"/>
          <w:left w:w="30" w:type="dxa"/>
          <w:bottom w:w="30" w:type="dxa"/>
          <w:right w:w="30" w:type="dxa"/>
        </w:tblCellMar>
        <w:tblLook w:val="04A0" w:firstRow="1" w:lastRow="0" w:firstColumn="1" w:lastColumn="0" w:noHBand="0" w:noVBand="1"/>
      </w:tblPr>
      <w:tblGrid>
        <w:gridCol w:w="3264"/>
        <w:gridCol w:w="6923"/>
      </w:tblGrid>
      <w:tr w:rsidR="00B451A7" w:rsidRPr="001168CB" w14:paraId="098F9D7D" w14:textId="77777777" w:rsidTr="008B3F52">
        <w:trPr>
          <w:trHeight w:val="405"/>
        </w:trPr>
        <w:tc>
          <w:tcPr>
            <w:tcW w:w="5000" w:type="pct"/>
            <w:gridSpan w:val="2"/>
            <w:vAlign w:val="center"/>
            <w:hideMark/>
          </w:tcPr>
          <w:p w14:paraId="098F9D7C" w14:textId="77777777" w:rsidR="00B451A7" w:rsidRPr="001168CB" w:rsidRDefault="00B451A7" w:rsidP="00A85586">
            <w:pPr>
              <w:spacing w:before="100" w:beforeAutospacing="1" w:after="100" w:afterAutospacing="1" w:line="293" w:lineRule="atLeast"/>
              <w:jc w:val="center"/>
              <w:rPr>
                <w:b/>
                <w:bCs/>
              </w:rPr>
            </w:pPr>
            <w:r w:rsidRPr="001168CB">
              <w:rPr>
                <w:b/>
                <w:bCs/>
              </w:rPr>
              <w:t>Tiesību akta projekta anotācijas kopsavilkums</w:t>
            </w:r>
          </w:p>
        </w:tc>
      </w:tr>
      <w:tr w:rsidR="001168CB" w:rsidRPr="001168CB" w14:paraId="098F9D80" w14:textId="77777777" w:rsidTr="008B3F52">
        <w:trPr>
          <w:trHeight w:val="405"/>
        </w:trPr>
        <w:tc>
          <w:tcPr>
            <w:tcW w:w="1602" w:type="pct"/>
            <w:hideMark/>
          </w:tcPr>
          <w:p w14:paraId="098F9D7E" w14:textId="77777777" w:rsidR="00B451A7" w:rsidRPr="001168CB" w:rsidRDefault="00B451A7" w:rsidP="00A85586">
            <w:pPr>
              <w:spacing w:before="100" w:beforeAutospacing="1" w:after="100" w:afterAutospacing="1" w:line="293" w:lineRule="atLeast"/>
            </w:pPr>
            <w:r w:rsidRPr="001168CB">
              <w:t>Mērķis, risinājums un projekta spēkā stāšanās laiks (500 zīmes bez atstarpēm)</w:t>
            </w:r>
          </w:p>
        </w:tc>
        <w:tc>
          <w:tcPr>
            <w:tcW w:w="3398" w:type="pct"/>
            <w:hideMark/>
          </w:tcPr>
          <w:p w14:paraId="098F9D7F" w14:textId="77777777" w:rsidR="00B451A7" w:rsidRPr="001168CB" w:rsidRDefault="000B31AB" w:rsidP="002719D4">
            <w:pPr>
              <w:tabs>
                <w:tab w:val="left" w:pos="323"/>
              </w:tabs>
              <w:jc w:val="both"/>
            </w:pPr>
            <w:r w:rsidRPr="001168CB">
              <w:t>Ministru kabineta rīkojuma projekta “Par informācijas sabiedrības attīstības pamatnostādņu ieviešanu publiskās pārvaldes informācijas sistēmu jomā (</w:t>
            </w:r>
            <w:proofErr w:type="spellStart"/>
            <w:r w:rsidRPr="001168CB">
              <w:t>mērķarhitektūras</w:t>
            </w:r>
            <w:proofErr w:type="spellEnd"/>
            <w:r w:rsidRPr="001168CB">
              <w:t xml:space="preserve"> </w:t>
            </w:r>
            <w:r w:rsidR="002F481A" w:rsidRPr="001168CB">
              <w:t>4</w:t>
            </w:r>
            <w:r w:rsidR="002719D4">
              <w:t>3</w:t>
            </w:r>
            <w:r w:rsidRPr="001168CB">
              <w:t>.0</w:t>
            </w:r>
            <w:r w:rsidR="00B76EFA">
              <w:t>.</w:t>
            </w:r>
            <w:r w:rsidRPr="001168CB">
              <w:t xml:space="preserve"> versija)</w:t>
            </w:r>
            <w:r w:rsidR="00C4607C" w:rsidRPr="001168CB">
              <w:t xml:space="preserve"> (turpmāk – Rīkojuma projekts)</w:t>
            </w:r>
            <w:r w:rsidRPr="001168CB">
              <w:t xml:space="preserve"> mērķis ir apstiprināt un iekļaut </w:t>
            </w:r>
            <w:r w:rsidR="002719D4">
              <w:t>informācijas un komunikācijas tehnoloģiju</w:t>
            </w:r>
            <w:r w:rsidRPr="001168CB">
              <w:t xml:space="preserve"> </w:t>
            </w:r>
            <w:r w:rsidR="00DB4B2A">
              <w:t xml:space="preserve">(turpmāk – IKT) </w:t>
            </w:r>
            <w:proofErr w:type="spellStart"/>
            <w:r w:rsidRPr="001168CB">
              <w:t>mērķarhitektūras</w:t>
            </w:r>
            <w:proofErr w:type="spellEnd"/>
            <w:r w:rsidRPr="001168CB">
              <w:t xml:space="preserve"> </w:t>
            </w:r>
            <w:r w:rsidR="002F481A" w:rsidRPr="001168CB">
              <w:t>4</w:t>
            </w:r>
            <w:r w:rsidR="002719D4">
              <w:t>3</w:t>
            </w:r>
            <w:r w:rsidRPr="001168CB">
              <w:t>.0</w:t>
            </w:r>
            <w:r w:rsidR="00B76EFA">
              <w:t xml:space="preserve">. </w:t>
            </w:r>
            <w:r w:rsidRPr="001168CB">
              <w:t xml:space="preserve">versijā projektu </w:t>
            </w:r>
            <w:r w:rsidR="00CD5E66">
              <w:t>“V</w:t>
            </w:r>
            <w:r w:rsidRPr="001168CB">
              <w:t xml:space="preserve">alsts </w:t>
            </w:r>
            <w:r w:rsidR="00D007A4" w:rsidRPr="001168CB">
              <w:t>pārbaudījumu</w:t>
            </w:r>
            <w:r w:rsidRPr="001168CB">
              <w:t xml:space="preserve"> organizēšanas pilnveide</w:t>
            </w:r>
            <w:r w:rsidR="00A14169">
              <w:t>”</w:t>
            </w:r>
            <w:r w:rsidRPr="001168CB">
              <w:t>, kuru laika posmā</w:t>
            </w:r>
            <w:r w:rsidR="002719D4">
              <w:t xml:space="preserve"> no projekta apstiprināšanas brīža</w:t>
            </w:r>
            <w:r w:rsidRPr="001168CB">
              <w:t xml:space="preserve"> līdz 2021. gadam īstenos Izglītības un zinātnes</w:t>
            </w:r>
            <w:r w:rsidR="009F6995" w:rsidRPr="001168CB">
              <w:t xml:space="preserve"> ministrija sadarbībā ar Valsts izglītības un satura centru un Valsts valodas centru.</w:t>
            </w:r>
          </w:p>
        </w:tc>
      </w:tr>
    </w:tbl>
    <w:p w14:paraId="098F9D81" w14:textId="77777777" w:rsidR="00655D74" w:rsidRPr="001168CB" w:rsidRDefault="00655D74" w:rsidP="008948F1">
      <w:pPr>
        <w:spacing w:before="120" w:after="120"/>
        <w:jc w:val="center"/>
        <w:rPr>
          <w:lang w:eastAsia="en-US"/>
        </w:rPr>
      </w:pPr>
    </w:p>
    <w:tbl>
      <w:tblPr>
        <w:tblW w:w="10227" w:type="dxa"/>
        <w:tblCellSpacing w:w="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2"/>
        <w:gridCol w:w="1986"/>
        <w:gridCol w:w="7479"/>
      </w:tblGrid>
      <w:tr w:rsidR="000115B5" w:rsidRPr="001168CB" w14:paraId="098F9D83" w14:textId="77777777" w:rsidTr="008B3F52">
        <w:trPr>
          <w:trHeight w:val="557"/>
          <w:tblCellSpacing w:w="0" w:type="dxa"/>
        </w:trPr>
        <w:tc>
          <w:tcPr>
            <w:tcW w:w="10227" w:type="dxa"/>
            <w:gridSpan w:val="3"/>
            <w:vAlign w:val="center"/>
          </w:tcPr>
          <w:p w14:paraId="098F9D82" w14:textId="77777777" w:rsidR="000115B5" w:rsidRPr="001168CB" w:rsidRDefault="000115B5" w:rsidP="008948F1">
            <w:pPr>
              <w:spacing w:before="120" w:after="120"/>
              <w:jc w:val="center"/>
              <w:rPr>
                <w:lang w:eastAsia="en-US"/>
              </w:rPr>
            </w:pPr>
            <w:r w:rsidRPr="001168CB">
              <w:rPr>
                <w:b/>
                <w:bCs/>
                <w:lang w:eastAsia="en-US"/>
              </w:rPr>
              <w:t xml:space="preserve"> I. </w:t>
            </w:r>
            <w:r w:rsidR="00E211A8" w:rsidRPr="001168CB">
              <w:rPr>
                <w:b/>
                <w:bCs/>
                <w:lang w:eastAsia="en-US"/>
              </w:rPr>
              <w:t>Tiesību akta</w:t>
            </w:r>
            <w:r w:rsidRPr="001168CB">
              <w:rPr>
                <w:b/>
                <w:bCs/>
                <w:lang w:eastAsia="en-US"/>
              </w:rPr>
              <w:t xml:space="preserve"> </w:t>
            </w:r>
            <w:r w:rsidR="001741F3">
              <w:rPr>
                <w:b/>
                <w:bCs/>
                <w:lang w:eastAsia="en-US"/>
              </w:rPr>
              <w:t xml:space="preserve">projekta </w:t>
            </w:r>
            <w:r w:rsidRPr="001168CB">
              <w:rPr>
                <w:b/>
                <w:bCs/>
                <w:lang w:eastAsia="en-US"/>
              </w:rPr>
              <w:t>izstrādes nepieciešamība</w:t>
            </w:r>
          </w:p>
        </w:tc>
      </w:tr>
      <w:tr w:rsidR="001168CB" w:rsidRPr="001168CB" w14:paraId="098F9D8A" w14:textId="77777777" w:rsidTr="008B3F52">
        <w:trPr>
          <w:trHeight w:val="271"/>
          <w:tblCellSpacing w:w="0" w:type="dxa"/>
        </w:trPr>
        <w:tc>
          <w:tcPr>
            <w:tcW w:w="762" w:type="dxa"/>
          </w:tcPr>
          <w:p w14:paraId="098F9D84" w14:textId="77777777" w:rsidR="000115B5" w:rsidRPr="001168CB" w:rsidRDefault="000115B5" w:rsidP="008948F1">
            <w:pPr>
              <w:spacing w:before="120" w:after="120"/>
              <w:rPr>
                <w:lang w:eastAsia="en-US"/>
              </w:rPr>
            </w:pPr>
            <w:r w:rsidRPr="001168CB">
              <w:rPr>
                <w:lang w:eastAsia="en-US"/>
              </w:rPr>
              <w:t> 1.</w:t>
            </w:r>
          </w:p>
        </w:tc>
        <w:tc>
          <w:tcPr>
            <w:tcW w:w="1986" w:type="dxa"/>
          </w:tcPr>
          <w:p w14:paraId="098F9D85" w14:textId="77777777" w:rsidR="000115B5" w:rsidRPr="001168CB" w:rsidRDefault="000115B5" w:rsidP="008948F1">
            <w:pPr>
              <w:spacing w:before="120" w:after="120"/>
              <w:rPr>
                <w:lang w:eastAsia="en-US"/>
              </w:rPr>
            </w:pPr>
            <w:r w:rsidRPr="001168CB">
              <w:rPr>
                <w:lang w:eastAsia="en-US"/>
              </w:rPr>
              <w:t>Pamatojums</w:t>
            </w:r>
          </w:p>
        </w:tc>
        <w:tc>
          <w:tcPr>
            <w:tcW w:w="7479" w:type="dxa"/>
          </w:tcPr>
          <w:p w14:paraId="098F9D86" w14:textId="77777777" w:rsidR="0017092D" w:rsidRPr="009F2693" w:rsidRDefault="00824C8E" w:rsidP="00923B83">
            <w:pPr>
              <w:numPr>
                <w:ilvl w:val="0"/>
                <w:numId w:val="6"/>
              </w:numPr>
              <w:spacing w:before="120" w:after="120"/>
              <w:ind w:right="212"/>
              <w:jc w:val="both"/>
            </w:pPr>
            <w:r w:rsidRPr="009F2693">
              <w:t xml:space="preserve">Ministru kabineta 2015. gada 17. </w:t>
            </w:r>
            <w:r w:rsidR="00BA23F8" w:rsidRPr="009F2693">
              <w:t>novembra noteikumu Nr. 653 </w:t>
            </w:r>
            <w:r w:rsidR="00CA6015" w:rsidRPr="009F2693">
              <w:t xml:space="preserve">“Darbības programmas </w:t>
            </w:r>
            <w:r w:rsidR="007B3D26" w:rsidRPr="009F2693">
              <w:t>“</w:t>
            </w:r>
            <w:r w:rsidR="00CA6015" w:rsidRPr="009F2693">
              <w:t>Izaugsme un nodarbinātība</w:t>
            </w:r>
            <w:r w:rsidR="007B3D26" w:rsidRPr="009F2693">
              <w:t>”</w:t>
            </w:r>
            <w:r w:rsidR="00BA23F8" w:rsidRPr="009F2693">
              <w:t xml:space="preserve"> 2.2.1. </w:t>
            </w:r>
            <w:r w:rsidR="00CA6015" w:rsidRPr="009F2693">
              <w:t xml:space="preserve">specifiskā atbalsta mērķa </w:t>
            </w:r>
            <w:r w:rsidR="007B3D26" w:rsidRPr="009F2693">
              <w:t>“</w:t>
            </w:r>
            <w:r w:rsidR="00CA6015" w:rsidRPr="009F2693">
              <w:t xml:space="preserve">Nodrošināt publisko datu </w:t>
            </w:r>
            <w:proofErr w:type="spellStart"/>
            <w:r w:rsidR="00CA6015" w:rsidRPr="009F2693">
              <w:t>atkalizmantošanas</w:t>
            </w:r>
            <w:proofErr w:type="spellEnd"/>
            <w:r w:rsidR="00CA6015" w:rsidRPr="009F2693">
              <w:t xml:space="preserve"> pieaugumu un efektīvu publiskās pārvaldes un privātā sektora mijiedarbību</w:t>
            </w:r>
            <w:r w:rsidR="007B3D26" w:rsidRPr="009F2693">
              <w:t>”</w:t>
            </w:r>
            <w:r w:rsidR="00CA6015" w:rsidRPr="009F2693">
              <w:t xml:space="preserve"> 2.2.1.1. pasākuma </w:t>
            </w:r>
            <w:r w:rsidR="007B3D26" w:rsidRPr="009F2693">
              <w:t>“</w:t>
            </w:r>
            <w:r w:rsidR="00CA6015" w:rsidRPr="009F2693">
              <w:t xml:space="preserve">Centralizētu publiskās pārvaldes </w:t>
            </w:r>
            <w:r w:rsidR="00655D74" w:rsidRPr="009F2693">
              <w:t xml:space="preserve">IKT </w:t>
            </w:r>
            <w:r w:rsidR="00CA6015" w:rsidRPr="009F2693">
              <w:t>platformu izveide, publiskās pārvaldes procesu optimizēšana un attīstība</w:t>
            </w:r>
            <w:r w:rsidR="007B3D26" w:rsidRPr="009F2693">
              <w:t>”</w:t>
            </w:r>
            <w:r w:rsidR="00CA6015" w:rsidRPr="009F2693">
              <w:t xml:space="preserve"> īstenošanas</w:t>
            </w:r>
            <w:r w:rsidR="00991243" w:rsidRPr="009F2693">
              <w:t xml:space="preserve"> noteikumi” 4. </w:t>
            </w:r>
            <w:r w:rsidR="007B3D26" w:rsidRPr="009F2693">
              <w:t xml:space="preserve">punkts </w:t>
            </w:r>
            <w:r w:rsidR="00991243" w:rsidRPr="009F2693">
              <w:t>un 13.2.</w:t>
            </w:r>
            <w:r w:rsidR="001709DD" w:rsidRPr="009F2693">
              <w:t xml:space="preserve"> </w:t>
            </w:r>
            <w:r w:rsidR="007B3D26" w:rsidRPr="009F2693">
              <w:t>apakš</w:t>
            </w:r>
            <w:r w:rsidR="00991243" w:rsidRPr="009F2693">
              <w:t>punkt</w:t>
            </w:r>
            <w:r w:rsidR="007B3D26" w:rsidRPr="009F2693">
              <w:t>s</w:t>
            </w:r>
            <w:r w:rsidR="00CA6015" w:rsidRPr="009F2693">
              <w:t>.</w:t>
            </w:r>
          </w:p>
          <w:p w14:paraId="098F9D87" w14:textId="77777777" w:rsidR="00923B83" w:rsidRPr="009F2693" w:rsidRDefault="00923B83" w:rsidP="001741F3">
            <w:pPr>
              <w:numPr>
                <w:ilvl w:val="0"/>
                <w:numId w:val="6"/>
              </w:numPr>
              <w:jc w:val="both"/>
            </w:pPr>
            <w:r w:rsidRPr="009F2693">
              <w:t xml:space="preserve">Deklarācijas par Māra Kučinska vadītā Ministru kabineta iecerēto darbību 35.9.uzdevums „Nodrošināsim IKT publisko investīciju un e-pakalpojumu orientāciju uz jaunu produktu un pakalpojumu veidošanu un </w:t>
            </w:r>
            <w:proofErr w:type="spellStart"/>
            <w:r w:rsidRPr="009F2693">
              <w:t>komercializāciju</w:t>
            </w:r>
            <w:proofErr w:type="spellEnd"/>
            <w:r w:rsidRPr="009F2693">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5.darbības rezultāts „Nodrošināta IKT procesu koordinācija un pārvaldība, paaugstināta VARAM kapacitāte, nodrošinot 38 ERAF līdzfinansēto projektu iekļaušanos publiskās pārvaldes vienotajā arhitektūrā”.</w:t>
            </w:r>
          </w:p>
          <w:p w14:paraId="098F9D88" w14:textId="77777777" w:rsidR="00923B83" w:rsidRPr="009F2693" w:rsidRDefault="00923B83" w:rsidP="00923B83">
            <w:pPr>
              <w:pStyle w:val="ListParagraph"/>
              <w:numPr>
                <w:ilvl w:val="0"/>
                <w:numId w:val="6"/>
              </w:numPr>
              <w:jc w:val="both"/>
              <w:rPr>
                <w:iCs/>
                <w:lang w:eastAsia="lv-LV"/>
              </w:rPr>
            </w:pPr>
            <w:r w:rsidRPr="009F2693">
              <w:rPr>
                <w:iCs/>
                <w:lang w:eastAsia="lv-LV"/>
              </w:rPr>
              <w:t xml:space="preserve">Ministru kabineta 2017.gada 10.augusta rīkojuma Nr.422 „Par darbības programmas „Izaugsme un nodarbinātība” 2.2.1.specifiskā atbalsta mērķa „Nodrošināt publisko datu </w:t>
            </w:r>
            <w:proofErr w:type="spellStart"/>
            <w:r w:rsidRPr="009F2693">
              <w:rPr>
                <w:iCs/>
                <w:lang w:eastAsia="lv-LV"/>
              </w:rPr>
              <w:t>atkalizmantošanas</w:t>
            </w:r>
            <w:proofErr w:type="spellEnd"/>
            <w:r w:rsidRPr="009F2693">
              <w:rPr>
                <w:iCs/>
                <w:lang w:eastAsia="lv-LV"/>
              </w:rPr>
              <w:t xml:space="preserve"> pieaugumu un efektīvu publiskās pārvaldes un privātā sektora mijiedarbību” 2.2.1.1.pasākuma „Centralizētu publiskās pārvaldes IKT platformu izveide, publiskās pārvaldes procesu optimizēšana un attīstība” un 2.2.1.2.pasākuma „Kultūras mantojuma </w:t>
            </w:r>
            <w:proofErr w:type="spellStart"/>
            <w:r w:rsidRPr="009F2693">
              <w:rPr>
                <w:iCs/>
                <w:lang w:eastAsia="lv-LV"/>
              </w:rPr>
              <w:t>digitalizācija</w:t>
            </w:r>
            <w:proofErr w:type="spellEnd"/>
            <w:r w:rsidRPr="009F2693">
              <w:rPr>
                <w:iCs/>
                <w:lang w:eastAsia="lv-LV"/>
              </w:rPr>
              <w:t xml:space="preserve">” projektu </w:t>
            </w:r>
            <w:r w:rsidRPr="009F2693">
              <w:rPr>
                <w:iCs/>
                <w:lang w:eastAsia="lv-LV"/>
              </w:rPr>
              <w:lastRenderedPageBreak/>
              <w:t>iesniegumu atlases 2.kārtas projektu sarakstu Eiropas Savienības fondu 2014. – 2020.gada plānošanas periodam” 1.punkts.</w:t>
            </w:r>
          </w:p>
          <w:p w14:paraId="098F9D89" w14:textId="77777777" w:rsidR="007B36D5" w:rsidRPr="001168CB" w:rsidRDefault="00923B83" w:rsidP="00923B83">
            <w:pPr>
              <w:numPr>
                <w:ilvl w:val="0"/>
                <w:numId w:val="6"/>
              </w:numPr>
              <w:suppressAutoHyphens/>
              <w:spacing w:before="120" w:after="120"/>
              <w:ind w:right="210"/>
              <w:jc w:val="both"/>
            </w:pPr>
            <w:r w:rsidRPr="009F2693">
              <w:rPr>
                <w:iCs/>
              </w:rPr>
              <w:t>Ministru kabineta 2016.gada 10.februāra rīkojuma Nr.136 „Par informācijas sabiedrības attīstības pamatnostādņu ieviešanu publiskās pārvaldes informācijas sistēmu jomā” 4.</w:t>
            </w:r>
            <w:r w:rsidRPr="00DB4D63">
              <w:rPr>
                <w:iCs/>
                <w:vertAlign w:val="superscript"/>
              </w:rPr>
              <w:t>1</w:t>
            </w:r>
            <w:r w:rsidRPr="009F2693">
              <w:rPr>
                <w:iCs/>
              </w:rPr>
              <w:t xml:space="preserve"> punkts.</w:t>
            </w:r>
          </w:p>
        </w:tc>
      </w:tr>
      <w:tr w:rsidR="001168CB" w:rsidRPr="001168CB" w14:paraId="098F9DA3" w14:textId="77777777" w:rsidTr="00674600">
        <w:trPr>
          <w:trHeight w:val="693"/>
          <w:tblCellSpacing w:w="0" w:type="dxa"/>
        </w:trPr>
        <w:tc>
          <w:tcPr>
            <w:tcW w:w="762" w:type="dxa"/>
          </w:tcPr>
          <w:p w14:paraId="098F9D8B" w14:textId="77777777" w:rsidR="000115B5" w:rsidRPr="001168CB" w:rsidRDefault="000115B5" w:rsidP="008948F1">
            <w:pPr>
              <w:spacing w:before="120" w:after="120"/>
              <w:rPr>
                <w:lang w:eastAsia="en-US"/>
              </w:rPr>
            </w:pPr>
            <w:r w:rsidRPr="001168CB">
              <w:rPr>
                <w:lang w:eastAsia="en-US"/>
              </w:rPr>
              <w:lastRenderedPageBreak/>
              <w:t> 2.</w:t>
            </w:r>
          </w:p>
        </w:tc>
        <w:tc>
          <w:tcPr>
            <w:tcW w:w="1986" w:type="dxa"/>
          </w:tcPr>
          <w:p w14:paraId="098F9D8C" w14:textId="77777777" w:rsidR="000115B5" w:rsidRPr="001168CB" w:rsidRDefault="000115B5" w:rsidP="008948F1">
            <w:pPr>
              <w:spacing w:before="120" w:after="120"/>
              <w:rPr>
                <w:lang w:eastAsia="en-US"/>
              </w:rPr>
            </w:pPr>
            <w:r w:rsidRPr="001168CB">
              <w:rPr>
                <w:lang w:eastAsia="en-US"/>
              </w:rPr>
              <w:t>Pašreizējā situācija un problēmas</w:t>
            </w:r>
            <w:r w:rsidR="00681198" w:rsidRPr="001168CB">
              <w:rPr>
                <w:lang w:eastAsia="en-US"/>
              </w:rPr>
              <w:t>, kuru risināšanai tiesību akta projekts izstrādāts, tiesiskā regulējuma mērķis un būtība</w:t>
            </w:r>
          </w:p>
        </w:tc>
        <w:tc>
          <w:tcPr>
            <w:tcW w:w="7479" w:type="dxa"/>
          </w:tcPr>
          <w:p w14:paraId="098F9D8D" w14:textId="77777777" w:rsidR="00921311" w:rsidRDefault="004A4336" w:rsidP="00104A04">
            <w:pPr>
              <w:pStyle w:val="VPBody"/>
              <w:spacing w:before="120" w:after="120"/>
              <w:jc w:val="both"/>
            </w:pPr>
            <w:r w:rsidRPr="001168CB">
              <w:rPr>
                <w:szCs w:val="24"/>
              </w:rPr>
              <w:t xml:space="preserve">Ar </w:t>
            </w:r>
            <w:r w:rsidR="000A1F14" w:rsidRPr="001168CB">
              <w:rPr>
                <w:szCs w:val="24"/>
              </w:rPr>
              <w:t>R</w:t>
            </w:r>
            <w:r w:rsidR="00327902" w:rsidRPr="001168CB">
              <w:rPr>
                <w:szCs w:val="24"/>
              </w:rPr>
              <w:t>īk</w:t>
            </w:r>
            <w:r w:rsidRPr="001168CB">
              <w:rPr>
                <w:szCs w:val="24"/>
              </w:rPr>
              <w:t xml:space="preserve">ojuma projektu </w:t>
            </w:r>
            <w:r w:rsidR="0054289A">
              <w:rPr>
                <w:szCs w:val="24"/>
              </w:rPr>
              <w:t>paredzēts</w:t>
            </w:r>
            <w:r w:rsidRPr="001168CB">
              <w:rPr>
                <w:szCs w:val="24"/>
              </w:rPr>
              <w:t xml:space="preserve"> apstiprināt un iekļaut </w:t>
            </w:r>
            <w:r w:rsidR="00655D74" w:rsidRPr="001168CB">
              <w:rPr>
                <w:szCs w:val="24"/>
              </w:rPr>
              <w:t xml:space="preserve">IKT </w:t>
            </w:r>
            <w:proofErr w:type="spellStart"/>
            <w:r w:rsidRPr="001168CB">
              <w:rPr>
                <w:szCs w:val="24"/>
              </w:rPr>
              <w:t>mērķarhitektūras</w:t>
            </w:r>
            <w:proofErr w:type="spellEnd"/>
            <w:r w:rsidRPr="001168CB">
              <w:rPr>
                <w:szCs w:val="24"/>
              </w:rPr>
              <w:t xml:space="preserve"> </w:t>
            </w:r>
            <w:r w:rsidR="002F481A" w:rsidRPr="001168CB">
              <w:rPr>
                <w:szCs w:val="24"/>
              </w:rPr>
              <w:t>4</w:t>
            </w:r>
            <w:r w:rsidR="00904AA2">
              <w:rPr>
                <w:szCs w:val="24"/>
              </w:rPr>
              <w:t>3</w:t>
            </w:r>
            <w:r w:rsidR="007B355D" w:rsidRPr="001168CB">
              <w:rPr>
                <w:szCs w:val="24"/>
              </w:rPr>
              <w:t>.0</w:t>
            </w:r>
            <w:r w:rsidR="0054289A">
              <w:rPr>
                <w:szCs w:val="24"/>
              </w:rPr>
              <w:t>.</w:t>
            </w:r>
            <w:r w:rsidR="001C142F">
              <w:rPr>
                <w:szCs w:val="24"/>
              </w:rPr>
              <w:t> </w:t>
            </w:r>
            <w:r w:rsidRPr="001168CB">
              <w:rPr>
                <w:szCs w:val="24"/>
              </w:rPr>
              <w:t>versijā projekta “</w:t>
            </w:r>
            <w:r w:rsidR="00966194" w:rsidRPr="001168CB">
              <w:rPr>
                <w:rFonts w:eastAsia="Times New Roman"/>
                <w:szCs w:val="24"/>
                <w:lang w:eastAsia="lv-LV"/>
              </w:rPr>
              <w:t>Valsts pārbaudījumu organizē</w:t>
            </w:r>
            <w:r w:rsidR="009F2693">
              <w:rPr>
                <w:rFonts w:eastAsia="Times New Roman"/>
                <w:szCs w:val="24"/>
                <w:lang w:eastAsia="lv-LV"/>
              </w:rPr>
              <w:t>-</w:t>
            </w:r>
            <w:proofErr w:type="spellStart"/>
            <w:r w:rsidR="00966194" w:rsidRPr="001168CB">
              <w:rPr>
                <w:rFonts w:eastAsia="Times New Roman"/>
                <w:szCs w:val="24"/>
                <w:lang w:eastAsia="lv-LV"/>
              </w:rPr>
              <w:t>šanas</w:t>
            </w:r>
            <w:proofErr w:type="spellEnd"/>
            <w:r w:rsidR="00966194" w:rsidRPr="001168CB">
              <w:rPr>
                <w:rFonts w:eastAsia="Times New Roman"/>
                <w:szCs w:val="24"/>
                <w:lang w:eastAsia="lv-LV"/>
              </w:rPr>
              <w:t xml:space="preserve"> procesa pilnveide</w:t>
            </w:r>
            <w:r w:rsidR="000E56AB" w:rsidRPr="001168CB">
              <w:rPr>
                <w:szCs w:val="24"/>
              </w:rPr>
              <w:t>”</w:t>
            </w:r>
            <w:r w:rsidR="007B355D" w:rsidRPr="001168CB">
              <w:rPr>
                <w:szCs w:val="24"/>
              </w:rPr>
              <w:t xml:space="preserve"> </w:t>
            </w:r>
            <w:r w:rsidRPr="001168CB">
              <w:rPr>
                <w:szCs w:val="24"/>
              </w:rPr>
              <w:t>(turpmāk –</w:t>
            </w:r>
            <w:r w:rsidR="00571147" w:rsidRPr="001168CB">
              <w:rPr>
                <w:szCs w:val="24"/>
              </w:rPr>
              <w:t xml:space="preserve"> </w:t>
            </w:r>
            <w:r w:rsidR="00C36DF7" w:rsidRPr="001168CB">
              <w:rPr>
                <w:szCs w:val="24"/>
              </w:rPr>
              <w:t>P</w:t>
            </w:r>
            <w:r w:rsidRPr="001168CB">
              <w:rPr>
                <w:szCs w:val="24"/>
              </w:rPr>
              <w:t>rojekts)</w:t>
            </w:r>
            <w:r w:rsidR="008F653E">
              <w:rPr>
                <w:szCs w:val="24"/>
              </w:rPr>
              <w:t xml:space="preserve"> aprakst</w:t>
            </w:r>
            <w:r w:rsidR="0054289A">
              <w:rPr>
                <w:szCs w:val="24"/>
              </w:rPr>
              <w:t>u</w:t>
            </w:r>
            <w:r w:rsidRPr="001168CB">
              <w:rPr>
                <w:szCs w:val="24"/>
              </w:rPr>
              <w:t>, kas tika izvērtēts</w:t>
            </w:r>
            <w:r w:rsidR="00D1544F" w:rsidRPr="001168CB">
              <w:rPr>
                <w:szCs w:val="24"/>
              </w:rPr>
              <w:t xml:space="preserve"> </w:t>
            </w:r>
            <w:r w:rsidR="001741F3">
              <w:rPr>
                <w:szCs w:val="24"/>
              </w:rPr>
              <w:t xml:space="preserve">Vides </w:t>
            </w:r>
            <w:proofErr w:type="spellStart"/>
            <w:r w:rsidR="001741F3">
              <w:rPr>
                <w:szCs w:val="24"/>
              </w:rPr>
              <w:t>auzsardzības</w:t>
            </w:r>
            <w:proofErr w:type="spellEnd"/>
            <w:r w:rsidR="001741F3">
              <w:rPr>
                <w:szCs w:val="24"/>
              </w:rPr>
              <w:t xml:space="preserve"> un reģionālās attīstības ministrijā (turpmāk – </w:t>
            </w:r>
            <w:r w:rsidR="00D1544F" w:rsidRPr="001168CB">
              <w:rPr>
                <w:szCs w:val="24"/>
              </w:rPr>
              <w:t>VARAM</w:t>
            </w:r>
            <w:r w:rsidR="001741F3">
              <w:rPr>
                <w:szCs w:val="24"/>
              </w:rPr>
              <w:t>)</w:t>
            </w:r>
            <w:r w:rsidRPr="001168CB">
              <w:rPr>
                <w:szCs w:val="24"/>
              </w:rPr>
              <w:t xml:space="preserve"> </w:t>
            </w:r>
            <w:r w:rsidR="00156423" w:rsidRPr="001168CB">
              <w:rPr>
                <w:szCs w:val="24"/>
              </w:rPr>
              <w:t xml:space="preserve">atbilstoši </w:t>
            </w:r>
            <w:r w:rsidRPr="001168CB">
              <w:rPr>
                <w:szCs w:val="24"/>
              </w:rPr>
              <w:t xml:space="preserve">izstrādātajai un apstiprinātajai metodikai par projektu iekļaušanu IKT </w:t>
            </w:r>
            <w:proofErr w:type="spellStart"/>
            <w:r w:rsidRPr="001168CB">
              <w:rPr>
                <w:szCs w:val="24"/>
              </w:rPr>
              <w:t>mērķarhitektūrā</w:t>
            </w:r>
            <w:proofErr w:type="spellEnd"/>
            <w:r w:rsidR="00CA5ECB">
              <w:rPr>
                <w:szCs w:val="24"/>
              </w:rPr>
              <w:t>.</w:t>
            </w:r>
            <w:r w:rsidR="00104A04">
              <w:rPr>
                <w:szCs w:val="24"/>
              </w:rPr>
              <w:t xml:space="preserve"> </w:t>
            </w:r>
            <w:r w:rsidRPr="001168CB">
              <w:t xml:space="preserve">VARAM ir </w:t>
            </w:r>
            <w:r w:rsidR="00104A04">
              <w:t>atbalstījis</w:t>
            </w:r>
            <w:r w:rsidR="006308DC" w:rsidRPr="001168CB">
              <w:t xml:space="preserve"> </w:t>
            </w:r>
            <w:r w:rsidR="00104A04">
              <w:t xml:space="preserve">Projekta iekļaušanu </w:t>
            </w:r>
            <w:r w:rsidR="00104A04" w:rsidRPr="00104A04">
              <w:t xml:space="preserve">IKT </w:t>
            </w:r>
            <w:proofErr w:type="spellStart"/>
            <w:r w:rsidR="00104A04" w:rsidRPr="00104A04">
              <w:t>mērķarhitektūras</w:t>
            </w:r>
            <w:proofErr w:type="spellEnd"/>
            <w:r w:rsidR="00104A04" w:rsidRPr="00104A04">
              <w:t xml:space="preserve"> kārtējā versijā</w:t>
            </w:r>
            <w:r w:rsidR="00401F6A">
              <w:t xml:space="preserve">. </w:t>
            </w:r>
          </w:p>
          <w:p w14:paraId="098F9D8E" w14:textId="77777777" w:rsidR="00B67552" w:rsidRPr="001168CB" w:rsidRDefault="00B67552" w:rsidP="00DA6420">
            <w:pPr>
              <w:pStyle w:val="VPBody"/>
              <w:jc w:val="both"/>
            </w:pPr>
            <w:r w:rsidRPr="001168CB">
              <w:t xml:space="preserve">Projekts tiek īstenots darbības programmas „Izaugsme un nodarbinātība” 2.2.1. specifiskā atbalsta mērķa „Nodrošināt publisko datu </w:t>
            </w:r>
            <w:proofErr w:type="spellStart"/>
            <w:r w:rsidRPr="001168CB">
              <w:t>atkalizmantošanas</w:t>
            </w:r>
            <w:proofErr w:type="spellEnd"/>
            <w:r w:rsidRPr="001168CB">
              <w:t xml:space="preserve"> pieaugumu un efektīvu publiskās pārvaldes un privātā sektora mijiedarbību” 2.2.1.1. pasākuma „Centralizētu publiskās pārvaldes IKT platformu izveide, publiskās pārvaldes procesu optimizēšana un attīstība” ietvaros.</w:t>
            </w:r>
          </w:p>
          <w:p w14:paraId="098F9D8F" w14:textId="77777777" w:rsidR="003C50EB" w:rsidRDefault="003C50EB" w:rsidP="008948F1">
            <w:pPr>
              <w:spacing w:before="120" w:after="120"/>
              <w:contextualSpacing/>
              <w:jc w:val="both"/>
              <w:rPr>
                <w:bCs/>
              </w:rPr>
            </w:pPr>
            <w:r w:rsidRPr="003C50EB">
              <w:rPr>
                <w:bCs/>
              </w:rPr>
              <w:t xml:space="preserve">Projekta realizētājs ir Latvijas Republikas Izglītības un zinātnes ministrija. Projekts tiek realizēts sadarbībā ar projekta partneriem – Valsts izglītības un satura centru (turpmāk – VISC) un Valsts valodas centru (turpmāk – VVC). Projekta īstenošanā tiks iesaistītas: pašvaldības kā izglītības iestāžu dibinātājas un kā iesaistītās puses centralizēto eksāmenu un diagnosticējošo darbu un eksāmenu (turpmāk abi kopā – necentralizētie valsts pārbaudījumi) organizēšanas procesos; izglītības iestādes kā iesaistītās puses valsts pārbaudījumu, tai skaitā profesionālās kvalifikācijas eksāmenu organizēšanas procesos; Ārlietu ministrija (turpmāk – ĀM) kā puse, kuras telpās tiks attālināti kārtoti valsts valodas pārbaudījumi ārvalstīs; Valsts reģionālās attīstības aģentūra (turpmāk – VRAA) kā koplietošanas infrastruktūras (valsts informācijas sistēmu </w:t>
            </w:r>
            <w:proofErr w:type="spellStart"/>
            <w:r w:rsidRPr="003C50EB">
              <w:rPr>
                <w:bCs/>
              </w:rPr>
              <w:t>savietotājs</w:t>
            </w:r>
            <w:proofErr w:type="spellEnd"/>
            <w:r w:rsidRPr="003C50EB">
              <w:rPr>
                <w:bCs/>
              </w:rPr>
              <w:t>, valsts pārvaldes pakalpojumu portāls www.latvija.lv, Latvijas atvērto datu portāls (https://data.gov.lv) u.c.) turētājs; Valsts sociālās apdrošināšanas aģentūra (turpmāk – VSAA) un Nodarbinātības valsts aģentūra (turpmāk – NVA) kā datu par bezdarbnieka statusu devēji.</w:t>
            </w:r>
          </w:p>
          <w:p w14:paraId="098F9D90" w14:textId="7318310E" w:rsidR="00F7412C" w:rsidRDefault="00B67552" w:rsidP="008948F1">
            <w:pPr>
              <w:spacing w:before="120" w:after="120"/>
              <w:contextualSpacing/>
              <w:jc w:val="both"/>
              <w:rPr>
                <w:bCs/>
              </w:rPr>
            </w:pPr>
            <w:r w:rsidRPr="001168CB">
              <w:rPr>
                <w:bCs/>
              </w:rPr>
              <w:t xml:space="preserve">Projekta iznākuma rādītāji paredz, ka </w:t>
            </w:r>
            <w:r w:rsidR="002C3E3E">
              <w:rPr>
                <w:bCs/>
              </w:rPr>
              <w:t>P</w:t>
            </w:r>
            <w:r w:rsidRPr="001168CB">
              <w:rPr>
                <w:bCs/>
              </w:rPr>
              <w:t>rojekta rezultātā tiks pilnveidoti 20 publiskās pārvaldes pamatdarbības procesi, tiks pilnveidoti</w:t>
            </w:r>
            <w:r w:rsidR="007D53E6">
              <w:rPr>
                <w:bCs/>
              </w:rPr>
              <w:t xml:space="preserve"> 3</w:t>
            </w:r>
            <w:r w:rsidR="001208AA">
              <w:rPr>
                <w:bCs/>
              </w:rPr>
              <w:t> </w:t>
            </w:r>
            <w:r w:rsidRPr="001168CB">
              <w:rPr>
                <w:bCs/>
              </w:rPr>
              <w:t xml:space="preserve">publiskās pārvaldes pakalpojumi </w:t>
            </w:r>
            <w:r w:rsidR="007D53E6">
              <w:rPr>
                <w:bCs/>
              </w:rPr>
              <w:t xml:space="preserve">(no tiem viens izveidots no jauna)  </w:t>
            </w:r>
            <w:r w:rsidRPr="001168CB">
              <w:rPr>
                <w:bCs/>
              </w:rPr>
              <w:t xml:space="preserve">un publicētas 12 atvērto datu kopas. </w:t>
            </w:r>
          </w:p>
          <w:p w14:paraId="098F9D91" w14:textId="77777777" w:rsidR="00F7412C" w:rsidRDefault="00F7412C" w:rsidP="008948F1">
            <w:pPr>
              <w:spacing w:before="120" w:after="120"/>
              <w:contextualSpacing/>
              <w:jc w:val="both"/>
              <w:rPr>
                <w:szCs w:val="28"/>
              </w:rPr>
            </w:pPr>
            <w:r w:rsidRPr="00F7412C">
              <w:rPr>
                <w:szCs w:val="28"/>
              </w:rPr>
              <w:t xml:space="preserve">Projekta </w:t>
            </w:r>
            <w:proofErr w:type="spellStart"/>
            <w:r w:rsidRPr="00F7412C">
              <w:rPr>
                <w:szCs w:val="28"/>
              </w:rPr>
              <w:t>virsmērķis</w:t>
            </w:r>
            <w:proofErr w:type="spellEnd"/>
            <w:r w:rsidRPr="00F7412C">
              <w:rPr>
                <w:szCs w:val="28"/>
              </w:rPr>
              <w:t xml:space="preserve"> ir veicināt darbības programmas „Izaugsme un nodarbinātība” specifiskā atbalsta mērķa 2.2.1. pasākuma definēto rezultātu rādītāju sasniegšanu.</w:t>
            </w:r>
          </w:p>
          <w:p w14:paraId="098F9D92" w14:textId="77777777" w:rsidR="00F7412C" w:rsidRPr="00F7412C" w:rsidRDefault="00F7412C" w:rsidP="008948F1">
            <w:pPr>
              <w:spacing w:before="120" w:after="120"/>
              <w:contextualSpacing/>
              <w:jc w:val="both"/>
              <w:rPr>
                <w:bCs/>
                <w:sz w:val="20"/>
              </w:rPr>
            </w:pPr>
          </w:p>
          <w:p w14:paraId="098F9D93" w14:textId="77777777" w:rsidR="008F6AEE" w:rsidRPr="001168CB" w:rsidRDefault="00AF192C" w:rsidP="008948F1">
            <w:pPr>
              <w:spacing w:before="120" w:after="120"/>
              <w:contextualSpacing/>
              <w:jc w:val="both"/>
              <w:rPr>
                <w:b/>
                <w:bCs/>
              </w:rPr>
            </w:pPr>
            <w:r w:rsidRPr="001168CB">
              <w:rPr>
                <w:b/>
                <w:bCs/>
                <w:u w:val="single"/>
              </w:rPr>
              <w:t>P</w:t>
            </w:r>
            <w:r w:rsidR="00062F9F">
              <w:rPr>
                <w:b/>
                <w:bCs/>
                <w:u w:val="single"/>
              </w:rPr>
              <w:t xml:space="preserve">rojekta </w:t>
            </w:r>
            <w:r w:rsidR="001A1418" w:rsidRPr="001168CB">
              <w:rPr>
                <w:b/>
                <w:bCs/>
                <w:u w:val="single"/>
              </w:rPr>
              <w:t>mērķi</w:t>
            </w:r>
            <w:r w:rsidR="001A1418" w:rsidRPr="001168CB">
              <w:rPr>
                <w:b/>
                <w:bCs/>
              </w:rPr>
              <w:t>:</w:t>
            </w:r>
          </w:p>
          <w:p w14:paraId="098F9D94" w14:textId="77777777" w:rsidR="00062F9F" w:rsidRPr="00062F9F" w:rsidRDefault="00062F9F" w:rsidP="00062F9F">
            <w:pPr>
              <w:overflowPunct w:val="0"/>
              <w:autoSpaceDE w:val="0"/>
              <w:autoSpaceDN w:val="0"/>
              <w:ind w:firstLine="720"/>
              <w:jc w:val="both"/>
              <w:textAlignment w:val="baseline"/>
              <w:rPr>
                <w:kern w:val="12"/>
              </w:rPr>
            </w:pPr>
            <w:r w:rsidRPr="00062F9F">
              <w:t>Projekts ir vērsts uz centralizēto eksāmenu un necentralizēto valsts pārbaudījumu, profesionālās kvalifikācijas eksāmenu un valsts valodas pārbaudījumu (turpmāk visi kopā – valsts pārbaudījumi) organizēšanas procesu pilnveidi, uzsākot virzību uz valsts pārbaudījumu kārtošanu elektroniski (turpmāk – e-vidē)</w:t>
            </w:r>
            <w:r w:rsidRPr="00062F9F">
              <w:rPr>
                <w:rStyle w:val="CommentReference"/>
                <w:sz w:val="24"/>
                <w:szCs w:val="24"/>
              </w:rPr>
              <w:t xml:space="preserve">, </w:t>
            </w:r>
            <w:r w:rsidRPr="00062F9F">
              <w:t xml:space="preserve">un </w:t>
            </w:r>
            <w:r w:rsidRPr="00062F9F">
              <w:rPr>
                <w:kern w:val="12"/>
              </w:rPr>
              <w:t>sekmēs šādu trīs būtiskāko mērķu sasniegšanu:</w:t>
            </w:r>
          </w:p>
          <w:p w14:paraId="098F9D95" w14:textId="77777777" w:rsidR="00062F9F" w:rsidRPr="00062F9F" w:rsidRDefault="00062F9F" w:rsidP="00062F9F">
            <w:pPr>
              <w:overflowPunct w:val="0"/>
              <w:autoSpaceDE w:val="0"/>
              <w:autoSpaceDN w:val="0"/>
              <w:ind w:firstLine="720"/>
              <w:jc w:val="both"/>
              <w:textAlignment w:val="baseline"/>
            </w:pPr>
            <w:r w:rsidRPr="00062F9F">
              <w:rPr>
                <w:kern w:val="12"/>
              </w:rPr>
              <w:lastRenderedPageBreak/>
              <w:t>1) valsts pārbaudījumu organizēšanas procesu optimizācija, attīstot</w:t>
            </w:r>
            <w:r w:rsidRPr="00062F9F">
              <w:t xml:space="preserve"> efektīvus un modernus risinājumus valsts pārbaudījumu organizēšanas procesu atbalstam, tai skaitā nodrošinot iespēju valsts pārbaudījumus vai to daļas kārtot e-vidē, uzlabojot informācijas apmaiņas un datu apstrādes iespējas;</w:t>
            </w:r>
          </w:p>
          <w:p w14:paraId="098F9D96" w14:textId="77777777" w:rsidR="00062F9F" w:rsidRDefault="00062F9F" w:rsidP="00062F9F">
            <w:pPr>
              <w:overflowPunct w:val="0"/>
              <w:autoSpaceDE w:val="0"/>
              <w:autoSpaceDN w:val="0"/>
              <w:ind w:firstLine="720"/>
              <w:jc w:val="both"/>
              <w:textAlignment w:val="baseline"/>
            </w:pPr>
            <w:r w:rsidRPr="00062F9F">
              <w:t>2) publiskās pārvaldes pakalpojumu pilnveidošana, attīstot lietotājiem draudzīgus e-pakalpojumus;</w:t>
            </w:r>
          </w:p>
          <w:p w14:paraId="098F9D97" w14:textId="77777777" w:rsidR="00991E1F" w:rsidRPr="00062F9F" w:rsidRDefault="00062F9F" w:rsidP="00062F9F">
            <w:pPr>
              <w:overflowPunct w:val="0"/>
              <w:autoSpaceDE w:val="0"/>
              <w:autoSpaceDN w:val="0"/>
              <w:ind w:firstLine="720"/>
              <w:jc w:val="both"/>
              <w:textAlignment w:val="baseline"/>
            </w:pPr>
            <w:r w:rsidRPr="00062F9F">
              <w:t xml:space="preserve">3) </w:t>
            </w:r>
            <w:r w:rsidRPr="00062F9F">
              <w:rPr>
                <w:kern w:val="12"/>
              </w:rPr>
              <w:t>informācijas noplūdes risku samazināšana, attīstot risinājumus, kas ierobežotu cilvēcisko faktoru valsts pārbaudījumu satura noplūdē valsts pārbaudījumu organizēšanas procesos.</w:t>
            </w:r>
          </w:p>
          <w:p w14:paraId="098F9D98" w14:textId="77777777" w:rsidR="00C22373" w:rsidRPr="001168CB" w:rsidRDefault="00C22373" w:rsidP="00991E1F">
            <w:pPr>
              <w:overflowPunct w:val="0"/>
              <w:autoSpaceDE w:val="0"/>
              <w:autoSpaceDN w:val="0"/>
              <w:spacing w:before="120" w:after="120"/>
              <w:jc w:val="both"/>
              <w:textAlignment w:val="baseline"/>
              <w:rPr>
                <w:b/>
                <w:u w:val="single"/>
              </w:rPr>
            </w:pPr>
          </w:p>
          <w:p w14:paraId="098F9D99" w14:textId="77777777" w:rsidR="00991E1F" w:rsidRPr="001168CB" w:rsidRDefault="00991E1F" w:rsidP="00991E1F">
            <w:pPr>
              <w:overflowPunct w:val="0"/>
              <w:autoSpaceDE w:val="0"/>
              <w:autoSpaceDN w:val="0"/>
              <w:spacing w:before="120" w:after="120"/>
              <w:jc w:val="both"/>
              <w:textAlignment w:val="baseline"/>
              <w:rPr>
                <w:b/>
                <w:u w:val="single"/>
              </w:rPr>
            </w:pPr>
            <w:r w:rsidRPr="001168CB">
              <w:rPr>
                <w:b/>
                <w:u w:val="single"/>
              </w:rPr>
              <w:t>Darbības projekta mērķu sasniegšanai:</w:t>
            </w:r>
          </w:p>
          <w:p w14:paraId="098F9D9A" w14:textId="77777777" w:rsidR="00991E1F" w:rsidRPr="001168CB" w:rsidRDefault="00991E1F" w:rsidP="00A04A16">
            <w:pPr>
              <w:pStyle w:val="VPBody"/>
              <w:spacing w:after="120" w:line="240" w:lineRule="auto"/>
            </w:pPr>
            <w:r w:rsidRPr="001168CB">
              <w:t>Projekta mērķa sasniegšanai tiks veiktas šādas darbības:</w:t>
            </w:r>
          </w:p>
          <w:p w14:paraId="098F9D9B" w14:textId="4E88D05F" w:rsidR="00991E1F" w:rsidRPr="001168CB" w:rsidRDefault="001208AA" w:rsidP="00A04A16">
            <w:pPr>
              <w:pStyle w:val="VPBody"/>
              <w:numPr>
                <w:ilvl w:val="0"/>
                <w:numId w:val="26"/>
              </w:numPr>
              <w:tabs>
                <w:tab w:val="left" w:pos="0"/>
              </w:tabs>
              <w:spacing w:after="120" w:line="240" w:lineRule="auto"/>
              <w:jc w:val="both"/>
            </w:pPr>
            <w:r>
              <w:t>t</w:t>
            </w:r>
            <w:r w:rsidR="00991E1F" w:rsidRPr="001168CB">
              <w:t>iks izveidota Projekta pārvaldība komanda, kas nodrošinās Projekta vadības pasākumu veikšanu, koordinēs sadarbības partneru</w:t>
            </w:r>
            <w:r w:rsidR="000D0978">
              <w:t>, tai skaitā Latvijas Lielo pilsētu asociācijas un Latvijas Pašvaldību savienības</w:t>
            </w:r>
            <w:r w:rsidR="00C41344">
              <w:t xml:space="preserve"> speciālistu,</w:t>
            </w:r>
            <w:r w:rsidR="00991E1F" w:rsidRPr="001168CB">
              <w:t xml:space="preserve"> un citu iesaistīto pušu iesaisti Projektā, organizēs projektā paredzētos iepirkumus, veiks Projekta finanšu plūsmas plānošanu un kontroli, kā arī nodrošinās Projekta risku vadību</w:t>
            </w:r>
            <w:r>
              <w:t>;</w:t>
            </w:r>
          </w:p>
          <w:p w14:paraId="098F9D9C" w14:textId="21517CE2" w:rsidR="00991E1F" w:rsidRPr="001168CB" w:rsidRDefault="001208AA" w:rsidP="00973CA7">
            <w:pPr>
              <w:pStyle w:val="VPBody"/>
              <w:numPr>
                <w:ilvl w:val="0"/>
                <w:numId w:val="26"/>
              </w:numPr>
              <w:tabs>
                <w:tab w:val="left" w:pos="0"/>
              </w:tabs>
              <w:spacing w:after="120" w:line="240" w:lineRule="auto"/>
              <w:jc w:val="both"/>
            </w:pPr>
            <w:r>
              <w:t>t</w:t>
            </w:r>
            <w:r w:rsidR="00991E1F" w:rsidRPr="001168CB">
              <w:t>iks veikta Valsts pārbaudījumu informācijas sistēmas (turpmāk – Sistēma) pilnveidojumu tehniskās specifikācijas izstrāde, cieši sadarbojoties ar  sadarbības partneriem (VISC, VVC) un iesaistītajām pusēm (pašvaldības, izglītības iestādes, ĀM, VRAA, VSAA, NVA). Tehniskās specifikācijas sagatavošanas aktivitātes ietvaros tiks veikta valsts pārbaudījumu organizēšanas nākotnes biznesa procesu un atbilstošo prasību definēšana, t.sk., ņemot vērā ārvalstu prakses izpēti, projekta “Komp</w:t>
            </w:r>
            <w:r w:rsidR="00973CA7">
              <w:t xml:space="preserve">etenču pieeja mācību saturā”, </w:t>
            </w:r>
            <w:r w:rsidR="00991E1F" w:rsidRPr="001168CB">
              <w:t>projekta “Nozaru kvalifikācijas sistēmas pilnveide profesionālās izglītības attīstībai un kvalitātes nodrošināšanai”</w:t>
            </w:r>
            <w:r w:rsidR="00973CA7">
              <w:t xml:space="preserve"> un projekta      “</w:t>
            </w:r>
            <w:r w:rsidR="00973CA7" w:rsidRPr="00973CA7">
              <w:t xml:space="preserve">Izglītības kvalitātes </w:t>
            </w:r>
            <w:proofErr w:type="spellStart"/>
            <w:r w:rsidR="00973CA7" w:rsidRPr="00973CA7">
              <w:t>monito</w:t>
            </w:r>
            <w:proofErr w:type="spellEnd"/>
            <w:r w:rsidR="006524B0">
              <w:t>-</w:t>
            </w:r>
            <w:r w:rsidR="00973CA7" w:rsidRPr="00973CA7">
              <w:t>ringa sistēmas izveide</w:t>
            </w:r>
            <w:r w:rsidR="00973CA7">
              <w:t xml:space="preserve">” rezultātus </w:t>
            </w:r>
            <w:r w:rsidR="00991E1F" w:rsidRPr="001168CB">
              <w:t>attiecībā uz valsts pārbaudījumu darbiem, kā arī ņemot vērā izglītības iestāžu tehnisko nodrošinājumu un tā plānoto attīstību, lai rezultātā nodrošinātu tādu valsts pārbaudījumu organizēšanas procesu ieviešanu un atbilstošu Sistēmas un tehniskā nodrošinājuma risinājumu, k</w:t>
            </w:r>
            <w:bookmarkStart w:id="0" w:name="_GoBack"/>
            <w:bookmarkEnd w:id="0"/>
            <w:r w:rsidR="00991E1F" w:rsidRPr="001168CB">
              <w:t>as atbalstītu iespēju valsts pārbaudījumus vai noteiktas to daļas kārtot e-vidē izglītības iestādēs, atbilstoši to pieejamajam IKT nodrošinājumam</w:t>
            </w:r>
            <w:r>
              <w:t>;</w:t>
            </w:r>
          </w:p>
          <w:p w14:paraId="098F9D9D" w14:textId="77777777" w:rsidR="00991E1F" w:rsidRPr="001168CB" w:rsidRDefault="001208AA" w:rsidP="00A04A16">
            <w:pPr>
              <w:pStyle w:val="VPBody"/>
              <w:numPr>
                <w:ilvl w:val="0"/>
                <w:numId w:val="26"/>
              </w:numPr>
              <w:tabs>
                <w:tab w:val="left" w:pos="0"/>
              </w:tabs>
              <w:spacing w:after="120" w:line="240" w:lineRule="auto"/>
              <w:jc w:val="both"/>
            </w:pPr>
            <w:r>
              <w:t>t</w:t>
            </w:r>
            <w:r w:rsidR="00991E1F" w:rsidRPr="001168CB">
              <w:t>iks veikta Sistēmas pilnveidojumu izstrāde, kas tiks realizēta atbilstoši iteratīvajai (</w:t>
            </w:r>
            <w:proofErr w:type="spellStart"/>
            <w:r w:rsidR="00991E1F" w:rsidRPr="001168CB">
              <w:rPr>
                <w:i/>
              </w:rPr>
              <w:t>Agile</w:t>
            </w:r>
            <w:proofErr w:type="spellEnd"/>
            <w:r w:rsidR="00991E1F" w:rsidRPr="001168CB">
              <w:t xml:space="preserve">) metodoloģijai, izstrādes procesā iesaistot sadarbības partnerus un iesaistītās puses, jo īpaši izglītības iestādes un pašvaldības. </w:t>
            </w:r>
            <w:r w:rsidR="00062F9F">
              <w:t>Sistēmas</w:t>
            </w:r>
            <w:r w:rsidR="00991E1F" w:rsidRPr="001168CB">
              <w:t xml:space="preserve"> izstrādes aktivitātes ietvaros, t.sk., tiks veikta lietotāju vajadzību analīze, lai nodrošinātu, ka gala rezultātā tiek izstrādāts risinājums, kas atbilstu gala lietotāju vajadzībām un lietojamības standartiem un labajai praksei</w:t>
            </w:r>
            <w:r>
              <w:t>;</w:t>
            </w:r>
          </w:p>
          <w:p w14:paraId="098F9D9E" w14:textId="77777777" w:rsidR="00991E1F" w:rsidRPr="001168CB" w:rsidRDefault="001208AA" w:rsidP="00A04A16">
            <w:pPr>
              <w:pStyle w:val="VPBody"/>
              <w:numPr>
                <w:ilvl w:val="0"/>
                <w:numId w:val="26"/>
              </w:numPr>
              <w:tabs>
                <w:tab w:val="left" w:pos="0"/>
              </w:tabs>
              <w:spacing w:after="120" w:line="240" w:lineRule="auto"/>
              <w:jc w:val="both"/>
            </w:pPr>
            <w:r>
              <w:t>t</w:t>
            </w:r>
            <w:r w:rsidR="00991E1F" w:rsidRPr="001168CB">
              <w:t xml:space="preserve">iks veikta </w:t>
            </w:r>
            <w:r w:rsidR="003452A8">
              <w:t>Sistēmas</w:t>
            </w:r>
            <w:r w:rsidR="00991E1F" w:rsidRPr="001168CB">
              <w:t xml:space="preserve"> risinājuma ieviešana, kā ietvaros tiks veikta valsts valodas</w:t>
            </w:r>
            <w:r w:rsidR="00062F9F">
              <w:t xml:space="preserve"> pārbaudījumu rezultātu no 1992. gada 1. janvāra l</w:t>
            </w:r>
            <w:r w:rsidR="00991E1F" w:rsidRPr="001168CB">
              <w:t>īdz 2001. gada 31.</w:t>
            </w:r>
            <w:r w:rsidR="009F34FC">
              <w:t xml:space="preserve"> </w:t>
            </w:r>
            <w:r w:rsidR="00991E1F" w:rsidRPr="001168CB">
              <w:t xml:space="preserve">janvārim </w:t>
            </w:r>
            <w:proofErr w:type="spellStart"/>
            <w:r w:rsidR="00991E1F" w:rsidRPr="001168CB">
              <w:t>digitalizācija</w:t>
            </w:r>
            <w:proofErr w:type="spellEnd"/>
            <w:r w:rsidR="00991E1F" w:rsidRPr="001168CB">
              <w:t xml:space="preserve">, datu migrācija un imports, Sistēmas lietotāju, jo īpaši, atbildīgo pedagogu valsts pārbaudījumu organizēšanas procesu </w:t>
            </w:r>
            <w:r w:rsidR="00991E1F" w:rsidRPr="001168CB">
              <w:lastRenderedPageBreak/>
              <w:t>ietvaros, un administratoru apmācības u.c. nepieciešamie ieviešanas pasākumi</w:t>
            </w:r>
            <w:r>
              <w:t>;</w:t>
            </w:r>
          </w:p>
          <w:p w14:paraId="098F9D9F" w14:textId="77777777" w:rsidR="00991E1F" w:rsidRPr="001168CB" w:rsidRDefault="001208AA" w:rsidP="00A04A16">
            <w:pPr>
              <w:pStyle w:val="VPBody"/>
              <w:numPr>
                <w:ilvl w:val="0"/>
                <w:numId w:val="26"/>
              </w:numPr>
              <w:tabs>
                <w:tab w:val="left" w:pos="0"/>
              </w:tabs>
              <w:spacing w:after="120" w:line="240" w:lineRule="auto"/>
              <w:jc w:val="both"/>
            </w:pPr>
            <w:r>
              <w:t>t</w:t>
            </w:r>
            <w:r w:rsidR="00991E1F" w:rsidRPr="001168CB">
              <w:t xml:space="preserve">iks nodrošināta </w:t>
            </w:r>
            <w:r w:rsidR="001B7F80">
              <w:t>Sistēmas</w:t>
            </w:r>
            <w:r w:rsidR="00991E1F" w:rsidRPr="001168CB">
              <w:t xml:space="preserve"> pilnveidojumu izstrādes un ieviešanas kvalitātes kontrole, t.sk. neatkarīgs izstrādāto </w:t>
            </w:r>
            <w:r w:rsidR="00370730">
              <w:t>Sistēmas</w:t>
            </w:r>
            <w:r w:rsidR="00991E1F" w:rsidRPr="001168CB">
              <w:t xml:space="preserve"> papildinājumu drošības un veiktspējas audits</w:t>
            </w:r>
            <w:r>
              <w:t>;</w:t>
            </w:r>
          </w:p>
          <w:p w14:paraId="098F9DA0" w14:textId="77777777" w:rsidR="00991E1F" w:rsidRPr="001168CB" w:rsidRDefault="001208AA" w:rsidP="00A04A16">
            <w:pPr>
              <w:pStyle w:val="VPBody"/>
              <w:numPr>
                <w:ilvl w:val="0"/>
                <w:numId w:val="26"/>
              </w:numPr>
              <w:tabs>
                <w:tab w:val="left" w:pos="0"/>
              </w:tabs>
              <w:spacing w:after="120" w:line="240" w:lineRule="auto"/>
              <w:jc w:val="both"/>
            </w:pPr>
            <w:r>
              <w:t>t</w:t>
            </w:r>
            <w:r w:rsidR="00991E1F" w:rsidRPr="001168CB">
              <w:t>iks nodrošināta nepieciešamo izmaiņu normatīvajos aktos veikšana</w:t>
            </w:r>
            <w:r>
              <w:t>;</w:t>
            </w:r>
          </w:p>
          <w:p w14:paraId="098F9DA1" w14:textId="77777777" w:rsidR="000B3D95" w:rsidRPr="001168CB" w:rsidRDefault="001208AA" w:rsidP="00A04A16">
            <w:pPr>
              <w:pStyle w:val="VPBody"/>
              <w:numPr>
                <w:ilvl w:val="0"/>
                <w:numId w:val="26"/>
              </w:numPr>
              <w:tabs>
                <w:tab w:val="left" w:pos="0"/>
              </w:tabs>
              <w:spacing w:after="120" w:line="240" w:lineRule="auto"/>
              <w:jc w:val="both"/>
            </w:pPr>
            <w:r>
              <w:t>t</w:t>
            </w:r>
            <w:r w:rsidR="00991E1F" w:rsidRPr="001168CB">
              <w:t>iks nodrošināti Projekta informatīvie un publicitātes pasākumi.</w:t>
            </w:r>
          </w:p>
          <w:p w14:paraId="699696B4" w14:textId="77777777" w:rsidR="000B3D95" w:rsidRDefault="00EA669F" w:rsidP="00EA669F">
            <w:pPr>
              <w:pStyle w:val="VPBullet"/>
              <w:numPr>
                <w:ilvl w:val="0"/>
                <w:numId w:val="0"/>
              </w:numPr>
              <w:rPr>
                <w:szCs w:val="28"/>
                <w:shd w:val="clear" w:color="auto" w:fill="FFFFFF"/>
              </w:rPr>
            </w:pPr>
            <w:r w:rsidRPr="001168CB">
              <w:rPr>
                <w:szCs w:val="28"/>
              </w:rPr>
              <w:t xml:space="preserve">Atbildīga par </w:t>
            </w:r>
            <w:r w:rsidR="008855E9">
              <w:rPr>
                <w:szCs w:val="28"/>
              </w:rPr>
              <w:t>P</w:t>
            </w:r>
            <w:r w:rsidRPr="001168CB">
              <w:rPr>
                <w:szCs w:val="28"/>
              </w:rPr>
              <w:t xml:space="preserve">rojekta </w:t>
            </w:r>
            <w:r w:rsidRPr="001168CB">
              <w:rPr>
                <w:szCs w:val="28"/>
                <w:shd w:val="clear" w:color="auto" w:fill="FFFFFF"/>
              </w:rPr>
              <w:t xml:space="preserve">īstenošanu un </w:t>
            </w:r>
            <w:r w:rsidR="008855E9">
              <w:rPr>
                <w:szCs w:val="28"/>
                <w:shd w:val="clear" w:color="auto" w:fill="FFFFFF"/>
              </w:rPr>
              <w:t>P</w:t>
            </w:r>
            <w:r w:rsidRPr="001168CB">
              <w:rPr>
                <w:szCs w:val="28"/>
                <w:shd w:val="clear" w:color="auto" w:fill="FFFFFF"/>
              </w:rPr>
              <w:t>rojekta aprakstā plānoto rezultātu, tai skaitā finanšu, rezultāta un iznākuma rādītāju, sasniegšanu ir Izglītības un zin</w:t>
            </w:r>
            <w:r w:rsidR="002D6699" w:rsidRPr="001168CB">
              <w:rPr>
                <w:szCs w:val="28"/>
                <w:shd w:val="clear" w:color="auto" w:fill="FFFFFF"/>
              </w:rPr>
              <w:t>ātnes ministrija</w:t>
            </w:r>
            <w:r w:rsidRPr="001168CB">
              <w:rPr>
                <w:szCs w:val="28"/>
                <w:shd w:val="clear" w:color="auto" w:fill="FFFFFF"/>
              </w:rPr>
              <w:t xml:space="preserve">. </w:t>
            </w:r>
          </w:p>
          <w:p w14:paraId="12B93FEF" w14:textId="3F8CFF48" w:rsidR="00051BFA" w:rsidRDefault="00051BFA" w:rsidP="00051BFA">
            <w:pPr>
              <w:pStyle w:val="VPBullet"/>
              <w:numPr>
                <w:ilvl w:val="0"/>
                <w:numId w:val="0"/>
              </w:numPr>
            </w:pPr>
            <w:r>
              <w:t xml:space="preserve">Minētās darbības projekta mērķu sasniegšanai ir nepieciešamas tādēļ, </w:t>
            </w:r>
            <w:r w:rsidR="00674600">
              <w:t>ka tā rezultātā tiks pilnveidoti šādi esošie procesi</w:t>
            </w:r>
            <w:r>
              <w:t>:</w:t>
            </w:r>
          </w:p>
          <w:p w14:paraId="7A693A33" w14:textId="77777777" w:rsidR="00051BFA" w:rsidRDefault="00051BFA" w:rsidP="00876FC9">
            <w:pPr>
              <w:pStyle w:val="VPBullet"/>
              <w:ind w:left="423" w:hanging="399"/>
            </w:pPr>
            <w:r>
              <w:t>Centralizēto eksāmenu veidlapu pavairošanas un piegādes procesa nodrošināšanas process, kas atspoguļosies arī procesa izmaksu samazinājumā. Atbilstoši esošajiem VISC aprēķiniem, centralizēto eksāmenu pavairošanas un piegādes izmaksas, kuras aptver procesos iesaistītā personāla atalgojumu, kā arī nepieciešamo materiāltehnisko nodrošinājumu sastāda 180 800 EUR gadā. Līdz ar Sistēmas ieviešanu būtiski tiks samazinātas izmaksas, kas ir attiecināmas uz centralizēto eksāmenu pavairošanai veicamajām darbībām un materiāliem.</w:t>
            </w:r>
          </w:p>
          <w:p w14:paraId="6460EA8F" w14:textId="42F3F4A2" w:rsidR="00051BFA" w:rsidRDefault="00051BFA" w:rsidP="00AE7878">
            <w:pPr>
              <w:pStyle w:val="VPBullet"/>
              <w:ind w:left="423" w:hanging="399"/>
            </w:pPr>
            <w:r>
              <w:t>Centralizēto eksāmenu vērtēšanas pasākumu īstenošana. Atbilstoši esošajiem VISC aprēķiniem, centralizēto eksāmenu vērtēšanas pasākumu</w:t>
            </w:r>
            <w:r w:rsidR="00A92E6B">
              <w:t xml:space="preserve"> ikgadējās izmaksas sastāda 113 </w:t>
            </w:r>
            <w:r>
              <w:t>610 EUR, kuras veido vērtēšanas procesā iesaistītajām personām izmaksātā atlīdzība un ar to saistītās nodokļu izmaksas. Ņemot vērā, ka līdz ar Sistēmas ieviešanu tiktu būtiski samazināts centralizēto eksāmenu darbu sadaļu apjoms, kura vērtēšanā ir nepieciešams iesaistīt cilvēkresursus, to aizstājot ar automatizētām pārbaudēm Sistēmas līmenī, tiek sagaidīts, ka piesaistāmo ekspertu atlīdzības kopējais apjoms varētu tikt samazināts.</w:t>
            </w:r>
          </w:p>
          <w:p w14:paraId="0513368A" w14:textId="1EF4ECBD" w:rsidR="00EE5911" w:rsidRDefault="00051BFA" w:rsidP="0016386C">
            <w:pPr>
              <w:pStyle w:val="VPBullet"/>
              <w:ind w:left="423" w:hanging="399"/>
            </w:pPr>
            <w:r>
              <w:t>Valsts valodas pārbaudījuma organizēšanas procesu īstenošana. Atbilstoši esošajiem VISC datiem, esošajā situācijā valsts valodas pārbaudījumu ikgadējās izmaksas sastāda 65</w:t>
            </w:r>
            <w:r w:rsidR="007C4BAF">
              <w:t> </w:t>
            </w:r>
            <w:r>
              <w:t>720 EUR, ko veido attiecīgajos procesos iesaistītā personāla atlīdzība, materiāltehniskā nodrošinājuma pieejamība, nepieciešamo pārbaudes materiālu pavairošana. Ņemot vērā, ka attiecīgos procesus līdz ar Sistēmas ieviešanu ir plānots pilnībā elektronizēt, esošie aprēķini liecina, ka kopējās procesu izmaksas varētu tikt samazinātas.</w:t>
            </w:r>
          </w:p>
          <w:p w14:paraId="49491976" w14:textId="79CB5632" w:rsidR="00EE5911" w:rsidRDefault="00051BFA" w:rsidP="00EE5911">
            <w:pPr>
              <w:pStyle w:val="VPBullet"/>
              <w:ind w:left="388"/>
            </w:pPr>
            <w:r>
              <w:t xml:space="preserve">Iespējamo pārsūdzību gadījumu samazinājums. Katru gadu personas, kuras ir kārtojušas valsts pārbaudījumus un nav apmierinātas ar saņemto novērtējumu, vēršas ar iesniegumiem veikt atkārtotu to darbu novērtēšanu. Attiecīgo iesniegumu apjoms katra gada ietvaros ir mainīgs, tomēr nereti tuvojas vismaz 100 iesniegumu robežai. Katra attiecīgā gadījuma izvērtēšana un atkārtotas vērtēšanas procesa īstenošana prasa noteiktas izmaksas, kuras atšķiras, ņemot vērā konkrētā iesnieguma būtību. </w:t>
            </w:r>
          </w:p>
          <w:p w14:paraId="329E50D3" w14:textId="522D1166" w:rsidR="00051BFA" w:rsidRDefault="00051BFA" w:rsidP="00EE5911">
            <w:pPr>
              <w:pStyle w:val="VPBullet"/>
              <w:ind w:left="374"/>
            </w:pPr>
            <w:r>
              <w:t xml:space="preserve">Valsts pārbaudījumu darbu rezultāti ir viens no būtiskākajiem nosacījumiem tālāko plānošanas pasākumu veikšanai attiecībā uz izglītības iestādes darbības nodrošināšanu, jo norāda uz iespējamajām </w:t>
            </w:r>
            <w:r>
              <w:lastRenderedPageBreak/>
              <w:t>nepilnībām mācību procesa īstenošanā, noteiktu jautājumu apskatē un saistītajiem nosacījumiem. Katru gadu izglītības iestādes patērē ievērojamus laika resursus datu apkopošanai un analīzes veikšanai par iepriekšējo gadu mācību rezultātiem, to izmaiņām salīdzinājumā ar iepriekšējiem gadiem un citiem saistītajiem jautājumiem. Attiecīgās informācijas analīze esošajā situācijā nereti tiek veikta īstenojot liela apjoma manuāla darbu attiecībā uz nepieciešamo atskaišu sagatavošanu un korelāciju meklēšanu vairāku gadu griezumā. Līdz ar Sistēmas ieviešanu attiecīgās analīzes darbības būs īstenojamas tās ietvaros, tādējādi būtiski samazinot nepieciešamos laika resursus izglītības iestādēm un arī pašvaldībām, kuras ir iesaistītas izglītības īstenošanas nodrošināšanā. Indikatīvie aprēķini liecina, ka kopējais laika ietaupījums izglītības iestādēs un pašvaldībās var sastādīt 28 darba stundas katrā organizācijā gada ietvaros. Ņemot vērā, ka Latvijā ir 110 novadu pašvaldības un 9 republikas pilsētas (kopā 119) kā arī 1066 vispārizglītojošās un profesionālās izglītības iestādes, kas ir iesaistīta centralizēto un necentralizēto valsts pārbaudījumu un profesionālās kvalifikācijas eksāmenu īstenošanā, kopējā laika ekonomija var sasniegt 33 180 darba stundas gadā.</w:t>
            </w:r>
          </w:p>
          <w:p w14:paraId="7E8F86FD" w14:textId="196D9068" w:rsidR="00051BFA" w:rsidRDefault="00051BFA" w:rsidP="00EE5911">
            <w:pPr>
              <w:pStyle w:val="VPBullet"/>
              <w:ind w:left="388"/>
            </w:pPr>
            <w:r>
              <w:t>Necentralizēto valsts pārbaudījumu veidlapu pavairošanas (organizē izglītības iestādes) izmaksu samazinājums. Līdzīgi kā centralizēto eksāmenu gadījumā, arī necentralizēto valsts pārbaudījumu organizēšanā ļoti būtiskas izmaksas veido attiecīgo pārbaudes darbu pavairošanas nodrošināšana, kas tiek īstenota izglītības iestādēs. Ņemot vērā, ka necentralizēto valsts pārbaudījumu darbu apjoms pārsniedz centralizēto eksāmenu darbu apjomu (darbu skaits centralizētajiem eksāmeniem ir ~52000 bet necentralizētajiem ~203000), tad arī kopējais ietaupījums ir plānots lielāks.</w:t>
            </w:r>
            <w:r w:rsidR="00D305B7">
              <w:t xml:space="preserve"> </w:t>
            </w:r>
          </w:p>
          <w:p w14:paraId="257998C5" w14:textId="77777777" w:rsidR="00770386" w:rsidRDefault="00051BFA" w:rsidP="00770386">
            <w:pPr>
              <w:pStyle w:val="VPBullet"/>
              <w:ind w:left="360"/>
            </w:pPr>
            <w:r>
              <w:t>Necentralizēto valsts pārbaudījumu vērtēšana pasākumu īstenošanas (veic izglītības iestādes) izmaksu samazinājums. Necentralizēto valsts pārbaudījumu vērtēšanas pasākumu īstenošana esošajā situācijā tiek īstenota pašās izglītības iestādēs, tajās iesaistot attiecīgās iestādes darbiniekus. Līdz ar Sistēmas ieviešanu būtiski tiks samazināts arī necentralizēto valsts pārbaudījumu apjoms, kuru labošana būtu veicama manuālā veidā, tādā veidā samazinot arī kopējās šī procesa izmaksas.</w:t>
            </w:r>
            <w:r w:rsidR="00D305B7">
              <w:t xml:space="preserve"> </w:t>
            </w:r>
          </w:p>
          <w:p w14:paraId="098F9DA2" w14:textId="0F8E8ACC" w:rsidR="00051BFA" w:rsidRPr="001168CB" w:rsidRDefault="00051BFA" w:rsidP="007C4BAF">
            <w:pPr>
              <w:pStyle w:val="VPBullet"/>
              <w:ind w:left="360"/>
            </w:pPr>
            <w:r>
              <w:t xml:space="preserve">Laika ekonomija informācijas sniegšanai par valsts valodas pārbaudījumu kārtotājiem. Esošajā situācijā gadījumos, kad personai vai kādai organizācijai ir nepieciešama informācija par personas valsts valodas pārbaudījuma nokārtošanu, tai ar iesniegumu ir nepieciešams griezties VISC. VISC esošajā situācijā ir pieejama informācija par valsts valodas pārbaudījumu kārtotājiem no 2001. gada 1. februāra. Ja persona valsts valodas pārbaudījumu ir kārtojusi pirms līdz 2001. gada 1. februāra, VISC ir jāraksta iesniegums VVC, kas bija atbildīgā iestāde par valsts valodas pārbaudījumu organizēšanu no 1992. līdz 2001. gada 31. janvārim un kuras arhīvā ir pieejami dati par valsts valodas pārbaudījumu kārtotājiem šajā laika periodā. VVC, atbilstoši pieprasījumam, veic iesnieguma apstrādi, kas ietver meklēšanas pasākumus arhīvā, atbildes vēstules sagatavošanu un saskaņošanu, pārbaudījuma protokola skenēšanu un  pievienošanu, reģistrēšanu lietvedībā u.c., kur kopējā iesnieguma apstrāde aizņem ~ 1 mēnesi, no kā, atbilstoši veiktajam </w:t>
            </w:r>
            <w:r>
              <w:lastRenderedPageBreak/>
              <w:t>novērtējumam, “tīrais” laiks pieteikuma apstrādei par vienu personu aizņem vidēji 8 darba stundas.</w:t>
            </w:r>
          </w:p>
        </w:tc>
      </w:tr>
      <w:tr w:rsidR="000115B5" w:rsidRPr="001168CB" w14:paraId="098F9DA8" w14:textId="77777777" w:rsidTr="00E2556E">
        <w:trPr>
          <w:trHeight w:val="1000"/>
          <w:tblCellSpacing w:w="0" w:type="dxa"/>
        </w:trPr>
        <w:tc>
          <w:tcPr>
            <w:tcW w:w="762" w:type="dxa"/>
          </w:tcPr>
          <w:p w14:paraId="098F9DA4" w14:textId="18B7EC49" w:rsidR="000115B5" w:rsidRPr="001168CB" w:rsidRDefault="00681198" w:rsidP="008948F1">
            <w:pPr>
              <w:spacing w:before="120" w:after="120"/>
              <w:rPr>
                <w:lang w:eastAsia="en-US"/>
              </w:rPr>
            </w:pPr>
            <w:r w:rsidRPr="001168CB">
              <w:rPr>
                <w:lang w:eastAsia="en-US"/>
              </w:rPr>
              <w:lastRenderedPageBreak/>
              <w:t> 3.</w:t>
            </w:r>
          </w:p>
        </w:tc>
        <w:tc>
          <w:tcPr>
            <w:tcW w:w="1986" w:type="dxa"/>
          </w:tcPr>
          <w:p w14:paraId="098F9DA5" w14:textId="77777777" w:rsidR="000115B5" w:rsidRPr="001168CB" w:rsidRDefault="000115B5" w:rsidP="008948F1">
            <w:pPr>
              <w:spacing w:before="120" w:after="120"/>
              <w:rPr>
                <w:lang w:eastAsia="en-US"/>
              </w:rPr>
            </w:pPr>
            <w:r w:rsidRPr="001168CB">
              <w:rPr>
                <w:lang w:eastAsia="en-US"/>
              </w:rPr>
              <w:t>Projekta izstrādē iesaistītās institūcijas</w:t>
            </w:r>
          </w:p>
        </w:tc>
        <w:tc>
          <w:tcPr>
            <w:tcW w:w="7479" w:type="dxa"/>
          </w:tcPr>
          <w:p w14:paraId="098F9DA6" w14:textId="77777777" w:rsidR="00AC1CF3" w:rsidRPr="001168CB" w:rsidRDefault="00D209CC" w:rsidP="00770386">
            <w:pPr>
              <w:spacing w:after="160" w:line="259" w:lineRule="auto"/>
              <w:ind w:firstLine="346"/>
              <w:contextualSpacing/>
              <w:jc w:val="both"/>
              <w:rPr>
                <w:rFonts w:eastAsia="PMingLiU"/>
              </w:rPr>
            </w:pPr>
            <w:r w:rsidRPr="001168CB">
              <w:rPr>
                <w:rFonts w:eastAsia="PMingLiU"/>
              </w:rPr>
              <w:t>Izglītības un zinātnes ministrija, VISC</w:t>
            </w:r>
            <w:r w:rsidR="00755AF6" w:rsidRPr="001168CB">
              <w:rPr>
                <w:rFonts w:eastAsia="PMingLiU"/>
              </w:rPr>
              <w:t>, VVC</w:t>
            </w:r>
            <w:r w:rsidR="007E0F15">
              <w:rPr>
                <w:rFonts w:eastAsia="PMingLiU"/>
              </w:rPr>
              <w:t>.</w:t>
            </w:r>
          </w:p>
          <w:p w14:paraId="098F9DA7" w14:textId="77777777" w:rsidR="00AC1CF3" w:rsidRPr="001168CB" w:rsidRDefault="00AC1CF3" w:rsidP="00FA7669">
            <w:pPr>
              <w:spacing w:before="120" w:after="120"/>
              <w:jc w:val="both"/>
            </w:pPr>
          </w:p>
        </w:tc>
      </w:tr>
      <w:tr w:rsidR="000115B5" w:rsidRPr="001168CB" w14:paraId="098F9DAE" w14:textId="77777777" w:rsidTr="008B3F52">
        <w:trPr>
          <w:tblCellSpacing w:w="0" w:type="dxa"/>
        </w:trPr>
        <w:tc>
          <w:tcPr>
            <w:tcW w:w="762" w:type="dxa"/>
          </w:tcPr>
          <w:p w14:paraId="098F9DA9" w14:textId="77777777" w:rsidR="000115B5" w:rsidRPr="001168CB" w:rsidRDefault="00681198" w:rsidP="008948F1">
            <w:pPr>
              <w:spacing w:before="120" w:after="120"/>
              <w:rPr>
                <w:lang w:eastAsia="en-US"/>
              </w:rPr>
            </w:pPr>
            <w:bookmarkStart w:id="1" w:name="_Hlk490484710"/>
            <w:r w:rsidRPr="001168CB">
              <w:rPr>
                <w:lang w:eastAsia="en-US"/>
              </w:rPr>
              <w:t> 4.</w:t>
            </w:r>
          </w:p>
        </w:tc>
        <w:tc>
          <w:tcPr>
            <w:tcW w:w="1986" w:type="dxa"/>
          </w:tcPr>
          <w:p w14:paraId="098F9DAA" w14:textId="77777777" w:rsidR="000115B5" w:rsidRPr="001168CB" w:rsidRDefault="000115B5" w:rsidP="008948F1">
            <w:pPr>
              <w:spacing w:before="120" w:after="120"/>
              <w:rPr>
                <w:lang w:eastAsia="en-US"/>
              </w:rPr>
            </w:pPr>
            <w:r w:rsidRPr="001168CB">
              <w:rPr>
                <w:lang w:eastAsia="en-US"/>
              </w:rPr>
              <w:t> Cita informācija</w:t>
            </w:r>
          </w:p>
        </w:tc>
        <w:tc>
          <w:tcPr>
            <w:tcW w:w="7479" w:type="dxa"/>
          </w:tcPr>
          <w:p w14:paraId="098F9DAB" w14:textId="77777777" w:rsidR="00C50AA1" w:rsidRPr="00C50AA1" w:rsidRDefault="00C50AA1" w:rsidP="00674600">
            <w:pPr>
              <w:tabs>
                <w:tab w:val="left" w:pos="0"/>
              </w:tabs>
              <w:ind w:firstLine="720"/>
              <w:jc w:val="both"/>
              <w:rPr>
                <w:szCs w:val="28"/>
              </w:rPr>
            </w:pPr>
            <w:r w:rsidRPr="00C50AA1">
              <w:rPr>
                <w:szCs w:val="28"/>
              </w:rPr>
              <w:t xml:space="preserve">Projekta ietvaros īstenotie pasākumi turpina </w:t>
            </w:r>
            <w:r w:rsidRPr="00C50AA1">
              <w:rPr>
                <w:sz w:val="20"/>
              </w:rPr>
              <w:t xml:space="preserve"> </w:t>
            </w:r>
            <w:r w:rsidRPr="00C50AA1">
              <w:rPr>
                <w:szCs w:val="28"/>
              </w:rPr>
              <w:t xml:space="preserve">projekta “Valsts pārbaudījumu informācijas sistēmas 2. kārta” </w:t>
            </w:r>
            <w:r>
              <w:rPr>
                <w:szCs w:val="28"/>
              </w:rPr>
              <w:t>(</w:t>
            </w:r>
            <w:r w:rsidR="009D23D8" w:rsidRPr="009D23D8">
              <w:rPr>
                <w:szCs w:val="28"/>
              </w:rPr>
              <w:t xml:space="preserve">Eiropas Reģionālās attīstības </w:t>
            </w:r>
            <w:r w:rsidRPr="00C50AA1">
              <w:rPr>
                <w:szCs w:val="28"/>
              </w:rPr>
              <w:t xml:space="preserve">fonda darbības programmas “Infrastruktūra un pakalpojumi” papildinājuma 3.2.2.1.1. </w:t>
            </w:r>
            <w:proofErr w:type="spellStart"/>
            <w:r w:rsidRPr="00C50AA1">
              <w:rPr>
                <w:szCs w:val="28"/>
              </w:rPr>
              <w:t>apakšaktivitātes</w:t>
            </w:r>
            <w:proofErr w:type="spellEnd"/>
            <w:r w:rsidRPr="00C50AA1">
              <w:rPr>
                <w:szCs w:val="28"/>
              </w:rPr>
              <w:t xml:space="preserve"> “Informācijas sistēmu un elektronisko pakalpojumu attīstība” projekta “Valsts pārbaudījumu informācijas sistēmas 2. kārta”</w:t>
            </w:r>
            <w:r>
              <w:rPr>
                <w:szCs w:val="28"/>
              </w:rPr>
              <w:t>)</w:t>
            </w:r>
            <w:r w:rsidRPr="00C50AA1">
              <w:rPr>
                <w:szCs w:val="28"/>
              </w:rPr>
              <w:t xml:space="preserve"> ietvaros (</w:t>
            </w:r>
            <w:r w:rsidR="00C57137">
              <w:rPr>
                <w:szCs w:val="28"/>
              </w:rPr>
              <w:t>projekta Nr. 3DP/3.2.2.1.1/0</w:t>
            </w:r>
            <w:r w:rsidRPr="00C50AA1">
              <w:rPr>
                <w:szCs w:val="28"/>
              </w:rPr>
              <w:t xml:space="preserve">9/IPIA/IUMEPLS/020) ietvaros veiktos pasākumus, sniedzot šādu ieguldījumu </w:t>
            </w:r>
            <w:r>
              <w:rPr>
                <w:szCs w:val="28"/>
              </w:rPr>
              <w:t xml:space="preserve">specifiskā atbalsta mērķa </w:t>
            </w:r>
            <w:r w:rsidRPr="00C50AA1">
              <w:rPr>
                <w:szCs w:val="28"/>
              </w:rPr>
              <w:t>rezultāta rādītājos:</w:t>
            </w:r>
          </w:p>
          <w:p w14:paraId="098F9DAC" w14:textId="77777777" w:rsidR="00C50AA1" w:rsidRPr="00C50AA1" w:rsidRDefault="00C50AA1" w:rsidP="00674600">
            <w:pPr>
              <w:tabs>
                <w:tab w:val="left" w:pos="0"/>
              </w:tabs>
              <w:ind w:firstLine="720"/>
              <w:jc w:val="both"/>
              <w:rPr>
                <w:szCs w:val="28"/>
              </w:rPr>
            </w:pPr>
            <w:r w:rsidRPr="00C50AA1">
              <w:rPr>
                <w:szCs w:val="28"/>
              </w:rPr>
              <w:t>Tiks palielināts iedzīvotāju, kas izmanto e-pakalpojumus sadarbībai ar valsts institūcijām un iesniedz veidlapas elektroniski, īpatsvars. Projekta ietvaros tiks izstrādāti e-pakalpojumi, kas ļaus iedzīvotājiem valsts pārvaldes pakalpojumu portālā www.latvija.lv pieteikties valsts valodas pārbaudījumu kārtošanai un apliecības par valsts valodas pārbaudījuma nokārtošanu, tai skaitā minētās apliecības dublikāta saņemšanai, veicot arī pakalpojuma apmaksu elektroniski, kā arī nodrošinās iespēju iegūt informāciju par valsts valodas pārbaudījumu rezultātiem. Atbilstoši rezultāta rādītājiem, ir plānots elektronisko iesniegumu īpatsvaru palielināt no pašlaik esošajiem 0% uz 50%.</w:t>
            </w:r>
          </w:p>
          <w:p w14:paraId="098F9DAD" w14:textId="77777777" w:rsidR="00D86AF3" w:rsidRPr="001168CB" w:rsidRDefault="00C50AA1" w:rsidP="00674600">
            <w:pPr>
              <w:tabs>
                <w:tab w:val="left" w:pos="0"/>
              </w:tabs>
              <w:ind w:firstLine="720"/>
              <w:jc w:val="both"/>
            </w:pPr>
            <w:r w:rsidRPr="00C50AA1">
              <w:rPr>
                <w:szCs w:val="28"/>
              </w:rPr>
              <w:t xml:space="preserve">Tiks sniegts ieguldījums Latvijas reitinga Eiropas Komisijas Komunikācijas tīklu, satura un tehnoloģiju ģenerāldirektorāta atbalstītās iniciatīvas </w:t>
            </w:r>
            <w:proofErr w:type="spellStart"/>
            <w:r w:rsidRPr="00C50AA1">
              <w:rPr>
                <w:i/>
                <w:iCs/>
                <w:szCs w:val="28"/>
              </w:rPr>
              <w:t>ePSIplatform</w:t>
            </w:r>
            <w:proofErr w:type="spellEnd"/>
            <w:r w:rsidRPr="00C50AA1">
              <w:rPr>
                <w:szCs w:val="28"/>
              </w:rPr>
              <w:t xml:space="preserve"> ietvaros veidotajā </w:t>
            </w:r>
            <w:proofErr w:type="spellStart"/>
            <w:r w:rsidRPr="00C50AA1">
              <w:rPr>
                <w:szCs w:val="28"/>
              </w:rPr>
              <w:t>atkalizmantošanas</w:t>
            </w:r>
            <w:proofErr w:type="spellEnd"/>
            <w:r w:rsidRPr="00C50AA1">
              <w:rPr>
                <w:szCs w:val="28"/>
              </w:rPr>
              <w:t xml:space="preserve"> indeksā </w:t>
            </w:r>
            <w:r w:rsidRPr="00C50AA1">
              <w:rPr>
                <w:i/>
                <w:iCs/>
                <w:szCs w:val="28"/>
              </w:rPr>
              <w:t xml:space="preserve">PSI </w:t>
            </w:r>
            <w:proofErr w:type="spellStart"/>
            <w:r w:rsidRPr="00C50AA1">
              <w:rPr>
                <w:i/>
                <w:iCs/>
                <w:szCs w:val="28"/>
              </w:rPr>
              <w:t>Scoreboard</w:t>
            </w:r>
            <w:proofErr w:type="spellEnd"/>
            <w:r w:rsidRPr="00C50AA1">
              <w:rPr>
                <w:szCs w:val="28"/>
              </w:rPr>
              <w:t xml:space="preserve"> – Projekta ietvaros Latvijas atvērto datu portālā </w:t>
            </w:r>
            <w:r w:rsidRPr="00C50AA1">
              <w:rPr>
                <w:rFonts w:eastAsia="PMingLiU"/>
                <w:szCs w:val="28"/>
              </w:rPr>
              <w:t xml:space="preserve">tiks publicētas 12 atvērto, </w:t>
            </w:r>
            <w:proofErr w:type="spellStart"/>
            <w:r w:rsidRPr="00C50AA1">
              <w:rPr>
                <w:rFonts w:eastAsia="PMingLiU"/>
                <w:szCs w:val="28"/>
              </w:rPr>
              <w:t>atkalizmantojamo</w:t>
            </w:r>
            <w:proofErr w:type="spellEnd"/>
            <w:r w:rsidRPr="00C50AA1">
              <w:rPr>
                <w:rFonts w:eastAsia="PMingLiU"/>
                <w:szCs w:val="28"/>
              </w:rPr>
              <w:t>, datu kopas.</w:t>
            </w:r>
          </w:p>
        </w:tc>
      </w:tr>
    </w:tbl>
    <w:bookmarkEnd w:id="1"/>
    <w:p w14:paraId="098F9DAF" w14:textId="77777777" w:rsidR="000115B5" w:rsidRDefault="000115B5" w:rsidP="008948F1">
      <w:pPr>
        <w:spacing w:before="120" w:after="120"/>
        <w:jc w:val="both"/>
        <w:rPr>
          <w:lang w:eastAsia="en-US"/>
        </w:rPr>
      </w:pPr>
      <w:r w:rsidRPr="001168CB">
        <w:rPr>
          <w:lang w:eastAsia="en-US"/>
        </w:rPr>
        <w:t> </w:t>
      </w:r>
    </w:p>
    <w:tbl>
      <w:tblPr>
        <w:tblW w:w="10246" w:type="dxa"/>
        <w:tblCellSpacing w:w="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
        <w:gridCol w:w="2694"/>
        <w:gridCol w:w="6789"/>
      </w:tblGrid>
      <w:tr w:rsidR="00C04349" w:rsidRPr="001168CB" w14:paraId="098F9DB1" w14:textId="77777777" w:rsidTr="00FE7B2E">
        <w:trPr>
          <w:trHeight w:val="585"/>
          <w:tblCellSpacing w:w="0" w:type="dxa"/>
        </w:trPr>
        <w:tc>
          <w:tcPr>
            <w:tcW w:w="10246" w:type="dxa"/>
            <w:gridSpan w:val="3"/>
            <w:vAlign w:val="center"/>
          </w:tcPr>
          <w:p w14:paraId="098F9DB0" w14:textId="77777777" w:rsidR="00C04349" w:rsidRPr="001168CB" w:rsidRDefault="00C04349" w:rsidP="00FF1066">
            <w:pPr>
              <w:spacing w:before="120" w:after="120"/>
              <w:jc w:val="center"/>
              <w:rPr>
                <w:b/>
                <w:bCs/>
              </w:rPr>
            </w:pPr>
            <w:r w:rsidRPr="001168CB">
              <w:rPr>
                <w:b/>
                <w:bCs/>
              </w:rPr>
              <w:t xml:space="preserve"> II. Tiesību akta projekta ietekme uz sabiedrību, tautsaimniecības attīstību un administratīvo slogu </w:t>
            </w:r>
          </w:p>
        </w:tc>
      </w:tr>
      <w:tr w:rsidR="00C04349" w:rsidRPr="001168CB" w14:paraId="098F9DB5" w14:textId="77777777" w:rsidTr="00674DC3">
        <w:tblPrEx>
          <w:tblCellMar>
            <w:left w:w="57" w:type="dxa"/>
            <w:right w:w="57" w:type="dxa"/>
          </w:tblCellMar>
        </w:tblPrEx>
        <w:trPr>
          <w:trHeight w:val="1009"/>
          <w:tblCellSpacing w:w="0" w:type="dxa"/>
        </w:trPr>
        <w:tc>
          <w:tcPr>
            <w:tcW w:w="763" w:type="dxa"/>
            <w:shd w:val="clear" w:color="auto" w:fill="auto"/>
          </w:tcPr>
          <w:p w14:paraId="098F9DB2" w14:textId="77777777" w:rsidR="00C04349" w:rsidRPr="001168CB" w:rsidRDefault="00C04349" w:rsidP="00FF1066">
            <w:pPr>
              <w:spacing w:before="120" w:after="120"/>
              <w:rPr>
                <w:lang w:eastAsia="en-US"/>
              </w:rPr>
            </w:pPr>
            <w:r w:rsidRPr="001168CB">
              <w:rPr>
                <w:lang w:eastAsia="en-US"/>
              </w:rPr>
              <w:t>1.</w:t>
            </w:r>
          </w:p>
        </w:tc>
        <w:tc>
          <w:tcPr>
            <w:tcW w:w="2694" w:type="dxa"/>
            <w:shd w:val="clear" w:color="auto" w:fill="FFFFFF"/>
          </w:tcPr>
          <w:p w14:paraId="098F9DB3" w14:textId="77777777" w:rsidR="00C04349" w:rsidRPr="001168CB" w:rsidRDefault="00C04349" w:rsidP="00FF1066">
            <w:pPr>
              <w:spacing w:before="120" w:after="120"/>
              <w:rPr>
                <w:lang w:eastAsia="en-US"/>
              </w:rPr>
            </w:pPr>
            <w:r w:rsidRPr="001168CB">
              <w:rPr>
                <w:lang w:eastAsia="en-US"/>
              </w:rPr>
              <w:t xml:space="preserve">Sabiedrības </w:t>
            </w:r>
            <w:proofErr w:type="spellStart"/>
            <w:r w:rsidRPr="001168CB">
              <w:rPr>
                <w:lang w:eastAsia="en-US"/>
              </w:rPr>
              <w:t>mērķgrupas</w:t>
            </w:r>
            <w:proofErr w:type="spellEnd"/>
            <w:r w:rsidRPr="001168CB">
              <w:rPr>
                <w:lang w:eastAsia="en-US"/>
              </w:rPr>
              <w:t>, kuras tiesiskais regulējums ietekmē vai varētu ietekmēt</w:t>
            </w:r>
          </w:p>
        </w:tc>
        <w:tc>
          <w:tcPr>
            <w:tcW w:w="6789" w:type="dxa"/>
            <w:shd w:val="clear" w:color="auto" w:fill="FFFFFF"/>
          </w:tcPr>
          <w:p w14:paraId="098F9DB4" w14:textId="77777777" w:rsidR="00C04349" w:rsidRPr="001168CB" w:rsidRDefault="00C04349" w:rsidP="00FF1066">
            <w:pPr>
              <w:pStyle w:val="naiskr"/>
              <w:spacing w:before="120" w:after="120"/>
              <w:jc w:val="both"/>
              <w:rPr>
                <w:lang w:eastAsia="en-US"/>
              </w:rPr>
            </w:pPr>
            <w:r w:rsidRPr="001168CB">
              <w:rPr>
                <w:shd w:val="clear" w:color="auto" w:fill="FFFFFF"/>
                <w:lang w:eastAsia="en-US"/>
              </w:rPr>
              <w:t>Iedzīvotāji, izglītojamie, pašvaldības</w:t>
            </w:r>
            <w:r w:rsidRPr="001168CB">
              <w:rPr>
                <w:lang w:eastAsia="en-US"/>
              </w:rPr>
              <w:t>.</w:t>
            </w:r>
          </w:p>
        </w:tc>
      </w:tr>
      <w:tr w:rsidR="00C04349" w:rsidRPr="001168CB" w14:paraId="098F9DB9" w14:textId="77777777" w:rsidTr="00FE7B2E">
        <w:tblPrEx>
          <w:tblCellMar>
            <w:left w:w="57" w:type="dxa"/>
            <w:right w:w="57" w:type="dxa"/>
          </w:tblCellMar>
        </w:tblPrEx>
        <w:trPr>
          <w:trHeight w:val="628"/>
          <w:tblCellSpacing w:w="0" w:type="dxa"/>
        </w:trPr>
        <w:tc>
          <w:tcPr>
            <w:tcW w:w="763" w:type="dxa"/>
          </w:tcPr>
          <w:p w14:paraId="098F9DB6" w14:textId="77777777" w:rsidR="00C04349" w:rsidRPr="001168CB" w:rsidRDefault="00C04349" w:rsidP="00FF1066">
            <w:pPr>
              <w:spacing w:before="120" w:after="120"/>
              <w:rPr>
                <w:lang w:eastAsia="en-US"/>
              </w:rPr>
            </w:pPr>
            <w:r w:rsidRPr="001168CB">
              <w:rPr>
                <w:lang w:eastAsia="en-US"/>
              </w:rPr>
              <w:t>2.</w:t>
            </w:r>
          </w:p>
        </w:tc>
        <w:tc>
          <w:tcPr>
            <w:tcW w:w="2694" w:type="dxa"/>
          </w:tcPr>
          <w:p w14:paraId="098F9DB7" w14:textId="77777777" w:rsidR="00C04349" w:rsidRPr="001168CB" w:rsidRDefault="00C04349" w:rsidP="00FF1066">
            <w:pPr>
              <w:spacing w:before="120" w:after="120"/>
              <w:rPr>
                <w:lang w:eastAsia="en-US"/>
              </w:rPr>
            </w:pPr>
            <w:r w:rsidRPr="001168CB">
              <w:rPr>
                <w:lang w:eastAsia="en-US"/>
              </w:rPr>
              <w:t>Tiesiskā regulējuma ietekme uz tautsaimniecību un administratīvo slogu</w:t>
            </w:r>
          </w:p>
        </w:tc>
        <w:tc>
          <w:tcPr>
            <w:tcW w:w="6789" w:type="dxa"/>
          </w:tcPr>
          <w:p w14:paraId="098F9DB8" w14:textId="77777777" w:rsidR="00C04349" w:rsidRPr="001168CB" w:rsidRDefault="00C04349" w:rsidP="00FF1066">
            <w:pPr>
              <w:pStyle w:val="VPNumbered"/>
              <w:numPr>
                <w:ilvl w:val="0"/>
                <w:numId w:val="0"/>
              </w:numPr>
              <w:tabs>
                <w:tab w:val="clear" w:pos="709"/>
                <w:tab w:val="left" w:pos="71"/>
              </w:tabs>
            </w:pPr>
            <w:r>
              <w:t xml:space="preserve">Projekta īstenošanas </w:t>
            </w:r>
            <w:r w:rsidRPr="001168CB">
              <w:t xml:space="preserve">rezultātā tiks veicināta valsts pārvaldes efektivitāte, pilnveidojot </w:t>
            </w:r>
            <w:r>
              <w:t>Izglītības un zinātnes ministrijas</w:t>
            </w:r>
            <w:r w:rsidRPr="001168CB">
              <w:t xml:space="preserve"> resora pamatdarbības procesus valsts pārbaudījumu organizēšanas procesā, piemēram, centralizēto eksāmenu, diagnosticējošo darbu, valsts valodas pārbaudījumu norises nodrošināšanā un to rezultātu pieejamības nodrošināšanā. </w:t>
            </w:r>
          </w:p>
        </w:tc>
      </w:tr>
      <w:tr w:rsidR="00C04349" w:rsidRPr="001168CB" w14:paraId="098F9DBD" w14:textId="77777777" w:rsidTr="00FE7B2E">
        <w:tblPrEx>
          <w:tblCellMar>
            <w:left w:w="57" w:type="dxa"/>
            <w:right w:w="57" w:type="dxa"/>
          </w:tblCellMar>
        </w:tblPrEx>
        <w:trPr>
          <w:tblCellSpacing w:w="0" w:type="dxa"/>
        </w:trPr>
        <w:tc>
          <w:tcPr>
            <w:tcW w:w="763" w:type="dxa"/>
          </w:tcPr>
          <w:p w14:paraId="098F9DBA" w14:textId="77777777" w:rsidR="00C04349" w:rsidRPr="001168CB" w:rsidRDefault="00C04349" w:rsidP="00FF1066">
            <w:pPr>
              <w:spacing w:before="120" w:after="120"/>
              <w:rPr>
                <w:lang w:eastAsia="en-US"/>
              </w:rPr>
            </w:pPr>
            <w:r w:rsidRPr="001168CB">
              <w:rPr>
                <w:lang w:eastAsia="en-US"/>
              </w:rPr>
              <w:t>3.</w:t>
            </w:r>
          </w:p>
        </w:tc>
        <w:tc>
          <w:tcPr>
            <w:tcW w:w="2694" w:type="dxa"/>
          </w:tcPr>
          <w:p w14:paraId="098F9DBB" w14:textId="77777777" w:rsidR="00C04349" w:rsidRPr="001168CB" w:rsidRDefault="00C04349" w:rsidP="00FF1066">
            <w:pPr>
              <w:spacing w:before="120" w:after="120"/>
              <w:rPr>
                <w:lang w:eastAsia="en-US"/>
              </w:rPr>
            </w:pPr>
            <w:r w:rsidRPr="001168CB">
              <w:rPr>
                <w:lang w:eastAsia="en-US"/>
              </w:rPr>
              <w:t>Administratīvo izmaksu monetārais novērtējums</w:t>
            </w:r>
          </w:p>
        </w:tc>
        <w:tc>
          <w:tcPr>
            <w:tcW w:w="6789" w:type="dxa"/>
          </w:tcPr>
          <w:p w14:paraId="098F9DBC" w14:textId="77777777" w:rsidR="00C04349" w:rsidRPr="001168CB" w:rsidRDefault="00C04349" w:rsidP="00FF1066">
            <w:pPr>
              <w:jc w:val="both"/>
              <w:rPr>
                <w:lang w:eastAsia="en-US"/>
              </w:rPr>
            </w:pPr>
            <w:r>
              <w:t>Rīkojuma p</w:t>
            </w:r>
            <w:r w:rsidRPr="001168CB">
              <w:t>rojekts šo jomu neskar</w:t>
            </w:r>
            <w:r>
              <w:t>.</w:t>
            </w:r>
          </w:p>
        </w:tc>
      </w:tr>
      <w:tr w:rsidR="00EE34B5" w:rsidRPr="001168CB" w14:paraId="098F9DC1" w14:textId="77777777" w:rsidTr="00FE7B2E">
        <w:tblPrEx>
          <w:tblCellMar>
            <w:left w:w="57" w:type="dxa"/>
            <w:right w:w="57" w:type="dxa"/>
          </w:tblCellMar>
        </w:tblPrEx>
        <w:trPr>
          <w:tblCellSpacing w:w="0" w:type="dxa"/>
        </w:trPr>
        <w:tc>
          <w:tcPr>
            <w:tcW w:w="763" w:type="dxa"/>
          </w:tcPr>
          <w:p w14:paraId="098F9DBE" w14:textId="77777777" w:rsidR="00EE34B5" w:rsidRPr="001168CB" w:rsidRDefault="00EE34B5" w:rsidP="00FF1066">
            <w:pPr>
              <w:spacing w:before="120" w:after="120"/>
              <w:rPr>
                <w:lang w:eastAsia="en-US"/>
              </w:rPr>
            </w:pPr>
            <w:r>
              <w:rPr>
                <w:lang w:eastAsia="en-US"/>
              </w:rPr>
              <w:t>4.</w:t>
            </w:r>
          </w:p>
        </w:tc>
        <w:tc>
          <w:tcPr>
            <w:tcW w:w="2694" w:type="dxa"/>
          </w:tcPr>
          <w:p w14:paraId="098F9DBF" w14:textId="77777777" w:rsidR="00EE34B5" w:rsidRPr="001168CB" w:rsidRDefault="00920C8C" w:rsidP="00FF1066">
            <w:pPr>
              <w:spacing w:before="120" w:after="120"/>
              <w:rPr>
                <w:lang w:eastAsia="en-US"/>
              </w:rPr>
            </w:pPr>
            <w:r w:rsidRPr="00920C8C">
              <w:rPr>
                <w:lang w:eastAsia="en-US"/>
              </w:rPr>
              <w:t>Atbilstības izmaksu monetārs novērtējums</w:t>
            </w:r>
          </w:p>
        </w:tc>
        <w:tc>
          <w:tcPr>
            <w:tcW w:w="6789" w:type="dxa"/>
          </w:tcPr>
          <w:p w14:paraId="098F9DC0" w14:textId="77777777" w:rsidR="00EE34B5" w:rsidRPr="001168CB" w:rsidRDefault="00920C8C" w:rsidP="00FF1066">
            <w:pPr>
              <w:jc w:val="both"/>
              <w:rPr>
                <w:lang w:eastAsia="en-US"/>
              </w:rPr>
            </w:pPr>
            <w:r>
              <w:t>Rīkojuma p</w:t>
            </w:r>
            <w:r w:rsidRPr="001168CB">
              <w:t>rojekts šo jomu neskar</w:t>
            </w:r>
            <w:r>
              <w:t>.</w:t>
            </w:r>
          </w:p>
        </w:tc>
      </w:tr>
      <w:tr w:rsidR="00C04349" w:rsidRPr="001168CB" w14:paraId="098F9DC5" w14:textId="77777777" w:rsidTr="00FE7B2E">
        <w:tblPrEx>
          <w:tblCellMar>
            <w:left w:w="57" w:type="dxa"/>
            <w:right w:w="57" w:type="dxa"/>
          </w:tblCellMar>
        </w:tblPrEx>
        <w:trPr>
          <w:tblCellSpacing w:w="0" w:type="dxa"/>
        </w:trPr>
        <w:tc>
          <w:tcPr>
            <w:tcW w:w="763" w:type="dxa"/>
          </w:tcPr>
          <w:p w14:paraId="098F9DC2" w14:textId="77777777" w:rsidR="00C04349" w:rsidRPr="001168CB" w:rsidRDefault="00EE34B5" w:rsidP="00FF1066">
            <w:pPr>
              <w:spacing w:before="120" w:after="120"/>
              <w:rPr>
                <w:lang w:eastAsia="en-US"/>
              </w:rPr>
            </w:pPr>
            <w:r>
              <w:rPr>
                <w:lang w:eastAsia="en-US"/>
              </w:rPr>
              <w:lastRenderedPageBreak/>
              <w:t>5</w:t>
            </w:r>
            <w:r w:rsidR="00C04349" w:rsidRPr="001168CB">
              <w:rPr>
                <w:lang w:eastAsia="en-US"/>
              </w:rPr>
              <w:t>.</w:t>
            </w:r>
          </w:p>
        </w:tc>
        <w:tc>
          <w:tcPr>
            <w:tcW w:w="2694" w:type="dxa"/>
          </w:tcPr>
          <w:p w14:paraId="098F9DC3" w14:textId="77777777" w:rsidR="00C04349" w:rsidRPr="001168CB" w:rsidRDefault="00C04349" w:rsidP="00FF1066">
            <w:pPr>
              <w:spacing w:before="120" w:after="120"/>
              <w:rPr>
                <w:lang w:eastAsia="en-US"/>
              </w:rPr>
            </w:pPr>
            <w:r w:rsidRPr="001168CB">
              <w:rPr>
                <w:lang w:eastAsia="en-US"/>
              </w:rPr>
              <w:t>Cita informācija</w:t>
            </w:r>
          </w:p>
        </w:tc>
        <w:tc>
          <w:tcPr>
            <w:tcW w:w="6789" w:type="dxa"/>
          </w:tcPr>
          <w:p w14:paraId="098F9DC4" w14:textId="77777777" w:rsidR="00C04349" w:rsidRPr="001168CB" w:rsidRDefault="00C04349" w:rsidP="00FF1066">
            <w:pPr>
              <w:jc w:val="both"/>
              <w:rPr>
                <w:lang w:eastAsia="en-US"/>
              </w:rPr>
            </w:pPr>
            <w:r w:rsidRPr="001168CB">
              <w:rPr>
                <w:lang w:eastAsia="en-US"/>
              </w:rPr>
              <w:t>Nav</w:t>
            </w:r>
            <w:r>
              <w:rPr>
                <w:lang w:eastAsia="en-US"/>
              </w:rPr>
              <w:t>.</w:t>
            </w:r>
            <w:r w:rsidRPr="001168CB">
              <w:rPr>
                <w:lang w:eastAsia="en-US"/>
              </w:rPr>
              <w:t xml:space="preserve"> </w:t>
            </w:r>
          </w:p>
        </w:tc>
      </w:tr>
    </w:tbl>
    <w:p w14:paraId="098F9DC6" w14:textId="77777777" w:rsidR="00C04349" w:rsidRPr="001168CB" w:rsidRDefault="00C04349" w:rsidP="008948F1">
      <w:pPr>
        <w:spacing w:before="120" w:after="120"/>
        <w:jc w:val="both"/>
        <w:rPr>
          <w:lang w:eastAsia="en-US"/>
        </w:rPr>
      </w:pPr>
    </w:p>
    <w:p w14:paraId="098F9DC7" w14:textId="77777777" w:rsidR="00A85586" w:rsidRPr="001168CB" w:rsidRDefault="00A85586" w:rsidP="00A85586">
      <w:pPr>
        <w:rPr>
          <w:vanish/>
        </w:rPr>
      </w:pPr>
    </w:p>
    <w:tbl>
      <w:tblPr>
        <w:tblW w:w="52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056"/>
        <w:gridCol w:w="1150"/>
        <w:gridCol w:w="963"/>
        <w:gridCol w:w="1456"/>
        <w:gridCol w:w="963"/>
        <w:gridCol w:w="1456"/>
        <w:gridCol w:w="1456"/>
      </w:tblGrid>
      <w:tr w:rsidR="00A30BAC" w:rsidRPr="001168CB" w14:paraId="098F9DC9" w14:textId="77777777" w:rsidTr="00A85586">
        <w:tc>
          <w:tcPr>
            <w:tcW w:w="5000" w:type="pct"/>
            <w:gridSpan w:val="8"/>
            <w:shd w:val="clear" w:color="auto" w:fill="auto"/>
            <w:hideMark/>
          </w:tcPr>
          <w:p w14:paraId="098F9DC8" w14:textId="77777777" w:rsidR="00A30BAC" w:rsidRPr="001168CB" w:rsidRDefault="003D3669" w:rsidP="00A85586">
            <w:pPr>
              <w:spacing w:before="120"/>
              <w:rPr>
                <w:b/>
                <w:bCs/>
                <w:iCs/>
              </w:rPr>
            </w:pPr>
            <w:r w:rsidRPr="001168CB">
              <w:br w:type="page"/>
            </w:r>
            <w:r w:rsidR="00A30BAC" w:rsidRPr="001168CB">
              <w:t> </w:t>
            </w:r>
            <w:r w:rsidR="00A30BAC" w:rsidRPr="001168CB">
              <w:rPr>
                <w:b/>
                <w:bCs/>
                <w:iCs/>
              </w:rPr>
              <w:t>III. Tiesību akta projekta ietekme uz valsts budžetu un pašvaldību budžetiem</w:t>
            </w:r>
          </w:p>
        </w:tc>
      </w:tr>
      <w:tr w:rsidR="00A30BAC" w:rsidRPr="001168CB" w14:paraId="098F9DCD" w14:textId="77777777" w:rsidTr="00A85586">
        <w:tc>
          <w:tcPr>
            <w:tcW w:w="1036" w:type="pct"/>
            <w:vMerge w:val="restart"/>
            <w:shd w:val="clear" w:color="auto" w:fill="auto"/>
            <w:hideMark/>
          </w:tcPr>
          <w:p w14:paraId="098F9DCA" w14:textId="77777777" w:rsidR="00A30BAC" w:rsidRPr="001168CB" w:rsidRDefault="00A30BAC" w:rsidP="00A85586">
            <w:pPr>
              <w:spacing w:before="120"/>
              <w:rPr>
                <w:iCs/>
              </w:rPr>
            </w:pPr>
            <w:r w:rsidRPr="001168CB">
              <w:rPr>
                <w:iCs/>
              </w:rPr>
              <w:t>Rādītāji</w:t>
            </w:r>
          </w:p>
        </w:tc>
        <w:tc>
          <w:tcPr>
            <w:tcW w:w="1128" w:type="pct"/>
            <w:gridSpan w:val="2"/>
            <w:vMerge w:val="restart"/>
            <w:shd w:val="clear" w:color="auto" w:fill="auto"/>
            <w:hideMark/>
          </w:tcPr>
          <w:p w14:paraId="098F9DCB" w14:textId="77777777" w:rsidR="00A30BAC" w:rsidRPr="001168CB" w:rsidRDefault="00A30BAC" w:rsidP="00A85586">
            <w:pPr>
              <w:spacing w:before="120"/>
              <w:rPr>
                <w:iCs/>
              </w:rPr>
            </w:pPr>
            <w:r w:rsidRPr="001168CB">
              <w:rPr>
                <w:iCs/>
              </w:rPr>
              <w:t>2018. gads</w:t>
            </w:r>
          </w:p>
        </w:tc>
        <w:tc>
          <w:tcPr>
            <w:tcW w:w="2836" w:type="pct"/>
            <w:gridSpan w:val="5"/>
            <w:shd w:val="clear" w:color="auto" w:fill="auto"/>
            <w:hideMark/>
          </w:tcPr>
          <w:p w14:paraId="098F9DCC" w14:textId="77777777" w:rsidR="00A30BAC" w:rsidRPr="001168CB" w:rsidRDefault="00A30BAC" w:rsidP="00A85586">
            <w:pPr>
              <w:spacing w:before="120"/>
              <w:rPr>
                <w:iCs/>
              </w:rPr>
            </w:pPr>
            <w:r w:rsidRPr="001168CB">
              <w:rPr>
                <w:iCs/>
              </w:rPr>
              <w:t>Turpmākie trīs gadi (</w:t>
            </w:r>
            <w:proofErr w:type="spellStart"/>
            <w:r w:rsidRPr="001168CB">
              <w:rPr>
                <w:i/>
                <w:iCs/>
              </w:rPr>
              <w:t>euro</w:t>
            </w:r>
            <w:proofErr w:type="spellEnd"/>
            <w:r w:rsidRPr="001168CB">
              <w:rPr>
                <w:iCs/>
              </w:rPr>
              <w:t>)</w:t>
            </w:r>
          </w:p>
        </w:tc>
      </w:tr>
      <w:tr w:rsidR="00A30BAC" w:rsidRPr="001168CB" w14:paraId="098F9DD3" w14:textId="77777777" w:rsidTr="00A85586">
        <w:tc>
          <w:tcPr>
            <w:tcW w:w="1036" w:type="pct"/>
            <w:vMerge/>
            <w:shd w:val="clear" w:color="auto" w:fill="auto"/>
            <w:hideMark/>
          </w:tcPr>
          <w:p w14:paraId="098F9DCE" w14:textId="77777777" w:rsidR="00A30BAC" w:rsidRPr="001168CB" w:rsidRDefault="00A30BAC" w:rsidP="00A85586">
            <w:pPr>
              <w:spacing w:before="120"/>
              <w:rPr>
                <w:iCs/>
              </w:rPr>
            </w:pPr>
          </w:p>
        </w:tc>
        <w:tc>
          <w:tcPr>
            <w:tcW w:w="0" w:type="auto"/>
            <w:gridSpan w:val="2"/>
            <w:vMerge/>
            <w:shd w:val="clear" w:color="auto" w:fill="auto"/>
            <w:hideMark/>
          </w:tcPr>
          <w:p w14:paraId="098F9DCF" w14:textId="77777777" w:rsidR="00A30BAC" w:rsidRPr="001168CB" w:rsidRDefault="00A30BAC" w:rsidP="00A85586">
            <w:pPr>
              <w:spacing w:before="120"/>
              <w:rPr>
                <w:iCs/>
              </w:rPr>
            </w:pPr>
          </w:p>
        </w:tc>
        <w:tc>
          <w:tcPr>
            <w:tcW w:w="1080" w:type="pct"/>
            <w:gridSpan w:val="2"/>
            <w:shd w:val="clear" w:color="auto" w:fill="auto"/>
            <w:hideMark/>
          </w:tcPr>
          <w:p w14:paraId="098F9DD0" w14:textId="77777777" w:rsidR="00A30BAC" w:rsidRPr="001168CB" w:rsidRDefault="00A30BAC" w:rsidP="00A85586">
            <w:pPr>
              <w:spacing w:before="120"/>
              <w:rPr>
                <w:iCs/>
              </w:rPr>
            </w:pPr>
            <w:r w:rsidRPr="001168CB">
              <w:rPr>
                <w:iCs/>
              </w:rPr>
              <w:t>2019. gads</w:t>
            </w:r>
          </w:p>
        </w:tc>
        <w:tc>
          <w:tcPr>
            <w:tcW w:w="1080" w:type="pct"/>
            <w:gridSpan w:val="2"/>
            <w:shd w:val="clear" w:color="auto" w:fill="auto"/>
            <w:hideMark/>
          </w:tcPr>
          <w:p w14:paraId="098F9DD1" w14:textId="77777777" w:rsidR="00A30BAC" w:rsidRPr="001168CB" w:rsidRDefault="00A30BAC" w:rsidP="00A85586">
            <w:pPr>
              <w:spacing w:before="120"/>
              <w:rPr>
                <w:iCs/>
              </w:rPr>
            </w:pPr>
            <w:r w:rsidRPr="001168CB">
              <w:rPr>
                <w:iCs/>
              </w:rPr>
              <w:t>2020. gads</w:t>
            </w:r>
          </w:p>
        </w:tc>
        <w:tc>
          <w:tcPr>
            <w:tcW w:w="676" w:type="pct"/>
            <w:shd w:val="clear" w:color="auto" w:fill="auto"/>
            <w:hideMark/>
          </w:tcPr>
          <w:p w14:paraId="098F9DD2" w14:textId="77777777" w:rsidR="00A30BAC" w:rsidRPr="001168CB" w:rsidRDefault="00A30BAC" w:rsidP="00A85586">
            <w:pPr>
              <w:spacing w:before="120"/>
              <w:rPr>
                <w:iCs/>
              </w:rPr>
            </w:pPr>
            <w:r w:rsidRPr="001168CB">
              <w:rPr>
                <w:iCs/>
              </w:rPr>
              <w:t>2021. gads</w:t>
            </w:r>
          </w:p>
        </w:tc>
      </w:tr>
      <w:tr w:rsidR="00A85586" w:rsidRPr="001168CB" w14:paraId="098F9DDC" w14:textId="77777777" w:rsidTr="00A85586">
        <w:tc>
          <w:tcPr>
            <w:tcW w:w="1036" w:type="pct"/>
            <w:vMerge/>
            <w:shd w:val="clear" w:color="auto" w:fill="auto"/>
            <w:hideMark/>
          </w:tcPr>
          <w:p w14:paraId="098F9DD4" w14:textId="77777777" w:rsidR="00A30BAC" w:rsidRPr="001168CB" w:rsidRDefault="00A30BAC" w:rsidP="00A85586">
            <w:pPr>
              <w:spacing w:before="120"/>
              <w:rPr>
                <w:iCs/>
              </w:rPr>
            </w:pPr>
          </w:p>
        </w:tc>
        <w:tc>
          <w:tcPr>
            <w:tcW w:w="540" w:type="pct"/>
            <w:shd w:val="clear" w:color="auto" w:fill="auto"/>
            <w:hideMark/>
          </w:tcPr>
          <w:p w14:paraId="098F9DD5" w14:textId="77777777" w:rsidR="00A30BAC" w:rsidRPr="001168CB" w:rsidRDefault="00A30BAC" w:rsidP="00A85586">
            <w:pPr>
              <w:spacing w:before="120"/>
              <w:rPr>
                <w:iCs/>
              </w:rPr>
            </w:pPr>
            <w:r w:rsidRPr="001168CB">
              <w:rPr>
                <w:iCs/>
              </w:rPr>
              <w:t>saskaņā ar valsts budžetu kārtējam gadam</w:t>
            </w:r>
          </w:p>
        </w:tc>
        <w:tc>
          <w:tcPr>
            <w:tcW w:w="588" w:type="pct"/>
            <w:shd w:val="clear" w:color="auto" w:fill="auto"/>
            <w:hideMark/>
          </w:tcPr>
          <w:p w14:paraId="098F9DD6" w14:textId="77777777" w:rsidR="00A30BAC" w:rsidRPr="001168CB" w:rsidRDefault="00A30BAC" w:rsidP="00A85586">
            <w:pPr>
              <w:spacing w:before="120"/>
              <w:rPr>
                <w:iCs/>
              </w:rPr>
            </w:pPr>
            <w:r w:rsidRPr="001168CB">
              <w:rPr>
                <w:iCs/>
              </w:rPr>
              <w:t>izmaiņas kārtējā gadā, salīdzinot ar valsts budžetu kārtējam gadam</w:t>
            </w:r>
          </w:p>
        </w:tc>
        <w:tc>
          <w:tcPr>
            <w:tcW w:w="492" w:type="pct"/>
            <w:shd w:val="clear" w:color="auto" w:fill="auto"/>
            <w:hideMark/>
          </w:tcPr>
          <w:p w14:paraId="098F9DD7" w14:textId="77777777" w:rsidR="00A30BAC" w:rsidRPr="001168CB" w:rsidRDefault="00A30BAC" w:rsidP="00A85586">
            <w:pPr>
              <w:spacing w:before="120"/>
              <w:rPr>
                <w:iCs/>
              </w:rPr>
            </w:pPr>
            <w:r w:rsidRPr="001168CB">
              <w:rPr>
                <w:iCs/>
              </w:rPr>
              <w:t>saskaņā ar vidēja termiņa budžeta ietvaru</w:t>
            </w:r>
          </w:p>
        </w:tc>
        <w:tc>
          <w:tcPr>
            <w:tcW w:w="588" w:type="pct"/>
            <w:shd w:val="clear" w:color="auto" w:fill="auto"/>
            <w:hideMark/>
          </w:tcPr>
          <w:p w14:paraId="098F9DD8" w14:textId="77777777" w:rsidR="00A30BAC" w:rsidRPr="001168CB" w:rsidRDefault="00A30BAC" w:rsidP="00A85586">
            <w:pPr>
              <w:spacing w:before="120"/>
              <w:rPr>
                <w:iCs/>
              </w:rPr>
            </w:pPr>
            <w:r w:rsidRPr="001168CB">
              <w:rPr>
                <w:iCs/>
              </w:rPr>
              <w:t>izmaiņas, salīdzinot ar vidēja termiņa budžeta ietvaru 2019.</w:t>
            </w:r>
            <w:r w:rsidR="00FD0694">
              <w:rPr>
                <w:iCs/>
              </w:rPr>
              <w:t> </w:t>
            </w:r>
            <w:r w:rsidRPr="001168CB">
              <w:rPr>
                <w:iCs/>
              </w:rPr>
              <w:t>gadam</w:t>
            </w:r>
          </w:p>
        </w:tc>
        <w:tc>
          <w:tcPr>
            <w:tcW w:w="492" w:type="pct"/>
            <w:shd w:val="clear" w:color="auto" w:fill="auto"/>
            <w:hideMark/>
          </w:tcPr>
          <w:p w14:paraId="098F9DD9" w14:textId="77777777" w:rsidR="00A30BAC" w:rsidRPr="001168CB" w:rsidRDefault="00A30BAC" w:rsidP="00A85586">
            <w:pPr>
              <w:spacing w:before="120"/>
              <w:rPr>
                <w:iCs/>
              </w:rPr>
            </w:pPr>
            <w:r w:rsidRPr="001168CB">
              <w:rPr>
                <w:iCs/>
              </w:rPr>
              <w:t>saskaņā ar vidēja termiņa budžeta ietvaru</w:t>
            </w:r>
          </w:p>
        </w:tc>
        <w:tc>
          <w:tcPr>
            <w:tcW w:w="588" w:type="pct"/>
            <w:shd w:val="clear" w:color="auto" w:fill="auto"/>
            <w:hideMark/>
          </w:tcPr>
          <w:p w14:paraId="098F9DDA" w14:textId="77777777" w:rsidR="00A30BAC" w:rsidRPr="001168CB" w:rsidRDefault="00A30BAC" w:rsidP="00A85586">
            <w:pPr>
              <w:spacing w:before="120"/>
              <w:rPr>
                <w:iCs/>
              </w:rPr>
            </w:pPr>
            <w:r w:rsidRPr="001168CB">
              <w:rPr>
                <w:iCs/>
              </w:rPr>
              <w:t>izmaiņas, salīdzinot ar vidēja termiņa budžeta ietvaru 2020.</w:t>
            </w:r>
            <w:r w:rsidR="00FD0694">
              <w:rPr>
                <w:iCs/>
              </w:rPr>
              <w:t> </w:t>
            </w:r>
            <w:r w:rsidRPr="001168CB">
              <w:rPr>
                <w:iCs/>
              </w:rPr>
              <w:t>gadam</w:t>
            </w:r>
          </w:p>
        </w:tc>
        <w:tc>
          <w:tcPr>
            <w:tcW w:w="676" w:type="pct"/>
            <w:shd w:val="clear" w:color="auto" w:fill="auto"/>
            <w:hideMark/>
          </w:tcPr>
          <w:p w14:paraId="098F9DDB" w14:textId="77777777" w:rsidR="00A30BAC" w:rsidRPr="001168CB" w:rsidRDefault="00A30BAC" w:rsidP="00216B88">
            <w:pPr>
              <w:spacing w:before="120"/>
              <w:rPr>
                <w:iCs/>
              </w:rPr>
            </w:pPr>
            <w:r w:rsidRPr="001168CB">
              <w:rPr>
                <w:iCs/>
              </w:rPr>
              <w:t>izmaiņas, salīdzinot ar vidēja termiņa budžeta ietvaru 202</w:t>
            </w:r>
            <w:r w:rsidR="00216B88">
              <w:rPr>
                <w:iCs/>
              </w:rPr>
              <w:t>0</w:t>
            </w:r>
            <w:r w:rsidRPr="001168CB">
              <w:rPr>
                <w:iCs/>
              </w:rPr>
              <w:t>.</w:t>
            </w:r>
            <w:r w:rsidR="00FD0694">
              <w:rPr>
                <w:iCs/>
              </w:rPr>
              <w:t> </w:t>
            </w:r>
            <w:r w:rsidRPr="001168CB">
              <w:rPr>
                <w:iCs/>
              </w:rPr>
              <w:t>gadam</w:t>
            </w:r>
          </w:p>
        </w:tc>
      </w:tr>
      <w:tr w:rsidR="00A85586" w:rsidRPr="001168CB" w14:paraId="098F9DE5" w14:textId="77777777" w:rsidTr="00A85586">
        <w:tc>
          <w:tcPr>
            <w:tcW w:w="1036" w:type="pct"/>
            <w:shd w:val="clear" w:color="auto" w:fill="auto"/>
            <w:hideMark/>
          </w:tcPr>
          <w:p w14:paraId="098F9DDD" w14:textId="77777777" w:rsidR="00A30BAC" w:rsidRPr="001168CB" w:rsidRDefault="00A30BAC" w:rsidP="00501284">
            <w:pPr>
              <w:spacing w:before="120"/>
              <w:jc w:val="center"/>
              <w:rPr>
                <w:iCs/>
              </w:rPr>
            </w:pPr>
            <w:r w:rsidRPr="001168CB">
              <w:rPr>
                <w:iCs/>
              </w:rPr>
              <w:t>1</w:t>
            </w:r>
          </w:p>
        </w:tc>
        <w:tc>
          <w:tcPr>
            <w:tcW w:w="540" w:type="pct"/>
            <w:shd w:val="clear" w:color="auto" w:fill="auto"/>
            <w:hideMark/>
          </w:tcPr>
          <w:p w14:paraId="098F9DDE" w14:textId="77777777" w:rsidR="00A30BAC" w:rsidRPr="001168CB" w:rsidRDefault="00A30BAC" w:rsidP="00501284">
            <w:pPr>
              <w:spacing w:before="120"/>
              <w:jc w:val="center"/>
              <w:rPr>
                <w:iCs/>
              </w:rPr>
            </w:pPr>
            <w:r w:rsidRPr="001168CB">
              <w:rPr>
                <w:iCs/>
              </w:rPr>
              <w:t>2</w:t>
            </w:r>
          </w:p>
        </w:tc>
        <w:tc>
          <w:tcPr>
            <w:tcW w:w="588" w:type="pct"/>
            <w:shd w:val="clear" w:color="auto" w:fill="auto"/>
            <w:hideMark/>
          </w:tcPr>
          <w:p w14:paraId="098F9DDF" w14:textId="77777777" w:rsidR="00A30BAC" w:rsidRPr="001168CB" w:rsidRDefault="00A30BAC" w:rsidP="00501284">
            <w:pPr>
              <w:spacing w:before="120"/>
              <w:jc w:val="center"/>
              <w:rPr>
                <w:iCs/>
              </w:rPr>
            </w:pPr>
            <w:r w:rsidRPr="001168CB">
              <w:rPr>
                <w:iCs/>
              </w:rPr>
              <w:t>3</w:t>
            </w:r>
          </w:p>
        </w:tc>
        <w:tc>
          <w:tcPr>
            <w:tcW w:w="492" w:type="pct"/>
            <w:shd w:val="clear" w:color="auto" w:fill="auto"/>
            <w:hideMark/>
          </w:tcPr>
          <w:p w14:paraId="098F9DE0" w14:textId="77777777" w:rsidR="00A30BAC" w:rsidRPr="001168CB" w:rsidRDefault="00A30BAC" w:rsidP="00501284">
            <w:pPr>
              <w:spacing w:before="120"/>
              <w:jc w:val="center"/>
              <w:rPr>
                <w:iCs/>
              </w:rPr>
            </w:pPr>
            <w:r w:rsidRPr="001168CB">
              <w:rPr>
                <w:iCs/>
              </w:rPr>
              <w:t>4</w:t>
            </w:r>
          </w:p>
        </w:tc>
        <w:tc>
          <w:tcPr>
            <w:tcW w:w="588" w:type="pct"/>
            <w:shd w:val="clear" w:color="auto" w:fill="auto"/>
            <w:hideMark/>
          </w:tcPr>
          <w:p w14:paraId="098F9DE1" w14:textId="77777777" w:rsidR="00A30BAC" w:rsidRPr="001168CB" w:rsidRDefault="00A30BAC" w:rsidP="00501284">
            <w:pPr>
              <w:spacing w:before="120"/>
              <w:jc w:val="center"/>
              <w:rPr>
                <w:iCs/>
              </w:rPr>
            </w:pPr>
            <w:r w:rsidRPr="001168CB">
              <w:rPr>
                <w:iCs/>
              </w:rPr>
              <w:t>5</w:t>
            </w:r>
          </w:p>
        </w:tc>
        <w:tc>
          <w:tcPr>
            <w:tcW w:w="492" w:type="pct"/>
            <w:shd w:val="clear" w:color="auto" w:fill="auto"/>
            <w:hideMark/>
          </w:tcPr>
          <w:p w14:paraId="098F9DE2" w14:textId="77777777" w:rsidR="00A30BAC" w:rsidRPr="001168CB" w:rsidRDefault="00A30BAC" w:rsidP="00501284">
            <w:pPr>
              <w:spacing w:before="120"/>
              <w:jc w:val="center"/>
              <w:rPr>
                <w:iCs/>
              </w:rPr>
            </w:pPr>
            <w:r w:rsidRPr="001168CB">
              <w:rPr>
                <w:iCs/>
              </w:rPr>
              <w:t>6</w:t>
            </w:r>
          </w:p>
        </w:tc>
        <w:tc>
          <w:tcPr>
            <w:tcW w:w="588" w:type="pct"/>
            <w:shd w:val="clear" w:color="auto" w:fill="auto"/>
            <w:hideMark/>
          </w:tcPr>
          <w:p w14:paraId="098F9DE3" w14:textId="77777777" w:rsidR="00A30BAC" w:rsidRPr="001168CB" w:rsidRDefault="00A30BAC" w:rsidP="00501284">
            <w:pPr>
              <w:spacing w:before="120"/>
              <w:jc w:val="center"/>
              <w:rPr>
                <w:iCs/>
              </w:rPr>
            </w:pPr>
            <w:r w:rsidRPr="001168CB">
              <w:rPr>
                <w:iCs/>
              </w:rPr>
              <w:t>7</w:t>
            </w:r>
          </w:p>
        </w:tc>
        <w:tc>
          <w:tcPr>
            <w:tcW w:w="676" w:type="pct"/>
            <w:shd w:val="clear" w:color="auto" w:fill="auto"/>
            <w:hideMark/>
          </w:tcPr>
          <w:p w14:paraId="098F9DE4" w14:textId="77777777" w:rsidR="00A30BAC" w:rsidRPr="001168CB" w:rsidRDefault="00A30BAC" w:rsidP="00501284">
            <w:pPr>
              <w:spacing w:before="120"/>
              <w:jc w:val="center"/>
              <w:rPr>
                <w:iCs/>
              </w:rPr>
            </w:pPr>
            <w:r w:rsidRPr="001168CB">
              <w:rPr>
                <w:iCs/>
              </w:rPr>
              <w:t>8</w:t>
            </w:r>
          </w:p>
        </w:tc>
      </w:tr>
      <w:tr w:rsidR="00501284" w:rsidRPr="001168CB" w14:paraId="098F9DEE" w14:textId="77777777" w:rsidTr="00501284">
        <w:tc>
          <w:tcPr>
            <w:tcW w:w="1036" w:type="pct"/>
            <w:shd w:val="clear" w:color="auto" w:fill="auto"/>
            <w:hideMark/>
          </w:tcPr>
          <w:p w14:paraId="098F9DE6" w14:textId="77777777" w:rsidR="00501284" w:rsidRPr="001168CB" w:rsidRDefault="00501284" w:rsidP="00501284">
            <w:pPr>
              <w:spacing w:before="120"/>
              <w:rPr>
                <w:iCs/>
              </w:rPr>
            </w:pPr>
            <w:r w:rsidRPr="001168CB">
              <w:rPr>
                <w:iCs/>
              </w:rPr>
              <w:t>1. Budžeta ieņēmumi</w:t>
            </w:r>
          </w:p>
        </w:tc>
        <w:tc>
          <w:tcPr>
            <w:tcW w:w="540" w:type="pct"/>
            <w:shd w:val="clear" w:color="auto" w:fill="auto"/>
          </w:tcPr>
          <w:p w14:paraId="098F9DE7"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E8" w14:textId="77777777" w:rsidR="00501284" w:rsidRPr="001168CB" w:rsidRDefault="00FE6B26" w:rsidP="00501284">
            <w:pPr>
              <w:spacing w:before="120"/>
              <w:jc w:val="center"/>
              <w:rPr>
                <w:bCs/>
              </w:rPr>
            </w:pPr>
            <w:r w:rsidRPr="00FE6B26">
              <w:rPr>
                <w:bCs/>
              </w:rPr>
              <w:t>7 560</w:t>
            </w:r>
          </w:p>
        </w:tc>
        <w:tc>
          <w:tcPr>
            <w:tcW w:w="492" w:type="pct"/>
            <w:shd w:val="clear" w:color="auto" w:fill="auto"/>
          </w:tcPr>
          <w:p w14:paraId="098F9DE9"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EA" w14:textId="0471C13F" w:rsidR="00501284" w:rsidRPr="001168CB" w:rsidRDefault="004D4E57" w:rsidP="00501284">
            <w:pPr>
              <w:spacing w:before="120"/>
              <w:jc w:val="center"/>
              <w:rPr>
                <w:bCs/>
              </w:rPr>
            </w:pPr>
            <w:r>
              <w:rPr>
                <w:bCs/>
              </w:rPr>
              <w:t>173 272</w:t>
            </w:r>
          </w:p>
        </w:tc>
        <w:tc>
          <w:tcPr>
            <w:tcW w:w="492" w:type="pct"/>
            <w:shd w:val="clear" w:color="auto" w:fill="auto"/>
          </w:tcPr>
          <w:p w14:paraId="098F9DEB"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EC" w14:textId="77777777" w:rsidR="00501284" w:rsidRPr="001168CB" w:rsidRDefault="00501284" w:rsidP="00501284">
            <w:pPr>
              <w:spacing w:before="120"/>
              <w:jc w:val="center"/>
              <w:rPr>
                <w:bCs/>
              </w:rPr>
            </w:pPr>
            <w:r w:rsidRPr="001168CB">
              <w:rPr>
                <w:bCs/>
              </w:rPr>
              <w:t>190 230</w:t>
            </w:r>
          </w:p>
        </w:tc>
        <w:tc>
          <w:tcPr>
            <w:tcW w:w="676" w:type="pct"/>
            <w:shd w:val="clear" w:color="auto" w:fill="auto"/>
          </w:tcPr>
          <w:p w14:paraId="098F9DED" w14:textId="77777777" w:rsidR="00501284" w:rsidRPr="001168CB" w:rsidRDefault="007425E7" w:rsidP="00501284">
            <w:pPr>
              <w:spacing w:before="120"/>
              <w:jc w:val="center"/>
              <w:rPr>
                <w:bCs/>
              </w:rPr>
            </w:pPr>
            <w:r w:rsidRPr="007425E7">
              <w:rPr>
                <w:bCs/>
              </w:rPr>
              <w:t>2 603 938</w:t>
            </w:r>
          </w:p>
        </w:tc>
      </w:tr>
      <w:tr w:rsidR="00501284" w:rsidRPr="001168CB" w14:paraId="098F9DF7" w14:textId="77777777" w:rsidTr="00501284">
        <w:tc>
          <w:tcPr>
            <w:tcW w:w="1036" w:type="pct"/>
            <w:shd w:val="clear" w:color="auto" w:fill="auto"/>
            <w:hideMark/>
          </w:tcPr>
          <w:p w14:paraId="098F9DEF" w14:textId="77777777" w:rsidR="00501284" w:rsidRPr="001168CB" w:rsidRDefault="00501284" w:rsidP="00501284">
            <w:pPr>
              <w:spacing w:before="120"/>
              <w:rPr>
                <w:iCs/>
              </w:rPr>
            </w:pPr>
            <w:r w:rsidRPr="001168CB">
              <w:rPr>
                <w:iCs/>
              </w:rPr>
              <w:t>1.1. valsts pamatbudžets, tai skaitā ieņēmumi no maksas pakalpojumiem un citi pašu ieņēmumi</w:t>
            </w:r>
          </w:p>
        </w:tc>
        <w:tc>
          <w:tcPr>
            <w:tcW w:w="540" w:type="pct"/>
            <w:shd w:val="clear" w:color="auto" w:fill="auto"/>
          </w:tcPr>
          <w:p w14:paraId="098F9DF0"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F1" w14:textId="77777777" w:rsidR="00501284" w:rsidRPr="001168CB" w:rsidRDefault="00FE6B26" w:rsidP="00501284">
            <w:pPr>
              <w:spacing w:before="120"/>
              <w:jc w:val="center"/>
              <w:rPr>
                <w:iCs/>
              </w:rPr>
            </w:pPr>
            <w:r w:rsidRPr="00FE6B26">
              <w:rPr>
                <w:bCs/>
              </w:rPr>
              <w:t>7 560</w:t>
            </w:r>
          </w:p>
        </w:tc>
        <w:tc>
          <w:tcPr>
            <w:tcW w:w="492" w:type="pct"/>
            <w:shd w:val="clear" w:color="auto" w:fill="auto"/>
          </w:tcPr>
          <w:p w14:paraId="098F9DF2"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F3" w14:textId="34F7AB30" w:rsidR="00501284" w:rsidRPr="001168CB" w:rsidRDefault="004D4E57" w:rsidP="00501284">
            <w:pPr>
              <w:spacing w:before="120"/>
              <w:jc w:val="center"/>
              <w:rPr>
                <w:bCs/>
              </w:rPr>
            </w:pPr>
            <w:r>
              <w:rPr>
                <w:bCs/>
              </w:rPr>
              <w:t>173 272</w:t>
            </w:r>
          </w:p>
        </w:tc>
        <w:tc>
          <w:tcPr>
            <w:tcW w:w="492" w:type="pct"/>
            <w:shd w:val="clear" w:color="auto" w:fill="auto"/>
          </w:tcPr>
          <w:p w14:paraId="098F9DF4"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F5" w14:textId="77777777" w:rsidR="00501284" w:rsidRPr="001168CB" w:rsidRDefault="00501284" w:rsidP="00501284">
            <w:pPr>
              <w:spacing w:before="120"/>
              <w:jc w:val="center"/>
              <w:rPr>
                <w:bCs/>
              </w:rPr>
            </w:pPr>
            <w:r w:rsidRPr="001168CB">
              <w:rPr>
                <w:bCs/>
              </w:rPr>
              <w:t>190 230</w:t>
            </w:r>
          </w:p>
        </w:tc>
        <w:tc>
          <w:tcPr>
            <w:tcW w:w="676" w:type="pct"/>
            <w:shd w:val="clear" w:color="auto" w:fill="auto"/>
          </w:tcPr>
          <w:p w14:paraId="098F9DF6" w14:textId="77777777" w:rsidR="00501284" w:rsidRPr="001168CB" w:rsidRDefault="007425E7" w:rsidP="00501284">
            <w:pPr>
              <w:spacing w:before="120"/>
              <w:jc w:val="center"/>
              <w:rPr>
                <w:bCs/>
              </w:rPr>
            </w:pPr>
            <w:r w:rsidRPr="007425E7">
              <w:rPr>
                <w:bCs/>
              </w:rPr>
              <w:t>2 603 938</w:t>
            </w:r>
          </w:p>
        </w:tc>
      </w:tr>
      <w:tr w:rsidR="00501284" w:rsidRPr="001168CB" w14:paraId="098F9E00" w14:textId="77777777" w:rsidTr="00501284">
        <w:tc>
          <w:tcPr>
            <w:tcW w:w="1036" w:type="pct"/>
            <w:shd w:val="clear" w:color="auto" w:fill="auto"/>
            <w:hideMark/>
          </w:tcPr>
          <w:p w14:paraId="098F9DF8" w14:textId="77777777" w:rsidR="00501284" w:rsidRPr="001168CB" w:rsidRDefault="00501284" w:rsidP="00501284">
            <w:pPr>
              <w:spacing w:before="120"/>
              <w:rPr>
                <w:iCs/>
              </w:rPr>
            </w:pPr>
            <w:r w:rsidRPr="001168CB">
              <w:rPr>
                <w:iCs/>
              </w:rPr>
              <w:t>1.2. valsts speciālais budžets</w:t>
            </w:r>
          </w:p>
        </w:tc>
        <w:tc>
          <w:tcPr>
            <w:tcW w:w="540" w:type="pct"/>
            <w:shd w:val="clear" w:color="auto" w:fill="auto"/>
          </w:tcPr>
          <w:p w14:paraId="098F9DF9"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FA"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DFB"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FC"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DFD"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DFE" w14:textId="77777777" w:rsidR="00501284" w:rsidRPr="001168CB" w:rsidRDefault="00501284" w:rsidP="00501284">
            <w:pPr>
              <w:spacing w:before="120"/>
              <w:jc w:val="center"/>
              <w:rPr>
                <w:iCs/>
              </w:rPr>
            </w:pPr>
            <w:r w:rsidRPr="001168CB">
              <w:rPr>
                <w:iCs/>
              </w:rPr>
              <w:t>0</w:t>
            </w:r>
          </w:p>
        </w:tc>
        <w:tc>
          <w:tcPr>
            <w:tcW w:w="676" w:type="pct"/>
            <w:shd w:val="clear" w:color="auto" w:fill="auto"/>
          </w:tcPr>
          <w:p w14:paraId="098F9DFF" w14:textId="77777777" w:rsidR="00501284" w:rsidRPr="001168CB" w:rsidRDefault="00501284" w:rsidP="00501284">
            <w:pPr>
              <w:spacing w:before="120"/>
              <w:jc w:val="center"/>
              <w:rPr>
                <w:iCs/>
              </w:rPr>
            </w:pPr>
            <w:r w:rsidRPr="001168CB">
              <w:rPr>
                <w:iCs/>
              </w:rPr>
              <w:t>0</w:t>
            </w:r>
          </w:p>
        </w:tc>
      </w:tr>
      <w:tr w:rsidR="00501284" w:rsidRPr="001168CB" w14:paraId="098F9E09" w14:textId="77777777" w:rsidTr="00501284">
        <w:tc>
          <w:tcPr>
            <w:tcW w:w="1036" w:type="pct"/>
            <w:shd w:val="clear" w:color="auto" w:fill="auto"/>
            <w:hideMark/>
          </w:tcPr>
          <w:p w14:paraId="098F9E01" w14:textId="77777777" w:rsidR="00501284" w:rsidRPr="001168CB" w:rsidRDefault="00501284" w:rsidP="00501284">
            <w:pPr>
              <w:spacing w:before="120"/>
              <w:rPr>
                <w:iCs/>
              </w:rPr>
            </w:pPr>
            <w:r w:rsidRPr="001168CB">
              <w:rPr>
                <w:iCs/>
              </w:rPr>
              <w:t>1.3. pašvaldību budžets</w:t>
            </w:r>
          </w:p>
        </w:tc>
        <w:tc>
          <w:tcPr>
            <w:tcW w:w="540" w:type="pct"/>
            <w:shd w:val="clear" w:color="auto" w:fill="auto"/>
          </w:tcPr>
          <w:p w14:paraId="098F9E02"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03"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E04"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05"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E06"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07" w14:textId="77777777" w:rsidR="00501284" w:rsidRPr="001168CB" w:rsidRDefault="00501284" w:rsidP="00501284">
            <w:pPr>
              <w:spacing w:before="120"/>
              <w:jc w:val="center"/>
              <w:rPr>
                <w:iCs/>
              </w:rPr>
            </w:pPr>
            <w:r w:rsidRPr="001168CB">
              <w:rPr>
                <w:iCs/>
              </w:rPr>
              <w:t>0</w:t>
            </w:r>
          </w:p>
        </w:tc>
        <w:tc>
          <w:tcPr>
            <w:tcW w:w="676" w:type="pct"/>
            <w:shd w:val="clear" w:color="auto" w:fill="auto"/>
          </w:tcPr>
          <w:p w14:paraId="098F9E08" w14:textId="77777777" w:rsidR="00501284" w:rsidRPr="001168CB" w:rsidRDefault="00501284" w:rsidP="00501284">
            <w:pPr>
              <w:spacing w:before="120"/>
              <w:jc w:val="center"/>
              <w:rPr>
                <w:iCs/>
              </w:rPr>
            </w:pPr>
            <w:r w:rsidRPr="001168CB">
              <w:rPr>
                <w:iCs/>
              </w:rPr>
              <w:t>0</w:t>
            </w:r>
          </w:p>
        </w:tc>
      </w:tr>
      <w:tr w:rsidR="00501284" w:rsidRPr="001168CB" w14:paraId="098F9E12" w14:textId="77777777" w:rsidTr="00501284">
        <w:tc>
          <w:tcPr>
            <w:tcW w:w="1036" w:type="pct"/>
            <w:shd w:val="clear" w:color="auto" w:fill="auto"/>
            <w:hideMark/>
          </w:tcPr>
          <w:p w14:paraId="098F9E0A" w14:textId="77777777" w:rsidR="00501284" w:rsidRPr="001168CB" w:rsidRDefault="00501284" w:rsidP="00501284">
            <w:pPr>
              <w:spacing w:before="120"/>
              <w:rPr>
                <w:iCs/>
              </w:rPr>
            </w:pPr>
            <w:r w:rsidRPr="001168CB">
              <w:rPr>
                <w:iCs/>
              </w:rPr>
              <w:t>2. Budžeta izdevumi</w:t>
            </w:r>
          </w:p>
        </w:tc>
        <w:tc>
          <w:tcPr>
            <w:tcW w:w="540" w:type="pct"/>
            <w:shd w:val="clear" w:color="auto" w:fill="auto"/>
          </w:tcPr>
          <w:p w14:paraId="098F9E0B"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0C" w14:textId="77777777" w:rsidR="00501284" w:rsidRPr="001168CB" w:rsidRDefault="00FE6B26" w:rsidP="00501284">
            <w:pPr>
              <w:spacing w:before="120"/>
              <w:jc w:val="center"/>
              <w:rPr>
                <w:bCs/>
              </w:rPr>
            </w:pPr>
            <w:r w:rsidRPr="00FE6B26">
              <w:rPr>
                <w:bCs/>
              </w:rPr>
              <w:t>8 894</w:t>
            </w:r>
          </w:p>
        </w:tc>
        <w:tc>
          <w:tcPr>
            <w:tcW w:w="492" w:type="pct"/>
            <w:shd w:val="clear" w:color="auto" w:fill="auto"/>
          </w:tcPr>
          <w:p w14:paraId="098F9E0D"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0E" w14:textId="77777777" w:rsidR="00501284" w:rsidRPr="001168CB" w:rsidRDefault="007425E7" w:rsidP="00501284">
            <w:pPr>
              <w:spacing w:before="120"/>
              <w:jc w:val="center"/>
              <w:rPr>
                <w:bCs/>
              </w:rPr>
            </w:pPr>
            <w:r w:rsidRPr="00FE6B26">
              <w:rPr>
                <w:bCs/>
              </w:rPr>
              <w:t>203 850</w:t>
            </w:r>
          </w:p>
        </w:tc>
        <w:tc>
          <w:tcPr>
            <w:tcW w:w="492" w:type="pct"/>
            <w:shd w:val="clear" w:color="auto" w:fill="auto"/>
          </w:tcPr>
          <w:p w14:paraId="098F9E0F"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10" w14:textId="77777777" w:rsidR="00501284" w:rsidRPr="001168CB" w:rsidRDefault="00501284" w:rsidP="00501284">
            <w:pPr>
              <w:spacing w:before="120"/>
              <w:jc w:val="center"/>
              <w:rPr>
                <w:bCs/>
              </w:rPr>
            </w:pPr>
            <w:r w:rsidRPr="001168CB">
              <w:rPr>
                <w:bCs/>
              </w:rPr>
              <w:t>223 800</w:t>
            </w:r>
          </w:p>
        </w:tc>
        <w:tc>
          <w:tcPr>
            <w:tcW w:w="676" w:type="pct"/>
            <w:shd w:val="clear" w:color="auto" w:fill="auto"/>
          </w:tcPr>
          <w:p w14:paraId="098F9E11" w14:textId="77777777" w:rsidR="00501284" w:rsidRPr="001168CB" w:rsidRDefault="007425E7" w:rsidP="00501284">
            <w:pPr>
              <w:spacing w:before="120"/>
              <w:jc w:val="center"/>
              <w:rPr>
                <w:bCs/>
              </w:rPr>
            </w:pPr>
            <w:r w:rsidRPr="007425E7">
              <w:rPr>
                <w:bCs/>
              </w:rPr>
              <w:t>3 063 456</w:t>
            </w:r>
          </w:p>
        </w:tc>
      </w:tr>
      <w:tr w:rsidR="00501284" w:rsidRPr="001168CB" w14:paraId="098F9E1B" w14:textId="77777777" w:rsidTr="00501284">
        <w:tc>
          <w:tcPr>
            <w:tcW w:w="1036" w:type="pct"/>
            <w:shd w:val="clear" w:color="auto" w:fill="auto"/>
            <w:hideMark/>
          </w:tcPr>
          <w:p w14:paraId="098F9E13" w14:textId="77777777" w:rsidR="00501284" w:rsidRPr="001168CB" w:rsidRDefault="00501284" w:rsidP="00501284">
            <w:pPr>
              <w:spacing w:before="120"/>
              <w:rPr>
                <w:iCs/>
              </w:rPr>
            </w:pPr>
            <w:r w:rsidRPr="001168CB">
              <w:rPr>
                <w:iCs/>
              </w:rPr>
              <w:t>2.1. valsts pamatbudžets</w:t>
            </w:r>
          </w:p>
        </w:tc>
        <w:tc>
          <w:tcPr>
            <w:tcW w:w="540" w:type="pct"/>
            <w:shd w:val="clear" w:color="auto" w:fill="auto"/>
          </w:tcPr>
          <w:p w14:paraId="098F9E14"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15" w14:textId="77777777" w:rsidR="00501284" w:rsidRPr="001168CB" w:rsidRDefault="00FE6B26" w:rsidP="00501284">
            <w:pPr>
              <w:spacing w:before="120"/>
              <w:jc w:val="center"/>
              <w:rPr>
                <w:bCs/>
              </w:rPr>
            </w:pPr>
            <w:r w:rsidRPr="00FE6B26">
              <w:rPr>
                <w:bCs/>
              </w:rPr>
              <w:t>8 894</w:t>
            </w:r>
          </w:p>
        </w:tc>
        <w:tc>
          <w:tcPr>
            <w:tcW w:w="492" w:type="pct"/>
            <w:shd w:val="clear" w:color="auto" w:fill="auto"/>
          </w:tcPr>
          <w:p w14:paraId="098F9E16"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17" w14:textId="77777777" w:rsidR="00501284" w:rsidRPr="001168CB" w:rsidRDefault="007425E7" w:rsidP="00501284">
            <w:pPr>
              <w:spacing w:before="120"/>
              <w:jc w:val="center"/>
              <w:rPr>
                <w:bCs/>
              </w:rPr>
            </w:pPr>
            <w:r w:rsidRPr="00FE6B26">
              <w:rPr>
                <w:bCs/>
              </w:rPr>
              <w:t>203 850</w:t>
            </w:r>
          </w:p>
        </w:tc>
        <w:tc>
          <w:tcPr>
            <w:tcW w:w="492" w:type="pct"/>
            <w:shd w:val="clear" w:color="auto" w:fill="auto"/>
          </w:tcPr>
          <w:p w14:paraId="098F9E18"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19" w14:textId="77777777" w:rsidR="00501284" w:rsidRPr="001168CB" w:rsidRDefault="00501284" w:rsidP="00501284">
            <w:pPr>
              <w:spacing w:before="120"/>
              <w:jc w:val="center"/>
              <w:rPr>
                <w:bCs/>
              </w:rPr>
            </w:pPr>
            <w:r w:rsidRPr="001168CB">
              <w:rPr>
                <w:bCs/>
              </w:rPr>
              <w:t>223 800</w:t>
            </w:r>
          </w:p>
        </w:tc>
        <w:tc>
          <w:tcPr>
            <w:tcW w:w="676" w:type="pct"/>
            <w:shd w:val="clear" w:color="auto" w:fill="auto"/>
          </w:tcPr>
          <w:p w14:paraId="098F9E1A" w14:textId="77777777" w:rsidR="00501284" w:rsidRPr="001168CB" w:rsidRDefault="007425E7" w:rsidP="00501284">
            <w:pPr>
              <w:spacing w:before="120"/>
              <w:jc w:val="center"/>
              <w:rPr>
                <w:bCs/>
              </w:rPr>
            </w:pPr>
            <w:r w:rsidRPr="007425E7">
              <w:rPr>
                <w:bCs/>
              </w:rPr>
              <w:t>3 063 456</w:t>
            </w:r>
          </w:p>
        </w:tc>
      </w:tr>
      <w:tr w:rsidR="00A85586" w:rsidRPr="001168CB" w14:paraId="098F9E24" w14:textId="77777777" w:rsidTr="00501284">
        <w:tc>
          <w:tcPr>
            <w:tcW w:w="1036" w:type="pct"/>
            <w:shd w:val="clear" w:color="auto" w:fill="auto"/>
            <w:hideMark/>
          </w:tcPr>
          <w:p w14:paraId="098F9E1C" w14:textId="77777777" w:rsidR="00654BC3" w:rsidRPr="001168CB" w:rsidRDefault="00654BC3" w:rsidP="00A85586">
            <w:pPr>
              <w:spacing w:before="120"/>
              <w:rPr>
                <w:iCs/>
              </w:rPr>
            </w:pPr>
            <w:r w:rsidRPr="001168CB">
              <w:rPr>
                <w:iCs/>
              </w:rPr>
              <w:t>2.2. valsts speciālais budžets</w:t>
            </w:r>
          </w:p>
        </w:tc>
        <w:tc>
          <w:tcPr>
            <w:tcW w:w="540" w:type="pct"/>
            <w:shd w:val="clear" w:color="auto" w:fill="auto"/>
          </w:tcPr>
          <w:p w14:paraId="098F9E1D" w14:textId="77777777" w:rsidR="00654BC3" w:rsidRPr="001168CB" w:rsidRDefault="00654BC3" w:rsidP="00501284">
            <w:pPr>
              <w:spacing w:before="120"/>
              <w:jc w:val="center"/>
              <w:rPr>
                <w:iCs/>
              </w:rPr>
            </w:pPr>
            <w:r w:rsidRPr="001168CB">
              <w:rPr>
                <w:iCs/>
              </w:rPr>
              <w:t>0</w:t>
            </w:r>
          </w:p>
        </w:tc>
        <w:tc>
          <w:tcPr>
            <w:tcW w:w="588" w:type="pct"/>
            <w:shd w:val="clear" w:color="auto" w:fill="auto"/>
          </w:tcPr>
          <w:p w14:paraId="098F9E1E" w14:textId="77777777" w:rsidR="00654BC3" w:rsidRPr="001168CB" w:rsidRDefault="00654BC3" w:rsidP="00501284">
            <w:pPr>
              <w:spacing w:before="120"/>
              <w:jc w:val="center"/>
              <w:rPr>
                <w:iCs/>
              </w:rPr>
            </w:pPr>
            <w:r w:rsidRPr="001168CB">
              <w:rPr>
                <w:iCs/>
              </w:rPr>
              <w:t>0</w:t>
            </w:r>
          </w:p>
        </w:tc>
        <w:tc>
          <w:tcPr>
            <w:tcW w:w="492" w:type="pct"/>
            <w:shd w:val="clear" w:color="auto" w:fill="auto"/>
          </w:tcPr>
          <w:p w14:paraId="098F9E1F" w14:textId="77777777" w:rsidR="00654BC3" w:rsidRPr="001168CB" w:rsidRDefault="00654BC3" w:rsidP="00501284">
            <w:pPr>
              <w:spacing w:before="120"/>
              <w:jc w:val="center"/>
              <w:rPr>
                <w:iCs/>
              </w:rPr>
            </w:pPr>
            <w:r w:rsidRPr="001168CB">
              <w:rPr>
                <w:iCs/>
              </w:rPr>
              <w:t>0</w:t>
            </w:r>
          </w:p>
        </w:tc>
        <w:tc>
          <w:tcPr>
            <w:tcW w:w="588" w:type="pct"/>
            <w:shd w:val="clear" w:color="auto" w:fill="auto"/>
          </w:tcPr>
          <w:p w14:paraId="098F9E20" w14:textId="77777777" w:rsidR="00654BC3" w:rsidRPr="001168CB" w:rsidRDefault="00654BC3" w:rsidP="00501284">
            <w:pPr>
              <w:spacing w:before="120"/>
              <w:jc w:val="center"/>
              <w:rPr>
                <w:iCs/>
              </w:rPr>
            </w:pPr>
            <w:r w:rsidRPr="001168CB">
              <w:rPr>
                <w:iCs/>
              </w:rPr>
              <w:t>0</w:t>
            </w:r>
          </w:p>
        </w:tc>
        <w:tc>
          <w:tcPr>
            <w:tcW w:w="492" w:type="pct"/>
            <w:shd w:val="clear" w:color="auto" w:fill="auto"/>
          </w:tcPr>
          <w:p w14:paraId="098F9E21" w14:textId="77777777" w:rsidR="00654BC3" w:rsidRPr="001168CB" w:rsidRDefault="00654BC3" w:rsidP="00501284">
            <w:pPr>
              <w:spacing w:before="120"/>
              <w:jc w:val="center"/>
              <w:rPr>
                <w:iCs/>
              </w:rPr>
            </w:pPr>
            <w:r w:rsidRPr="001168CB">
              <w:rPr>
                <w:iCs/>
              </w:rPr>
              <w:t>0</w:t>
            </w:r>
          </w:p>
        </w:tc>
        <w:tc>
          <w:tcPr>
            <w:tcW w:w="588" w:type="pct"/>
            <w:shd w:val="clear" w:color="auto" w:fill="auto"/>
          </w:tcPr>
          <w:p w14:paraId="098F9E22" w14:textId="77777777" w:rsidR="00654BC3" w:rsidRPr="001168CB" w:rsidRDefault="00654BC3" w:rsidP="00501284">
            <w:pPr>
              <w:spacing w:before="120"/>
              <w:jc w:val="center"/>
              <w:rPr>
                <w:iCs/>
              </w:rPr>
            </w:pPr>
            <w:r w:rsidRPr="001168CB">
              <w:rPr>
                <w:iCs/>
              </w:rPr>
              <w:t>0</w:t>
            </w:r>
          </w:p>
        </w:tc>
        <w:tc>
          <w:tcPr>
            <w:tcW w:w="676" w:type="pct"/>
            <w:shd w:val="clear" w:color="auto" w:fill="auto"/>
          </w:tcPr>
          <w:p w14:paraId="098F9E23" w14:textId="77777777" w:rsidR="00654BC3" w:rsidRPr="001168CB" w:rsidRDefault="00654BC3" w:rsidP="00501284">
            <w:pPr>
              <w:spacing w:before="120"/>
              <w:jc w:val="center"/>
              <w:rPr>
                <w:iCs/>
              </w:rPr>
            </w:pPr>
            <w:r w:rsidRPr="001168CB">
              <w:rPr>
                <w:iCs/>
              </w:rPr>
              <w:t>0</w:t>
            </w:r>
          </w:p>
        </w:tc>
      </w:tr>
      <w:tr w:rsidR="00A85586" w:rsidRPr="001168CB" w14:paraId="098F9E2D" w14:textId="77777777" w:rsidTr="00501284">
        <w:tc>
          <w:tcPr>
            <w:tcW w:w="1036" w:type="pct"/>
            <w:shd w:val="clear" w:color="auto" w:fill="auto"/>
            <w:hideMark/>
          </w:tcPr>
          <w:p w14:paraId="098F9E25" w14:textId="77777777" w:rsidR="00654BC3" w:rsidRPr="001168CB" w:rsidRDefault="00654BC3" w:rsidP="00A85586">
            <w:pPr>
              <w:spacing w:before="120"/>
              <w:rPr>
                <w:iCs/>
              </w:rPr>
            </w:pPr>
            <w:r w:rsidRPr="001168CB">
              <w:rPr>
                <w:iCs/>
              </w:rPr>
              <w:t>2.3. pašvaldību budžets</w:t>
            </w:r>
          </w:p>
        </w:tc>
        <w:tc>
          <w:tcPr>
            <w:tcW w:w="540" w:type="pct"/>
            <w:shd w:val="clear" w:color="auto" w:fill="auto"/>
          </w:tcPr>
          <w:p w14:paraId="098F9E26" w14:textId="77777777" w:rsidR="00654BC3" w:rsidRPr="001168CB" w:rsidRDefault="00654BC3" w:rsidP="00501284">
            <w:pPr>
              <w:spacing w:before="120"/>
              <w:jc w:val="center"/>
              <w:rPr>
                <w:iCs/>
              </w:rPr>
            </w:pPr>
            <w:r w:rsidRPr="001168CB">
              <w:rPr>
                <w:iCs/>
              </w:rPr>
              <w:t>0</w:t>
            </w:r>
          </w:p>
        </w:tc>
        <w:tc>
          <w:tcPr>
            <w:tcW w:w="588" w:type="pct"/>
            <w:shd w:val="clear" w:color="auto" w:fill="auto"/>
          </w:tcPr>
          <w:p w14:paraId="098F9E27" w14:textId="77777777" w:rsidR="00654BC3" w:rsidRPr="001168CB" w:rsidRDefault="00654BC3" w:rsidP="00501284">
            <w:pPr>
              <w:spacing w:before="120"/>
              <w:jc w:val="center"/>
              <w:rPr>
                <w:iCs/>
              </w:rPr>
            </w:pPr>
            <w:r w:rsidRPr="001168CB">
              <w:rPr>
                <w:iCs/>
              </w:rPr>
              <w:t>0</w:t>
            </w:r>
          </w:p>
        </w:tc>
        <w:tc>
          <w:tcPr>
            <w:tcW w:w="492" w:type="pct"/>
            <w:shd w:val="clear" w:color="auto" w:fill="auto"/>
          </w:tcPr>
          <w:p w14:paraId="098F9E28" w14:textId="77777777" w:rsidR="00654BC3" w:rsidRPr="001168CB" w:rsidRDefault="00654BC3" w:rsidP="00501284">
            <w:pPr>
              <w:spacing w:before="120"/>
              <w:jc w:val="center"/>
              <w:rPr>
                <w:iCs/>
              </w:rPr>
            </w:pPr>
            <w:r w:rsidRPr="001168CB">
              <w:rPr>
                <w:iCs/>
              </w:rPr>
              <w:t>0</w:t>
            </w:r>
          </w:p>
        </w:tc>
        <w:tc>
          <w:tcPr>
            <w:tcW w:w="588" w:type="pct"/>
            <w:shd w:val="clear" w:color="auto" w:fill="auto"/>
          </w:tcPr>
          <w:p w14:paraId="098F9E29" w14:textId="77777777" w:rsidR="00654BC3" w:rsidRPr="001168CB" w:rsidRDefault="00654BC3" w:rsidP="00501284">
            <w:pPr>
              <w:spacing w:before="120"/>
              <w:jc w:val="center"/>
              <w:rPr>
                <w:iCs/>
              </w:rPr>
            </w:pPr>
            <w:r w:rsidRPr="001168CB">
              <w:rPr>
                <w:iCs/>
              </w:rPr>
              <w:t>0</w:t>
            </w:r>
          </w:p>
        </w:tc>
        <w:tc>
          <w:tcPr>
            <w:tcW w:w="492" w:type="pct"/>
            <w:shd w:val="clear" w:color="auto" w:fill="auto"/>
          </w:tcPr>
          <w:p w14:paraId="098F9E2A" w14:textId="77777777" w:rsidR="00654BC3" w:rsidRPr="001168CB" w:rsidRDefault="00654BC3" w:rsidP="00501284">
            <w:pPr>
              <w:spacing w:before="120"/>
              <w:jc w:val="center"/>
              <w:rPr>
                <w:iCs/>
              </w:rPr>
            </w:pPr>
            <w:r w:rsidRPr="001168CB">
              <w:rPr>
                <w:iCs/>
              </w:rPr>
              <w:t>0</w:t>
            </w:r>
          </w:p>
        </w:tc>
        <w:tc>
          <w:tcPr>
            <w:tcW w:w="588" w:type="pct"/>
            <w:shd w:val="clear" w:color="auto" w:fill="auto"/>
          </w:tcPr>
          <w:p w14:paraId="098F9E2B" w14:textId="77777777" w:rsidR="00654BC3" w:rsidRPr="001168CB" w:rsidRDefault="00654BC3" w:rsidP="00501284">
            <w:pPr>
              <w:spacing w:before="120"/>
              <w:jc w:val="center"/>
              <w:rPr>
                <w:iCs/>
              </w:rPr>
            </w:pPr>
            <w:r w:rsidRPr="001168CB">
              <w:rPr>
                <w:iCs/>
              </w:rPr>
              <w:t>0</w:t>
            </w:r>
          </w:p>
        </w:tc>
        <w:tc>
          <w:tcPr>
            <w:tcW w:w="676" w:type="pct"/>
            <w:shd w:val="clear" w:color="auto" w:fill="auto"/>
          </w:tcPr>
          <w:p w14:paraId="098F9E2C" w14:textId="77777777" w:rsidR="00654BC3" w:rsidRPr="001168CB" w:rsidRDefault="00654BC3" w:rsidP="00501284">
            <w:pPr>
              <w:spacing w:before="120"/>
              <w:jc w:val="center"/>
              <w:rPr>
                <w:iCs/>
              </w:rPr>
            </w:pPr>
            <w:r w:rsidRPr="001168CB">
              <w:rPr>
                <w:iCs/>
              </w:rPr>
              <w:t>0</w:t>
            </w:r>
          </w:p>
        </w:tc>
      </w:tr>
      <w:tr w:rsidR="00501284" w:rsidRPr="001168CB" w14:paraId="098F9E36" w14:textId="77777777" w:rsidTr="00501284">
        <w:tc>
          <w:tcPr>
            <w:tcW w:w="1036" w:type="pct"/>
            <w:shd w:val="clear" w:color="auto" w:fill="auto"/>
            <w:hideMark/>
          </w:tcPr>
          <w:p w14:paraId="098F9E2E" w14:textId="77777777" w:rsidR="00501284" w:rsidRPr="001168CB" w:rsidRDefault="00501284" w:rsidP="00501284">
            <w:pPr>
              <w:spacing w:before="120"/>
              <w:rPr>
                <w:iCs/>
              </w:rPr>
            </w:pPr>
            <w:r w:rsidRPr="001168CB">
              <w:rPr>
                <w:iCs/>
              </w:rPr>
              <w:t>3. Finansiālā ietekme</w:t>
            </w:r>
          </w:p>
        </w:tc>
        <w:tc>
          <w:tcPr>
            <w:tcW w:w="540" w:type="pct"/>
            <w:shd w:val="clear" w:color="auto" w:fill="auto"/>
          </w:tcPr>
          <w:p w14:paraId="098F9E2F" w14:textId="77777777" w:rsidR="00501284" w:rsidRPr="001168CB" w:rsidRDefault="001E5F70" w:rsidP="00501284">
            <w:pPr>
              <w:spacing w:before="120"/>
              <w:jc w:val="center"/>
              <w:rPr>
                <w:iCs/>
              </w:rPr>
            </w:pPr>
            <w:r w:rsidRPr="001168CB">
              <w:rPr>
                <w:iCs/>
              </w:rPr>
              <w:t>0</w:t>
            </w:r>
          </w:p>
        </w:tc>
        <w:tc>
          <w:tcPr>
            <w:tcW w:w="588" w:type="pct"/>
            <w:shd w:val="clear" w:color="auto" w:fill="auto"/>
          </w:tcPr>
          <w:p w14:paraId="098F9E30" w14:textId="77777777" w:rsidR="00501284" w:rsidRPr="001168CB" w:rsidRDefault="00FE6B26" w:rsidP="00501284">
            <w:pPr>
              <w:spacing w:before="120"/>
              <w:jc w:val="center"/>
            </w:pPr>
            <w:r w:rsidRPr="001168CB">
              <w:rPr>
                <w:iCs/>
              </w:rPr>
              <w:t>-</w:t>
            </w:r>
            <w:r w:rsidRPr="00FE6B26">
              <w:rPr>
                <w:iCs/>
              </w:rPr>
              <w:t>1</w:t>
            </w:r>
            <w:r>
              <w:rPr>
                <w:iCs/>
              </w:rPr>
              <w:t xml:space="preserve"> </w:t>
            </w:r>
            <w:r w:rsidRPr="00FE6B26">
              <w:rPr>
                <w:iCs/>
              </w:rPr>
              <w:t>334</w:t>
            </w:r>
          </w:p>
        </w:tc>
        <w:tc>
          <w:tcPr>
            <w:tcW w:w="492" w:type="pct"/>
            <w:shd w:val="clear" w:color="auto" w:fill="auto"/>
          </w:tcPr>
          <w:p w14:paraId="098F9E31" w14:textId="77777777" w:rsidR="00501284" w:rsidRPr="001168CB" w:rsidRDefault="001E5F70" w:rsidP="00501284">
            <w:pPr>
              <w:spacing w:before="120"/>
              <w:jc w:val="center"/>
            </w:pPr>
            <w:r w:rsidRPr="001168CB">
              <w:t>0</w:t>
            </w:r>
          </w:p>
        </w:tc>
        <w:tc>
          <w:tcPr>
            <w:tcW w:w="588" w:type="pct"/>
            <w:shd w:val="clear" w:color="auto" w:fill="auto"/>
          </w:tcPr>
          <w:p w14:paraId="098F9E32" w14:textId="77777777" w:rsidR="00501284" w:rsidRPr="001168CB" w:rsidRDefault="007425E7" w:rsidP="00501284">
            <w:pPr>
              <w:spacing w:before="120"/>
              <w:jc w:val="center"/>
            </w:pPr>
            <w:r w:rsidRPr="007425E7">
              <w:t>-30</w:t>
            </w:r>
            <w:r>
              <w:t xml:space="preserve"> </w:t>
            </w:r>
            <w:r w:rsidRPr="007425E7">
              <w:t>578</w:t>
            </w:r>
          </w:p>
        </w:tc>
        <w:tc>
          <w:tcPr>
            <w:tcW w:w="492" w:type="pct"/>
            <w:shd w:val="clear" w:color="auto" w:fill="auto"/>
          </w:tcPr>
          <w:p w14:paraId="098F9E33" w14:textId="77777777" w:rsidR="00501284" w:rsidRPr="001168CB" w:rsidRDefault="001E5F70" w:rsidP="00501284">
            <w:pPr>
              <w:spacing w:before="120"/>
              <w:jc w:val="center"/>
            </w:pPr>
            <w:r w:rsidRPr="001168CB">
              <w:t>0</w:t>
            </w:r>
          </w:p>
        </w:tc>
        <w:tc>
          <w:tcPr>
            <w:tcW w:w="588" w:type="pct"/>
            <w:shd w:val="clear" w:color="auto" w:fill="auto"/>
          </w:tcPr>
          <w:p w14:paraId="098F9E34" w14:textId="77777777" w:rsidR="00501284" w:rsidRPr="001168CB" w:rsidRDefault="00501284" w:rsidP="00501284">
            <w:pPr>
              <w:spacing w:before="120"/>
              <w:jc w:val="center"/>
            </w:pPr>
            <w:r w:rsidRPr="001168CB">
              <w:rPr>
                <w:iCs/>
              </w:rPr>
              <w:t>-33 570</w:t>
            </w:r>
          </w:p>
        </w:tc>
        <w:tc>
          <w:tcPr>
            <w:tcW w:w="676" w:type="pct"/>
            <w:shd w:val="clear" w:color="auto" w:fill="auto"/>
          </w:tcPr>
          <w:p w14:paraId="098F9E35" w14:textId="77777777" w:rsidR="00501284" w:rsidRPr="001168CB" w:rsidRDefault="007425E7" w:rsidP="00501284">
            <w:pPr>
              <w:spacing w:before="120"/>
              <w:jc w:val="center"/>
            </w:pPr>
            <w:r w:rsidRPr="007425E7">
              <w:t>-459</w:t>
            </w:r>
            <w:r>
              <w:t xml:space="preserve"> </w:t>
            </w:r>
            <w:r w:rsidRPr="007425E7">
              <w:t>518</w:t>
            </w:r>
          </w:p>
        </w:tc>
      </w:tr>
      <w:tr w:rsidR="00501284" w:rsidRPr="001168CB" w14:paraId="098F9E3F" w14:textId="77777777" w:rsidTr="00501284">
        <w:tc>
          <w:tcPr>
            <w:tcW w:w="1036" w:type="pct"/>
            <w:shd w:val="clear" w:color="auto" w:fill="auto"/>
            <w:hideMark/>
          </w:tcPr>
          <w:p w14:paraId="098F9E37" w14:textId="77777777" w:rsidR="00501284" w:rsidRPr="001168CB" w:rsidRDefault="00501284" w:rsidP="00501284">
            <w:pPr>
              <w:spacing w:before="120"/>
              <w:rPr>
                <w:iCs/>
              </w:rPr>
            </w:pPr>
            <w:r w:rsidRPr="001168CB">
              <w:rPr>
                <w:iCs/>
              </w:rPr>
              <w:t>3.1. valsts pamatbudžets</w:t>
            </w:r>
          </w:p>
        </w:tc>
        <w:tc>
          <w:tcPr>
            <w:tcW w:w="540" w:type="pct"/>
            <w:shd w:val="clear" w:color="auto" w:fill="auto"/>
          </w:tcPr>
          <w:p w14:paraId="098F9E38" w14:textId="77777777" w:rsidR="00501284" w:rsidRPr="001168CB" w:rsidRDefault="001E5F70" w:rsidP="00501284">
            <w:pPr>
              <w:spacing w:before="120"/>
              <w:jc w:val="center"/>
              <w:rPr>
                <w:iCs/>
              </w:rPr>
            </w:pPr>
            <w:r w:rsidRPr="001168CB">
              <w:rPr>
                <w:iCs/>
              </w:rPr>
              <w:t>0</w:t>
            </w:r>
          </w:p>
        </w:tc>
        <w:tc>
          <w:tcPr>
            <w:tcW w:w="588" w:type="pct"/>
            <w:shd w:val="clear" w:color="auto" w:fill="auto"/>
          </w:tcPr>
          <w:p w14:paraId="098F9E39" w14:textId="77777777" w:rsidR="00501284" w:rsidRPr="001168CB" w:rsidRDefault="00FE6B26" w:rsidP="00501284">
            <w:pPr>
              <w:spacing w:before="120"/>
              <w:jc w:val="center"/>
            </w:pPr>
            <w:r w:rsidRPr="001168CB">
              <w:rPr>
                <w:iCs/>
              </w:rPr>
              <w:t>-</w:t>
            </w:r>
            <w:r w:rsidRPr="00FE6B26">
              <w:rPr>
                <w:iCs/>
              </w:rPr>
              <w:t>1</w:t>
            </w:r>
            <w:r>
              <w:rPr>
                <w:iCs/>
              </w:rPr>
              <w:t xml:space="preserve"> </w:t>
            </w:r>
            <w:r w:rsidRPr="00FE6B26">
              <w:rPr>
                <w:iCs/>
              </w:rPr>
              <w:t>334</w:t>
            </w:r>
          </w:p>
        </w:tc>
        <w:tc>
          <w:tcPr>
            <w:tcW w:w="492" w:type="pct"/>
            <w:shd w:val="clear" w:color="auto" w:fill="auto"/>
          </w:tcPr>
          <w:p w14:paraId="098F9E3A" w14:textId="77777777" w:rsidR="00501284" w:rsidRPr="001168CB" w:rsidRDefault="001E5F70" w:rsidP="00501284">
            <w:pPr>
              <w:spacing w:before="120"/>
              <w:jc w:val="center"/>
            </w:pPr>
            <w:r w:rsidRPr="001168CB">
              <w:t>0</w:t>
            </w:r>
          </w:p>
        </w:tc>
        <w:tc>
          <w:tcPr>
            <w:tcW w:w="588" w:type="pct"/>
            <w:shd w:val="clear" w:color="auto" w:fill="auto"/>
          </w:tcPr>
          <w:p w14:paraId="098F9E3B" w14:textId="77777777" w:rsidR="00501284" w:rsidRPr="001168CB" w:rsidRDefault="007425E7" w:rsidP="00501284">
            <w:pPr>
              <w:spacing w:before="120"/>
              <w:jc w:val="center"/>
            </w:pPr>
            <w:r w:rsidRPr="007425E7">
              <w:t>-30</w:t>
            </w:r>
            <w:r>
              <w:t xml:space="preserve"> </w:t>
            </w:r>
            <w:r w:rsidRPr="007425E7">
              <w:t>578</w:t>
            </w:r>
          </w:p>
        </w:tc>
        <w:tc>
          <w:tcPr>
            <w:tcW w:w="492" w:type="pct"/>
            <w:shd w:val="clear" w:color="auto" w:fill="auto"/>
          </w:tcPr>
          <w:p w14:paraId="098F9E3C" w14:textId="77777777" w:rsidR="00501284" w:rsidRPr="001168CB" w:rsidRDefault="001E5F70" w:rsidP="00501284">
            <w:pPr>
              <w:spacing w:before="120"/>
              <w:jc w:val="center"/>
            </w:pPr>
            <w:r w:rsidRPr="001168CB">
              <w:t>0</w:t>
            </w:r>
          </w:p>
        </w:tc>
        <w:tc>
          <w:tcPr>
            <w:tcW w:w="588" w:type="pct"/>
            <w:shd w:val="clear" w:color="auto" w:fill="auto"/>
          </w:tcPr>
          <w:p w14:paraId="098F9E3D" w14:textId="77777777" w:rsidR="00501284" w:rsidRPr="001168CB" w:rsidRDefault="00501284" w:rsidP="00501284">
            <w:pPr>
              <w:spacing w:before="120"/>
              <w:jc w:val="center"/>
            </w:pPr>
            <w:r w:rsidRPr="001168CB">
              <w:rPr>
                <w:iCs/>
              </w:rPr>
              <w:t>-33 570</w:t>
            </w:r>
          </w:p>
        </w:tc>
        <w:tc>
          <w:tcPr>
            <w:tcW w:w="676" w:type="pct"/>
            <w:shd w:val="clear" w:color="auto" w:fill="auto"/>
          </w:tcPr>
          <w:p w14:paraId="098F9E3E" w14:textId="77777777" w:rsidR="00501284" w:rsidRPr="001168CB" w:rsidRDefault="007425E7" w:rsidP="00501284">
            <w:pPr>
              <w:spacing w:before="120"/>
              <w:jc w:val="center"/>
            </w:pPr>
            <w:r w:rsidRPr="007425E7">
              <w:t>-459</w:t>
            </w:r>
            <w:r>
              <w:t xml:space="preserve"> </w:t>
            </w:r>
            <w:r w:rsidRPr="007425E7">
              <w:t>518</w:t>
            </w:r>
          </w:p>
        </w:tc>
      </w:tr>
      <w:tr w:rsidR="00501284" w:rsidRPr="001168CB" w14:paraId="098F9E48" w14:textId="77777777" w:rsidTr="00501284">
        <w:tc>
          <w:tcPr>
            <w:tcW w:w="1036" w:type="pct"/>
            <w:shd w:val="clear" w:color="auto" w:fill="auto"/>
            <w:hideMark/>
          </w:tcPr>
          <w:p w14:paraId="098F9E40" w14:textId="77777777" w:rsidR="00501284" w:rsidRPr="001168CB" w:rsidRDefault="00501284" w:rsidP="00501284">
            <w:pPr>
              <w:spacing w:before="120"/>
              <w:rPr>
                <w:iCs/>
              </w:rPr>
            </w:pPr>
            <w:r w:rsidRPr="001168CB">
              <w:rPr>
                <w:iCs/>
              </w:rPr>
              <w:lastRenderedPageBreak/>
              <w:t>3.2. speciālais budžets</w:t>
            </w:r>
          </w:p>
        </w:tc>
        <w:tc>
          <w:tcPr>
            <w:tcW w:w="540" w:type="pct"/>
            <w:shd w:val="clear" w:color="auto" w:fill="auto"/>
          </w:tcPr>
          <w:p w14:paraId="098F9E41"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42"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E43"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44"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E45"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46" w14:textId="77777777" w:rsidR="00501284" w:rsidRPr="001168CB" w:rsidRDefault="00501284" w:rsidP="00501284">
            <w:pPr>
              <w:spacing w:before="120"/>
              <w:jc w:val="center"/>
              <w:rPr>
                <w:iCs/>
              </w:rPr>
            </w:pPr>
            <w:r w:rsidRPr="001168CB">
              <w:rPr>
                <w:iCs/>
              </w:rPr>
              <w:t>0</w:t>
            </w:r>
          </w:p>
        </w:tc>
        <w:tc>
          <w:tcPr>
            <w:tcW w:w="676" w:type="pct"/>
            <w:shd w:val="clear" w:color="auto" w:fill="auto"/>
          </w:tcPr>
          <w:p w14:paraId="098F9E47" w14:textId="77777777" w:rsidR="00501284" w:rsidRPr="001168CB" w:rsidRDefault="00501284" w:rsidP="00501284">
            <w:pPr>
              <w:spacing w:before="120"/>
              <w:jc w:val="center"/>
              <w:rPr>
                <w:iCs/>
              </w:rPr>
            </w:pPr>
            <w:r w:rsidRPr="001168CB">
              <w:rPr>
                <w:iCs/>
              </w:rPr>
              <w:t>0</w:t>
            </w:r>
          </w:p>
        </w:tc>
      </w:tr>
      <w:tr w:rsidR="00501284" w:rsidRPr="001168CB" w14:paraId="098F9E51" w14:textId="77777777" w:rsidTr="00501284">
        <w:tc>
          <w:tcPr>
            <w:tcW w:w="1036" w:type="pct"/>
            <w:shd w:val="clear" w:color="auto" w:fill="auto"/>
            <w:hideMark/>
          </w:tcPr>
          <w:p w14:paraId="098F9E49" w14:textId="77777777" w:rsidR="00501284" w:rsidRPr="001168CB" w:rsidRDefault="00501284" w:rsidP="00501284">
            <w:pPr>
              <w:spacing w:before="120"/>
              <w:rPr>
                <w:iCs/>
              </w:rPr>
            </w:pPr>
            <w:r w:rsidRPr="001168CB">
              <w:rPr>
                <w:iCs/>
              </w:rPr>
              <w:t>3.3. pašvaldību budžets</w:t>
            </w:r>
          </w:p>
        </w:tc>
        <w:tc>
          <w:tcPr>
            <w:tcW w:w="540" w:type="pct"/>
            <w:shd w:val="clear" w:color="auto" w:fill="auto"/>
          </w:tcPr>
          <w:p w14:paraId="098F9E4A"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4B"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E4C"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4D"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E4E"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4F" w14:textId="77777777" w:rsidR="00501284" w:rsidRPr="001168CB" w:rsidRDefault="00501284" w:rsidP="00501284">
            <w:pPr>
              <w:spacing w:before="120"/>
              <w:jc w:val="center"/>
              <w:rPr>
                <w:iCs/>
              </w:rPr>
            </w:pPr>
            <w:r w:rsidRPr="001168CB">
              <w:rPr>
                <w:iCs/>
              </w:rPr>
              <w:t>0</w:t>
            </w:r>
          </w:p>
        </w:tc>
        <w:tc>
          <w:tcPr>
            <w:tcW w:w="676" w:type="pct"/>
            <w:shd w:val="clear" w:color="auto" w:fill="auto"/>
          </w:tcPr>
          <w:p w14:paraId="098F9E50" w14:textId="77777777" w:rsidR="00501284" w:rsidRPr="001168CB" w:rsidRDefault="00501284" w:rsidP="00501284">
            <w:pPr>
              <w:spacing w:before="120"/>
              <w:jc w:val="center"/>
              <w:rPr>
                <w:iCs/>
              </w:rPr>
            </w:pPr>
            <w:r w:rsidRPr="001168CB">
              <w:rPr>
                <w:iCs/>
              </w:rPr>
              <w:t>0</w:t>
            </w:r>
          </w:p>
        </w:tc>
      </w:tr>
      <w:tr w:rsidR="00501284" w:rsidRPr="001168CB" w14:paraId="098F9E5A" w14:textId="77777777" w:rsidTr="00A85586">
        <w:tc>
          <w:tcPr>
            <w:tcW w:w="1036" w:type="pct"/>
            <w:shd w:val="clear" w:color="auto" w:fill="auto"/>
            <w:hideMark/>
          </w:tcPr>
          <w:p w14:paraId="098F9E52" w14:textId="77777777" w:rsidR="00501284" w:rsidRPr="001168CB" w:rsidRDefault="00501284" w:rsidP="00501284">
            <w:pPr>
              <w:spacing w:before="120"/>
              <w:rPr>
                <w:iCs/>
              </w:rPr>
            </w:pPr>
            <w:r w:rsidRPr="001168CB">
              <w:rPr>
                <w:iCs/>
              </w:rPr>
              <w:t>4. Finanšu līdzekļi papildu izdevumu finansēšanai (kompensējošu izdevumu samazinājumu norāda ar "+" zīmi)</w:t>
            </w:r>
          </w:p>
        </w:tc>
        <w:tc>
          <w:tcPr>
            <w:tcW w:w="540" w:type="pct"/>
            <w:shd w:val="clear" w:color="auto" w:fill="auto"/>
          </w:tcPr>
          <w:p w14:paraId="098F9E53"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54"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E55"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56" w14:textId="77777777" w:rsidR="00501284" w:rsidRPr="001168CB" w:rsidRDefault="00501284" w:rsidP="00501284">
            <w:pPr>
              <w:spacing w:before="120"/>
              <w:jc w:val="center"/>
              <w:rPr>
                <w:iCs/>
              </w:rPr>
            </w:pPr>
            <w:r w:rsidRPr="001168CB">
              <w:rPr>
                <w:iCs/>
              </w:rPr>
              <w:t>0</w:t>
            </w:r>
          </w:p>
        </w:tc>
        <w:tc>
          <w:tcPr>
            <w:tcW w:w="492" w:type="pct"/>
            <w:shd w:val="clear" w:color="auto" w:fill="auto"/>
          </w:tcPr>
          <w:p w14:paraId="098F9E57" w14:textId="77777777" w:rsidR="00501284" w:rsidRPr="001168CB" w:rsidRDefault="00501284" w:rsidP="00501284">
            <w:pPr>
              <w:spacing w:before="120"/>
              <w:jc w:val="center"/>
              <w:rPr>
                <w:iCs/>
              </w:rPr>
            </w:pPr>
            <w:r w:rsidRPr="001168CB">
              <w:rPr>
                <w:iCs/>
              </w:rPr>
              <w:t>0</w:t>
            </w:r>
          </w:p>
        </w:tc>
        <w:tc>
          <w:tcPr>
            <w:tcW w:w="588" w:type="pct"/>
            <w:shd w:val="clear" w:color="auto" w:fill="auto"/>
          </w:tcPr>
          <w:p w14:paraId="098F9E58" w14:textId="77777777" w:rsidR="00501284" w:rsidRPr="001168CB" w:rsidRDefault="00501284" w:rsidP="00501284">
            <w:pPr>
              <w:spacing w:before="120"/>
              <w:jc w:val="center"/>
              <w:rPr>
                <w:iCs/>
              </w:rPr>
            </w:pPr>
            <w:r w:rsidRPr="001168CB">
              <w:rPr>
                <w:iCs/>
              </w:rPr>
              <w:t>0</w:t>
            </w:r>
          </w:p>
        </w:tc>
        <w:tc>
          <w:tcPr>
            <w:tcW w:w="676" w:type="pct"/>
            <w:shd w:val="clear" w:color="auto" w:fill="auto"/>
          </w:tcPr>
          <w:p w14:paraId="098F9E59" w14:textId="77777777" w:rsidR="00501284" w:rsidRPr="001168CB" w:rsidRDefault="00501284" w:rsidP="00501284">
            <w:pPr>
              <w:spacing w:before="120"/>
              <w:jc w:val="center"/>
              <w:rPr>
                <w:iCs/>
              </w:rPr>
            </w:pPr>
            <w:r w:rsidRPr="001168CB">
              <w:rPr>
                <w:iCs/>
              </w:rPr>
              <w:t>0</w:t>
            </w:r>
          </w:p>
        </w:tc>
      </w:tr>
      <w:tr w:rsidR="00501284" w:rsidRPr="001168CB" w14:paraId="098F9E63" w14:textId="77777777" w:rsidTr="00501284">
        <w:tc>
          <w:tcPr>
            <w:tcW w:w="1036" w:type="pct"/>
            <w:shd w:val="clear" w:color="auto" w:fill="auto"/>
            <w:hideMark/>
          </w:tcPr>
          <w:p w14:paraId="098F9E5B" w14:textId="77777777" w:rsidR="00501284" w:rsidRPr="001168CB" w:rsidRDefault="00501284" w:rsidP="00501284">
            <w:pPr>
              <w:spacing w:before="120"/>
              <w:rPr>
                <w:iCs/>
              </w:rPr>
            </w:pPr>
            <w:r w:rsidRPr="001168CB">
              <w:rPr>
                <w:iCs/>
              </w:rPr>
              <w:t>5. Precizēta finansiālā ietekme</w:t>
            </w:r>
          </w:p>
        </w:tc>
        <w:tc>
          <w:tcPr>
            <w:tcW w:w="540" w:type="pct"/>
            <w:vMerge w:val="restart"/>
            <w:shd w:val="clear" w:color="auto" w:fill="auto"/>
          </w:tcPr>
          <w:p w14:paraId="098F9E5C" w14:textId="77777777" w:rsidR="00501284" w:rsidRPr="001168CB" w:rsidRDefault="00501284" w:rsidP="00501284">
            <w:pPr>
              <w:spacing w:before="120"/>
              <w:jc w:val="center"/>
              <w:rPr>
                <w:iCs/>
              </w:rPr>
            </w:pPr>
            <w:r w:rsidRPr="001168CB">
              <w:rPr>
                <w:iCs/>
              </w:rPr>
              <w:t>X</w:t>
            </w:r>
          </w:p>
        </w:tc>
        <w:tc>
          <w:tcPr>
            <w:tcW w:w="588" w:type="pct"/>
            <w:shd w:val="clear" w:color="auto" w:fill="auto"/>
            <w:vAlign w:val="center"/>
          </w:tcPr>
          <w:p w14:paraId="098F9E5D" w14:textId="77777777" w:rsidR="00501284" w:rsidRPr="001168CB" w:rsidRDefault="007425E7" w:rsidP="00501284">
            <w:pPr>
              <w:spacing w:before="120"/>
              <w:jc w:val="center"/>
              <w:rPr>
                <w:iCs/>
              </w:rPr>
            </w:pPr>
            <w:r w:rsidRPr="001168CB">
              <w:rPr>
                <w:iCs/>
              </w:rPr>
              <w:t>-</w:t>
            </w:r>
            <w:r w:rsidRPr="00FE6B26">
              <w:rPr>
                <w:iCs/>
              </w:rPr>
              <w:t>1</w:t>
            </w:r>
            <w:r>
              <w:rPr>
                <w:iCs/>
              </w:rPr>
              <w:t xml:space="preserve"> </w:t>
            </w:r>
            <w:r w:rsidRPr="00FE6B26">
              <w:rPr>
                <w:iCs/>
              </w:rPr>
              <w:t>334</w:t>
            </w:r>
          </w:p>
        </w:tc>
        <w:tc>
          <w:tcPr>
            <w:tcW w:w="492" w:type="pct"/>
            <w:vMerge w:val="restart"/>
            <w:shd w:val="clear" w:color="auto" w:fill="auto"/>
          </w:tcPr>
          <w:p w14:paraId="098F9E5E" w14:textId="77777777" w:rsidR="00501284" w:rsidRPr="001168CB" w:rsidRDefault="00501284" w:rsidP="00501284">
            <w:pPr>
              <w:spacing w:before="120"/>
              <w:jc w:val="center"/>
              <w:rPr>
                <w:iCs/>
              </w:rPr>
            </w:pPr>
            <w:r w:rsidRPr="001168CB">
              <w:rPr>
                <w:iCs/>
              </w:rPr>
              <w:t>X</w:t>
            </w:r>
          </w:p>
        </w:tc>
        <w:tc>
          <w:tcPr>
            <w:tcW w:w="588" w:type="pct"/>
            <w:shd w:val="clear" w:color="auto" w:fill="auto"/>
            <w:vAlign w:val="center"/>
          </w:tcPr>
          <w:p w14:paraId="098F9E5F" w14:textId="77777777" w:rsidR="00501284" w:rsidRPr="001168CB" w:rsidRDefault="007425E7" w:rsidP="00501284">
            <w:pPr>
              <w:spacing w:before="120"/>
              <w:jc w:val="center"/>
              <w:rPr>
                <w:iCs/>
              </w:rPr>
            </w:pPr>
            <w:r w:rsidRPr="007425E7">
              <w:t>-30</w:t>
            </w:r>
            <w:r>
              <w:t xml:space="preserve"> </w:t>
            </w:r>
            <w:r w:rsidRPr="007425E7">
              <w:t>578</w:t>
            </w:r>
          </w:p>
        </w:tc>
        <w:tc>
          <w:tcPr>
            <w:tcW w:w="492" w:type="pct"/>
            <w:vMerge w:val="restart"/>
            <w:shd w:val="clear" w:color="auto" w:fill="auto"/>
          </w:tcPr>
          <w:p w14:paraId="098F9E60" w14:textId="77777777" w:rsidR="00501284" w:rsidRPr="001168CB" w:rsidRDefault="00501284" w:rsidP="00501284">
            <w:pPr>
              <w:spacing w:before="120"/>
              <w:jc w:val="center"/>
              <w:rPr>
                <w:iCs/>
              </w:rPr>
            </w:pPr>
          </w:p>
        </w:tc>
        <w:tc>
          <w:tcPr>
            <w:tcW w:w="588" w:type="pct"/>
            <w:shd w:val="clear" w:color="auto" w:fill="auto"/>
            <w:vAlign w:val="center"/>
          </w:tcPr>
          <w:p w14:paraId="098F9E61" w14:textId="77777777" w:rsidR="00501284" w:rsidRPr="001168CB" w:rsidRDefault="00501284" w:rsidP="00501284">
            <w:pPr>
              <w:jc w:val="center"/>
            </w:pPr>
            <w:r w:rsidRPr="001168CB">
              <w:rPr>
                <w:iCs/>
              </w:rPr>
              <w:t>-33 570</w:t>
            </w:r>
          </w:p>
        </w:tc>
        <w:tc>
          <w:tcPr>
            <w:tcW w:w="676" w:type="pct"/>
            <w:shd w:val="clear" w:color="auto" w:fill="auto"/>
            <w:vAlign w:val="center"/>
          </w:tcPr>
          <w:p w14:paraId="098F9E62" w14:textId="77777777" w:rsidR="00501284" w:rsidRPr="001168CB" w:rsidRDefault="007425E7" w:rsidP="00501284">
            <w:pPr>
              <w:jc w:val="center"/>
            </w:pPr>
            <w:r w:rsidRPr="007425E7">
              <w:t>-459</w:t>
            </w:r>
            <w:r>
              <w:t xml:space="preserve"> </w:t>
            </w:r>
            <w:r w:rsidRPr="007425E7">
              <w:t>518</w:t>
            </w:r>
          </w:p>
        </w:tc>
      </w:tr>
      <w:tr w:rsidR="00501284" w:rsidRPr="001168CB" w14:paraId="098F9E6C" w14:textId="77777777" w:rsidTr="00501284">
        <w:tc>
          <w:tcPr>
            <w:tcW w:w="1036" w:type="pct"/>
            <w:shd w:val="clear" w:color="auto" w:fill="auto"/>
            <w:hideMark/>
          </w:tcPr>
          <w:p w14:paraId="098F9E64" w14:textId="77777777" w:rsidR="00501284" w:rsidRPr="001168CB" w:rsidRDefault="00501284" w:rsidP="00501284">
            <w:pPr>
              <w:spacing w:before="120"/>
              <w:rPr>
                <w:iCs/>
              </w:rPr>
            </w:pPr>
            <w:r w:rsidRPr="001168CB">
              <w:rPr>
                <w:iCs/>
              </w:rPr>
              <w:t>5.1. valsts pamatbudžets</w:t>
            </w:r>
          </w:p>
        </w:tc>
        <w:tc>
          <w:tcPr>
            <w:tcW w:w="0" w:type="auto"/>
            <w:vMerge/>
            <w:shd w:val="clear" w:color="auto" w:fill="auto"/>
          </w:tcPr>
          <w:p w14:paraId="098F9E65" w14:textId="77777777" w:rsidR="00501284" w:rsidRPr="001168CB" w:rsidRDefault="00501284" w:rsidP="00501284">
            <w:pPr>
              <w:spacing w:before="120"/>
              <w:rPr>
                <w:iCs/>
              </w:rPr>
            </w:pPr>
          </w:p>
        </w:tc>
        <w:tc>
          <w:tcPr>
            <w:tcW w:w="588" w:type="pct"/>
            <w:shd w:val="clear" w:color="auto" w:fill="auto"/>
            <w:vAlign w:val="center"/>
          </w:tcPr>
          <w:p w14:paraId="098F9E66" w14:textId="77777777" w:rsidR="00501284" w:rsidRPr="001168CB" w:rsidRDefault="007425E7" w:rsidP="00501284">
            <w:pPr>
              <w:spacing w:before="120"/>
              <w:jc w:val="center"/>
              <w:rPr>
                <w:iCs/>
              </w:rPr>
            </w:pPr>
            <w:r w:rsidRPr="001168CB">
              <w:rPr>
                <w:iCs/>
              </w:rPr>
              <w:t>-</w:t>
            </w:r>
            <w:r w:rsidRPr="00FE6B26">
              <w:rPr>
                <w:iCs/>
              </w:rPr>
              <w:t>1</w:t>
            </w:r>
            <w:r>
              <w:rPr>
                <w:iCs/>
              </w:rPr>
              <w:t xml:space="preserve"> </w:t>
            </w:r>
            <w:r w:rsidRPr="00FE6B26">
              <w:rPr>
                <w:iCs/>
              </w:rPr>
              <w:t>334</w:t>
            </w:r>
          </w:p>
        </w:tc>
        <w:tc>
          <w:tcPr>
            <w:tcW w:w="0" w:type="auto"/>
            <w:vMerge/>
            <w:shd w:val="clear" w:color="auto" w:fill="auto"/>
          </w:tcPr>
          <w:p w14:paraId="098F9E67" w14:textId="77777777" w:rsidR="00501284" w:rsidRPr="001168CB" w:rsidRDefault="00501284" w:rsidP="00501284">
            <w:pPr>
              <w:spacing w:before="120"/>
              <w:rPr>
                <w:iCs/>
              </w:rPr>
            </w:pPr>
          </w:p>
        </w:tc>
        <w:tc>
          <w:tcPr>
            <w:tcW w:w="588" w:type="pct"/>
            <w:shd w:val="clear" w:color="auto" w:fill="auto"/>
            <w:vAlign w:val="center"/>
          </w:tcPr>
          <w:p w14:paraId="098F9E68" w14:textId="77777777" w:rsidR="00501284" w:rsidRPr="001168CB" w:rsidRDefault="007425E7" w:rsidP="00501284">
            <w:pPr>
              <w:spacing w:before="120"/>
              <w:jc w:val="center"/>
              <w:rPr>
                <w:iCs/>
              </w:rPr>
            </w:pPr>
            <w:r w:rsidRPr="007425E7">
              <w:t>-30</w:t>
            </w:r>
            <w:r>
              <w:t xml:space="preserve"> </w:t>
            </w:r>
            <w:r w:rsidRPr="007425E7">
              <w:t>578</w:t>
            </w:r>
          </w:p>
        </w:tc>
        <w:tc>
          <w:tcPr>
            <w:tcW w:w="0" w:type="auto"/>
            <w:vMerge/>
            <w:shd w:val="clear" w:color="auto" w:fill="auto"/>
          </w:tcPr>
          <w:p w14:paraId="098F9E69" w14:textId="77777777" w:rsidR="00501284" w:rsidRPr="001168CB" w:rsidRDefault="00501284" w:rsidP="00501284">
            <w:pPr>
              <w:spacing w:before="120"/>
              <w:rPr>
                <w:iCs/>
              </w:rPr>
            </w:pPr>
          </w:p>
        </w:tc>
        <w:tc>
          <w:tcPr>
            <w:tcW w:w="588" w:type="pct"/>
            <w:shd w:val="clear" w:color="auto" w:fill="auto"/>
            <w:vAlign w:val="center"/>
          </w:tcPr>
          <w:p w14:paraId="098F9E6A" w14:textId="77777777" w:rsidR="00501284" w:rsidRPr="001168CB" w:rsidRDefault="00501284" w:rsidP="00501284">
            <w:pPr>
              <w:spacing w:before="120"/>
              <w:jc w:val="center"/>
              <w:rPr>
                <w:iCs/>
              </w:rPr>
            </w:pPr>
            <w:r w:rsidRPr="001168CB">
              <w:rPr>
                <w:iCs/>
              </w:rPr>
              <w:t>-33 570</w:t>
            </w:r>
          </w:p>
        </w:tc>
        <w:tc>
          <w:tcPr>
            <w:tcW w:w="676" w:type="pct"/>
            <w:shd w:val="clear" w:color="auto" w:fill="auto"/>
            <w:vAlign w:val="center"/>
          </w:tcPr>
          <w:p w14:paraId="098F9E6B" w14:textId="77777777" w:rsidR="00501284" w:rsidRPr="001168CB" w:rsidRDefault="007425E7" w:rsidP="00501284">
            <w:pPr>
              <w:spacing w:before="120"/>
              <w:jc w:val="center"/>
              <w:rPr>
                <w:iCs/>
              </w:rPr>
            </w:pPr>
            <w:r w:rsidRPr="007425E7">
              <w:t>-459</w:t>
            </w:r>
            <w:r>
              <w:t xml:space="preserve"> </w:t>
            </w:r>
            <w:r w:rsidRPr="007425E7">
              <w:t>518</w:t>
            </w:r>
          </w:p>
        </w:tc>
      </w:tr>
      <w:tr w:rsidR="00501284" w:rsidRPr="001168CB" w14:paraId="098F9E75" w14:textId="77777777" w:rsidTr="00A85586">
        <w:tc>
          <w:tcPr>
            <w:tcW w:w="1036" w:type="pct"/>
            <w:shd w:val="clear" w:color="auto" w:fill="auto"/>
            <w:hideMark/>
          </w:tcPr>
          <w:p w14:paraId="098F9E6D" w14:textId="77777777" w:rsidR="00501284" w:rsidRPr="001168CB" w:rsidRDefault="00501284" w:rsidP="00501284">
            <w:pPr>
              <w:spacing w:before="120"/>
              <w:rPr>
                <w:iCs/>
              </w:rPr>
            </w:pPr>
            <w:r w:rsidRPr="001168CB">
              <w:rPr>
                <w:iCs/>
              </w:rPr>
              <w:t>5.2. speciālais budžets</w:t>
            </w:r>
          </w:p>
        </w:tc>
        <w:tc>
          <w:tcPr>
            <w:tcW w:w="0" w:type="auto"/>
            <w:vMerge/>
            <w:shd w:val="clear" w:color="auto" w:fill="auto"/>
          </w:tcPr>
          <w:p w14:paraId="098F9E6E" w14:textId="77777777" w:rsidR="00501284" w:rsidRPr="001168CB" w:rsidRDefault="00501284" w:rsidP="00501284">
            <w:pPr>
              <w:spacing w:before="120"/>
              <w:rPr>
                <w:iCs/>
              </w:rPr>
            </w:pPr>
          </w:p>
        </w:tc>
        <w:tc>
          <w:tcPr>
            <w:tcW w:w="588" w:type="pct"/>
            <w:shd w:val="clear" w:color="auto" w:fill="auto"/>
          </w:tcPr>
          <w:p w14:paraId="098F9E6F" w14:textId="77777777" w:rsidR="00501284" w:rsidRPr="001168CB" w:rsidRDefault="001E5F70" w:rsidP="001E5F70">
            <w:pPr>
              <w:spacing w:before="120"/>
              <w:jc w:val="center"/>
              <w:rPr>
                <w:iCs/>
              </w:rPr>
            </w:pPr>
            <w:r w:rsidRPr="001168CB">
              <w:rPr>
                <w:iCs/>
              </w:rPr>
              <w:t>0</w:t>
            </w:r>
          </w:p>
        </w:tc>
        <w:tc>
          <w:tcPr>
            <w:tcW w:w="0" w:type="auto"/>
            <w:vMerge/>
            <w:shd w:val="clear" w:color="auto" w:fill="auto"/>
          </w:tcPr>
          <w:p w14:paraId="098F9E70" w14:textId="77777777" w:rsidR="00501284" w:rsidRPr="001168CB" w:rsidRDefault="00501284" w:rsidP="001E5F70">
            <w:pPr>
              <w:spacing w:before="120"/>
              <w:jc w:val="center"/>
              <w:rPr>
                <w:iCs/>
              </w:rPr>
            </w:pPr>
          </w:p>
        </w:tc>
        <w:tc>
          <w:tcPr>
            <w:tcW w:w="588" w:type="pct"/>
            <w:shd w:val="clear" w:color="auto" w:fill="auto"/>
          </w:tcPr>
          <w:p w14:paraId="098F9E71" w14:textId="77777777" w:rsidR="00501284" w:rsidRPr="001168CB" w:rsidRDefault="001E5F70" w:rsidP="001E5F70">
            <w:pPr>
              <w:spacing w:before="120"/>
              <w:jc w:val="center"/>
              <w:rPr>
                <w:iCs/>
              </w:rPr>
            </w:pPr>
            <w:r w:rsidRPr="001168CB">
              <w:rPr>
                <w:iCs/>
              </w:rPr>
              <w:t>0</w:t>
            </w:r>
          </w:p>
        </w:tc>
        <w:tc>
          <w:tcPr>
            <w:tcW w:w="0" w:type="auto"/>
            <w:vMerge/>
            <w:shd w:val="clear" w:color="auto" w:fill="auto"/>
          </w:tcPr>
          <w:p w14:paraId="098F9E72" w14:textId="77777777" w:rsidR="00501284" w:rsidRPr="001168CB" w:rsidRDefault="00501284" w:rsidP="001E5F70">
            <w:pPr>
              <w:spacing w:before="120"/>
              <w:jc w:val="center"/>
              <w:rPr>
                <w:iCs/>
              </w:rPr>
            </w:pPr>
          </w:p>
        </w:tc>
        <w:tc>
          <w:tcPr>
            <w:tcW w:w="588" w:type="pct"/>
            <w:shd w:val="clear" w:color="auto" w:fill="auto"/>
          </w:tcPr>
          <w:p w14:paraId="098F9E73" w14:textId="77777777" w:rsidR="00501284" w:rsidRPr="001168CB" w:rsidRDefault="001E5F70" w:rsidP="001E5F70">
            <w:pPr>
              <w:spacing w:before="120"/>
              <w:jc w:val="center"/>
              <w:rPr>
                <w:iCs/>
              </w:rPr>
            </w:pPr>
            <w:r w:rsidRPr="001168CB">
              <w:rPr>
                <w:iCs/>
              </w:rPr>
              <w:t>0</w:t>
            </w:r>
          </w:p>
        </w:tc>
        <w:tc>
          <w:tcPr>
            <w:tcW w:w="676" w:type="pct"/>
            <w:shd w:val="clear" w:color="auto" w:fill="auto"/>
          </w:tcPr>
          <w:p w14:paraId="098F9E74" w14:textId="77777777" w:rsidR="00501284" w:rsidRPr="001168CB" w:rsidRDefault="001E5F70" w:rsidP="001E5F70">
            <w:pPr>
              <w:spacing w:before="120"/>
              <w:jc w:val="center"/>
              <w:rPr>
                <w:iCs/>
              </w:rPr>
            </w:pPr>
            <w:r w:rsidRPr="001168CB">
              <w:rPr>
                <w:iCs/>
              </w:rPr>
              <w:t>0</w:t>
            </w:r>
          </w:p>
        </w:tc>
      </w:tr>
      <w:tr w:rsidR="00501284" w:rsidRPr="001168CB" w14:paraId="098F9E7E" w14:textId="77777777" w:rsidTr="00A85586">
        <w:tc>
          <w:tcPr>
            <w:tcW w:w="1036" w:type="pct"/>
            <w:shd w:val="clear" w:color="auto" w:fill="auto"/>
            <w:hideMark/>
          </w:tcPr>
          <w:p w14:paraId="098F9E76" w14:textId="77777777" w:rsidR="00501284" w:rsidRPr="001168CB" w:rsidRDefault="00501284" w:rsidP="00501284">
            <w:pPr>
              <w:spacing w:before="120"/>
              <w:rPr>
                <w:iCs/>
              </w:rPr>
            </w:pPr>
            <w:r w:rsidRPr="001168CB">
              <w:rPr>
                <w:iCs/>
              </w:rPr>
              <w:t>5.3. pašvaldību budžets</w:t>
            </w:r>
          </w:p>
        </w:tc>
        <w:tc>
          <w:tcPr>
            <w:tcW w:w="0" w:type="auto"/>
            <w:vMerge/>
            <w:shd w:val="clear" w:color="auto" w:fill="auto"/>
          </w:tcPr>
          <w:p w14:paraId="098F9E77" w14:textId="77777777" w:rsidR="00501284" w:rsidRPr="001168CB" w:rsidRDefault="00501284" w:rsidP="00501284">
            <w:pPr>
              <w:spacing w:before="120"/>
              <w:rPr>
                <w:iCs/>
              </w:rPr>
            </w:pPr>
          </w:p>
        </w:tc>
        <w:tc>
          <w:tcPr>
            <w:tcW w:w="588" w:type="pct"/>
            <w:shd w:val="clear" w:color="auto" w:fill="auto"/>
          </w:tcPr>
          <w:p w14:paraId="098F9E78" w14:textId="77777777" w:rsidR="00501284" w:rsidRPr="001168CB" w:rsidRDefault="001E5F70" w:rsidP="001E5F70">
            <w:pPr>
              <w:spacing w:before="120"/>
              <w:jc w:val="center"/>
              <w:rPr>
                <w:iCs/>
              </w:rPr>
            </w:pPr>
            <w:r w:rsidRPr="001168CB">
              <w:rPr>
                <w:iCs/>
              </w:rPr>
              <w:t>0</w:t>
            </w:r>
          </w:p>
        </w:tc>
        <w:tc>
          <w:tcPr>
            <w:tcW w:w="0" w:type="auto"/>
            <w:vMerge/>
            <w:shd w:val="clear" w:color="auto" w:fill="auto"/>
          </w:tcPr>
          <w:p w14:paraId="098F9E79" w14:textId="77777777" w:rsidR="00501284" w:rsidRPr="001168CB" w:rsidRDefault="00501284" w:rsidP="001E5F70">
            <w:pPr>
              <w:spacing w:before="120"/>
              <w:jc w:val="center"/>
              <w:rPr>
                <w:iCs/>
              </w:rPr>
            </w:pPr>
          </w:p>
        </w:tc>
        <w:tc>
          <w:tcPr>
            <w:tcW w:w="588" w:type="pct"/>
            <w:shd w:val="clear" w:color="auto" w:fill="auto"/>
          </w:tcPr>
          <w:p w14:paraId="098F9E7A" w14:textId="77777777" w:rsidR="00501284" w:rsidRPr="001168CB" w:rsidRDefault="001E5F70" w:rsidP="001E5F70">
            <w:pPr>
              <w:spacing w:before="120"/>
              <w:jc w:val="center"/>
              <w:rPr>
                <w:iCs/>
              </w:rPr>
            </w:pPr>
            <w:r w:rsidRPr="001168CB">
              <w:rPr>
                <w:iCs/>
              </w:rPr>
              <w:t>0</w:t>
            </w:r>
          </w:p>
        </w:tc>
        <w:tc>
          <w:tcPr>
            <w:tcW w:w="0" w:type="auto"/>
            <w:vMerge/>
            <w:shd w:val="clear" w:color="auto" w:fill="auto"/>
          </w:tcPr>
          <w:p w14:paraId="098F9E7B" w14:textId="77777777" w:rsidR="00501284" w:rsidRPr="001168CB" w:rsidRDefault="00501284" w:rsidP="001E5F70">
            <w:pPr>
              <w:spacing w:before="120"/>
              <w:jc w:val="center"/>
              <w:rPr>
                <w:iCs/>
              </w:rPr>
            </w:pPr>
          </w:p>
        </w:tc>
        <w:tc>
          <w:tcPr>
            <w:tcW w:w="588" w:type="pct"/>
            <w:shd w:val="clear" w:color="auto" w:fill="auto"/>
          </w:tcPr>
          <w:p w14:paraId="098F9E7C" w14:textId="77777777" w:rsidR="00501284" w:rsidRPr="001168CB" w:rsidRDefault="001E5F70" w:rsidP="001E5F70">
            <w:pPr>
              <w:spacing w:before="120"/>
              <w:jc w:val="center"/>
              <w:rPr>
                <w:iCs/>
              </w:rPr>
            </w:pPr>
            <w:r w:rsidRPr="001168CB">
              <w:rPr>
                <w:iCs/>
              </w:rPr>
              <w:t>0</w:t>
            </w:r>
          </w:p>
        </w:tc>
        <w:tc>
          <w:tcPr>
            <w:tcW w:w="676" w:type="pct"/>
            <w:shd w:val="clear" w:color="auto" w:fill="auto"/>
          </w:tcPr>
          <w:p w14:paraId="098F9E7D" w14:textId="77777777" w:rsidR="00501284" w:rsidRPr="001168CB" w:rsidRDefault="001E5F70" w:rsidP="001E5F70">
            <w:pPr>
              <w:spacing w:before="120"/>
              <w:jc w:val="center"/>
              <w:rPr>
                <w:iCs/>
              </w:rPr>
            </w:pPr>
            <w:r w:rsidRPr="001168CB">
              <w:rPr>
                <w:iCs/>
              </w:rPr>
              <w:t>0</w:t>
            </w:r>
          </w:p>
        </w:tc>
      </w:tr>
      <w:tr w:rsidR="00501284" w:rsidRPr="001168CB" w14:paraId="098F9E88" w14:textId="77777777" w:rsidTr="00A85586">
        <w:tc>
          <w:tcPr>
            <w:tcW w:w="1036" w:type="pct"/>
            <w:shd w:val="clear" w:color="auto" w:fill="auto"/>
            <w:hideMark/>
          </w:tcPr>
          <w:p w14:paraId="098F9E7F" w14:textId="77777777" w:rsidR="00501284" w:rsidRPr="001168CB" w:rsidRDefault="00501284" w:rsidP="00501284">
            <w:pPr>
              <w:spacing w:before="120"/>
              <w:rPr>
                <w:iCs/>
              </w:rPr>
            </w:pPr>
            <w:r w:rsidRPr="001168CB">
              <w:rPr>
                <w:iCs/>
              </w:rPr>
              <w:t>6. Detalizēts ieņēmumu un izdevumu aprēķins (ja nepieciešams, detalizētu ieņēmumu un izdevumu aprēķinu var pievienot anotācijas pielikumā)</w:t>
            </w:r>
          </w:p>
        </w:tc>
        <w:tc>
          <w:tcPr>
            <w:tcW w:w="3964" w:type="pct"/>
            <w:gridSpan w:val="7"/>
            <w:vMerge w:val="restart"/>
            <w:shd w:val="clear" w:color="auto" w:fill="auto"/>
          </w:tcPr>
          <w:p w14:paraId="098F9E80" w14:textId="77777777" w:rsidR="00501284" w:rsidRPr="001168CB" w:rsidRDefault="00501284" w:rsidP="00501284">
            <w:pPr>
              <w:spacing w:before="120" w:after="120"/>
              <w:jc w:val="both"/>
              <w:rPr>
                <w:rFonts w:eastAsia="Calibri"/>
                <w:lang w:eastAsia="en-US"/>
              </w:rPr>
            </w:pPr>
            <w:r w:rsidRPr="001168CB">
              <w:rPr>
                <w:rFonts w:eastAsia="Calibri"/>
                <w:lang w:eastAsia="en-US"/>
              </w:rPr>
              <w:t>Projekta kopējās izmaksas</w:t>
            </w:r>
            <w:r w:rsidR="00FD0694">
              <w:rPr>
                <w:rFonts w:eastAsia="Calibri"/>
                <w:lang w:eastAsia="en-US"/>
              </w:rPr>
              <w:t>:</w:t>
            </w:r>
            <w:r w:rsidRPr="001168CB">
              <w:rPr>
                <w:rFonts w:eastAsia="Calibri"/>
                <w:lang w:eastAsia="en-US"/>
              </w:rPr>
              <w:t xml:space="preserve"> </w:t>
            </w:r>
          </w:p>
          <w:p w14:paraId="098F9E81" w14:textId="6F9BD8A0" w:rsidR="00807936" w:rsidRPr="001168CB" w:rsidRDefault="00501284" w:rsidP="00501284">
            <w:pPr>
              <w:spacing w:before="120" w:after="120"/>
              <w:jc w:val="both"/>
              <w:rPr>
                <w:rFonts w:eastAsia="Calibri"/>
                <w:lang w:eastAsia="en-US"/>
              </w:rPr>
            </w:pPr>
            <w:r w:rsidRPr="001168CB">
              <w:rPr>
                <w:rFonts w:eastAsia="Calibri"/>
                <w:lang w:eastAsia="en-US"/>
              </w:rPr>
              <w:t xml:space="preserve">Atbilstoši </w:t>
            </w:r>
            <w:r w:rsidR="005712FC">
              <w:rPr>
                <w:rFonts w:eastAsia="Calibri"/>
                <w:lang w:eastAsia="en-US"/>
              </w:rPr>
              <w:t>P</w:t>
            </w:r>
            <w:r w:rsidRPr="001168CB">
              <w:rPr>
                <w:rFonts w:eastAsia="Calibri"/>
                <w:lang w:eastAsia="en-US"/>
              </w:rPr>
              <w:t xml:space="preserve">rojekta plānotajām izmaksām </w:t>
            </w:r>
            <w:r w:rsidR="00911839" w:rsidRPr="001168CB">
              <w:rPr>
                <w:rFonts w:eastAsia="Calibri"/>
                <w:lang w:eastAsia="en-US"/>
              </w:rPr>
              <w:t>S</w:t>
            </w:r>
            <w:r w:rsidRPr="001168CB">
              <w:rPr>
                <w:rFonts w:eastAsia="Calibri"/>
                <w:lang w:eastAsia="en-US"/>
              </w:rPr>
              <w:t xml:space="preserve">istēmas izstrādes izmaksas ir </w:t>
            </w:r>
            <w:r w:rsidR="00807936" w:rsidRPr="001168CB">
              <w:rPr>
                <w:rFonts w:eastAsia="Calibri"/>
                <w:lang w:eastAsia="en-US"/>
              </w:rPr>
              <w:t>3,5</w:t>
            </w:r>
            <w:r w:rsidRPr="001168CB">
              <w:rPr>
                <w:rFonts w:eastAsia="Calibri"/>
                <w:lang w:eastAsia="en-US"/>
              </w:rPr>
              <w:t xml:space="preserve"> milj. </w:t>
            </w:r>
            <w:proofErr w:type="spellStart"/>
            <w:r w:rsidR="00807936" w:rsidRPr="001168CB">
              <w:rPr>
                <w:rFonts w:eastAsia="Calibri"/>
                <w:i/>
                <w:lang w:eastAsia="en-US"/>
              </w:rPr>
              <w:t>euro</w:t>
            </w:r>
            <w:proofErr w:type="spellEnd"/>
            <w:r w:rsidR="00807936" w:rsidRPr="001168CB">
              <w:rPr>
                <w:rFonts w:eastAsia="Calibri"/>
                <w:lang w:eastAsia="en-US"/>
              </w:rPr>
              <w:t xml:space="preserve"> </w:t>
            </w:r>
            <w:r w:rsidRPr="001168CB">
              <w:rPr>
                <w:rFonts w:eastAsia="Calibri"/>
                <w:lang w:eastAsia="en-US"/>
              </w:rPr>
              <w:t>no tā 201</w:t>
            </w:r>
            <w:r w:rsidR="00807936" w:rsidRPr="001168CB">
              <w:rPr>
                <w:rFonts w:eastAsia="Calibri"/>
                <w:lang w:eastAsia="en-US"/>
              </w:rPr>
              <w:t>8</w:t>
            </w:r>
            <w:r w:rsidRPr="001168CB">
              <w:rPr>
                <w:rFonts w:eastAsia="Calibri"/>
                <w:lang w:eastAsia="en-US"/>
              </w:rPr>
              <w:t xml:space="preserve">. gadā – </w:t>
            </w:r>
            <w:r w:rsidR="007425E7" w:rsidRPr="00FE6B26">
              <w:rPr>
                <w:bCs/>
              </w:rPr>
              <w:t>8 894</w:t>
            </w:r>
            <w:r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lang w:eastAsia="en-US"/>
              </w:rPr>
              <w:t>, 201</w:t>
            </w:r>
            <w:r w:rsidR="00807936" w:rsidRPr="001168CB">
              <w:rPr>
                <w:rFonts w:eastAsia="Calibri"/>
                <w:lang w:eastAsia="en-US"/>
              </w:rPr>
              <w:t>9</w:t>
            </w:r>
            <w:r w:rsidRPr="001168CB">
              <w:rPr>
                <w:rFonts w:eastAsia="Calibri"/>
                <w:lang w:eastAsia="en-US"/>
              </w:rPr>
              <w:t xml:space="preserve">. gadā </w:t>
            </w:r>
            <w:r w:rsidR="00FE376A">
              <w:rPr>
                <w:rFonts w:eastAsia="Calibri"/>
                <w:lang w:eastAsia="en-US"/>
              </w:rPr>
              <w:t>–</w:t>
            </w:r>
            <w:r w:rsidRPr="001168CB">
              <w:rPr>
                <w:rFonts w:eastAsia="Calibri"/>
                <w:lang w:eastAsia="en-US"/>
              </w:rPr>
              <w:t xml:space="preserve"> </w:t>
            </w:r>
            <w:r w:rsidR="007425E7" w:rsidRPr="00FE6B26">
              <w:rPr>
                <w:bCs/>
              </w:rPr>
              <w:t>203 850</w:t>
            </w:r>
            <w:r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i/>
                <w:lang w:eastAsia="en-US"/>
              </w:rPr>
              <w:t>,</w:t>
            </w:r>
            <w:r w:rsidRPr="001168CB">
              <w:rPr>
                <w:rFonts w:eastAsia="Calibri"/>
                <w:lang w:eastAsia="en-US"/>
              </w:rPr>
              <w:t xml:space="preserve"> 20</w:t>
            </w:r>
            <w:r w:rsidR="00807936" w:rsidRPr="001168CB">
              <w:rPr>
                <w:rFonts w:eastAsia="Calibri"/>
                <w:lang w:eastAsia="en-US"/>
              </w:rPr>
              <w:t>20</w:t>
            </w:r>
            <w:r w:rsidRPr="001168CB">
              <w:rPr>
                <w:rFonts w:eastAsia="Calibri"/>
                <w:lang w:eastAsia="en-US"/>
              </w:rPr>
              <w:t>.</w:t>
            </w:r>
            <w:r w:rsidR="00FE376A">
              <w:rPr>
                <w:rFonts w:eastAsia="Calibri"/>
                <w:lang w:eastAsia="en-US"/>
              </w:rPr>
              <w:t> </w:t>
            </w:r>
            <w:r w:rsidRPr="001168CB">
              <w:rPr>
                <w:rFonts w:eastAsia="Calibri"/>
                <w:lang w:eastAsia="en-US"/>
              </w:rPr>
              <w:t xml:space="preserve">gadā – </w:t>
            </w:r>
            <w:r w:rsidR="00807936" w:rsidRPr="001168CB">
              <w:rPr>
                <w:bCs/>
              </w:rPr>
              <w:t>223 800</w:t>
            </w:r>
            <w:r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lang w:eastAsia="en-US"/>
              </w:rPr>
              <w:t>, 202</w:t>
            </w:r>
            <w:r w:rsidR="00807936" w:rsidRPr="001168CB">
              <w:rPr>
                <w:rFonts w:eastAsia="Calibri"/>
                <w:lang w:eastAsia="en-US"/>
              </w:rPr>
              <w:t>1</w:t>
            </w:r>
            <w:r w:rsidRPr="001168CB">
              <w:rPr>
                <w:rFonts w:eastAsia="Calibri"/>
                <w:lang w:eastAsia="en-US"/>
              </w:rPr>
              <w:t>. gadā –</w:t>
            </w:r>
            <w:r w:rsidR="007425E7">
              <w:rPr>
                <w:bCs/>
              </w:rPr>
              <w:t xml:space="preserve"> </w:t>
            </w:r>
            <w:r w:rsidR="007425E7" w:rsidRPr="007425E7">
              <w:rPr>
                <w:bCs/>
              </w:rPr>
              <w:t>3 063</w:t>
            </w:r>
            <w:r w:rsidR="007425E7">
              <w:rPr>
                <w:bCs/>
              </w:rPr>
              <w:t> </w:t>
            </w:r>
            <w:r w:rsidR="007425E7" w:rsidRPr="007425E7">
              <w:rPr>
                <w:bCs/>
              </w:rPr>
              <w:t>456</w:t>
            </w:r>
            <w:r w:rsidR="007425E7">
              <w:rPr>
                <w:bCs/>
              </w:rPr>
              <w:t xml:space="preserve"> </w:t>
            </w:r>
            <w:proofErr w:type="spellStart"/>
            <w:r w:rsidRPr="001168CB">
              <w:rPr>
                <w:rFonts w:eastAsia="Calibri"/>
                <w:i/>
                <w:lang w:eastAsia="en-US"/>
              </w:rPr>
              <w:t>euro</w:t>
            </w:r>
            <w:proofErr w:type="spellEnd"/>
            <w:r w:rsidRPr="001168CB">
              <w:rPr>
                <w:rFonts w:eastAsia="Calibri"/>
                <w:lang w:eastAsia="en-US"/>
              </w:rPr>
              <w:t xml:space="preserve">,  tai skaitā </w:t>
            </w:r>
            <w:r w:rsidR="00807936" w:rsidRPr="001168CB">
              <w:rPr>
                <w:rFonts w:eastAsia="Calibri"/>
                <w:lang w:eastAsia="en-US"/>
              </w:rPr>
              <w:t>2 975 000</w:t>
            </w:r>
            <w:r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lang w:eastAsia="en-US"/>
              </w:rPr>
              <w:t xml:space="preserve"> tiks finansēti no Eiropas </w:t>
            </w:r>
            <w:r w:rsidR="005712FC">
              <w:rPr>
                <w:rFonts w:eastAsia="Calibri"/>
                <w:lang w:eastAsia="en-US"/>
              </w:rPr>
              <w:t>R</w:t>
            </w:r>
            <w:r w:rsidRPr="001168CB">
              <w:rPr>
                <w:rFonts w:eastAsia="Calibri"/>
                <w:lang w:eastAsia="en-US"/>
              </w:rPr>
              <w:t>eģionālās attīstības fonda līdzekļiem, no tiem 201</w:t>
            </w:r>
            <w:r w:rsidR="00807936" w:rsidRPr="001168CB">
              <w:rPr>
                <w:rFonts w:eastAsia="Calibri"/>
                <w:lang w:eastAsia="en-US"/>
              </w:rPr>
              <w:t>8</w:t>
            </w:r>
            <w:r w:rsidRPr="001168CB">
              <w:rPr>
                <w:rFonts w:eastAsia="Calibri"/>
                <w:lang w:eastAsia="en-US"/>
              </w:rPr>
              <w:t xml:space="preserve">.gadā – </w:t>
            </w:r>
            <w:r w:rsidR="007425E7" w:rsidRPr="00FE6B26">
              <w:rPr>
                <w:bCs/>
              </w:rPr>
              <w:t>7 560</w:t>
            </w:r>
            <w:r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i/>
                <w:lang w:eastAsia="en-US"/>
              </w:rPr>
              <w:t xml:space="preserve">, </w:t>
            </w:r>
            <w:r w:rsidRPr="001168CB">
              <w:rPr>
                <w:rFonts w:eastAsia="Calibri"/>
                <w:lang w:eastAsia="en-US"/>
              </w:rPr>
              <w:t>201</w:t>
            </w:r>
            <w:r w:rsidR="00807936" w:rsidRPr="001168CB">
              <w:rPr>
                <w:rFonts w:eastAsia="Calibri"/>
                <w:lang w:eastAsia="en-US"/>
              </w:rPr>
              <w:t>9.</w:t>
            </w:r>
            <w:r w:rsidRPr="001168CB">
              <w:rPr>
                <w:rFonts w:eastAsia="Calibri"/>
                <w:lang w:eastAsia="en-US"/>
              </w:rPr>
              <w:t xml:space="preserve"> gadā – </w:t>
            </w:r>
            <w:r w:rsidR="004D4E57">
              <w:rPr>
                <w:bCs/>
              </w:rPr>
              <w:t>173 272</w:t>
            </w:r>
            <w:r w:rsidRPr="001168CB">
              <w:rPr>
                <w:rFonts w:eastAsia="Calibri"/>
                <w:i/>
                <w:lang w:eastAsia="en-US"/>
              </w:rPr>
              <w:t xml:space="preserve"> </w:t>
            </w:r>
            <w:proofErr w:type="spellStart"/>
            <w:r w:rsidRPr="001168CB">
              <w:rPr>
                <w:rFonts w:eastAsia="Calibri"/>
                <w:i/>
                <w:lang w:eastAsia="en-US"/>
              </w:rPr>
              <w:t>euro</w:t>
            </w:r>
            <w:proofErr w:type="spellEnd"/>
            <w:r w:rsidRPr="001168CB">
              <w:rPr>
                <w:rFonts w:eastAsia="Calibri"/>
                <w:i/>
                <w:lang w:eastAsia="en-US"/>
              </w:rPr>
              <w:t xml:space="preserve"> </w:t>
            </w:r>
            <w:r w:rsidRPr="001168CB">
              <w:rPr>
                <w:rFonts w:eastAsia="Calibri"/>
                <w:lang w:eastAsia="en-US"/>
              </w:rPr>
              <w:t>un 20</w:t>
            </w:r>
            <w:r w:rsidR="00807936" w:rsidRPr="001168CB">
              <w:rPr>
                <w:rFonts w:eastAsia="Calibri"/>
                <w:lang w:eastAsia="en-US"/>
              </w:rPr>
              <w:t>20</w:t>
            </w:r>
            <w:r w:rsidRPr="001168CB">
              <w:rPr>
                <w:rFonts w:eastAsia="Calibri"/>
                <w:lang w:eastAsia="en-US"/>
              </w:rPr>
              <w:t xml:space="preserve">.gadā </w:t>
            </w:r>
            <w:r w:rsidR="00FE376A">
              <w:rPr>
                <w:rFonts w:eastAsia="Calibri"/>
                <w:lang w:eastAsia="en-US"/>
              </w:rPr>
              <w:t>–</w:t>
            </w:r>
            <w:r w:rsidRPr="001168CB">
              <w:rPr>
                <w:rFonts w:eastAsia="Calibri"/>
                <w:lang w:eastAsia="en-US"/>
              </w:rPr>
              <w:t xml:space="preserve">  </w:t>
            </w:r>
            <w:r w:rsidR="00807936" w:rsidRPr="001168CB">
              <w:rPr>
                <w:bCs/>
              </w:rPr>
              <w:t>190 230</w:t>
            </w:r>
            <w:r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lang w:eastAsia="en-US"/>
              </w:rPr>
              <w:t>, 202</w:t>
            </w:r>
            <w:r w:rsidR="00807936" w:rsidRPr="001168CB">
              <w:rPr>
                <w:rFonts w:eastAsia="Calibri"/>
                <w:lang w:eastAsia="en-US"/>
              </w:rPr>
              <w:t>1</w:t>
            </w:r>
            <w:r w:rsidRPr="001168CB">
              <w:rPr>
                <w:rFonts w:eastAsia="Calibri"/>
                <w:lang w:eastAsia="en-US"/>
              </w:rPr>
              <w:t xml:space="preserve">. gadā – </w:t>
            </w:r>
            <w:r w:rsidR="007425E7" w:rsidRPr="007425E7">
              <w:rPr>
                <w:bCs/>
              </w:rPr>
              <w:t>2 603 938</w:t>
            </w:r>
            <w:r w:rsidRPr="001168CB">
              <w:rPr>
                <w:rFonts w:eastAsia="Calibri"/>
                <w:lang w:eastAsia="en-US"/>
              </w:rPr>
              <w:t> </w:t>
            </w:r>
            <w:proofErr w:type="spellStart"/>
            <w:r w:rsidRPr="001168CB">
              <w:rPr>
                <w:rFonts w:eastAsia="Calibri"/>
                <w:i/>
                <w:lang w:eastAsia="en-US"/>
              </w:rPr>
              <w:t>euro</w:t>
            </w:r>
            <w:proofErr w:type="spellEnd"/>
            <w:r w:rsidRPr="001168CB">
              <w:rPr>
                <w:rFonts w:eastAsia="Calibri"/>
                <w:i/>
                <w:lang w:eastAsia="en-US"/>
              </w:rPr>
              <w:t>.</w:t>
            </w:r>
          </w:p>
          <w:p w14:paraId="098F9E82" w14:textId="77777777" w:rsidR="00501284" w:rsidRPr="001168CB" w:rsidRDefault="00501284" w:rsidP="006742F3">
            <w:pPr>
              <w:spacing w:before="120"/>
              <w:jc w:val="both"/>
              <w:rPr>
                <w:rFonts w:eastAsia="Calibri"/>
                <w:lang w:eastAsia="en-US"/>
              </w:rPr>
            </w:pPr>
            <w:r w:rsidRPr="001168CB">
              <w:rPr>
                <w:rFonts w:eastAsia="Calibri"/>
                <w:lang w:eastAsia="en-US"/>
              </w:rPr>
              <w:t xml:space="preserve">Valsts budžeta finansējums </w:t>
            </w:r>
            <w:r w:rsidR="006742F3" w:rsidRPr="001168CB">
              <w:rPr>
                <w:rFonts w:eastAsia="Calibri"/>
                <w:lang w:eastAsia="en-US"/>
              </w:rPr>
              <w:t xml:space="preserve">525 000 </w:t>
            </w:r>
            <w:proofErr w:type="spellStart"/>
            <w:r w:rsidRPr="001168CB">
              <w:rPr>
                <w:rFonts w:eastAsia="Calibri"/>
                <w:i/>
                <w:lang w:eastAsia="en-US"/>
              </w:rPr>
              <w:t>euro</w:t>
            </w:r>
            <w:proofErr w:type="spellEnd"/>
            <w:r w:rsidRPr="001168CB">
              <w:rPr>
                <w:rFonts w:eastAsia="Calibri"/>
                <w:i/>
                <w:lang w:eastAsia="en-US"/>
              </w:rPr>
              <w:t xml:space="preserve">, </w:t>
            </w:r>
            <w:r w:rsidRPr="001168CB">
              <w:rPr>
                <w:rFonts w:eastAsia="Calibri"/>
                <w:lang w:eastAsia="en-US"/>
              </w:rPr>
              <w:t>no tiem 201</w:t>
            </w:r>
            <w:r w:rsidR="006742F3" w:rsidRPr="001168CB">
              <w:rPr>
                <w:rFonts w:eastAsia="Calibri"/>
                <w:lang w:eastAsia="en-US"/>
              </w:rPr>
              <w:t>8</w:t>
            </w:r>
            <w:r w:rsidRPr="001168CB">
              <w:rPr>
                <w:rFonts w:eastAsia="Calibri"/>
                <w:lang w:eastAsia="en-US"/>
              </w:rPr>
              <w:t xml:space="preserve">. gadā – </w:t>
            </w:r>
            <w:r w:rsidR="007425E7" w:rsidRPr="00FE6B26">
              <w:rPr>
                <w:iCs/>
              </w:rPr>
              <w:t>1</w:t>
            </w:r>
            <w:r w:rsidR="007425E7">
              <w:rPr>
                <w:iCs/>
              </w:rPr>
              <w:t xml:space="preserve"> </w:t>
            </w:r>
            <w:r w:rsidR="007425E7" w:rsidRPr="00FE6B26">
              <w:rPr>
                <w:iCs/>
              </w:rPr>
              <w:t>334</w:t>
            </w:r>
            <w:r w:rsidRPr="001168CB">
              <w:rPr>
                <w:rFonts w:eastAsia="Calibri"/>
                <w:lang w:eastAsia="en-US"/>
              </w:rPr>
              <w:t> </w:t>
            </w:r>
            <w:proofErr w:type="spellStart"/>
            <w:r w:rsidRPr="001168CB">
              <w:rPr>
                <w:rFonts w:eastAsia="Calibri"/>
                <w:i/>
                <w:lang w:eastAsia="en-US"/>
              </w:rPr>
              <w:t>euro</w:t>
            </w:r>
            <w:proofErr w:type="spellEnd"/>
            <w:r w:rsidRPr="001168CB">
              <w:rPr>
                <w:rFonts w:eastAsia="Calibri"/>
                <w:i/>
                <w:lang w:eastAsia="en-US"/>
              </w:rPr>
              <w:t xml:space="preserve">, </w:t>
            </w:r>
            <w:r w:rsidRPr="001168CB">
              <w:rPr>
                <w:rFonts w:eastAsia="Calibri"/>
                <w:lang w:eastAsia="en-US"/>
              </w:rPr>
              <w:t>201</w:t>
            </w:r>
            <w:r w:rsidR="006742F3" w:rsidRPr="001168CB">
              <w:rPr>
                <w:rFonts w:eastAsia="Calibri"/>
                <w:lang w:eastAsia="en-US"/>
              </w:rPr>
              <w:t>9</w:t>
            </w:r>
            <w:r w:rsidRPr="001168CB">
              <w:rPr>
                <w:rFonts w:eastAsia="Calibri"/>
                <w:lang w:eastAsia="en-US"/>
              </w:rPr>
              <w:t xml:space="preserve">. gadā – </w:t>
            </w:r>
            <w:r w:rsidR="007425E7" w:rsidRPr="007425E7">
              <w:t>30</w:t>
            </w:r>
            <w:r w:rsidR="007425E7">
              <w:t xml:space="preserve"> </w:t>
            </w:r>
            <w:r w:rsidR="007425E7" w:rsidRPr="007425E7">
              <w:t>578</w:t>
            </w:r>
            <w:r w:rsidR="006742F3"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lang w:eastAsia="en-US"/>
              </w:rPr>
              <w:t>, 20</w:t>
            </w:r>
            <w:r w:rsidR="006742F3" w:rsidRPr="001168CB">
              <w:rPr>
                <w:rFonts w:eastAsia="Calibri"/>
                <w:lang w:eastAsia="en-US"/>
              </w:rPr>
              <w:t>20</w:t>
            </w:r>
            <w:r w:rsidRPr="001168CB">
              <w:rPr>
                <w:rFonts w:eastAsia="Calibri"/>
                <w:lang w:eastAsia="en-US"/>
              </w:rPr>
              <w:t>.</w:t>
            </w:r>
            <w:r w:rsidR="00FE376A">
              <w:rPr>
                <w:rFonts w:eastAsia="Calibri"/>
                <w:lang w:eastAsia="en-US"/>
              </w:rPr>
              <w:t xml:space="preserve"> </w:t>
            </w:r>
            <w:r w:rsidRPr="001168CB">
              <w:rPr>
                <w:rFonts w:eastAsia="Calibri"/>
                <w:lang w:eastAsia="en-US"/>
              </w:rPr>
              <w:t xml:space="preserve">gadā – </w:t>
            </w:r>
            <w:r w:rsidR="006742F3" w:rsidRPr="001168CB">
              <w:rPr>
                <w:rFonts w:eastAsia="Calibri"/>
                <w:lang w:eastAsia="en-US"/>
              </w:rPr>
              <w:t>33 570</w:t>
            </w:r>
            <w:r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lang w:eastAsia="en-US"/>
              </w:rPr>
              <w:t>, 202</w:t>
            </w:r>
            <w:r w:rsidR="006742F3" w:rsidRPr="001168CB">
              <w:rPr>
                <w:rFonts w:eastAsia="Calibri"/>
                <w:lang w:eastAsia="en-US"/>
              </w:rPr>
              <w:t>1</w:t>
            </w:r>
            <w:r w:rsidRPr="001168CB">
              <w:rPr>
                <w:rFonts w:eastAsia="Calibri"/>
                <w:lang w:eastAsia="en-US"/>
              </w:rPr>
              <w:t>.</w:t>
            </w:r>
            <w:r w:rsidR="00FE376A">
              <w:rPr>
                <w:rFonts w:eastAsia="Calibri"/>
                <w:lang w:eastAsia="en-US"/>
              </w:rPr>
              <w:t xml:space="preserve"> </w:t>
            </w:r>
            <w:r w:rsidRPr="001168CB">
              <w:rPr>
                <w:rFonts w:eastAsia="Calibri"/>
                <w:lang w:eastAsia="en-US"/>
              </w:rPr>
              <w:t xml:space="preserve">gadā – </w:t>
            </w:r>
            <w:r w:rsidR="007425E7" w:rsidRPr="007425E7">
              <w:t>459</w:t>
            </w:r>
            <w:r w:rsidR="007425E7">
              <w:t xml:space="preserve"> </w:t>
            </w:r>
            <w:r w:rsidR="007425E7" w:rsidRPr="007425E7">
              <w:t>518</w:t>
            </w:r>
            <w:r w:rsidRPr="001168CB">
              <w:rPr>
                <w:rFonts w:eastAsia="Calibri"/>
                <w:lang w:eastAsia="en-US"/>
              </w:rPr>
              <w:t xml:space="preserve"> </w:t>
            </w:r>
            <w:proofErr w:type="spellStart"/>
            <w:r w:rsidRPr="001168CB">
              <w:rPr>
                <w:rFonts w:eastAsia="Calibri"/>
                <w:i/>
                <w:lang w:eastAsia="en-US"/>
              </w:rPr>
              <w:t>euro</w:t>
            </w:r>
            <w:proofErr w:type="spellEnd"/>
            <w:r w:rsidRPr="001168CB">
              <w:rPr>
                <w:rFonts w:eastAsia="Calibri"/>
                <w:lang w:eastAsia="en-US"/>
              </w:rPr>
              <w:t>.</w:t>
            </w:r>
          </w:p>
          <w:p w14:paraId="098F9E83" w14:textId="77777777" w:rsidR="006742F3" w:rsidRPr="001168CB" w:rsidRDefault="006742F3" w:rsidP="006742F3">
            <w:pPr>
              <w:spacing w:before="120"/>
              <w:jc w:val="both"/>
              <w:rPr>
                <w:rFonts w:eastAsia="Calibri"/>
                <w:lang w:eastAsia="en-US"/>
              </w:rPr>
            </w:pPr>
            <w:r w:rsidRPr="001168CB">
              <w:rPr>
                <w:rFonts w:eastAsia="Calibri"/>
                <w:lang w:eastAsia="en-US"/>
              </w:rPr>
              <w:t xml:space="preserve">Lai nodrošinātu </w:t>
            </w:r>
            <w:r w:rsidR="005712FC">
              <w:rPr>
                <w:rFonts w:eastAsia="Calibri"/>
                <w:lang w:eastAsia="en-US"/>
              </w:rPr>
              <w:t>P</w:t>
            </w:r>
            <w:r w:rsidRPr="001168CB">
              <w:rPr>
                <w:rFonts w:eastAsia="Calibri"/>
                <w:lang w:eastAsia="en-US"/>
              </w:rPr>
              <w:t xml:space="preserve">rojekta ietvaros izstrādāto un ieviesto IKT risinājumu ilgtspēju, pēc </w:t>
            </w:r>
            <w:r w:rsidR="005712FC">
              <w:rPr>
                <w:rFonts w:eastAsia="Calibri"/>
                <w:lang w:eastAsia="en-US"/>
              </w:rPr>
              <w:t>P</w:t>
            </w:r>
            <w:r w:rsidRPr="001168CB">
              <w:rPr>
                <w:rFonts w:eastAsia="Calibri"/>
                <w:lang w:eastAsia="en-US"/>
              </w:rPr>
              <w:t>rojekta beigām ir plānojamas to uzturēšanas izmaksas.</w:t>
            </w:r>
          </w:p>
          <w:p w14:paraId="098F9E84" w14:textId="77777777" w:rsidR="006742F3" w:rsidRPr="001168CB" w:rsidRDefault="006742F3" w:rsidP="006742F3">
            <w:pPr>
              <w:pStyle w:val="ListParagraph"/>
              <w:spacing w:before="120" w:after="160" w:line="259" w:lineRule="auto"/>
              <w:ind w:left="0"/>
              <w:jc w:val="both"/>
              <w:rPr>
                <w:rFonts w:eastAsia="Calibri"/>
              </w:rPr>
            </w:pPr>
            <w:r w:rsidRPr="001168CB">
              <w:rPr>
                <w:rFonts w:eastAsia="Calibri"/>
              </w:rPr>
              <w:t xml:space="preserve">Pēc </w:t>
            </w:r>
            <w:r w:rsidR="005712FC">
              <w:rPr>
                <w:rFonts w:eastAsia="Calibri"/>
              </w:rPr>
              <w:t>P</w:t>
            </w:r>
            <w:r w:rsidRPr="001168CB">
              <w:rPr>
                <w:rFonts w:eastAsia="Calibri"/>
              </w:rPr>
              <w:t>rojekta pabeigšanas, s</w:t>
            </w:r>
            <w:r w:rsidR="00C04349">
              <w:rPr>
                <w:rFonts w:eastAsia="Calibri"/>
              </w:rPr>
              <w:t>ākot ar</w:t>
            </w:r>
            <w:r w:rsidRPr="001168CB">
              <w:rPr>
                <w:rFonts w:eastAsia="Calibri"/>
              </w:rPr>
              <w:t xml:space="preserve"> 2022. gadu, ir plānots, ka kopējās </w:t>
            </w:r>
            <w:r w:rsidR="005712FC">
              <w:rPr>
                <w:rFonts w:eastAsia="Calibri"/>
              </w:rPr>
              <w:t>P</w:t>
            </w:r>
            <w:r w:rsidRPr="001168CB">
              <w:rPr>
                <w:rFonts w:eastAsia="Calibri"/>
              </w:rPr>
              <w:t xml:space="preserve">rojekta ietvaros izstrādātās </w:t>
            </w:r>
            <w:r w:rsidR="00720F44">
              <w:rPr>
                <w:rFonts w:eastAsia="Calibri"/>
              </w:rPr>
              <w:t xml:space="preserve">Sistēmas </w:t>
            </w:r>
            <w:r w:rsidRPr="001168CB">
              <w:rPr>
                <w:rFonts w:eastAsia="Calibri"/>
              </w:rPr>
              <w:t>funkcionalitātes uzturēšanas izmaksas būs 120</w:t>
            </w:r>
            <w:r w:rsidR="00FE376A">
              <w:rPr>
                <w:rFonts w:eastAsia="Calibri"/>
              </w:rPr>
              <w:t> </w:t>
            </w:r>
            <w:r w:rsidRPr="001168CB">
              <w:rPr>
                <w:rFonts w:eastAsia="Calibri"/>
              </w:rPr>
              <w:t xml:space="preserve">000,00 </w:t>
            </w:r>
            <w:proofErr w:type="spellStart"/>
            <w:r w:rsidRPr="001168CB">
              <w:rPr>
                <w:rFonts w:eastAsia="Calibri"/>
                <w:i/>
              </w:rPr>
              <w:t>euro</w:t>
            </w:r>
            <w:proofErr w:type="spellEnd"/>
            <w:r w:rsidRPr="001168CB">
              <w:rPr>
                <w:rFonts w:eastAsia="Calibri"/>
              </w:rPr>
              <w:t xml:space="preserve"> gadā, tai skaitā:</w:t>
            </w:r>
          </w:p>
          <w:p w14:paraId="098F9E85" w14:textId="77777777" w:rsidR="006742F3" w:rsidRPr="001168CB" w:rsidRDefault="006742F3" w:rsidP="006742F3">
            <w:pPr>
              <w:pStyle w:val="ListParagraph"/>
              <w:numPr>
                <w:ilvl w:val="0"/>
                <w:numId w:val="29"/>
              </w:numPr>
              <w:spacing w:before="120" w:after="160" w:line="259" w:lineRule="auto"/>
              <w:jc w:val="both"/>
              <w:rPr>
                <w:rFonts w:eastAsia="Calibri"/>
              </w:rPr>
            </w:pPr>
            <w:r w:rsidRPr="001168CB">
              <w:rPr>
                <w:rFonts w:eastAsia="Calibri"/>
              </w:rPr>
              <w:t xml:space="preserve">80 000,00 </w:t>
            </w:r>
            <w:proofErr w:type="spellStart"/>
            <w:r w:rsidRPr="001168CB">
              <w:rPr>
                <w:rFonts w:eastAsia="Calibri"/>
                <w:i/>
              </w:rPr>
              <w:t>euro</w:t>
            </w:r>
            <w:proofErr w:type="spellEnd"/>
            <w:r w:rsidR="00F969D3">
              <w:rPr>
                <w:rFonts w:eastAsia="Calibri"/>
                <w:i/>
              </w:rPr>
              <w:t xml:space="preserve">, </w:t>
            </w:r>
            <w:r w:rsidR="00F969D3" w:rsidRPr="00F969D3">
              <w:rPr>
                <w:rFonts w:eastAsia="Calibri"/>
              </w:rPr>
              <w:t>kurus plānots</w:t>
            </w:r>
            <w:r w:rsidRPr="001168CB">
              <w:rPr>
                <w:rFonts w:eastAsia="Calibri"/>
              </w:rPr>
              <w:t xml:space="preserve"> segt no Izglītības un zinātnes ministrijas budžeta programmas 07.00.00. “Informācijas </w:t>
            </w:r>
            <w:r w:rsidR="00BB7C59">
              <w:rPr>
                <w:rFonts w:eastAsia="Calibri"/>
              </w:rPr>
              <w:t xml:space="preserve">un komunikācijas </w:t>
            </w:r>
            <w:r w:rsidRPr="001168CB">
              <w:rPr>
                <w:rFonts w:eastAsia="Calibri"/>
              </w:rPr>
              <w:t>tehnoloģiju</w:t>
            </w:r>
            <w:r w:rsidR="00BB7C59">
              <w:rPr>
                <w:rFonts w:eastAsia="Calibri"/>
              </w:rPr>
              <w:t xml:space="preserve"> </w:t>
            </w:r>
            <w:r w:rsidRPr="001168CB">
              <w:rPr>
                <w:rFonts w:eastAsia="Calibri"/>
              </w:rPr>
              <w:t xml:space="preserve">uzturēšana </w:t>
            </w:r>
            <w:r w:rsidR="00BB7C59">
              <w:rPr>
                <w:rFonts w:eastAsia="Calibri"/>
              </w:rPr>
              <w:t>un attīstība</w:t>
            </w:r>
            <w:r w:rsidRPr="001168CB">
              <w:rPr>
                <w:rFonts w:eastAsia="Calibri"/>
              </w:rPr>
              <w:t>” pieejamajiem līdzekļiem;</w:t>
            </w:r>
          </w:p>
          <w:p w14:paraId="098F9E86" w14:textId="77777777" w:rsidR="00501284" w:rsidRDefault="006742F3" w:rsidP="007F1D00">
            <w:pPr>
              <w:pStyle w:val="ListParagraph"/>
              <w:numPr>
                <w:ilvl w:val="0"/>
                <w:numId w:val="29"/>
              </w:numPr>
              <w:spacing w:before="120" w:after="160" w:line="259" w:lineRule="auto"/>
              <w:jc w:val="both"/>
              <w:rPr>
                <w:rFonts w:eastAsia="Calibri"/>
              </w:rPr>
            </w:pPr>
            <w:r w:rsidRPr="001168CB">
              <w:rPr>
                <w:rFonts w:eastAsia="Calibri"/>
              </w:rPr>
              <w:t xml:space="preserve">40 000,00 </w:t>
            </w:r>
            <w:proofErr w:type="spellStart"/>
            <w:r w:rsidRPr="001168CB">
              <w:rPr>
                <w:rFonts w:eastAsia="Calibri"/>
                <w:i/>
              </w:rPr>
              <w:t>euro</w:t>
            </w:r>
            <w:proofErr w:type="spellEnd"/>
            <w:r w:rsidR="007F1D00">
              <w:rPr>
                <w:rFonts w:eastAsia="Calibri"/>
              </w:rPr>
              <w:t xml:space="preserve">, kurus plānots </w:t>
            </w:r>
            <w:r w:rsidRPr="001168CB">
              <w:rPr>
                <w:rFonts w:eastAsia="Calibri"/>
              </w:rPr>
              <w:t>normatīvajos a</w:t>
            </w:r>
            <w:r w:rsidR="007F1D00">
              <w:rPr>
                <w:rFonts w:eastAsia="Calibri"/>
              </w:rPr>
              <w:t xml:space="preserve">ktos noteiktajā kārtībā pieprasīt </w:t>
            </w:r>
            <w:r w:rsidR="009121E8">
              <w:rPr>
                <w:rFonts w:eastAsia="Calibri"/>
              </w:rPr>
              <w:t>p</w:t>
            </w:r>
            <w:r w:rsidRPr="001168CB">
              <w:rPr>
                <w:rFonts w:eastAsia="Calibri"/>
              </w:rPr>
              <w:t>apildus.</w:t>
            </w:r>
          </w:p>
          <w:p w14:paraId="098F9E87" w14:textId="7301B63D" w:rsidR="00300723" w:rsidRPr="00300723" w:rsidRDefault="00300723" w:rsidP="002437C7">
            <w:pPr>
              <w:spacing w:before="120" w:after="160" w:line="259" w:lineRule="auto"/>
              <w:jc w:val="both"/>
              <w:rPr>
                <w:rFonts w:eastAsia="Calibri"/>
              </w:rPr>
            </w:pPr>
            <w:r>
              <w:rPr>
                <w:rFonts w:eastAsia="Calibri"/>
              </w:rPr>
              <w:t>Minētās izmaksas ir aprēķinātas balstoties uz uzturēšanas izmaksām Valsts pārbaudījumu informācijas sistēmas pašreizējai versijai (</w:t>
            </w:r>
            <w:r w:rsidR="00A653C5">
              <w:rPr>
                <w:rFonts w:eastAsia="Calibri"/>
              </w:rPr>
              <w:t>60</w:t>
            </w:r>
            <w:r>
              <w:rPr>
                <w:rFonts w:eastAsia="Calibri"/>
              </w:rPr>
              <w:t xml:space="preserve"> 000 EUR gadā uzturēšanai, plus finansējums izmaiņu pieprasījumu ieviešanai, atkarībā no pieejamā finansējuma </w:t>
            </w:r>
            <w:r>
              <w:rPr>
                <w:rFonts w:eastAsia="Calibri"/>
              </w:rPr>
              <w:lastRenderedPageBreak/>
              <w:t>apjoma un nepieciešamības pēc izmaiņu pieprasījumu ieviešanas</w:t>
            </w:r>
            <w:r w:rsidR="00FC75D0">
              <w:rPr>
                <w:rFonts w:eastAsia="Calibri"/>
              </w:rPr>
              <w:t>, vidēji 80 000 EUR gadā</w:t>
            </w:r>
            <w:r>
              <w:rPr>
                <w:rFonts w:eastAsia="Calibri"/>
              </w:rPr>
              <w:t xml:space="preserve">), kas izstrādāta </w:t>
            </w:r>
            <w:r w:rsidRPr="00300723">
              <w:rPr>
                <w:rFonts w:eastAsia="Calibri"/>
              </w:rPr>
              <w:t>Eiropas Reģionālās attīstības fonda</w:t>
            </w:r>
            <w:r>
              <w:rPr>
                <w:rFonts w:eastAsia="Calibri"/>
              </w:rPr>
              <w:t xml:space="preserve"> </w:t>
            </w:r>
            <w:r w:rsidRPr="00300723">
              <w:rPr>
                <w:rFonts w:eastAsia="Calibri"/>
              </w:rPr>
              <w:t>darbības programmas "Infrastruktūra un pakalpojumi" papildinājuma</w:t>
            </w:r>
            <w:r>
              <w:rPr>
                <w:rFonts w:eastAsia="Calibri"/>
              </w:rPr>
              <w:t xml:space="preserve"> </w:t>
            </w:r>
            <w:r w:rsidR="00206A3D">
              <w:rPr>
                <w:rFonts w:eastAsia="Calibri"/>
              </w:rPr>
              <w:t>3.2.2.1.1. </w:t>
            </w:r>
            <w:proofErr w:type="spellStart"/>
            <w:r w:rsidRPr="00300723">
              <w:rPr>
                <w:rFonts w:eastAsia="Calibri"/>
              </w:rPr>
              <w:t>apakšaktivitātes</w:t>
            </w:r>
            <w:proofErr w:type="spellEnd"/>
            <w:r w:rsidRPr="00300723">
              <w:rPr>
                <w:rFonts w:eastAsia="Calibri"/>
              </w:rPr>
              <w:t xml:space="preserve"> "Informācijas sistēmu un elektronisko pakalpojumu attīstība"</w:t>
            </w:r>
            <w:r>
              <w:rPr>
                <w:rFonts w:eastAsia="Calibri"/>
              </w:rPr>
              <w:t xml:space="preserve"> projekta</w:t>
            </w:r>
            <w:r w:rsidRPr="00300723">
              <w:rPr>
                <w:rFonts w:eastAsia="Calibri"/>
              </w:rPr>
              <w:t xml:space="preserve"> "Valsts pārbaudījumu informācijas sistēmas 2.kārta”</w:t>
            </w:r>
            <w:r>
              <w:rPr>
                <w:rFonts w:eastAsia="Calibri"/>
              </w:rPr>
              <w:t xml:space="preserve"> ietvaros, un pārrēķinot </w:t>
            </w:r>
            <w:r w:rsidR="00FC75D0">
              <w:rPr>
                <w:rFonts w:eastAsia="Calibri"/>
              </w:rPr>
              <w:t>to proporcion</w:t>
            </w:r>
            <w:r w:rsidR="00A653C5">
              <w:rPr>
                <w:rFonts w:eastAsia="Calibri"/>
              </w:rPr>
              <w:t>āli abu projektu finansējuma apm</w:t>
            </w:r>
            <w:r w:rsidR="00AD3300">
              <w:rPr>
                <w:rFonts w:eastAsia="Calibri"/>
              </w:rPr>
              <w:t>ēram. Pēc šādas metodikas ieg</w:t>
            </w:r>
            <w:r w:rsidR="002437C7">
              <w:rPr>
                <w:rFonts w:eastAsia="Calibri"/>
              </w:rPr>
              <w:t>ūts, ka uzturēšanas izmaksas ir 120 000 EUR gadā, no kuriem 80 000 EUR plānots segt</w:t>
            </w:r>
            <w:r w:rsidR="002437C7" w:rsidRPr="001168CB">
              <w:rPr>
                <w:rFonts w:eastAsia="Calibri"/>
              </w:rPr>
              <w:t xml:space="preserve"> no Izglītības un zinātnes ministrijas budžeta programmas 07.00.00. “Informācijas </w:t>
            </w:r>
            <w:r w:rsidR="002437C7">
              <w:rPr>
                <w:rFonts w:eastAsia="Calibri"/>
              </w:rPr>
              <w:t xml:space="preserve">un komunikācijas </w:t>
            </w:r>
            <w:r w:rsidR="002437C7" w:rsidRPr="001168CB">
              <w:rPr>
                <w:rFonts w:eastAsia="Calibri"/>
              </w:rPr>
              <w:t>tehnoloģiju</w:t>
            </w:r>
            <w:r w:rsidR="002437C7">
              <w:rPr>
                <w:rFonts w:eastAsia="Calibri"/>
              </w:rPr>
              <w:t xml:space="preserve"> </w:t>
            </w:r>
            <w:r w:rsidR="002437C7" w:rsidRPr="001168CB">
              <w:rPr>
                <w:rFonts w:eastAsia="Calibri"/>
              </w:rPr>
              <w:t xml:space="preserve">uzturēšana </w:t>
            </w:r>
            <w:r w:rsidR="002437C7">
              <w:rPr>
                <w:rFonts w:eastAsia="Calibri"/>
              </w:rPr>
              <w:t>un attīstība</w:t>
            </w:r>
            <w:r w:rsidR="002437C7" w:rsidRPr="001168CB">
              <w:rPr>
                <w:rFonts w:eastAsia="Calibri"/>
              </w:rPr>
              <w:t>” pieejamajiem līdzekļiem</w:t>
            </w:r>
            <w:r w:rsidR="002437C7">
              <w:rPr>
                <w:rFonts w:eastAsia="Calibri"/>
              </w:rPr>
              <w:t>, jo šādu summu vidēji Izglītības un zin</w:t>
            </w:r>
            <w:r w:rsidR="007015BD">
              <w:rPr>
                <w:rFonts w:eastAsia="Calibri"/>
              </w:rPr>
              <w:t xml:space="preserve">ātnes ministrija izmanto sistēmas pašreizējai uzturēšanai. </w:t>
            </w:r>
            <w:r w:rsidR="00E85683">
              <w:rPr>
                <w:rFonts w:eastAsia="Calibri"/>
              </w:rPr>
              <w:t>Aprēķinātās projekta “Valsts pārbaudījumu organizēšanas procesa pilnveide” uzturēšanas izmaksas ietver maksājumi par programmatūras licencēm un maksājumi infrastruktūras darbības nodrošinā</w:t>
            </w:r>
            <w:r w:rsidR="00D575AA">
              <w:rPr>
                <w:rFonts w:eastAsia="Calibri"/>
              </w:rPr>
              <w:t xml:space="preserve">šanai. </w:t>
            </w:r>
          </w:p>
        </w:tc>
      </w:tr>
      <w:tr w:rsidR="00501284" w:rsidRPr="001168CB" w14:paraId="098F9E8B" w14:textId="77777777" w:rsidTr="00A85586">
        <w:tc>
          <w:tcPr>
            <w:tcW w:w="1036" w:type="pct"/>
            <w:shd w:val="clear" w:color="auto" w:fill="auto"/>
            <w:hideMark/>
          </w:tcPr>
          <w:p w14:paraId="098F9E89" w14:textId="77777777" w:rsidR="00501284" w:rsidRPr="001168CB" w:rsidRDefault="00501284" w:rsidP="00501284">
            <w:pPr>
              <w:spacing w:before="120"/>
              <w:rPr>
                <w:iCs/>
              </w:rPr>
            </w:pPr>
            <w:r w:rsidRPr="001168CB">
              <w:rPr>
                <w:iCs/>
              </w:rPr>
              <w:t>6.1. detalizēts ieņēmumu aprēķins</w:t>
            </w:r>
          </w:p>
        </w:tc>
        <w:tc>
          <w:tcPr>
            <w:tcW w:w="3964" w:type="pct"/>
            <w:gridSpan w:val="7"/>
            <w:vMerge/>
            <w:shd w:val="clear" w:color="auto" w:fill="auto"/>
          </w:tcPr>
          <w:p w14:paraId="098F9E8A" w14:textId="77777777" w:rsidR="00501284" w:rsidRPr="001168CB" w:rsidRDefault="00501284" w:rsidP="00501284">
            <w:pPr>
              <w:spacing w:before="120"/>
              <w:rPr>
                <w:iCs/>
              </w:rPr>
            </w:pPr>
          </w:p>
        </w:tc>
      </w:tr>
      <w:tr w:rsidR="00501284" w:rsidRPr="001168CB" w14:paraId="098F9E8E" w14:textId="77777777" w:rsidTr="00A85586">
        <w:tc>
          <w:tcPr>
            <w:tcW w:w="1036" w:type="pct"/>
            <w:shd w:val="clear" w:color="auto" w:fill="auto"/>
            <w:hideMark/>
          </w:tcPr>
          <w:p w14:paraId="098F9E8C" w14:textId="77777777" w:rsidR="00501284" w:rsidRPr="001168CB" w:rsidRDefault="00501284" w:rsidP="00501284">
            <w:pPr>
              <w:spacing w:before="120"/>
              <w:rPr>
                <w:iCs/>
              </w:rPr>
            </w:pPr>
            <w:r w:rsidRPr="001168CB">
              <w:rPr>
                <w:iCs/>
              </w:rPr>
              <w:t>6.2. detalizēts izdevumu aprēķins</w:t>
            </w:r>
          </w:p>
        </w:tc>
        <w:tc>
          <w:tcPr>
            <w:tcW w:w="3964" w:type="pct"/>
            <w:gridSpan w:val="7"/>
            <w:vMerge/>
            <w:shd w:val="clear" w:color="auto" w:fill="auto"/>
          </w:tcPr>
          <w:p w14:paraId="098F9E8D" w14:textId="77777777" w:rsidR="00501284" w:rsidRPr="001168CB" w:rsidRDefault="00501284" w:rsidP="00501284">
            <w:pPr>
              <w:spacing w:before="120"/>
              <w:rPr>
                <w:iCs/>
              </w:rPr>
            </w:pPr>
          </w:p>
        </w:tc>
      </w:tr>
      <w:tr w:rsidR="00501284" w:rsidRPr="001168CB" w14:paraId="098F9E91" w14:textId="77777777" w:rsidTr="00A85586">
        <w:tc>
          <w:tcPr>
            <w:tcW w:w="1036" w:type="pct"/>
            <w:shd w:val="clear" w:color="auto" w:fill="auto"/>
            <w:hideMark/>
          </w:tcPr>
          <w:p w14:paraId="098F9E8F" w14:textId="77777777" w:rsidR="00501284" w:rsidRPr="001168CB" w:rsidRDefault="00501284" w:rsidP="00501284">
            <w:pPr>
              <w:spacing w:before="120"/>
              <w:rPr>
                <w:iCs/>
              </w:rPr>
            </w:pPr>
            <w:r w:rsidRPr="001168CB">
              <w:rPr>
                <w:iCs/>
              </w:rPr>
              <w:t>7. Amata vietu skaita izmaiņas</w:t>
            </w:r>
          </w:p>
        </w:tc>
        <w:tc>
          <w:tcPr>
            <w:tcW w:w="3964" w:type="pct"/>
            <w:gridSpan w:val="7"/>
            <w:shd w:val="clear" w:color="auto" w:fill="auto"/>
            <w:hideMark/>
          </w:tcPr>
          <w:p w14:paraId="098F9E90" w14:textId="77777777" w:rsidR="00501284" w:rsidRPr="001168CB" w:rsidRDefault="00501284" w:rsidP="00501284">
            <w:pPr>
              <w:spacing w:before="120"/>
              <w:rPr>
                <w:iCs/>
              </w:rPr>
            </w:pPr>
            <w:r w:rsidRPr="001168CB">
              <w:rPr>
                <w:iCs/>
              </w:rPr>
              <w:t>Nav.</w:t>
            </w:r>
          </w:p>
        </w:tc>
      </w:tr>
      <w:tr w:rsidR="00501284" w:rsidRPr="001168CB" w14:paraId="098F9E94" w14:textId="77777777" w:rsidTr="00A85586">
        <w:tc>
          <w:tcPr>
            <w:tcW w:w="1036" w:type="pct"/>
            <w:shd w:val="clear" w:color="auto" w:fill="auto"/>
            <w:hideMark/>
          </w:tcPr>
          <w:p w14:paraId="098F9E92" w14:textId="77777777" w:rsidR="00501284" w:rsidRPr="001168CB" w:rsidRDefault="00501284" w:rsidP="00501284">
            <w:pPr>
              <w:spacing w:before="120"/>
              <w:rPr>
                <w:iCs/>
              </w:rPr>
            </w:pPr>
            <w:r w:rsidRPr="001168CB">
              <w:rPr>
                <w:iCs/>
              </w:rPr>
              <w:t>8. Cita informācija</w:t>
            </w:r>
          </w:p>
        </w:tc>
        <w:tc>
          <w:tcPr>
            <w:tcW w:w="3964" w:type="pct"/>
            <w:gridSpan w:val="7"/>
            <w:shd w:val="clear" w:color="auto" w:fill="auto"/>
            <w:hideMark/>
          </w:tcPr>
          <w:p w14:paraId="098F9E93" w14:textId="77777777" w:rsidR="00501284" w:rsidRPr="001168CB" w:rsidRDefault="00501284" w:rsidP="00465AE4">
            <w:pPr>
              <w:spacing w:before="120" w:after="120"/>
              <w:jc w:val="both"/>
            </w:pPr>
            <w:r w:rsidRPr="001168CB">
              <w:t>Projekta īstenošanai nepieciešamie valsts budžeta līdzekļi normatīvajos aktos noteiktajā kārtībā tiks pieprasīti no 74.</w:t>
            </w:r>
            <w:r w:rsidR="00F938B3">
              <w:t xml:space="preserve"> </w:t>
            </w:r>
            <w:r w:rsidRPr="001168CB">
              <w:t xml:space="preserve">resora “Gadskārtējā valsts budžeta izpildes procesā pārdalāmais finansējums” 80.00.00 programmas “Nesadalītais finansējums Eiropas Savienības politiku instrumentu un pārējās ārvalstu finanšu palīdzības līdzfinansēto projektu un pasākumu īstenošanai”. </w:t>
            </w:r>
          </w:p>
        </w:tc>
      </w:tr>
    </w:tbl>
    <w:p w14:paraId="098F9E95" w14:textId="77777777" w:rsidR="003D3669" w:rsidRPr="001168CB" w:rsidRDefault="003D3669"/>
    <w:p w14:paraId="098F9E96" w14:textId="77777777" w:rsidR="006367BC" w:rsidRDefault="006367BC"/>
    <w:tbl>
      <w:tblPr>
        <w:tblW w:w="1023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39"/>
      </w:tblGrid>
      <w:tr w:rsidR="006367BC" w:rsidRPr="001168CB" w14:paraId="098F9E98" w14:textId="77777777" w:rsidTr="000D6857">
        <w:tc>
          <w:tcPr>
            <w:tcW w:w="10239" w:type="dxa"/>
            <w:tcBorders>
              <w:top w:val="single" w:sz="4" w:space="0" w:color="auto"/>
              <w:bottom w:val="single" w:sz="4" w:space="0" w:color="auto"/>
            </w:tcBorders>
            <w:tcMar>
              <w:top w:w="57" w:type="dxa"/>
              <w:left w:w="57" w:type="dxa"/>
              <w:bottom w:w="57" w:type="dxa"/>
              <w:right w:w="57" w:type="dxa"/>
            </w:tcMar>
          </w:tcPr>
          <w:p w14:paraId="098F9E97" w14:textId="77777777" w:rsidR="006367BC" w:rsidRPr="001168CB" w:rsidRDefault="006367BC" w:rsidP="000D6857">
            <w:pPr>
              <w:pStyle w:val="naisnod"/>
              <w:spacing w:before="120" w:after="120"/>
              <w:ind w:left="57" w:right="57"/>
            </w:pPr>
            <w:r w:rsidRPr="006367BC">
              <w:t>IV. Tiesību akta projekta ietekme uz spēkā esošo tiesību normu sistēmu</w:t>
            </w:r>
          </w:p>
        </w:tc>
      </w:tr>
      <w:tr w:rsidR="006367BC" w:rsidRPr="001168CB" w14:paraId="098F9E9A" w14:textId="77777777" w:rsidTr="000D6857">
        <w:tc>
          <w:tcPr>
            <w:tcW w:w="10239" w:type="dxa"/>
            <w:tcBorders>
              <w:top w:val="single" w:sz="4" w:space="0" w:color="auto"/>
            </w:tcBorders>
            <w:tcMar>
              <w:top w:w="57" w:type="dxa"/>
              <w:left w:w="57" w:type="dxa"/>
              <w:bottom w:w="57" w:type="dxa"/>
              <w:right w:w="57" w:type="dxa"/>
            </w:tcMar>
          </w:tcPr>
          <w:p w14:paraId="098F9E99" w14:textId="77777777" w:rsidR="006367BC" w:rsidRPr="001168CB" w:rsidRDefault="006367BC" w:rsidP="000D6857">
            <w:pPr>
              <w:pStyle w:val="naisnod"/>
              <w:spacing w:before="120" w:after="120"/>
              <w:ind w:left="57" w:right="57"/>
              <w:rPr>
                <w:b w:val="0"/>
              </w:rPr>
            </w:pPr>
            <w:r w:rsidRPr="001168CB">
              <w:rPr>
                <w:b w:val="0"/>
              </w:rPr>
              <w:t>Rīkojuma projekts šo jomu neskar</w:t>
            </w:r>
            <w:r>
              <w:rPr>
                <w:b w:val="0"/>
              </w:rPr>
              <w:t>.</w:t>
            </w:r>
          </w:p>
        </w:tc>
      </w:tr>
    </w:tbl>
    <w:p w14:paraId="098F9E9B" w14:textId="77777777" w:rsidR="006367BC" w:rsidRDefault="006367BC"/>
    <w:p w14:paraId="098F9E9C" w14:textId="77777777" w:rsidR="006367BC" w:rsidRPr="001168CB" w:rsidRDefault="006367BC"/>
    <w:tbl>
      <w:tblPr>
        <w:tblW w:w="1023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39"/>
      </w:tblGrid>
      <w:tr w:rsidR="00A50E45" w:rsidRPr="001168CB" w14:paraId="098F9E9E" w14:textId="77777777" w:rsidTr="00FE7B2E">
        <w:tc>
          <w:tcPr>
            <w:tcW w:w="10239" w:type="dxa"/>
            <w:tcBorders>
              <w:top w:val="single" w:sz="4" w:space="0" w:color="auto"/>
              <w:bottom w:val="single" w:sz="4" w:space="0" w:color="auto"/>
            </w:tcBorders>
            <w:tcMar>
              <w:top w:w="57" w:type="dxa"/>
              <w:left w:w="57" w:type="dxa"/>
              <w:bottom w:w="57" w:type="dxa"/>
              <w:right w:w="57" w:type="dxa"/>
            </w:tcMar>
          </w:tcPr>
          <w:p w14:paraId="098F9E9D" w14:textId="77777777" w:rsidR="00A50E45" w:rsidRPr="001168CB" w:rsidRDefault="00A50E45" w:rsidP="00CF5158">
            <w:pPr>
              <w:pStyle w:val="naisnod"/>
              <w:spacing w:before="120" w:after="120"/>
              <w:ind w:left="57" w:right="57"/>
            </w:pPr>
            <w:r w:rsidRPr="001168CB">
              <w:t xml:space="preserve">V. </w:t>
            </w:r>
            <w:r w:rsidRPr="001168CB">
              <w:rPr>
                <w:bCs w:val="0"/>
                <w:szCs w:val="20"/>
                <w:shd w:val="clear" w:color="auto" w:fill="FFFFFF"/>
              </w:rPr>
              <w:t>Tiesību akta projekta atbilstība Latvijas Republikas starptautiskajām saistībām</w:t>
            </w:r>
          </w:p>
        </w:tc>
      </w:tr>
      <w:tr w:rsidR="00A50E45" w:rsidRPr="001168CB" w14:paraId="098F9EA0" w14:textId="77777777" w:rsidTr="00FE7B2E">
        <w:tc>
          <w:tcPr>
            <w:tcW w:w="10239" w:type="dxa"/>
            <w:tcBorders>
              <w:top w:val="single" w:sz="4" w:space="0" w:color="auto"/>
            </w:tcBorders>
            <w:tcMar>
              <w:top w:w="57" w:type="dxa"/>
              <w:left w:w="57" w:type="dxa"/>
              <w:bottom w:w="57" w:type="dxa"/>
              <w:right w:w="57" w:type="dxa"/>
            </w:tcMar>
          </w:tcPr>
          <w:p w14:paraId="098F9E9F" w14:textId="77777777" w:rsidR="00A50E45" w:rsidRPr="001168CB" w:rsidRDefault="0090547D" w:rsidP="00CF5158">
            <w:pPr>
              <w:pStyle w:val="naisnod"/>
              <w:spacing w:before="120" w:after="120"/>
              <w:ind w:left="57" w:right="57"/>
              <w:rPr>
                <w:b w:val="0"/>
              </w:rPr>
            </w:pPr>
            <w:r w:rsidRPr="001168CB">
              <w:rPr>
                <w:b w:val="0"/>
              </w:rPr>
              <w:t>Rīkojuma projekts šo jomu neskar</w:t>
            </w:r>
            <w:r w:rsidR="00F938B3">
              <w:rPr>
                <w:b w:val="0"/>
              </w:rPr>
              <w:t>.</w:t>
            </w:r>
          </w:p>
        </w:tc>
      </w:tr>
    </w:tbl>
    <w:p w14:paraId="098F9EA1" w14:textId="77777777" w:rsidR="00A50E45" w:rsidRDefault="00A50E45" w:rsidP="008948F1">
      <w:pPr>
        <w:spacing w:before="120" w:after="120"/>
        <w:rPr>
          <w:iCs/>
          <w:lang w:eastAsia="en-US"/>
        </w:rPr>
      </w:pPr>
    </w:p>
    <w:tbl>
      <w:tblPr>
        <w:tblW w:w="1023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39"/>
      </w:tblGrid>
      <w:tr w:rsidR="00B53A77" w:rsidRPr="001168CB" w14:paraId="098F9EA3" w14:textId="77777777" w:rsidTr="00FE7B2E">
        <w:tc>
          <w:tcPr>
            <w:tcW w:w="10239" w:type="dxa"/>
            <w:tcBorders>
              <w:top w:val="single" w:sz="4" w:space="0" w:color="auto"/>
              <w:bottom w:val="single" w:sz="4" w:space="0" w:color="auto"/>
            </w:tcBorders>
            <w:tcMar>
              <w:top w:w="57" w:type="dxa"/>
              <w:left w:w="57" w:type="dxa"/>
              <w:bottom w:w="57" w:type="dxa"/>
              <w:right w:w="57" w:type="dxa"/>
            </w:tcMar>
          </w:tcPr>
          <w:p w14:paraId="098F9EA2" w14:textId="77777777" w:rsidR="00B53A77" w:rsidRPr="001168CB" w:rsidRDefault="00B53A77" w:rsidP="00FF1066">
            <w:pPr>
              <w:pStyle w:val="naisnod"/>
              <w:spacing w:before="120" w:after="120"/>
              <w:ind w:left="57" w:right="57"/>
            </w:pPr>
            <w:r w:rsidRPr="001168CB">
              <w:t>VI. Sabiedrības līdzdalība un komunikācijas aktivitātes</w:t>
            </w:r>
          </w:p>
        </w:tc>
      </w:tr>
      <w:tr w:rsidR="00B53A77" w:rsidRPr="001168CB" w14:paraId="098F9EA5" w14:textId="77777777" w:rsidTr="00FE7B2E">
        <w:tc>
          <w:tcPr>
            <w:tcW w:w="10239" w:type="dxa"/>
            <w:tcBorders>
              <w:top w:val="single" w:sz="4" w:space="0" w:color="auto"/>
            </w:tcBorders>
            <w:tcMar>
              <w:top w:w="57" w:type="dxa"/>
              <w:left w:w="57" w:type="dxa"/>
              <w:bottom w:w="57" w:type="dxa"/>
              <w:right w:w="57" w:type="dxa"/>
            </w:tcMar>
          </w:tcPr>
          <w:p w14:paraId="098F9EA4" w14:textId="77777777" w:rsidR="00B53A77" w:rsidRPr="001168CB" w:rsidRDefault="00B53A77" w:rsidP="00FF1066">
            <w:pPr>
              <w:pStyle w:val="naisnod"/>
              <w:spacing w:before="120" w:after="120"/>
              <w:ind w:left="57" w:right="57"/>
              <w:rPr>
                <w:b w:val="0"/>
              </w:rPr>
            </w:pPr>
            <w:r w:rsidRPr="001168CB">
              <w:rPr>
                <w:b w:val="0"/>
              </w:rPr>
              <w:t xml:space="preserve">Rīkojuma projekts šo jomu neskar. </w:t>
            </w:r>
          </w:p>
        </w:tc>
      </w:tr>
    </w:tbl>
    <w:p w14:paraId="098F9EA6" w14:textId="77777777" w:rsidR="00B53A77" w:rsidRPr="001168CB" w:rsidRDefault="00B53A77" w:rsidP="008948F1">
      <w:pPr>
        <w:spacing w:before="120" w:after="120"/>
        <w:rPr>
          <w:iCs/>
          <w:lang w:eastAsia="en-US"/>
        </w:rPr>
      </w:pPr>
    </w:p>
    <w:tbl>
      <w:tblPr>
        <w:tblW w:w="1022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5169"/>
      </w:tblGrid>
      <w:tr w:rsidR="007018E8" w:rsidRPr="001168CB" w14:paraId="098F9EA8" w14:textId="77777777" w:rsidTr="00FE7B2E">
        <w:tc>
          <w:tcPr>
            <w:tcW w:w="10225" w:type="dxa"/>
            <w:gridSpan w:val="3"/>
            <w:tcBorders>
              <w:top w:val="single" w:sz="4" w:space="0" w:color="auto"/>
            </w:tcBorders>
            <w:tcMar>
              <w:top w:w="57" w:type="dxa"/>
              <w:left w:w="57" w:type="dxa"/>
              <w:bottom w:w="57" w:type="dxa"/>
              <w:right w:w="57" w:type="dxa"/>
            </w:tcMar>
          </w:tcPr>
          <w:p w14:paraId="098F9EA7" w14:textId="77777777" w:rsidR="007018E8" w:rsidRPr="001168CB" w:rsidRDefault="007018E8" w:rsidP="008948F1">
            <w:pPr>
              <w:pStyle w:val="naisnod"/>
              <w:spacing w:before="120" w:after="120"/>
              <w:ind w:left="57" w:right="57"/>
            </w:pPr>
            <w:r w:rsidRPr="001168CB">
              <w:t>VII. Tiesību akta projekta izpildes nodrošināšana un tās ietekme uz institūcijām</w:t>
            </w:r>
          </w:p>
        </w:tc>
      </w:tr>
      <w:tr w:rsidR="007018E8" w:rsidRPr="001168CB" w14:paraId="098F9EAC" w14:textId="77777777" w:rsidTr="00FE7B2E">
        <w:trPr>
          <w:trHeight w:val="427"/>
        </w:trPr>
        <w:tc>
          <w:tcPr>
            <w:tcW w:w="680" w:type="dxa"/>
            <w:tcMar>
              <w:top w:w="57" w:type="dxa"/>
              <w:left w:w="57" w:type="dxa"/>
              <w:bottom w:w="57" w:type="dxa"/>
              <w:right w:w="57" w:type="dxa"/>
            </w:tcMar>
          </w:tcPr>
          <w:p w14:paraId="098F9EA9" w14:textId="77777777" w:rsidR="007018E8" w:rsidRPr="001168CB" w:rsidRDefault="007018E8" w:rsidP="008948F1">
            <w:pPr>
              <w:pStyle w:val="naisnod"/>
              <w:spacing w:before="120" w:after="120"/>
              <w:ind w:left="57" w:right="57"/>
              <w:jc w:val="left"/>
              <w:rPr>
                <w:b w:val="0"/>
              </w:rPr>
            </w:pPr>
            <w:r w:rsidRPr="001168CB">
              <w:rPr>
                <w:b w:val="0"/>
              </w:rPr>
              <w:t>1.</w:t>
            </w:r>
          </w:p>
        </w:tc>
        <w:tc>
          <w:tcPr>
            <w:tcW w:w="4376" w:type="dxa"/>
            <w:tcMar>
              <w:top w:w="57" w:type="dxa"/>
              <w:left w:w="57" w:type="dxa"/>
              <w:bottom w:w="57" w:type="dxa"/>
              <w:right w:w="57" w:type="dxa"/>
            </w:tcMar>
          </w:tcPr>
          <w:p w14:paraId="098F9EAA" w14:textId="77777777" w:rsidR="007018E8" w:rsidRPr="001168CB" w:rsidRDefault="007018E8" w:rsidP="008948F1">
            <w:pPr>
              <w:pStyle w:val="naisf"/>
              <w:spacing w:before="120" w:after="120"/>
              <w:ind w:left="57" w:right="57" w:firstLine="0"/>
              <w:jc w:val="left"/>
              <w:rPr>
                <w:highlight w:val="cyan"/>
              </w:rPr>
            </w:pPr>
            <w:r w:rsidRPr="001168CB">
              <w:t xml:space="preserve">Projekta izpildē iesaistītās institūcijas </w:t>
            </w:r>
          </w:p>
        </w:tc>
        <w:tc>
          <w:tcPr>
            <w:tcW w:w="5169" w:type="dxa"/>
            <w:tcMar>
              <w:top w:w="57" w:type="dxa"/>
              <w:left w:w="57" w:type="dxa"/>
              <w:bottom w:w="57" w:type="dxa"/>
              <w:right w:w="57" w:type="dxa"/>
            </w:tcMar>
          </w:tcPr>
          <w:p w14:paraId="098F9EAB" w14:textId="77777777" w:rsidR="00155EFC" w:rsidRPr="001168CB" w:rsidRDefault="00350695" w:rsidP="00FA49CF">
            <w:pPr>
              <w:spacing w:before="120" w:after="120"/>
              <w:contextualSpacing/>
              <w:jc w:val="both"/>
            </w:pPr>
            <w:r w:rsidRPr="001168CB">
              <w:t>IZM</w:t>
            </w:r>
            <w:r w:rsidR="00FA49CF" w:rsidRPr="001168CB">
              <w:t xml:space="preserve">, VISC, </w:t>
            </w:r>
            <w:r w:rsidR="0019162B" w:rsidRPr="001168CB">
              <w:t>VVC, ĀM, VRAA, VSAA, NVA, izglītības iestādes</w:t>
            </w:r>
            <w:r w:rsidR="00421299" w:rsidRPr="001168CB">
              <w:t>.</w:t>
            </w:r>
          </w:p>
        </w:tc>
      </w:tr>
      <w:tr w:rsidR="007018E8" w:rsidRPr="001168CB" w14:paraId="098F9EB0" w14:textId="77777777" w:rsidTr="00FE7B2E">
        <w:trPr>
          <w:trHeight w:val="463"/>
        </w:trPr>
        <w:tc>
          <w:tcPr>
            <w:tcW w:w="680" w:type="dxa"/>
            <w:tcMar>
              <w:top w:w="57" w:type="dxa"/>
              <w:left w:w="57" w:type="dxa"/>
              <w:bottom w:w="57" w:type="dxa"/>
              <w:right w:w="57" w:type="dxa"/>
            </w:tcMar>
          </w:tcPr>
          <w:p w14:paraId="098F9EAD" w14:textId="77777777" w:rsidR="007018E8" w:rsidRPr="001168CB" w:rsidRDefault="007018E8" w:rsidP="008948F1">
            <w:pPr>
              <w:pStyle w:val="naisnod"/>
              <w:spacing w:before="120" w:after="120"/>
              <w:ind w:left="57" w:right="57"/>
              <w:jc w:val="left"/>
              <w:rPr>
                <w:b w:val="0"/>
              </w:rPr>
            </w:pPr>
            <w:r w:rsidRPr="001168CB">
              <w:rPr>
                <w:b w:val="0"/>
              </w:rPr>
              <w:lastRenderedPageBreak/>
              <w:t>2.</w:t>
            </w:r>
          </w:p>
        </w:tc>
        <w:tc>
          <w:tcPr>
            <w:tcW w:w="4376" w:type="dxa"/>
            <w:tcMar>
              <w:top w:w="57" w:type="dxa"/>
              <w:left w:w="57" w:type="dxa"/>
              <w:bottom w:w="57" w:type="dxa"/>
              <w:right w:w="57" w:type="dxa"/>
            </w:tcMar>
          </w:tcPr>
          <w:p w14:paraId="098F9EAE" w14:textId="77777777" w:rsidR="007018E8" w:rsidRPr="001168CB" w:rsidRDefault="007018E8" w:rsidP="008948F1">
            <w:pPr>
              <w:pStyle w:val="naisf"/>
              <w:spacing w:before="120" w:after="120"/>
              <w:ind w:left="57" w:right="57" w:firstLine="0"/>
              <w:jc w:val="left"/>
            </w:pPr>
            <w:r w:rsidRPr="001168CB">
              <w:t>Projekta izpildes ietekme uz pārvaldes funkcijām un institucionālo struktūru</w:t>
            </w:r>
          </w:p>
        </w:tc>
        <w:tc>
          <w:tcPr>
            <w:tcW w:w="5169" w:type="dxa"/>
            <w:tcMar>
              <w:top w:w="57" w:type="dxa"/>
              <w:left w:w="57" w:type="dxa"/>
              <w:bottom w:w="57" w:type="dxa"/>
              <w:right w:w="57" w:type="dxa"/>
            </w:tcMar>
          </w:tcPr>
          <w:p w14:paraId="098F9EAF" w14:textId="77777777" w:rsidR="007018E8" w:rsidRPr="001168CB" w:rsidRDefault="007F7BE8" w:rsidP="007F7BE8">
            <w:pPr>
              <w:pStyle w:val="naisnod"/>
              <w:spacing w:before="120" w:after="120"/>
              <w:ind w:right="57"/>
              <w:jc w:val="both"/>
              <w:rPr>
                <w:b w:val="0"/>
              </w:rPr>
            </w:pPr>
            <w:r w:rsidRPr="001168CB">
              <w:rPr>
                <w:b w:val="0"/>
              </w:rPr>
              <w:t>Rīkojuma p</w:t>
            </w:r>
            <w:r w:rsidR="00464CC0" w:rsidRPr="001168CB">
              <w:rPr>
                <w:b w:val="0"/>
              </w:rPr>
              <w:t>rojekts šo jomu neskar</w:t>
            </w:r>
            <w:r w:rsidR="00F938B3">
              <w:rPr>
                <w:b w:val="0"/>
              </w:rPr>
              <w:t>.</w:t>
            </w:r>
          </w:p>
        </w:tc>
      </w:tr>
      <w:tr w:rsidR="007018E8" w:rsidRPr="001168CB" w14:paraId="098F9EB4" w14:textId="77777777" w:rsidTr="00FE7B2E">
        <w:trPr>
          <w:trHeight w:val="476"/>
        </w:trPr>
        <w:tc>
          <w:tcPr>
            <w:tcW w:w="680" w:type="dxa"/>
            <w:tcMar>
              <w:top w:w="57" w:type="dxa"/>
              <w:left w:w="57" w:type="dxa"/>
              <w:bottom w:w="57" w:type="dxa"/>
              <w:right w:w="57" w:type="dxa"/>
            </w:tcMar>
          </w:tcPr>
          <w:p w14:paraId="098F9EB1" w14:textId="77777777" w:rsidR="007018E8" w:rsidRPr="001168CB" w:rsidRDefault="007018E8" w:rsidP="008948F1">
            <w:pPr>
              <w:pStyle w:val="naiskr"/>
              <w:spacing w:before="120" w:after="120"/>
              <w:ind w:left="57" w:right="57"/>
            </w:pPr>
            <w:r w:rsidRPr="001168CB">
              <w:t>3.</w:t>
            </w:r>
          </w:p>
        </w:tc>
        <w:tc>
          <w:tcPr>
            <w:tcW w:w="4376" w:type="dxa"/>
            <w:tcMar>
              <w:top w:w="57" w:type="dxa"/>
              <w:left w:w="57" w:type="dxa"/>
              <w:bottom w:w="57" w:type="dxa"/>
              <w:right w:w="57" w:type="dxa"/>
            </w:tcMar>
          </w:tcPr>
          <w:p w14:paraId="098F9EB2" w14:textId="77777777" w:rsidR="007018E8" w:rsidRPr="001168CB" w:rsidRDefault="007018E8" w:rsidP="008948F1">
            <w:pPr>
              <w:pStyle w:val="naiskr"/>
              <w:spacing w:before="120" w:after="120"/>
              <w:ind w:left="57" w:right="57"/>
            </w:pPr>
            <w:r w:rsidRPr="001168CB">
              <w:t>Cita informācija</w:t>
            </w:r>
          </w:p>
        </w:tc>
        <w:tc>
          <w:tcPr>
            <w:tcW w:w="5169" w:type="dxa"/>
            <w:tcMar>
              <w:top w:w="57" w:type="dxa"/>
              <w:left w:w="57" w:type="dxa"/>
              <w:bottom w:w="57" w:type="dxa"/>
              <w:right w:w="57" w:type="dxa"/>
            </w:tcMar>
          </w:tcPr>
          <w:p w14:paraId="098F9EB3" w14:textId="77777777" w:rsidR="007018E8" w:rsidRPr="001168CB" w:rsidRDefault="002142D2" w:rsidP="00DA6420">
            <w:pPr>
              <w:pStyle w:val="naiskr"/>
              <w:spacing w:before="120" w:after="120"/>
              <w:ind w:left="57" w:right="57"/>
              <w:jc w:val="both"/>
            </w:pPr>
            <w:r w:rsidRPr="001168CB">
              <w:t>Projekts tiks īstenots</w:t>
            </w:r>
            <w:r w:rsidR="00F938B3">
              <w:t>,</w:t>
            </w:r>
            <w:r w:rsidRPr="001168CB">
              <w:t xml:space="preserve"> ņemot vērā esošo</w:t>
            </w:r>
            <w:r w:rsidR="00D13F75" w:rsidRPr="001168CB">
              <w:t xml:space="preserve">, </w:t>
            </w:r>
            <w:r w:rsidRPr="001168CB">
              <w:t>galalieto</w:t>
            </w:r>
            <w:r w:rsidR="007F7BE8" w:rsidRPr="001168CB">
              <w:t>tājiem</w:t>
            </w:r>
            <w:r w:rsidR="00465AE4">
              <w:t xml:space="preserve"> (eksāmenu kārtotājiem izglītības iestādēs)</w:t>
            </w:r>
            <w:r w:rsidR="007F7BE8" w:rsidRPr="001168CB">
              <w:t xml:space="preserve"> pieejamo infrastruktūru. </w:t>
            </w:r>
          </w:p>
        </w:tc>
      </w:tr>
    </w:tbl>
    <w:p w14:paraId="098F9EB5" w14:textId="77777777" w:rsidR="00155FC4" w:rsidRPr="001168CB" w:rsidRDefault="00155FC4" w:rsidP="00FD0376">
      <w:pPr>
        <w:spacing w:before="120" w:after="120"/>
        <w:jc w:val="both"/>
      </w:pPr>
    </w:p>
    <w:p w14:paraId="098F9EB6" w14:textId="74895654" w:rsidR="002635DD" w:rsidRPr="001168CB" w:rsidRDefault="004E0BAA" w:rsidP="00FD0376">
      <w:pPr>
        <w:jc w:val="both"/>
        <w:rPr>
          <w:rStyle w:val="Strong"/>
          <w:b w:val="0"/>
          <w:bCs w:val="0"/>
        </w:rPr>
      </w:pPr>
      <w:r w:rsidRPr="001168CB">
        <w:t>Izglītības un zinātnes ministrs</w:t>
      </w:r>
      <w:r w:rsidR="008D6DBC" w:rsidRPr="001168CB">
        <w:tab/>
      </w:r>
      <w:r w:rsidR="008D6DBC" w:rsidRPr="001168CB">
        <w:tab/>
      </w:r>
      <w:r w:rsidR="008D6DBC" w:rsidRPr="001168CB">
        <w:tab/>
      </w:r>
      <w:r w:rsidR="008D6DBC" w:rsidRPr="001168CB">
        <w:tab/>
      </w:r>
      <w:r w:rsidR="008D6DBC" w:rsidRPr="001168CB">
        <w:tab/>
      </w:r>
      <w:r w:rsidR="008D6DBC" w:rsidRPr="001168CB">
        <w:tab/>
      </w:r>
      <w:r w:rsidR="004E6145">
        <w:t xml:space="preserve">       </w:t>
      </w:r>
      <w:r w:rsidR="004E76ED" w:rsidRPr="001168CB">
        <w:t>Kārlis</w:t>
      </w:r>
      <w:r w:rsidR="007812C0" w:rsidRPr="001168CB">
        <w:t xml:space="preserve"> Šadurskis </w:t>
      </w:r>
    </w:p>
    <w:p w14:paraId="098F9EB7" w14:textId="77777777" w:rsidR="00C24406" w:rsidRPr="001168CB" w:rsidRDefault="00C24406" w:rsidP="00FD0376"/>
    <w:p w14:paraId="098F9EB8" w14:textId="77777777" w:rsidR="00A565E8" w:rsidRPr="001168CB" w:rsidRDefault="00A565E8" w:rsidP="00FD0376">
      <w:r w:rsidRPr="001168CB">
        <w:t>Vīza:</w:t>
      </w:r>
    </w:p>
    <w:p w14:paraId="098F9EB9" w14:textId="77777777" w:rsidR="00192746" w:rsidRPr="001168CB" w:rsidRDefault="007812C0" w:rsidP="00FD0376">
      <w:r w:rsidRPr="001168CB">
        <w:t>V</w:t>
      </w:r>
      <w:r w:rsidR="005E24F2" w:rsidRPr="001168CB">
        <w:t>alsts sekretā</w:t>
      </w:r>
      <w:r w:rsidR="00DB4B2A">
        <w:t>re</w:t>
      </w:r>
      <w:r w:rsidR="005E24F2" w:rsidRPr="001168CB">
        <w:t xml:space="preserve">                                                                                          </w:t>
      </w:r>
      <w:r w:rsidR="004E76ED" w:rsidRPr="001168CB">
        <w:t>Līga</w:t>
      </w:r>
      <w:r w:rsidR="005149FD" w:rsidRPr="001168CB">
        <w:t xml:space="preserve"> </w:t>
      </w:r>
      <w:r w:rsidRPr="001168CB">
        <w:t>Lejiņa</w:t>
      </w:r>
    </w:p>
    <w:p w14:paraId="098F9EBA" w14:textId="77777777" w:rsidR="00F745FD" w:rsidRPr="001168CB" w:rsidRDefault="00F745FD" w:rsidP="00FD0376">
      <w:pPr>
        <w:rPr>
          <w:sz w:val="20"/>
          <w:szCs w:val="20"/>
        </w:rPr>
      </w:pPr>
    </w:p>
    <w:p w14:paraId="098F9EBB" w14:textId="77777777" w:rsidR="005149FD" w:rsidRPr="001168CB" w:rsidRDefault="005149FD" w:rsidP="00FD0376">
      <w:pPr>
        <w:rPr>
          <w:sz w:val="20"/>
          <w:szCs w:val="20"/>
        </w:rPr>
      </w:pPr>
    </w:p>
    <w:p w14:paraId="098F9EBC" w14:textId="77777777" w:rsidR="00E873AB" w:rsidRPr="001168CB" w:rsidRDefault="00C16264" w:rsidP="00B30BAD">
      <w:pPr>
        <w:rPr>
          <w:sz w:val="20"/>
          <w:szCs w:val="20"/>
        </w:rPr>
      </w:pPr>
      <w:proofErr w:type="spellStart"/>
      <w:r w:rsidRPr="001168CB">
        <w:rPr>
          <w:sz w:val="20"/>
          <w:szCs w:val="20"/>
        </w:rPr>
        <w:t>K.Veldre</w:t>
      </w:r>
      <w:proofErr w:type="spellEnd"/>
    </w:p>
    <w:p w14:paraId="098F9EBD" w14:textId="77777777" w:rsidR="00801456" w:rsidRPr="001168CB" w:rsidRDefault="00C16264" w:rsidP="009F0460">
      <w:r w:rsidRPr="001168CB">
        <w:rPr>
          <w:sz w:val="20"/>
          <w:szCs w:val="20"/>
        </w:rPr>
        <w:t>kaspars.veldre</w:t>
      </w:r>
      <w:r w:rsidR="00B30BAD" w:rsidRPr="001168CB">
        <w:rPr>
          <w:sz w:val="20"/>
          <w:szCs w:val="20"/>
        </w:rPr>
        <w:t>@izm.gov.lv</w:t>
      </w:r>
    </w:p>
    <w:sectPr w:rsidR="00801456" w:rsidRPr="001168CB" w:rsidSect="001168CB">
      <w:headerReference w:type="default" r:id="rId8"/>
      <w:footerReference w:type="default" r:id="rId9"/>
      <w:footerReference w:type="first" r:id="rId10"/>
      <w:pgSz w:w="11907" w:h="16839"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20CB" w14:textId="77777777" w:rsidR="000B613E" w:rsidRDefault="000B613E" w:rsidP="006003E3">
      <w:r>
        <w:separator/>
      </w:r>
    </w:p>
  </w:endnote>
  <w:endnote w:type="continuationSeparator" w:id="0">
    <w:p w14:paraId="0EF2FFC1" w14:textId="77777777" w:rsidR="000B613E" w:rsidRDefault="000B613E" w:rsidP="006003E3">
      <w:r>
        <w:continuationSeparator/>
      </w:r>
    </w:p>
  </w:endnote>
  <w:endnote w:type="continuationNotice" w:id="1">
    <w:p w14:paraId="0BB2A37A" w14:textId="77777777" w:rsidR="000B613E" w:rsidRDefault="000B6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altName w:val="Century"/>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9EC6" w14:textId="0129D93B" w:rsidR="008A5709" w:rsidRPr="001168CB" w:rsidRDefault="0036728F" w:rsidP="001168CB">
    <w:pPr>
      <w:jc w:val="both"/>
      <w:rPr>
        <w:sz w:val="20"/>
        <w:szCs w:val="20"/>
      </w:rPr>
    </w:pPr>
    <w:r>
      <w:rPr>
        <w:sz w:val="20"/>
        <w:szCs w:val="20"/>
      </w:rPr>
      <w:t>IZMAnot_</w:t>
    </w:r>
    <w:r w:rsidR="006929A1">
      <w:rPr>
        <w:sz w:val="20"/>
        <w:szCs w:val="20"/>
      </w:rPr>
      <w:t>11</w:t>
    </w:r>
    <w:r w:rsidR="004D407C" w:rsidRPr="004D407C">
      <w:rPr>
        <w:sz w:val="20"/>
        <w:szCs w:val="20"/>
      </w:rPr>
      <w:t>10</w:t>
    </w:r>
    <w:r w:rsidR="008A5709" w:rsidRPr="00CA4B6A">
      <w:rPr>
        <w:sz w:val="20"/>
        <w:szCs w:val="20"/>
      </w:rPr>
      <w:t>1</w:t>
    </w:r>
    <w:r w:rsidR="008A5709">
      <w:rPr>
        <w:sz w:val="20"/>
        <w:szCs w:val="20"/>
      </w:rPr>
      <w:t>8</w:t>
    </w:r>
    <w:r w:rsidR="002363A3">
      <w:rPr>
        <w:sz w:val="20"/>
        <w:szCs w:val="20"/>
      </w:rPr>
      <w:t>_MA_4</w:t>
    </w:r>
    <w:r w:rsidR="008A5709" w:rsidRPr="00CA4B6A">
      <w:rPr>
        <w:sz w:val="20"/>
        <w:szCs w:val="20"/>
      </w:rPr>
      <w:t>3_0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9EC7" w14:textId="2ECD6287" w:rsidR="001959B7" w:rsidRPr="00F045B7" w:rsidRDefault="008A5709" w:rsidP="00281452">
    <w:pPr>
      <w:jc w:val="both"/>
      <w:rPr>
        <w:sz w:val="20"/>
        <w:szCs w:val="20"/>
      </w:rPr>
    </w:pPr>
    <w:r>
      <w:rPr>
        <w:sz w:val="20"/>
        <w:szCs w:val="20"/>
      </w:rPr>
      <w:t>IZMAnot_</w:t>
    </w:r>
    <w:r w:rsidR="006929A1">
      <w:rPr>
        <w:sz w:val="20"/>
        <w:szCs w:val="20"/>
      </w:rPr>
      <w:t>11</w:t>
    </w:r>
    <w:r w:rsidR="004D407C" w:rsidRPr="004D407C">
      <w:rPr>
        <w:sz w:val="20"/>
        <w:szCs w:val="20"/>
      </w:rPr>
      <w:t>10</w:t>
    </w:r>
    <w:r w:rsidRPr="00BF0413">
      <w:rPr>
        <w:sz w:val="20"/>
        <w:szCs w:val="20"/>
      </w:rPr>
      <w:t>1</w:t>
    </w:r>
    <w:r w:rsidR="0036728F">
      <w:rPr>
        <w:sz w:val="20"/>
        <w:szCs w:val="20"/>
      </w:rPr>
      <w:t>8</w:t>
    </w:r>
    <w:r w:rsidRPr="00BF0413">
      <w:rPr>
        <w:sz w:val="20"/>
        <w:szCs w:val="20"/>
      </w:rPr>
      <w:t xml:space="preserve">_MA </w:t>
    </w:r>
    <w:r w:rsidR="00DB4B2A">
      <w:rPr>
        <w:sz w:val="20"/>
        <w:szCs w:val="20"/>
      </w:rPr>
      <w:t>4</w:t>
    </w:r>
    <w:r w:rsidRPr="00BF0413">
      <w:rPr>
        <w:sz w:val="20"/>
        <w:szCs w:val="20"/>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01C2D" w14:textId="77777777" w:rsidR="000B613E" w:rsidRDefault="000B613E" w:rsidP="006003E3">
      <w:r>
        <w:separator/>
      </w:r>
    </w:p>
  </w:footnote>
  <w:footnote w:type="continuationSeparator" w:id="0">
    <w:p w14:paraId="587DCF7A" w14:textId="77777777" w:rsidR="000B613E" w:rsidRDefault="000B613E" w:rsidP="006003E3">
      <w:r>
        <w:continuationSeparator/>
      </w:r>
    </w:p>
  </w:footnote>
  <w:footnote w:type="continuationNotice" w:id="1">
    <w:p w14:paraId="65C60C80" w14:textId="77777777" w:rsidR="000B613E" w:rsidRDefault="000B61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9EC4" w14:textId="77777777" w:rsidR="008A5709" w:rsidRPr="001168CB" w:rsidRDefault="008A5709">
    <w:pPr>
      <w:pStyle w:val="Header"/>
      <w:jc w:val="center"/>
      <w:rPr>
        <w:sz w:val="28"/>
        <w:szCs w:val="28"/>
      </w:rPr>
    </w:pPr>
    <w:r w:rsidRPr="001168CB">
      <w:rPr>
        <w:sz w:val="28"/>
        <w:szCs w:val="28"/>
      </w:rPr>
      <w:fldChar w:fldCharType="begin"/>
    </w:r>
    <w:r w:rsidRPr="001168CB">
      <w:rPr>
        <w:sz w:val="28"/>
        <w:szCs w:val="28"/>
      </w:rPr>
      <w:instrText xml:space="preserve"> PAGE   \* MERGEFORMAT </w:instrText>
    </w:r>
    <w:r w:rsidRPr="001168CB">
      <w:rPr>
        <w:sz w:val="28"/>
        <w:szCs w:val="28"/>
      </w:rPr>
      <w:fldChar w:fldCharType="separate"/>
    </w:r>
    <w:r w:rsidR="006524B0">
      <w:rPr>
        <w:noProof/>
        <w:sz w:val="28"/>
        <w:szCs w:val="28"/>
      </w:rPr>
      <w:t>10</w:t>
    </w:r>
    <w:r w:rsidRPr="001168CB">
      <w:rPr>
        <w:sz w:val="28"/>
        <w:szCs w:val="28"/>
      </w:rPr>
      <w:fldChar w:fldCharType="end"/>
    </w:r>
  </w:p>
  <w:p w14:paraId="098F9EC5" w14:textId="77777777" w:rsidR="008A5709" w:rsidRDefault="008A5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A9"/>
    <w:multiLevelType w:val="hybridMultilevel"/>
    <w:tmpl w:val="0100DE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A40707A"/>
    <w:multiLevelType w:val="hybridMultilevel"/>
    <w:tmpl w:val="9F168ACE"/>
    <w:lvl w:ilvl="0" w:tplc="1BCEFBD4">
      <w:start w:val="1"/>
      <w:numFmt w:val="decimal"/>
      <w:lvlText w:val="%1."/>
      <w:lvlJc w:val="left"/>
      <w:pPr>
        <w:ind w:left="720" w:hanging="360"/>
      </w:pPr>
      <w:rPr>
        <w:rFonts w:ascii="Times New Roman" w:eastAsia="Times New Roman" w:hAnsi="Times New Roman" w:cs="Times New Roman" w:hint="default"/>
      </w:rPr>
    </w:lvl>
    <w:lvl w:ilvl="1" w:tplc="A610651C">
      <w:start w:val="1"/>
      <w:numFmt w:val="lowerLetter"/>
      <w:lvlText w:val="%2."/>
      <w:lvlJc w:val="left"/>
      <w:pPr>
        <w:ind w:left="1440" w:hanging="360"/>
      </w:pPr>
    </w:lvl>
    <w:lvl w:ilvl="2" w:tplc="6050767A">
      <w:start w:val="1"/>
      <w:numFmt w:val="lowerRoman"/>
      <w:lvlText w:val="%3."/>
      <w:lvlJc w:val="right"/>
      <w:pPr>
        <w:ind w:left="2160" w:hanging="180"/>
      </w:pPr>
    </w:lvl>
    <w:lvl w:ilvl="3" w:tplc="AB4E643E">
      <w:start w:val="1"/>
      <w:numFmt w:val="decimal"/>
      <w:lvlText w:val="%4."/>
      <w:lvlJc w:val="left"/>
      <w:pPr>
        <w:ind w:left="2880" w:hanging="360"/>
      </w:pPr>
    </w:lvl>
    <w:lvl w:ilvl="4" w:tplc="1FD6D514">
      <w:start w:val="1"/>
      <w:numFmt w:val="lowerLetter"/>
      <w:lvlText w:val="%5."/>
      <w:lvlJc w:val="left"/>
      <w:pPr>
        <w:ind w:left="3600" w:hanging="360"/>
      </w:pPr>
    </w:lvl>
    <w:lvl w:ilvl="5" w:tplc="029C78B0">
      <w:start w:val="1"/>
      <w:numFmt w:val="lowerRoman"/>
      <w:lvlText w:val="%6."/>
      <w:lvlJc w:val="right"/>
      <w:pPr>
        <w:ind w:left="4320" w:hanging="180"/>
      </w:pPr>
    </w:lvl>
    <w:lvl w:ilvl="6" w:tplc="9B56DECA">
      <w:start w:val="1"/>
      <w:numFmt w:val="decimal"/>
      <w:lvlText w:val="%7."/>
      <w:lvlJc w:val="left"/>
      <w:pPr>
        <w:ind w:left="5040" w:hanging="360"/>
      </w:pPr>
    </w:lvl>
    <w:lvl w:ilvl="7" w:tplc="903AA4FE">
      <w:start w:val="1"/>
      <w:numFmt w:val="lowerLetter"/>
      <w:lvlText w:val="%8."/>
      <w:lvlJc w:val="left"/>
      <w:pPr>
        <w:ind w:left="5760" w:hanging="360"/>
      </w:pPr>
    </w:lvl>
    <w:lvl w:ilvl="8" w:tplc="4678CEE0">
      <w:start w:val="1"/>
      <w:numFmt w:val="lowerRoman"/>
      <w:lvlText w:val="%9."/>
      <w:lvlJc w:val="right"/>
      <w:pPr>
        <w:ind w:left="6480" w:hanging="180"/>
      </w:pPr>
    </w:lvl>
  </w:abstractNum>
  <w:abstractNum w:abstractNumId="4" w15:restartNumberingAfterBreak="0">
    <w:nsid w:val="14007AA7"/>
    <w:multiLevelType w:val="hybridMultilevel"/>
    <w:tmpl w:val="247854C6"/>
    <w:lvl w:ilvl="0" w:tplc="7F289EEA">
      <w:start w:val="3"/>
      <w:numFmt w:val="decimal"/>
      <w:lvlText w:val="%1."/>
      <w:lvlJc w:val="left"/>
      <w:pPr>
        <w:ind w:left="1800" w:hanging="360"/>
      </w:pPr>
      <w:rPr>
        <w:rFonts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1">
    <w:nsid w:val="15B02F1F"/>
    <w:multiLevelType w:val="hybridMultilevel"/>
    <w:tmpl w:val="B0B0DD70"/>
    <w:lvl w:ilvl="0" w:tplc="9E74642A">
      <w:start w:val="1"/>
      <w:numFmt w:val="decimal"/>
      <w:lvlText w:val="%1)"/>
      <w:lvlJc w:val="left"/>
      <w:pPr>
        <w:ind w:left="360" w:hanging="360"/>
      </w:pPr>
      <w:rPr>
        <w:rFonts w:ascii="Times New Roman" w:eastAsia="Calibri" w:hAnsi="Times New Roman" w:cs="Times New Roman"/>
      </w:rPr>
    </w:lvl>
    <w:lvl w:ilvl="1" w:tplc="634CDCE8" w:tentative="1">
      <w:start w:val="1"/>
      <w:numFmt w:val="lowerLetter"/>
      <w:lvlText w:val="%2."/>
      <w:lvlJc w:val="left"/>
      <w:pPr>
        <w:ind w:left="1080" w:hanging="360"/>
      </w:pPr>
    </w:lvl>
    <w:lvl w:ilvl="2" w:tplc="4BDE159E" w:tentative="1">
      <w:start w:val="1"/>
      <w:numFmt w:val="lowerRoman"/>
      <w:lvlText w:val="%3."/>
      <w:lvlJc w:val="right"/>
      <w:pPr>
        <w:ind w:left="1800" w:hanging="180"/>
      </w:pPr>
    </w:lvl>
    <w:lvl w:ilvl="3" w:tplc="D0A6ED0C" w:tentative="1">
      <w:start w:val="1"/>
      <w:numFmt w:val="decimal"/>
      <w:lvlText w:val="%4."/>
      <w:lvlJc w:val="left"/>
      <w:pPr>
        <w:ind w:left="2520" w:hanging="360"/>
      </w:pPr>
    </w:lvl>
    <w:lvl w:ilvl="4" w:tplc="84BECCEA" w:tentative="1">
      <w:start w:val="1"/>
      <w:numFmt w:val="lowerLetter"/>
      <w:lvlText w:val="%5."/>
      <w:lvlJc w:val="left"/>
      <w:pPr>
        <w:ind w:left="3240" w:hanging="360"/>
      </w:pPr>
    </w:lvl>
    <w:lvl w:ilvl="5" w:tplc="D8DAAED8" w:tentative="1">
      <w:start w:val="1"/>
      <w:numFmt w:val="lowerRoman"/>
      <w:lvlText w:val="%6."/>
      <w:lvlJc w:val="right"/>
      <w:pPr>
        <w:ind w:left="3960" w:hanging="180"/>
      </w:pPr>
    </w:lvl>
    <w:lvl w:ilvl="6" w:tplc="3136602E" w:tentative="1">
      <w:start w:val="1"/>
      <w:numFmt w:val="decimal"/>
      <w:lvlText w:val="%7."/>
      <w:lvlJc w:val="left"/>
      <w:pPr>
        <w:ind w:left="4680" w:hanging="360"/>
      </w:pPr>
    </w:lvl>
    <w:lvl w:ilvl="7" w:tplc="2E80675E" w:tentative="1">
      <w:start w:val="1"/>
      <w:numFmt w:val="lowerLetter"/>
      <w:lvlText w:val="%8."/>
      <w:lvlJc w:val="left"/>
      <w:pPr>
        <w:ind w:left="5400" w:hanging="360"/>
      </w:pPr>
    </w:lvl>
    <w:lvl w:ilvl="8" w:tplc="1360CF68" w:tentative="1">
      <w:start w:val="1"/>
      <w:numFmt w:val="lowerRoman"/>
      <w:lvlText w:val="%9."/>
      <w:lvlJc w:val="right"/>
      <w:pPr>
        <w:ind w:left="6120" w:hanging="180"/>
      </w:pPr>
    </w:lvl>
  </w:abstractNum>
  <w:abstractNum w:abstractNumId="6" w15:restartNumberingAfterBreak="1">
    <w:nsid w:val="1EBF4DA3"/>
    <w:multiLevelType w:val="hybridMultilevel"/>
    <w:tmpl w:val="6B2631BC"/>
    <w:lvl w:ilvl="0" w:tplc="4DECB944">
      <w:start w:val="1"/>
      <w:numFmt w:val="bullet"/>
      <w:lvlText w:val=""/>
      <w:lvlJc w:val="left"/>
      <w:pPr>
        <w:ind w:left="720" w:hanging="360"/>
      </w:pPr>
      <w:rPr>
        <w:rFonts w:ascii="Symbol" w:hAnsi="Symbol" w:cs="Symbol" w:hint="default"/>
        <w:color w:val="auto"/>
      </w:rPr>
    </w:lvl>
    <w:lvl w:ilvl="1" w:tplc="020E523E" w:tentative="1">
      <w:start w:val="1"/>
      <w:numFmt w:val="bullet"/>
      <w:lvlText w:val="o"/>
      <w:lvlJc w:val="left"/>
      <w:pPr>
        <w:ind w:left="1440" w:hanging="360"/>
      </w:pPr>
      <w:rPr>
        <w:rFonts w:ascii="Courier New" w:hAnsi="Courier New" w:cs="Courier New" w:hint="default"/>
      </w:rPr>
    </w:lvl>
    <w:lvl w:ilvl="2" w:tplc="7BEED07E" w:tentative="1">
      <w:start w:val="1"/>
      <w:numFmt w:val="bullet"/>
      <w:lvlText w:val=""/>
      <w:lvlJc w:val="left"/>
      <w:pPr>
        <w:ind w:left="2160" w:hanging="360"/>
      </w:pPr>
      <w:rPr>
        <w:rFonts w:ascii="Wingdings" w:hAnsi="Wingdings" w:hint="default"/>
      </w:rPr>
    </w:lvl>
    <w:lvl w:ilvl="3" w:tplc="29925340" w:tentative="1">
      <w:start w:val="1"/>
      <w:numFmt w:val="bullet"/>
      <w:lvlText w:val=""/>
      <w:lvlJc w:val="left"/>
      <w:pPr>
        <w:ind w:left="2880" w:hanging="360"/>
      </w:pPr>
      <w:rPr>
        <w:rFonts w:ascii="Symbol" w:hAnsi="Symbol" w:hint="default"/>
      </w:rPr>
    </w:lvl>
    <w:lvl w:ilvl="4" w:tplc="435EDBD4" w:tentative="1">
      <w:start w:val="1"/>
      <w:numFmt w:val="bullet"/>
      <w:lvlText w:val="o"/>
      <w:lvlJc w:val="left"/>
      <w:pPr>
        <w:ind w:left="3600" w:hanging="360"/>
      </w:pPr>
      <w:rPr>
        <w:rFonts w:ascii="Courier New" w:hAnsi="Courier New" w:cs="Courier New" w:hint="default"/>
      </w:rPr>
    </w:lvl>
    <w:lvl w:ilvl="5" w:tplc="D6B4725A" w:tentative="1">
      <w:start w:val="1"/>
      <w:numFmt w:val="bullet"/>
      <w:lvlText w:val=""/>
      <w:lvlJc w:val="left"/>
      <w:pPr>
        <w:ind w:left="4320" w:hanging="360"/>
      </w:pPr>
      <w:rPr>
        <w:rFonts w:ascii="Wingdings" w:hAnsi="Wingdings" w:hint="default"/>
      </w:rPr>
    </w:lvl>
    <w:lvl w:ilvl="6" w:tplc="5B845414" w:tentative="1">
      <w:start w:val="1"/>
      <w:numFmt w:val="bullet"/>
      <w:lvlText w:val=""/>
      <w:lvlJc w:val="left"/>
      <w:pPr>
        <w:ind w:left="5040" w:hanging="360"/>
      </w:pPr>
      <w:rPr>
        <w:rFonts w:ascii="Symbol" w:hAnsi="Symbol" w:hint="default"/>
      </w:rPr>
    </w:lvl>
    <w:lvl w:ilvl="7" w:tplc="175208FC" w:tentative="1">
      <w:start w:val="1"/>
      <w:numFmt w:val="bullet"/>
      <w:lvlText w:val="o"/>
      <w:lvlJc w:val="left"/>
      <w:pPr>
        <w:ind w:left="5760" w:hanging="360"/>
      </w:pPr>
      <w:rPr>
        <w:rFonts w:ascii="Courier New" w:hAnsi="Courier New" w:cs="Courier New" w:hint="default"/>
      </w:rPr>
    </w:lvl>
    <w:lvl w:ilvl="8" w:tplc="2ED867A2" w:tentative="1">
      <w:start w:val="1"/>
      <w:numFmt w:val="bullet"/>
      <w:lvlText w:val=""/>
      <w:lvlJc w:val="left"/>
      <w:pPr>
        <w:ind w:left="6480" w:hanging="360"/>
      </w:pPr>
      <w:rPr>
        <w:rFonts w:ascii="Wingdings" w:hAnsi="Wingdings" w:hint="default"/>
      </w:rPr>
    </w:lvl>
  </w:abstractNum>
  <w:abstractNum w:abstractNumId="7" w15:restartNumberingAfterBreak="0">
    <w:nsid w:val="20836CC1"/>
    <w:multiLevelType w:val="multilevel"/>
    <w:tmpl w:val="D5EA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B8137EA"/>
    <w:multiLevelType w:val="hybridMultilevel"/>
    <w:tmpl w:val="61183F12"/>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ED3146"/>
    <w:multiLevelType w:val="hybridMultilevel"/>
    <w:tmpl w:val="EE1AFDB2"/>
    <w:lvl w:ilvl="0" w:tplc="00000005">
      <w:start w:val="1"/>
      <w:numFmt w:val="decimal"/>
      <w:lvlText w:val="%1)"/>
      <w:lvlJc w:val="left"/>
      <w:pPr>
        <w:tabs>
          <w:tab w:val="num" w:pos="0"/>
        </w:tabs>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567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C6834"/>
    <w:multiLevelType w:val="multilevel"/>
    <w:tmpl w:val="1AF220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1050E8F"/>
    <w:multiLevelType w:val="hybridMultilevel"/>
    <w:tmpl w:val="F40861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0F71D8"/>
    <w:multiLevelType w:val="hybridMultilevel"/>
    <w:tmpl w:val="6A4E948E"/>
    <w:lvl w:ilvl="0" w:tplc="4C548FC2">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6" w15:restartNumberingAfterBreak="0">
    <w:nsid w:val="4A166DB2"/>
    <w:multiLevelType w:val="hybridMultilevel"/>
    <w:tmpl w:val="1BCE18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B5660B0"/>
    <w:multiLevelType w:val="multilevel"/>
    <w:tmpl w:val="0854D900"/>
    <w:lvl w:ilvl="0">
      <w:start w:val="1"/>
      <w:numFmt w:val="decimal"/>
      <w:pStyle w:val="VPBullet"/>
      <w:lvlText w:val="%1."/>
      <w:lvlJc w:val="left"/>
      <w:pPr>
        <w:ind w:left="1080" w:hanging="360"/>
      </w:pPr>
      <w:rPr>
        <w:rFonts w:ascii="Times New Roman" w:eastAsia="Calibri"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4D8778F5"/>
    <w:multiLevelType w:val="hybridMultilevel"/>
    <w:tmpl w:val="6834F2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565F0B"/>
    <w:multiLevelType w:val="hybridMultilevel"/>
    <w:tmpl w:val="61183F12"/>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AC47B4"/>
    <w:multiLevelType w:val="hybridMultilevel"/>
    <w:tmpl w:val="C76AD0D6"/>
    <w:lvl w:ilvl="0" w:tplc="671272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5835BBD"/>
    <w:multiLevelType w:val="hybridMultilevel"/>
    <w:tmpl w:val="8774D5FE"/>
    <w:lvl w:ilvl="0" w:tplc="FD36B2B6">
      <w:start w:val="1"/>
      <w:numFmt w:val="decimal"/>
      <w:pStyle w:val="VPNumbered"/>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FB3FE0"/>
    <w:multiLevelType w:val="hybridMultilevel"/>
    <w:tmpl w:val="48C2AFD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64EF73A0"/>
    <w:multiLevelType w:val="hybridMultilevel"/>
    <w:tmpl w:val="0C30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871CC"/>
    <w:multiLevelType w:val="hybridMultilevel"/>
    <w:tmpl w:val="393AB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9198B"/>
    <w:multiLevelType w:val="hybridMultilevel"/>
    <w:tmpl w:val="4C8641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DB634FE"/>
    <w:multiLevelType w:val="hybridMultilevel"/>
    <w:tmpl w:val="63D09A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72E17D06"/>
    <w:multiLevelType w:val="hybridMultilevel"/>
    <w:tmpl w:val="418E5C50"/>
    <w:lvl w:ilvl="0" w:tplc="F468C7E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9" w15:restartNumberingAfterBreak="1">
    <w:nsid w:val="74B752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1065E0"/>
    <w:multiLevelType w:val="hybridMultilevel"/>
    <w:tmpl w:val="B4021D8A"/>
    <w:lvl w:ilvl="0" w:tplc="1DBAD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9"/>
  </w:num>
  <w:num w:numId="3">
    <w:abstractNumId w:val="8"/>
  </w:num>
  <w:num w:numId="4">
    <w:abstractNumId w:val="27"/>
  </w:num>
  <w:num w:numId="5">
    <w:abstractNumId w:val="2"/>
  </w:num>
  <w:num w:numId="6">
    <w:abstractNumId w:val="11"/>
  </w:num>
  <w:num w:numId="7">
    <w:abstractNumId w:val="23"/>
  </w:num>
  <w:num w:numId="8">
    <w:abstractNumId w:val="24"/>
  </w:num>
  <w:num w:numId="9">
    <w:abstractNumId w:val="21"/>
  </w:num>
  <w:num w:numId="10">
    <w:abstractNumId w:val="17"/>
  </w:num>
  <w:num w:numId="11">
    <w:abstractNumId w:val="0"/>
  </w:num>
  <w:num w:numId="12">
    <w:abstractNumId w:val="19"/>
  </w:num>
  <w:num w:numId="13">
    <w:abstractNumId w:val="31"/>
  </w:num>
  <w:num w:numId="14">
    <w:abstractNumId w:val="13"/>
  </w:num>
  <w:num w:numId="15">
    <w:abstractNumId w:val="20"/>
  </w:num>
  <w:num w:numId="16">
    <w:abstractNumId w:val="28"/>
  </w:num>
  <w:num w:numId="17">
    <w:abstractNumId w:val="4"/>
  </w:num>
  <w:num w:numId="18">
    <w:abstractNumId w:val="15"/>
  </w:num>
  <w:num w:numId="19">
    <w:abstractNumId w:val="26"/>
  </w:num>
  <w:num w:numId="20">
    <w:abstractNumId w:val="14"/>
  </w:num>
  <w:num w:numId="21">
    <w:abstractNumId w:val="10"/>
  </w:num>
  <w:num w:numId="22">
    <w:abstractNumId w:val="2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29"/>
  </w:num>
  <w:num w:numId="27">
    <w:abstractNumId w:val="6"/>
  </w:num>
  <w:num w:numId="28">
    <w:abstractNumId w:val="2"/>
  </w:num>
  <w:num w:numId="29">
    <w:abstractNumId w:val="12"/>
  </w:num>
  <w:num w:numId="30">
    <w:abstractNumId w:val="7"/>
  </w:num>
  <w:num w:numId="31">
    <w:abstractNumId w:val="18"/>
  </w:num>
  <w:num w:numId="32">
    <w:abstractNumId w:val="16"/>
  </w:num>
  <w:num w:numId="3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0F11"/>
    <w:rsid w:val="00002457"/>
    <w:rsid w:val="00002470"/>
    <w:rsid w:val="00003F5C"/>
    <w:rsid w:val="0000532F"/>
    <w:rsid w:val="00005D22"/>
    <w:rsid w:val="00006D90"/>
    <w:rsid w:val="00010F6F"/>
    <w:rsid w:val="000115B5"/>
    <w:rsid w:val="00016B50"/>
    <w:rsid w:val="00020DC3"/>
    <w:rsid w:val="00021338"/>
    <w:rsid w:val="00021701"/>
    <w:rsid w:val="0002284A"/>
    <w:rsid w:val="00023A03"/>
    <w:rsid w:val="00024B0A"/>
    <w:rsid w:val="00025AD8"/>
    <w:rsid w:val="0002669B"/>
    <w:rsid w:val="00027571"/>
    <w:rsid w:val="0003005F"/>
    <w:rsid w:val="00031459"/>
    <w:rsid w:val="00031522"/>
    <w:rsid w:val="00032AA8"/>
    <w:rsid w:val="00033EF5"/>
    <w:rsid w:val="0003612E"/>
    <w:rsid w:val="0003644B"/>
    <w:rsid w:val="00043B9C"/>
    <w:rsid w:val="0004545A"/>
    <w:rsid w:val="00045571"/>
    <w:rsid w:val="00045CFF"/>
    <w:rsid w:val="00047BD8"/>
    <w:rsid w:val="00050DCB"/>
    <w:rsid w:val="00050DE6"/>
    <w:rsid w:val="00050E0B"/>
    <w:rsid w:val="00051170"/>
    <w:rsid w:val="000514FC"/>
    <w:rsid w:val="00051BA4"/>
    <w:rsid w:val="00051BFA"/>
    <w:rsid w:val="00051F34"/>
    <w:rsid w:val="000521A1"/>
    <w:rsid w:val="000523FB"/>
    <w:rsid w:val="000533F3"/>
    <w:rsid w:val="000539DF"/>
    <w:rsid w:val="00054EAA"/>
    <w:rsid w:val="00060180"/>
    <w:rsid w:val="000612AA"/>
    <w:rsid w:val="000613B0"/>
    <w:rsid w:val="000626AB"/>
    <w:rsid w:val="00062F9F"/>
    <w:rsid w:val="0006361C"/>
    <w:rsid w:val="00063C53"/>
    <w:rsid w:val="00064EFD"/>
    <w:rsid w:val="00067812"/>
    <w:rsid w:val="0007149C"/>
    <w:rsid w:val="0007155F"/>
    <w:rsid w:val="00074328"/>
    <w:rsid w:val="0007433E"/>
    <w:rsid w:val="0007470E"/>
    <w:rsid w:val="00074A22"/>
    <w:rsid w:val="00075B36"/>
    <w:rsid w:val="00076AE4"/>
    <w:rsid w:val="000842F2"/>
    <w:rsid w:val="00084862"/>
    <w:rsid w:val="00090216"/>
    <w:rsid w:val="000902B7"/>
    <w:rsid w:val="00092118"/>
    <w:rsid w:val="00092240"/>
    <w:rsid w:val="00092D55"/>
    <w:rsid w:val="0009350E"/>
    <w:rsid w:val="000935C0"/>
    <w:rsid w:val="00094F92"/>
    <w:rsid w:val="00097456"/>
    <w:rsid w:val="000978F2"/>
    <w:rsid w:val="000A089B"/>
    <w:rsid w:val="000A0C78"/>
    <w:rsid w:val="000A15C7"/>
    <w:rsid w:val="000A1F14"/>
    <w:rsid w:val="000A2692"/>
    <w:rsid w:val="000A2CB4"/>
    <w:rsid w:val="000A38C1"/>
    <w:rsid w:val="000A5900"/>
    <w:rsid w:val="000A5A0B"/>
    <w:rsid w:val="000A5EBC"/>
    <w:rsid w:val="000A7D2D"/>
    <w:rsid w:val="000B0CAA"/>
    <w:rsid w:val="000B21FF"/>
    <w:rsid w:val="000B22EF"/>
    <w:rsid w:val="000B31AB"/>
    <w:rsid w:val="000B3D95"/>
    <w:rsid w:val="000B5BD8"/>
    <w:rsid w:val="000B613E"/>
    <w:rsid w:val="000B61A3"/>
    <w:rsid w:val="000C085F"/>
    <w:rsid w:val="000C10FB"/>
    <w:rsid w:val="000C2D68"/>
    <w:rsid w:val="000C2E55"/>
    <w:rsid w:val="000C325B"/>
    <w:rsid w:val="000C4562"/>
    <w:rsid w:val="000C4D86"/>
    <w:rsid w:val="000C771E"/>
    <w:rsid w:val="000D0978"/>
    <w:rsid w:val="000D0F03"/>
    <w:rsid w:val="000D0F56"/>
    <w:rsid w:val="000D17C5"/>
    <w:rsid w:val="000D19D0"/>
    <w:rsid w:val="000D2EF6"/>
    <w:rsid w:val="000D300B"/>
    <w:rsid w:val="000D5525"/>
    <w:rsid w:val="000D553C"/>
    <w:rsid w:val="000D5B35"/>
    <w:rsid w:val="000D5DD7"/>
    <w:rsid w:val="000E2EB6"/>
    <w:rsid w:val="000E317C"/>
    <w:rsid w:val="000E3C2D"/>
    <w:rsid w:val="000E3ED7"/>
    <w:rsid w:val="000E56AB"/>
    <w:rsid w:val="000E61D3"/>
    <w:rsid w:val="000E7240"/>
    <w:rsid w:val="000E7F98"/>
    <w:rsid w:val="000F02F6"/>
    <w:rsid w:val="000F1A94"/>
    <w:rsid w:val="000F1C19"/>
    <w:rsid w:val="000F250D"/>
    <w:rsid w:val="000F4451"/>
    <w:rsid w:val="000F5956"/>
    <w:rsid w:val="000F5C7E"/>
    <w:rsid w:val="000F5DB3"/>
    <w:rsid w:val="000F64E1"/>
    <w:rsid w:val="000F6BF9"/>
    <w:rsid w:val="000F79D8"/>
    <w:rsid w:val="001002C1"/>
    <w:rsid w:val="0010097F"/>
    <w:rsid w:val="00101181"/>
    <w:rsid w:val="00101D63"/>
    <w:rsid w:val="00104A04"/>
    <w:rsid w:val="00105459"/>
    <w:rsid w:val="00111CC3"/>
    <w:rsid w:val="00112A34"/>
    <w:rsid w:val="00115588"/>
    <w:rsid w:val="00115DF8"/>
    <w:rsid w:val="001161CF"/>
    <w:rsid w:val="001168CB"/>
    <w:rsid w:val="00116903"/>
    <w:rsid w:val="001208AA"/>
    <w:rsid w:val="00122A08"/>
    <w:rsid w:val="00124A21"/>
    <w:rsid w:val="00125157"/>
    <w:rsid w:val="001265A2"/>
    <w:rsid w:val="00126E45"/>
    <w:rsid w:val="00126ECC"/>
    <w:rsid w:val="00133BBF"/>
    <w:rsid w:val="00134B00"/>
    <w:rsid w:val="00135725"/>
    <w:rsid w:val="0013584E"/>
    <w:rsid w:val="001371C9"/>
    <w:rsid w:val="00141470"/>
    <w:rsid w:val="001419FA"/>
    <w:rsid w:val="001423B7"/>
    <w:rsid w:val="00143EE5"/>
    <w:rsid w:val="001456B5"/>
    <w:rsid w:val="00147976"/>
    <w:rsid w:val="00150012"/>
    <w:rsid w:val="00152253"/>
    <w:rsid w:val="001526E2"/>
    <w:rsid w:val="001528BF"/>
    <w:rsid w:val="00153E62"/>
    <w:rsid w:val="001549CE"/>
    <w:rsid w:val="00154ABC"/>
    <w:rsid w:val="00154B1B"/>
    <w:rsid w:val="00155EFC"/>
    <w:rsid w:val="00155FC4"/>
    <w:rsid w:val="00156423"/>
    <w:rsid w:val="0015679D"/>
    <w:rsid w:val="00156A96"/>
    <w:rsid w:val="00157CF5"/>
    <w:rsid w:val="001605CE"/>
    <w:rsid w:val="00160B0E"/>
    <w:rsid w:val="001615FD"/>
    <w:rsid w:val="00161B5D"/>
    <w:rsid w:val="00161DA7"/>
    <w:rsid w:val="0016287C"/>
    <w:rsid w:val="00162BA3"/>
    <w:rsid w:val="0016560B"/>
    <w:rsid w:val="00167BEA"/>
    <w:rsid w:val="0017092D"/>
    <w:rsid w:val="001709DD"/>
    <w:rsid w:val="00172186"/>
    <w:rsid w:val="00172A78"/>
    <w:rsid w:val="001730DF"/>
    <w:rsid w:val="00173237"/>
    <w:rsid w:val="001741F3"/>
    <w:rsid w:val="001744E1"/>
    <w:rsid w:val="0017584B"/>
    <w:rsid w:val="001774F8"/>
    <w:rsid w:val="001776DA"/>
    <w:rsid w:val="00177D39"/>
    <w:rsid w:val="00180511"/>
    <w:rsid w:val="001846AF"/>
    <w:rsid w:val="001849F0"/>
    <w:rsid w:val="00185799"/>
    <w:rsid w:val="00186DF7"/>
    <w:rsid w:val="001875B7"/>
    <w:rsid w:val="0019121D"/>
    <w:rsid w:val="0019150B"/>
    <w:rsid w:val="001915B0"/>
    <w:rsid w:val="0019162B"/>
    <w:rsid w:val="00191A4B"/>
    <w:rsid w:val="00192532"/>
    <w:rsid w:val="00192746"/>
    <w:rsid w:val="00192A57"/>
    <w:rsid w:val="00194168"/>
    <w:rsid w:val="001959B7"/>
    <w:rsid w:val="001A1418"/>
    <w:rsid w:val="001A1468"/>
    <w:rsid w:val="001A163E"/>
    <w:rsid w:val="001A19F1"/>
    <w:rsid w:val="001A1F58"/>
    <w:rsid w:val="001A26D2"/>
    <w:rsid w:val="001A320E"/>
    <w:rsid w:val="001A4B81"/>
    <w:rsid w:val="001A4CB4"/>
    <w:rsid w:val="001A6A19"/>
    <w:rsid w:val="001A728F"/>
    <w:rsid w:val="001A7D46"/>
    <w:rsid w:val="001A7E70"/>
    <w:rsid w:val="001B0DD7"/>
    <w:rsid w:val="001B1193"/>
    <w:rsid w:val="001B7F80"/>
    <w:rsid w:val="001B7FAC"/>
    <w:rsid w:val="001C142F"/>
    <w:rsid w:val="001C2319"/>
    <w:rsid w:val="001C3EC6"/>
    <w:rsid w:val="001C57F1"/>
    <w:rsid w:val="001C68A8"/>
    <w:rsid w:val="001C6F2C"/>
    <w:rsid w:val="001C7616"/>
    <w:rsid w:val="001D0C30"/>
    <w:rsid w:val="001D167C"/>
    <w:rsid w:val="001D19C2"/>
    <w:rsid w:val="001D26C0"/>
    <w:rsid w:val="001D5140"/>
    <w:rsid w:val="001D58A6"/>
    <w:rsid w:val="001D67CD"/>
    <w:rsid w:val="001D73C8"/>
    <w:rsid w:val="001D7407"/>
    <w:rsid w:val="001E09C2"/>
    <w:rsid w:val="001E1731"/>
    <w:rsid w:val="001E1CCE"/>
    <w:rsid w:val="001E1FA4"/>
    <w:rsid w:val="001E28D1"/>
    <w:rsid w:val="001E4DF6"/>
    <w:rsid w:val="001E5281"/>
    <w:rsid w:val="001E5F70"/>
    <w:rsid w:val="001E6828"/>
    <w:rsid w:val="001E6D75"/>
    <w:rsid w:val="001E6F87"/>
    <w:rsid w:val="001F0508"/>
    <w:rsid w:val="001F0D69"/>
    <w:rsid w:val="001F24B1"/>
    <w:rsid w:val="001F2F62"/>
    <w:rsid w:val="001F313D"/>
    <w:rsid w:val="001F3328"/>
    <w:rsid w:val="001F3A04"/>
    <w:rsid w:val="001F5F63"/>
    <w:rsid w:val="001F7159"/>
    <w:rsid w:val="001F746B"/>
    <w:rsid w:val="002008CD"/>
    <w:rsid w:val="00200C4C"/>
    <w:rsid w:val="00201F5D"/>
    <w:rsid w:val="0020211C"/>
    <w:rsid w:val="002030B7"/>
    <w:rsid w:val="002032A5"/>
    <w:rsid w:val="0020461C"/>
    <w:rsid w:val="00205EE7"/>
    <w:rsid w:val="00206A3D"/>
    <w:rsid w:val="00207EE6"/>
    <w:rsid w:val="002109AB"/>
    <w:rsid w:val="00210BD4"/>
    <w:rsid w:val="00211E76"/>
    <w:rsid w:val="00213AD8"/>
    <w:rsid w:val="00213B97"/>
    <w:rsid w:val="002140B6"/>
    <w:rsid w:val="002142D2"/>
    <w:rsid w:val="00215A10"/>
    <w:rsid w:val="00216776"/>
    <w:rsid w:val="00216B88"/>
    <w:rsid w:val="0021712F"/>
    <w:rsid w:val="00217A17"/>
    <w:rsid w:val="0022008B"/>
    <w:rsid w:val="00220CDE"/>
    <w:rsid w:val="0022151E"/>
    <w:rsid w:val="00221A63"/>
    <w:rsid w:val="00222707"/>
    <w:rsid w:val="00222785"/>
    <w:rsid w:val="00226E8D"/>
    <w:rsid w:val="002278B1"/>
    <w:rsid w:val="00230C4A"/>
    <w:rsid w:val="00232632"/>
    <w:rsid w:val="00232B75"/>
    <w:rsid w:val="00234E4D"/>
    <w:rsid w:val="002363A3"/>
    <w:rsid w:val="0023720F"/>
    <w:rsid w:val="002425DD"/>
    <w:rsid w:val="002437C7"/>
    <w:rsid w:val="002438DE"/>
    <w:rsid w:val="002456F7"/>
    <w:rsid w:val="00246565"/>
    <w:rsid w:val="0024678F"/>
    <w:rsid w:val="00247CE0"/>
    <w:rsid w:val="00250448"/>
    <w:rsid w:val="00251A6C"/>
    <w:rsid w:val="00254343"/>
    <w:rsid w:val="00255897"/>
    <w:rsid w:val="00256916"/>
    <w:rsid w:val="00257808"/>
    <w:rsid w:val="00260455"/>
    <w:rsid w:val="00261807"/>
    <w:rsid w:val="002626CB"/>
    <w:rsid w:val="002635DD"/>
    <w:rsid w:val="0026395B"/>
    <w:rsid w:val="00264148"/>
    <w:rsid w:val="002642EF"/>
    <w:rsid w:val="002658A9"/>
    <w:rsid w:val="002671B5"/>
    <w:rsid w:val="00267422"/>
    <w:rsid w:val="002719D4"/>
    <w:rsid w:val="00271D04"/>
    <w:rsid w:val="002725CA"/>
    <w:rsid w:val="00274C16"/>
    <w:rsid w:val="00274D7F"/>
    <w:rsid w:val="00277B6E"/>
    <w:rsid w:val="0028133E"/>
    <w:rsid w:val="00281452"/>
    <w:rsid w:val="002814AE"/>
    <w:rsid w:val="00281DB4"/>
    <w:rsid w:val="002821A9"/>
    <w:rsid w:val="00282259"/>
    <w:rsid w:val="0028481B"/>
    <w:rsid w:val="0028561A"/>
    <w:rsid w:val="00287A1F"/>
    <w:rsid w:val="00290785"/>
    <w:rsid w:val="00290AA7"/>
    <w:rsid w:val="0029162D"/>
    <w:rsid w:val="002922BC"/>
    <w:rsid w:val="00293105"/>
    <w:rsid w:val="002941DA"/>
    <w:rsid w:val="00294712"/>
    <w:rsid w:val="00294E2D"/>
    <w:rsid w:val="00295ECD"/>
    <w:rsid w:val="0029696A"/>
    <w:rsid w:val="002A0766"/>
    <w:rsid w:val="002A0983"/>
    <w:rsid w:val="002A2379"/>
    <w:rsid w:val="002A2D54"/>
    <w:rsid w:val="002A4B27"/>
    <w:rsid w:val="002A55A4"/>
    <w:rsid w:val="002A56AC"/>
    <w:rsid w:val="002B261A"/>
    <w:rsid w:val="002B275D"/>
    <w:rsid w:val="002B2A5E"/>
    <w:rsid w:val="002B3463"/>
    <w:rsid w:val="002B3EF2"/>
    <w:rsid w:val="002B3EF5"/>
    <w:rsid w:val="002B3FA2"/>
    <w:rsid w:val="002B48CA"/>
    <w:rsid w:val="002B5011"/>
    <w:rsid w:val="002B6524"/>
    <w:rsid w:val="002B6829"/>
    <w:rsid w:val="002B693F"/>
    <w:rsid w:val="002B7C68"/>
    <w:rsid w:val="002C17A0"/>
    <w:rsid w:val="002C1CD7"/>
    <w:rsid w:val="002C284E"/>
    <w:rsid w:val="002C28DA"/>
    <w:rsid w:val="002C2A27"/>
    <w:rsid w:val="002C2BF8"/>
    <w:rsid w:val="002C3969"/>
    <w:rsid w:val="002C3E3B"/>
    <w:rsid w:val="002C3E3E"/>
    <w:rsid w:val="002C57B6"/>
    <w:rsid w:val="002C6FFF"/>
    <w:rsid w:val="002D1083"/>
    <w:rsid w:val="002D35FA"/>
    <w:rsid w:val="002D4D2A"/>
    <w:rsid w:val="002D578B"/>
    <w:rsid w:val="002D5805"/>
    <w:rsid w:val="002D6699"/>
    <w:rsid w:val="002D68F9"/>
    <w:rsid w:val="002D75C3"/>
    <w:rsid w:val="002D7C40"/>
    <w:rsid w:val="002E00FA"/>
    <w:rsid w:val="002E2EE2"/>
    <w:rsid w:val="002E5EEF"/>
    <w:rsid w:val="002E77D9"/>
    <w:rsid w:val="002E78C2"/>
    <w:rsid w:val="002E78FA"/>
    <w:rsid w:val="002E7AAE"/>
    <w:rsid w:val="002E7ECA"/>
    <w:rsid w:val="002F0FE6"/>
    <w:rsid w:val="002F171B"/>
    <w:rsid w:val="002F2F44"/>
    <w:rsid w:val="002F46ED"/>
    <w:rsid w:val="002F481A"/>
    <w:rsid w:val="002F5AA3"/>
    <w:rsid w:val="002F5B1C"/>
    <w:rsid w:val="002F613E"/>
    <w:rsid w:val="002F6AFE"/>
    <w:rsid w:val="002F7340"/>
    <w:rsid w:val="0030033B"/>
    <w:rsid w:val="00300723"/>
    <w:rsid w:val="003011D5"/>
    <w:rsid w:val="003048BE"/>
    <w:rsid w:val="003078D5"/>
    <w:rsid w:val="00307925"/>
    <w:rsid w:val="00307CF7"/>
    <w:rsid w:val="00311D6F"/>
    <w:rsid w:val="00315638"/>
    <w:rsid w:val="00317991"/>
    <w:rsid w:val="00317BF8"/>
    <w:rsid w:val="00320D21"/>
    <w:rsid w:val="0032117E"/>
    <w:rsid w:val="00322098"/>
    <w:rsid w:val="00322573"/>
    <w:rsid w:val="0032453C"/>
    <w:rsid w:val="00325007"/>
    <w:rsid w:val="0032670D"/>
    <w:rsid w:val="00327902"/>
    <w:rsid w:val="00332078"/>
    <w:rsid w:val="00335FCF"/>
    <w:rsid w:val="003364E2"/>
    <w:rsid w:val="00336945"/>
    <w:rsid w:val="00337A32"/>
    <w:rsid w:val="00340C1B"/>
    <w:rsid w:val="00340E28"/>
    <w:rsid w:val="00341BE9"/>
    <w:rsid w:val="00342251"/>
    <w:rsid w:val="003428C3"/>
    <w:rsid w:val="00344805"/>
    <w:rsid w:val="003452A8"/>
    <w:rsid w:val="00345A9E"/>
    <w:rsid w:val="003470D9"/>
    <w:rsid w:val="00347579"/>
    <w:rsid w:val="00350515"/>
    <w:rsid w:val="00350620"/>
    <w:rsid w:val="00350695"/>
    <w:rsid w:val="0035099C"/>
    <w:rsid w:val="00350D84"/>
    <w:rsid w:val="00353E1D"/>
    <w:rsid w:val="0035581C"/>
    <w:rsid w:val="00356AB6"/>
    <w:rsid w:val="003577F3"/>
    <w:rsid w:val="00360549"/>
    <w:rsid w:val="00360612"/>
    <w:rsid w:val="00360873"/>
    <w:rsid w:val="00362C2C"/>
    <w:rsid w:val="0036728F"/>
    <w:rsid w:val="003679A1"/>
    <w:rsid w:val="00370730"/>
    <w:rsid w:val="00371613"/>
    <w:rsid w:val="00372E4E"/>
    <w:rsid w:val="0037545F"/>
    <w:rsid w:val="0037556E"/>
    <w:rsid w:val="003759FC"/>
    <w:rsid w:val="00377872"/>
    <w:rsid w:val="00381CAE"/>
    <w:rsid w:val="00383F77"/>
    <w:rsid w:val="003849C4"/>
    <w:rsid w:val="00385B2E"/>
    <w:rsid w:val="0038654D"/>
    <w:rsid w:val="00392AAB"/>
    <w:rsid w:val="00393C88"/>
    <w:rsid w:val="00394B3A"/>
    <w:rsid w:val="003A018D"/>
    <w:rsid w:val="003A13BA"/>
    <w:rsid w:val="003A4191"/>
    <w:rsid w:val="003A4D40"/>
    <w:rsid w:val="003A6552"/>
    <w:rsid w:val="003A7305"/>
    <w:rsid w:val="003B24A4"/>
    <w:rsid w:val="003B36C4"/>
    <w:rsid w:val="003B3DDE"/>
    <w:rsid w:val="003B3EE6"/>
    <w:rsid w:val="003B48B4"/>
    <w:rsid w:val="003B6B29"/>
    <w:rsid w:val="003B7028"/>
    <w:rsid w:val="003B7BE5"/>
    <w:rsid w:val="003C07EF"/>
    <w:rsid w:val="003C0A80"/>
    <w:rsid w:val="003C0AE0"/>
    <w:rsid w:val="003C111A"/>
    <w:rsid w:val="003C32E9"/>
    <w:rsid w:val="003C50EB"/>
    <w:rsid w:val="003D01F8"/>
    <w:rsid w:val="003D2B37"/>
    <w:rsid w:val="003D32DC"/>
    <w:rsid w:val="003D3669"/>
    <w:rsid w:val="003D52F1"/>
    <w:rsid w:val="003D5B57"/>
    <w:rsid w:val="003D732B"/>
    <w:rsid w:val="003E01A6"/>
    <w:rsid w:val="003E1F15"/>
    <w:rsid w:val="003E3B32"/>
    <w:rsid w:val="003E3EAD"/>
    <w:rsid w:val="003E4C60"/>
    <w:rsid w:val="003E4CBC"/>
    <w:rsid w:val="003E6703"/>
    <w:rsid w:val="003F0881"/>
    <w:rsid w:val="003F15B8"/>
    <w:rsid w:val="003F1767"/>
    <w:rsid w:val="003F49D0"/>
    <w:rsid w:val="003F4DFC"/>
    <w:rsid w:val="003F5743"/>
    <w:rsid w:val="00401F6A"/>
    <w:rsid w:val="00403750"/>
    <w:rsid w:val="004049B6"/>
    <w:rsid w:val="00405914"/>
    <w:rsid w:val="0040687A"/>
    <w:rsid w:val="00406AB0"/>
    <w:rsid w:val="0040736B"/>
    <w:rsid w:val="00410BB0"/>
    <w:rsid w:val="00411CEA"/>
    <w:rsid w:val="00412F05"/>
    <w:rsid w:val="00413303"/>
    <w:rsid w:val="00413353"/>
    <w:rsid w:val="0041441B"/>
    <w:rsid w:val="004146C5"/>
    <w:rsid w:val="00414AF0"/>
    <w:rsid w:val="00415AD8"/>
    <w:rsid w:val="0041753B"/>
    <w:rsid w:val="00417AAC"/>
    <w:rsid w:val="00421299"/>
    <w:rsid w:val="004225F6"/>
    <w:rsid w:val="00422F2E"/>
    <w:rsid w:val="00424BF9"/>
    <w:rsid w:val="00426235"/>
    <w:rsid w:val="004264C9"/>
    <w:rsid w:val="004266FC"/>
    <w:rsid w:val="00426EE1"/>
    <w:rsid w:val="004275A1"/>
    <w:rsid w:val="00432745"/>
    <w:rsid w:val="0043321D"/>
    <w:rsid w:val="00434D3E"/>
    <w:rsid w:val="0043701A"/>
    <w:rsid w:val="00437947"/>
    <w:rsid w:val="00440838"/>
    <w:rsid w:val="00440947"/>
    <w:rsid w:val="00442BD8"/>
    <w:rsid w:val="00443261"/>
    <w:rsid w:val="00444686"/>
    <w:rsid w:val="00445306"/>
    <w:rsid w:val="00446111"/>
    <w:rsid w:val="00446376"/>
    <w:rsid w:val="004467C7"/>
    <w:rsid w:val="0044740E"/>
    <w:rsid w:val="0045034C"/>
    <w:rsid w:val="004525DA"/>
    <w:rsid w:val="00453300"/>
    <w:rsid w:val="00453BC5"/>
    <w:rsid w:val="00454AE2"/>
    <w:rsid w:val="004558D6"/>
    <w:rsid w:val="00456FE3"/>
    <w:rsid w:val="004633A5"/>
    <w:rsid w:val="00463506"/>
    <w:rsid w:val="00463A14"/>
    <w:rsid w:val="00463D23"/>
    <w:rsid w:val="0046456F"/>
    <w:rsid w:val="00464CC0"/>
    <w:rsid w:val="00465AE4"/>
    <w:rsid w:val="004663DE"/>
    <w:rsid w:val="0047218D"/>
    <w:rsid w:val="00474955"/>
    <w:rsid w:val="00474ED1"/>
    <w:rsid w:val="004757A6"/>
    <w:rsid w:val="00475D36"/>
    <w:rsid w:val="0047693C"/>
    <w:rsid w:val="004770EA"/>
    <w:rsid w:val="00483362"/>
    <w:rsid w:val="00485248"/>
    <w:rsid w:val="00485E1D"/>
    <w:rsid w:val="00486032"/>
    <w:rsid w:val="0048669C"/>
    <w:rsid w:val="00487F79"/>
    <w:rsid w:val="0049564E"/>
    <w:rsid w:val="00496A73"/>
    <w:rsid w:val="00496C8B"/>
    <w:rsid w:val="00497E79"/>
    <w:rsid w:val="00497EC5"/>
    <w:rsid w:val="00497F3C"/>
    <w:rsid w:val="004A016E"/>
    <w:rsid w:val="004A0179"/>
    <w:rsid w:val="004A0CBB"/>
    <w:rsid w:val="004A0D9A"/>
    <w:rsid w:val="004A360C"/>
    <w:rsid w:val="004A39DB"/>
    <w:rsid w:val="004A40F7"/>
    <w:rsid w:val="004A4336"/>
    <w:rsid w:val="004A4C66"/>
    <w:rsid w:val="004A67CB"/>
    <w:rsid w:val="004B00AB"/>
    <w:rsid w:val="004B45CE"/>
    <w:rsid w:val="004B61B8"/>
    <w:rsid w:val="004B7000"/>
    <w:rsid w:val="004B72FD"/>
    <w:rsid w:val="004B7AD0"/>
    <w:rsid w:val="004C04FF"/>
    <w:rsid w:val="004C0F38"/>
    <w:rsid w:val="004C2C83"/>
    <w:rsid w:val="004C31DA"/>
    <w:rsid w:val="004C3708"/>
    <w:rsid w:val="004C50ED"/>
    <w:rsid w:val="004C6428"/>
    <w:rsid w:val="004C6F07"/>
    <w:rsid w:val="004D0754"/>
    <w:rsid w:val="004D0CAA"/>
    <w:rsid w:val="004D1146"/>
    <w:rsid w:val="004D1422"/>
    <w:rsid w:val="004D37BB"/>
    <w:rsid w:val="004D407C"/>
    <w:rsid w:val="004D4604"/>
    <w:rsid w:val="004D4E57"/>
    <w:rsid w:val="004D5D4B"/>
    <w:rsid w:val="004D7537"/>
    <w:rsid w:val="004D7678"/>
    <w:rsid w:val="004D7BB8"/>
    <w:rsid w:val="004E0148"/>
    <w:rsid w:val="004E0BAA"/>
    <w:rsid w:val="004E1B81"/>
    <w:rsid w:val="004E201C"/>
    <w:rsid w:val="004E3DC9"/>
    <w:rsid w:val="004E580C"/>
    <w:rsid w:val="004E6145"/>
    <w:rsid w:val="004E70C7"/>
    <w:rsid w:val="004E76ED"/>
    <w:rsid w:val="004E7CCF"/>
    <w:rsid w:val="004F055A"/>
    <w:rsid w:val="004F1306"/>
    <w:rsid w:val="004F1DD5"/>
    <w:rsid w:val="004F3ECC"/>
    <w:rsid w:val="004F5212"/>
    <w:rsid w:val="004F5DCB"/>
    <w:rsid w:val="004F5E7D"/>
    <w:rsid w:val="004F626E"/>
    <w:rsid w:val="00500CF0"/>
    <w:rsid w:val="00500D4F"/>
    <w:rsid w:val="00501284"/>
    <w:rsid w:val="00503C89"/>
    <w:rsid w:val="0050534F"/>
    <w:rsid w:val="00505DE9"/>
    <w:rsid w:val="00505F26"/>
    <w:rsid w:val="00506405"/>
    <w:rsid w:val="005065DD"/>
    <w:rsid w:val="00511314"/>
    <w:rsid w:val="00511455"/>
    <w:rsid w:val="00512219"/>
    <w:rsid w:val="00513362"/>
    <w:rsid w:val="005148E7"/>
    <w:rsid w:val="005149FD"/>
    <w:rsid w:val="00515275"/>
    <w:rsid w:val="005158E7"/>
    <w:rsid w:val="00515CBA"/>
    <w:rsid w:val="00517451"/>
    <w:rsid w:val="005202FE"/>
    <w:rsid w:val="005208F8"/>
    <w:rsid w:val="00523462"/>
    <w:rsid w:val="00523D9B"/>
    <w:rsid w:val="00523F44"/>
    <w:rsid w:val="00524DA5"/>
    <w:rsid w:val="0052587B"/>
    <w:rsid w:val="00527CFB"/>
    <w:rsid w:val="00527EE0"/>
    <w:rsid w:val="00527FB1"/>
    <w:rsid w:val="0053095B"/>
    <w:rsid w:val="00530CFE"/>
    <w:rsid w:val="00531AD4"/>
    <w:rsid w:val="00533B5B"/>
    <w:rsid w:val="00534B9F"/>
    <w:rsid w:val="005362FD"/>
    <w:rsid w:val="005363A5"/>
    <w:rsid w:val="00536555"/>
    <w:rsid w:val="00537972"/>
    <w:rsid w:val="0054289A"/>
    <w:rsid w:val="00542935"/>
    <w:rsid w:val="00543571"/>
    <w:rsid w:val="00544DBF"/>
    <w:rsid w:val="00545D8D"/>
    <w:rsid w:val="00551D47"/>
    <w:rsid w:val="0055284C"/>
    <w:rsid w:val="005537AF"/>
    <w:rsid w:val="00554673"/>
    <w:rsid w:val="00554728"/>
    <w:rsid w:val="00554D8E"/>
    <w:rsid w:val="005602B8"/>
    <w:rsid w:val="00560825"/>
    <w:rsid w:val="00560D43"/>
    <w:rsid w:val="00562744"/>
    <w:rsid w:val="005654DC"/>
    <w:rsid w:val="005667B6"/>
    <w:rsid w:val="00566E9D"/>
    <w:rsid w:val="005707F3"/>
    <w:rsid w:val="00571147"/>
    <w:rsid w:val="0057121A"/>
    <w:rsid w:val="005712FC"/>
    <w:rsid w:val="00571534"/>
    <w:rsid w:val="00572BD5"/>
    <w:rsid w:val="0057549E"/>
    <w:rsid w:val="00580DEC"/>
    <w:rsid w:val="00581E3B"/>
    <w:rsid w:val="00582875"/>
    <w:rsid w:val="00582B22"/>
    <w:rsid w:val="00582C67"/>
    <w:rsid w:val="0058368D"/>
    <w:rsid w:val="00583FFD"/>
    <w:rsid w:val="00584847"/>
    <w:rsid w:val="00585F8F"/>
    <w:rsid w:val="005866ED"/>
    <w:rsid w:val="00586F3D"/>
    <w:rsid w:val="00592807"/>
    <w:rsid w:val="00594871"/>
    <w:rsid w:val="00594BA2"/>
    <w:rsid w:val="00596F7A"/>
    <w:rsid w:val="00597FBA"/>
    <w:rsid w:val="005A095E"/>
    <w:rsid w:val="005A0D0A"/>
    <w:rsid w:val="005A2598"/>
    <w:rsid w:val="005A2A6E"/>
    <w:rsid w:val="005A4878"/>
    <w:rsid w:val="005A73FB"/>
    <w:rsid w:val="005B07BC"/>
    <w:rsid w:val="005B1461"/>
    <w:rsid w:val="005B1748"/>
    <w:rsid w:val="005B208D"/>
    <w:rsid w:val="005B263A"/>
    <w:rsid w:val="005B2658"/>
    <w:rsid w:val="005B282B"/>
    <w:rsid w:val="005B3EEB"/>
    <w:rsid w:val="005B431E"/>
    <w:rsid w:val="005B477E"/>
    <w:rsid w:val="005B53D7"/>
    <w:rsid w:val="005B5585"/>
    <w:rsid w:val="005C04C9"/>
    <w:rsid w:val="005C2490"/>
    <w:rsid w:val="005C3079"/>
    <w:rsid w:val="005C3B68"/>
    <w:rsid w:val="005C43AD"/>
    <w:rsid w:val="005C500C"/>
    <w:rsid w:val="005C573B"/>
    <w:rsid w:val="005C6BDF"/>
    <w:rsid w:val="005C722E"/>
    <w:rsid w:val="005C72A4"/>
    <w:rsid w:val="005C72F4"/>
    <w:rsid w:val="005D02D3"/>
    <w:rsid w:val="005D279F"/>
    <w:rsid w:val="005D3235"/>
    <w:rsid w:val="005D33E8"/>
    <w:rsid w:val="005D3E0F"/>
    <w:rsid w:val="005D3FEE"/>
    <w:rsid w:val="005D56FB"/>
    <w:rsid w:val="005D7904"/>
    <w:rsid w:val="005E0196"/>
    <w:rsid w:val="005E022D"/>
    <w:rsid w:val="005E22B2"/>
    <w:rsid w:val="005E24F2"/>
    <w:rsid w:val="005E3B28"/>
    <w:rsid w:val="005E42FA"/>
    <w:rsid w:val="005E5B4B"/>
    <w:rsid w:val="005E64FC"/>
    <w:rsid w:val="005E6D08"/>
    <w:rsid w:val="005E7648"/>
    <w:rsid w:val="005E7AF2"/>
    <w:rsid w:val="005F18D5"/>
    <w:rsid w:val="005F222E"/>
    <w:rsid w:val="005F246D"/>
    <w:rsid w:val="005F2FFC"/>
    <w:rsid w:val="005F4EC2"/>
    <w:rsid w:val="005F55BA"/>
    <w:rsid w:val="005F69BB"/>
    <w:rsid w:val="006003E3"/>
    <w:rsid w:val="00600FEC"/>
    <w:rsid w:val="00601082"/>
    <w:rsid w:val="00601437"/>
    <w:rsid w:val="0060405A"/>
    <w:rsid w:val="00612EDD"/>
    <w:rsid w:val="00613B64"/>
    <w:rsid w:val="00613E05"/>
    <w:rsid w:val="0061538B"/>
    <w:rsid w:val="00615982"/>
    <w:rsid w:val="00616536"/>
    <w:rsid w:val="006174D6"/>
    <w:rsid w:val="00617B4F"/>
    <w:rsid w:val="00620E14"/>
    <w:rsid w:val="00622034"/>
    <w:rsid w:val="006221C9"/>
    <w:rsid w:val="00624D85"/>
    <w:rsid w:val="00625258"/>
    <w:rsid w:val="006256E1"/>
    <w:rsid w:val="00625B35"/>
    <w:rsid w:val="0062665E"/>
    <w:rsid w:val="006308DC"/>
    <w:rsid w:val="00631D12"/>
    <w:rsid w:val="00632560"/>
    <w:rsid w:val="00634084"/>
    <w:rsid w:val="00634C0A"/>
    <w:rsid w:val="0063568F"/>
    <w:rsid w:val="00635E8C"/>
    <w:rsid w:val="00636068"/>
    <w:rsid w:val="006367BC"/>
    <w:rsid w:val="006372D0"/>
    <w:rsid w:val="0063748D"/>
    <w:rsid w:val="006374F9"/>
    <w:rsid w:val="0064116B"/>
    <w:rsid w:val="00641802"/>
    <w:rsid w:val="00641A38"/>
    <w:rsid w:val="00641CD4"/>
    <w:rsid w:val="00644401"/>
    <w:rsid w:val="00644AB9"/>
    <w:rsid w:val="00645A22"/>
    <w:rsid w:val="00646D1C"/>
    <w:rsid w:val="006478C3"/>
    <w:rsid w:val="0065102F"/>
    <w:rsid w:val="00652136"/>
    <w:rsid w:val="006524B0"/>
    <w:rsid w:val="00654BC3"/>
    <w:rsid w:val="00654E7C"/>
    <w:rsid w:val="00655571"/>
    <w:rsid w:val="00655D74"/>
    <w:rsid w:val="00656204"/>
    <w:rsid w:val="006565DE"/>
    <w:rsid w:val="00657E6E"/>
    <w:rsid w:val="0066023F"/>
    <w:rsid w:val="006719A5"/>
    <w:rsid w:val="00671CD1"/>
    <w:rsid w:val="006727C0"/>
    <w:rsid w:val="00672B88"/>
    <w:rsid w:val="00672D54"/>
    <w:rsid w:val="006742F3"/>
    <w:rsid w:val="00674600"/>
    <w:rsid w:val="00674DC3"/>
    <w:rsid w:val="006772DA"/>
    <w:rsid w:val="00677441"/>
    <w:rsid w:val="006778EB"/>
    <w:rsid w:val="00677BCD"/>
    <w:rsid w:val="0068111B"/>
    <w:rsid w:val="00681198"/>
    <w:rsid w:val="00681869"/>
    <w:rsid w:val="00681DEB"/>
    <w:rsid w:val="00685056"/>
    <w:rsid w:val="006870EC"/>
    <w:rsid w:val="0069022B"/>
    <w:rsid w:val="0069171F"/>
    <w:rsid w:val="006929A1"/>
    <w:rsid w:val="006932BB"/>
    <w:rsid w:val="00693F46"/>
    <w:rsid w:val="0069455B"/>
    <w:rsid w:val="006A108B"/>
    <w:rsid w:val="006A33F9"/>
    <w:rsid w:val="006A3A28"/>
    <w:rsid w:val="006A3E65"/>
    <w:rsid w:val="006A4019"/>
    <w:rsid w:val="006A472D"/>
    <w:rsid w:val="006A4A48"/>
    <w:rsid w:val="006A5F25"/>
    <w:rsid w:val="006A627E"/>
    <w:rsid w:val="006B1FF3"/>
    <w:rsid w:val="006B2E7B"/>
    <w:rsid w:val="006B44EE"/>
    <w:rsid w:val="006B55BA"/>
    <w:rsid w:val="006B6EC3"/>
    <w:rsid w:val="006C0253"/>
    <w:rsid w:val="006C1FFF"/>
    <w:rsid w:val="006C5189"/>
    <w:rsid w:val="006C55D8"/>
    <w:rsid w:val="006D04F1"/>
    <w:rsid w:val="006D116A"/>
    <w:rsid w:val="006D2351"/>
    <w:rsid w:val="006D39CB"/>
    <w:rsid w:val="006D4F51"/>
    <w:rsid w:val="006D5083"/>
    <w:rsid w:val="006D5192"/>
    <w:rsid w:val="006D5E1D"/>
    <w:rsid w:val="006D61F3"/>
    <w:rsid w:val="006D74DA"/>
    <w:rsid w:val="006E0655"/>
    <w:rsid w:val="006E0B82"/>
    <w:rsid w:val="006E2E84"/>
    <w:rsid w:val="006E3241"/>
    <w:rsid w:val="006E7626"/>
    <w:rsid w:val="006F10C0"/>
    <w:rsid w:val="006F120A"/>
    <w:rsid w:val="006F1D0C"/>
    <w:rsid w:val="006F74E6"/>
    <w:rsid w:val="007015BD"/>
    <w:rsid w:val="007018E8"/>
    <w:rsid w:val="0070276B"/>
    <w:rsid w:val="00703571"/>
    <w:rsid w:val="007074F6"/>
    <w:rsid w:val="007109EF"/>
    <w:rsid w:val="00712923"/>
    <w:rsid w:val="00712F17"/>
    <w:rsid w:val="007160E1"/>
    <w:rsid w:val="0071760C"/>
    <w:rsid w:val="0072024D"/>
    <w:rsid w:val="00720505"/>
    <w:rsid w:val="0072057C"/>
    <w:rsid w:val="00720592"/>
    <w:rsid w:val="007206A0"/>
    <w:rsid w:val="00720F44"/>
    <w:rsid w:val="00721957"/>
    <w:rsid w:val="0072218F"/>
    <w:rsid w:val="0072225F"/>
    <w:rsid w:val="00722702"/>
    <w:rsid w:val="007248A5"/>
    <w:rsid w:val="00724D6E"/>
    <w:rsid w:val="007255AB"/>
    <w:rsid w:val="007255C8"/>
    <w:rsid w:val="00727705"/>
    <w:rsid w:val="00727ACA"/>
    <w:rsid w:val="007302DA"/>
    <w:rsid w:val="00730ACB"/>
    <w:rsid w:val="007314BD"/>
    <w:rsid w:val="00733530"/>
    <w:rsid w:val="00734B9C"/>
    <w:rsid w:val="0073531F"/>
    <w:rsid w:val="00736E32"/>
    <w:rsid w:val="0073749B"/>
    <w:rsid w:val="0074007B"/>
    <w:rsid w:val="00740399"/>
    <w:rsid w:val="007425E7"/>
    <w:rsid w:val="007433A6"/>
    <w:rsid w:val="007437AA"/>
    <w:rsid w:val="00744120"/>
    <w:rsid w:val="007446A6"/>
    <w:rsid w:val="0074488A"/>
    <w:rsid w:val="007459A3"/>
    <w:rsid w:val="00745A91"/>
    <w:rsid w:val="00746180"/>
    <w:rsid w:val="007478BC"/>
    <w:rsid w:val="00747CBB"/>
    <w:rsid w:val="007502C5"/>
    <w:rsid w:val="00750390"/>
    <w:rsid w:val="00750C71"/>
    <w:rsid w:val="0075157F"/>
    <w:rsid w:val="007516D1"/>
    <w:rsid w:val="007528F0"/>
    <w:rsid w:val="007547C1"/>
    <w:rsid w:val="00754C48"/>
    <w:rsid w:val="007556F9"/>
    <w:rsid w:val="00755AF6"/>
    <w:rsid w:val="00757381"/>
    <w:rsid w:val="00757558"/>
    <w:rsid w:val="007605E3"/>
    <w:rsid w:val="00760B26"/>
    <w:rsid w:val="00761093"/>
    <w:rsid w:val="00761F37"/>
    <w:rsid w:val="00761F67"/>
    <w:rsid w:val="007627D4"/>
    <w:rsid w:val="00764AD1"/>
    <w:rsid w:val="0076519B"/>
    <w:rsid w:val="00765925"/>
    <w:rsid w:val="00765E43"/>
    <w:rsid w:val="00766FF0"/>
    <w:rsid w:val="0076782E"/>
    <w:rsid w:val="00770386"/>
    <w:rsid w:val="00773A02"/>
    <w:rsid w:val="0077536D"/>
    <w:rsid w:val="00775B2A"/>
    <w:rsid w:val="00780654"/>
    <w:rsid w:val="0078119E"/>
    <w:rsid w:val="007812C0"/>
    <w:rsid w:val="00781D04"/>
    <w:rsid w:val="007835D7"/>
    <w:rsid w:val="00785AE6"/>
    <w:rsid w:val="00786689"/>
    <w:rsid w:val="00792C25"/>
    <w:rsid w:val="007936F9"/>
    <w:rsid w:val="00794232"/>
    <w:rsid w:val="00795117"/>
    <w:rsid w:val="0079560B"/>
    <w:rsid w:val="0079573D"/>
    <w:rsid w:val="007964BF"/>
    <w:rsid w:val="007974E7"/>
    <w:rsid w:val="007A123B"/>
    <w:rsid w:val="007A25B7"/>
    <w:rsid w:val="007A30B5"/>
    <w:rsid w:val="007A3C10"/>
    <w:rsid w:val="007A4E1E"/>
    <w:rsid w:val="007B090B"/>
    <w:rsid w:val="007B0A67"/>
    <w:rsid w:val="007B0D3B"/>
    <w:rsid w:val="007B138F"/>
    <w:rsid w:val="007B1EAC"/>
    <w:rsid w:val="007B355D"/>
    <w:rsid w:val="007B36D5"/>
    <w:rsid w:val="007B3D26"/>
    <w:rsid w:val="007B3FDE"/>
    <w:rsid w:val="007B4DEE"/>
    <w:rsid w:val="007B626B"/>
    <w:rsid w:val="007B6F81"/>
    <w:rsid w:val="007B7285"/>
    <w:rsid w:val="007C08E5"/>
    <w:rsid w:val="007C0D7E"/>
    <w:rsid w:val="007C1338"/>
    <w:rsid w:val="007C29BB"/>
    <w:rsid w:val="007C2AE6"/>
    <w:rsid w:val="007C48F2"/>
    <w:rsid w:val="007C4BAF"/>
    <w:rsid w:val="007C6387"/>
    <w:rsid w:val="007C75E7"/>
    <w:rsid w:val="007D0363"/>
    <w:rsid w:val="007D4E2D"/>
    <w:rsid w:val="007D4E7D"/>
    <w:rsid w:val="007D53E6"/>
    <w:rsid w:val="007D5F46"/>
    <w:rsid w:val="007D6C5A"/>
    <w:rsid w:val="007D76EE"/>
    <w:rsid w:val="007D7D89"/>
    <w:rsid w:val="007E0F15"/>
    <w:rsid w:val="007E113A"/>
    <w:rsid w:val="007E1178"/>
    <w:rsid w:val="007E2192"/>
    <w:rsid w:val="007E50E0"/>
    <w:rsid w:val="007E57B2"/>
    <w:rsid w:val="007E5EA2"/>
    <w:rsid w:val="007E669F"/>
    <w:rsid w:val="007E743C"/>
    <w:rsid w:val="007F0E6C"/>
    <w:rsid w:val="007F1D00"/>
    <w:rsid w:val="007F249E"/>
    <w:rsid w:val="007F5364"/>
    <w:rsid w:val="007F580A"/>
    <w:rsid w:val="007F7BE8"/>
    <w:rsid w:val="007F7C84"/>
    <w:rsid w:val="007F7DC1"/>
    <w:rsid w:val="00800606"/>
    <w:rsid w:val="00801456"/>
    <w:rsid w:val="00802607"/>
    <w:rsid w:val="00802EA4"/>
    <w:rsid w:val="00802FFC"/>
    <w:rsid w:val="0080320A"/>
    <w:rsid w:val="008066A0"/>
    <w:rsid w:val="00807936"/>
    <w:rsid w:val="00807AF7"/>
    <w:rsid w:val="00811DBF"/>
    <w:rsid w:val="008120F5"/>
    <w:rsid w:val="008124BF"/>
    <w:rsid w:val="00812CD9"/>
    <w:rsid w:val="00812D19"/>
    <w:rsid w:val="00814EC1"/>
    <w:rsid w:val="00816DAB"/>
    <w:rsid w:val="00817252"/>
    <w:rsid w:val="0081780A"/>
    <w:rsid w:val="00817ED0"/>
    <w:rsid w:val="008201F4"/>
    <w:rsid w:val="00821415"/>
    <w:rsid w:val="00821F5E"/>
    <w:rsid w:val="00823C0C"/>
    <w:rsid w:val="00823FE4"/>
    <w:rsid w:val="00824C8E"/>
    <w:rsid w:val="008253E6"/>
    <w:rsid w:val="0083525B"/>
    <w:rsid w:val="0083781E"/>
    <w:rsid w:val="00840E4A"/>
    <w:rsid w:val="00841284"/>
    <w:rsid w:val="00842207"/>
    <w:rsid w:val="008516BF"/>
    <w:rsid w:val="0085465B"/>
    <w:rsid w:val="00855199"/>
    <w:rsid w:val="008553A0"/>
    <w:rsid w:val="0085652E"/>
    <w:rsid w:val="008602A2"/>
    <w:rsid w:val="00860C02"/>
    <w:rsid w:val="00860CAA"/>
    <w:rsid w:val="008612A8"/>
    <w:rsid w:val="00862634"/>
    <w:rsid w:val="008640DC"/>
    <w:rsid w:val="0086706A"/>
    <w:rsid w:val="00870910"/>
    <w:rsid w:val="0087275B"/>
    <w:rsid w:val="00874C63"/>
    <w:rsid w:val="00882EA3"/>
    <w:rsid w:val="00883055"/>
    <w:rsid w:val="008837DB"/>
    <w:rsid w:val="00883D0B"/>
    <w:rsid w:val="008855E9"/>
    <w:rsid w:val="00885BF4"/>
    <w:rsid w:val="008870F5"/>
    <w:rsid w:val="00887486"/>
    <w:rsid w:val="008874C9"/>
    <w:rsid w:val="008875DE"/>
    <w:rsid w:val="00892F46"/>
    <w:rsid w:val="008936DA"/>
    <w:rsid w:val="008945E2"/>
    <w:rsid w:val="008948F1"/>
    <w:rsid w:val="00894AB8"/>
    <w:rsid w:val="00897CFE"/>
    <w:rsid w:val="008A13CB"/>
    <w:rsid w:val="008A1E72"/>
    <w:rsid w:val="008A45D2"/>
    <w:rsid w:val="008A5324"/>
    <w:rsid w:val="008A5606"/>
    <w:rsid w:val="008A5709"/>
    <w:rsid w:val="008A713E"/>
    <w:rsid w:val="008B09F0"/>
    <w:rsid w:val="008B0C45"/>
    <w:rsid w:val="008B2086"/>
    <w:rsid w:val="008B2CA9"/>
    <w:rsid w:val="008B2EDB"/>
    <w:rsid w:val="008B3A34"/>
    <w:rsid w:val="008B3F52"/>
    <w:rsid w:val="008B483C"/>
    <w:rsid w:val="008B6A7A"/>
    <w:rsid w:val="008B737F"/>
    <w:rsid w:val="008B7B67"/>
    <w:rsid w:val="008C265D"/>
    <w:rsid w:val="008C4ADB"/>
    <w:rsid w:val="008C4BA2"/>
    <w:rsid w:val="008C76EB"/>
    <w:rsid w:val="008C7E26"/>
    <w:rsid w:val="008C7FF9"/>
    <w:rsid w:val="008D22B6"/>
    <w:rsid w:val="008D27DE"/>
    <w:rsid w:val="008D2D19"/>
    <w:rsid w:val="008D35F7"/>
    <w:rsid w:val="008D38C8"/>
    <w:rsid w:val="008D42C6"/>
    <w:rsid w:val="008D4581"/>
    <w:rsid w:val="008D51F3"/>
    <w:rsid w:val="008D525E"/>
    <w:rsid w:val="008D5BA3"/>
    <w:rsid w:val="008D6DBC"/>
    <w:rsid w:val="008D7A6E"/>
    <w:rsid w:val="008E0490"/>
    <w:rsid w:val="008E0B4B"/>
    <w:rsid w:val="008E174B"/>
    <w:rsid w:val="008E2594"/>
    <w:rsid w:val="008E31D4"/>
    <w:rsid w:val="008E3633"/>
    <w:rsid w:val="008E3A37"/>
    <w:rsid w:val="008E468F"/>
    <w:rsid w:val="008E5877"/>
    <w:rsid w:val="008E6EE3"/>
    <w:rsid w:val="008E7E14"/>
    <w:rsid w:val="008F146D"/>
    <w:rsid w:val="008F18AF"/>
    <w:rsid w:val="008F3164"/>
    <w:rsid w:val="008F34AE"/>
    <w:rsid w:val="008F3849"/>
    <w:rsid w:val="008F455E"/>
    <w:rsid w:val="008F653E"/>
    <w:rsid w:val="008F6852"/>
    <w:rsid w:val="008F6872"/>
    <w:rsid w:val="008F6AEE"/>
    <w:rsid w:val="009021B2"/>
    <w:rsid w:val="009036AB"/>
    <w:rsid w:val="00903F41"/>
    <w:rsid w:val="00904AA2"/>
    <w:rsid w:val="00904EEA"/>
    <w:rsid w:val="0090547D"/>
    <w:rsid w:val="00905F9D"/>
    <w:rsid w:val="00906652"/>
    <w:rsid w:val="00906FF6"/>
    <w:rsid w:val="00907163"/>
    <w:rsid w:val="009104D2"/>
    <w:rsid w:val="00911839"/>
    <w:rsid w:val="009121E8"/>
    <w:rsid w:val="00912C5F"/>
    <w:rsid w:val="0091312F"/>
    <w:rsid w:val="00913994"/>
    <w:rsid w:val="00913A49"/>
    <w:rsid w:val="009152CF"/>
    <w:rsid w:val="009157C1"/>
    <w:rsid w:val="009162A9"/>
    <w:rsid w:val="0091778F"/>
    <w:rsid w:val="00920346"/>
    <w:rsid w:val="00920C8C"/>
    <w:rsid w:val="00921311"/>
    <w:rsid w:val="009218E2"/>
    <w:rsid w:val="00921F44"/>
    <w:rsid w:val="009227C0"/>
    <w:rsid w:val="00923B83"/>
    <w:rsid w:val="009256AE"/>
    <w:rsid w:val="00926DAD"/>
    <w:rsid w:val="00926EF0"/>
    <w:rsid w:val="00927358"/>
    <w:rsid w:val="00927A7E"/>
    <w:rsid w:val="00931586"/>
    <w:rsid w:val="00932A8B"/>
    <w:rsid w:val="00932D44"/>
    <w:rsid w:val="00933911"/>
    <w:rsid w:val="00934B88"/>
    <w:rsid w:val="00936694"/>
    <w:rsid w:val="00936E5D"/>
    <w:rsid w:val="00937F4A"/>
    <w:rsid w:val="00944CA5"/>
    <w:rsid w:val="0094588E"/>
    <w:rsid w:val="009463C8"/>
    <w:rsid w:val="00947DF1"/>
    <w:rsid w:val="009526B2"/>
    <w:rsid w:val="009529CF"/>
    <w:rsid w:val="00953636"/>
    <w:rsid w:val="009538EA"/>
    <w:rsid w:val="00954E4D"/>
    <w:rsid w:val="00955F28"/>
    <w:rsid w:val="00956276"/>
    <w:rsid w:val="00957BCA"/>
    <w:rsid w:val="00960AD8"/>
    <w:rsid w:val="009611F4"/>
    <w:rsid w:val="00961791"/>
    <w:rsid w:val="00961B16"/>
    <w:rsid w:val="009622D2"/>
    <w:rsid w:val="00963654"/>
    <w:rsid w:val="009637DD"/>
    <w:rsid w:val="00964003"/>
    <w:rsid w:val="00965F1B"/>
    <w:rsid w:val="00966194"/>
    <w:rsid w:val="00972744"/>
    <w:rsid w:val="00973727"/>
    <w:rsid w:val="00973CA7"/>
    <w:rsid w:val="0097687D"/>
    <w:rsid w:val="00977C01"/>
    <w:rsid w:val="00977FC5"/>
    <w:rsid w:val="0098097E"/>
    <w:rsid w:val="00982602"/>
    <w:rsid w:val="00982EA3"/>
    <w:rsid w:val="009844C8"/>
    <w:rsid w:val="00984B9B"/>
    <w:rsid w:val="00984DA4"/>
    <w:rsid w:val="0098555C"/>
    <w:rsid w:val="00986478"/>
    <w:rsid w:val="00987E80"/>
    <w:rsid w:val="00991243"/>
    <w:rsid w:val="00991E1F"/>
    <w:rsid w:val="00992B65"/>
    <w:rsid w:val="009943BB"/>
    <w:rsid w:val="009948DC"/>
    <w:rsid w:val="00995E92"/>
    <w:rsid w:val="00995E99"/>
    <w:rsid w:val="009974FE"/>
    <w:rsid w:val="009A334F"/>
    <w:rsid w:val="009A3AA4"/>
    <w:rsid w:val="009A46F7"/>
    <w:rsid w:val="009A4B3A"/>
    <w:rsid w:val="009A56DD"/>
    <w:rsid w:val="009A6781"/>
    <w:rsid w:val="009B0E4D"/>
    <w:rsid w:val="009B3650"/>
    <w:rsid w:val="009B3BC2"/>
    <w:rsid w:val="009B3D86"/>
    <w:rsid w:val="009B4056"/>
    <w:rsid w:val="009B5F2F"/>
    <w:rsid w:val="009B6544"/>
    <w:rsid w:val="009B6E41"/>
    <w:rsid w:val="009C1F62"/>
    <w:rsid w:val="009C261E"/>
    <w:rsid w:val="009C320F"/>
    <w:rsid w:val="009C3BA8"/>
    <w:rsid w:val="009C4C6C"/>
    <w:rsid w:val="009C5E1B"/>
    <w:rsid w:val="009D1D6F"/>
    <w:rsid w:val="009D23D8"/>
    <w:rsid w:val="009D3FF7"/>
    <w:rsid w:val="009D4CFE"/>
    <w:rsid w:val="009D6817"/>
    <w:rsid w:val="009D6DA7"/>
    <w:rsid w:val="009D7A24"/>
    <w:rsid w:val="009E0AD3"/>
    <w:rsid w:val="009E3325"/>
    <w:rsid w:val="009E36D3"/>
    <w:rsid w:val="009E48E0"/>
    <w:rsid w:val="009E61AB"/>
    <w:rsid w:val="009E7277"/>
    <w:rsid w:val="009E7471"/>
    <w:rsid w:val="009F0460"/>
    <w:rsid w:val="009F1065"/>
    <w:rsid w:val="009F1BCE"/>
    <w:rsid w:val="009F2693"/>
    <w:rsid w:val="009F34FC"/>
    <w:rsid w:val="009F3AAA"/>
    <w:rsid w:val="009F4105"/>
    <w:rsid w:val="009F4E42"/>
    <w:rsid w:val="009F519B"/>
    <w:rsid w:val="009F687F"/>
    <w:rsid w:val="009F6995"/>
    <w:rsid w:val="009F7615"/>
    <w:rsid w:val="00A01CBF"/>
    <w:rsid w:val="00A04A16"/>
    <w:rsid w:val="00A0582F"/>
    <w:rsid w:val="00A06653"/>
    <w:rsid w:val="00A06C24"/>
    <w:rsid w:val="00A116E8"/>
    <w:rsid w:val="00A11860"/>
    <w:rsid w:val="00A12267"/>
    <w:rsid w:val="00A1295B"/>
    <w:rsid w:val="00A133DC"/>
    <w:rsid w:val="00A14169"/>
    <w:rsid w:val="00A145E3"/>
    <w:rsid w:val="00A14B0F"/>
    <w:rsid w:val="00A159E9"/>
    <w:rsid w:val="00A167D5"/>
    <w:rsid w:val="00A21579"/>
    <w:rsid w:val="00A24B8A"/>
    <w:rsid w:val="00A24C4A"/>
    <w:rsid w:val="00A25A48"/>
    <w:rsid w:val="00A26216"/>
    <w:rsid w:val="00A262BB"/>
    <w:rsid w:val="00A27E50"/>
    <w:rsid w:val="00A3010C"/>
    <w:rsid w:val="00A30878"/>
    <w:rsid w:val="00A30A02"/>
    <w:rsid w:val="00A30BAC"/>
    <w:rsid w:val="00A315D9"/>
    <w:rsid w:val="00A320CE"/>
    <w:rsid w:val="00A329F6"/>
    <w:rsid w:val="00A32D4D"/>
    <w:rsid w:val="00A338F4"/>
    <w:rsid w:val="00A347FE"/>
    <w:rsid w:val="00A3699D"/>
    <w:rsid w:val="00A37A1D"/>
    <w:rsid w:val="00A37B95"/>
    <w:rsid w:val="00A37CEE"/>
    <w:rsid w:val="00A417AE"/>
    <w:rsid w:val="00A43E3D"/>
    <w:rsid w:val="00A44D6E"/>
    <w:rsid w:val="00A45FFF"/>
    <w:rsid w:val="00A472F7"/>
    <w:rsid w:val="00A50365"/>
    <w:rsid w:val="00A50C7B"/>
    <w:rsid w:val="00A50E45"/>
    <w:rsid w:val="00A51226"/>
    <w:rsid w:val="00A517DF"/>
    <w:rsid w:val="00A53A33"/>
    <w:rsid w:val="00A548D2"/>
    <w:rsid w:val="00A565E8"/>
    <w:rsid w:val="00A56BA2"/>
    <w:rsid w:val="00A56EA3"/>
    <w:rsid w:val="00A579D4"/>
    <w:rsid w:val="00A60352"/>
    <w:rsid w:val="00A603E8"/>
    <w:rsid w:val="00A60857"/>
    <w:rsid w:val="00A610DF"/>
    <w:rsid w:val="00A6443D"/>
    <w:rsid w:val="00A64A80"/>
    <w:rsid w:val="00A653C5"/>
    <w:rsid w:val="00A71757"/>
    <w:rsid w:val="00A724D6"/>
    <w:rsid w:val="00A72A29"/>
    <w:rsid w:val="00A72B58"/>
    <w:rsid w:val="00A733F9"/>
    <w:rsid w:val="00A73F5E"/>
    <w:rsid w:val="00A76A35"/>
    <w:rsid w:val="00A76CB3"/>
    <w:rsid w:val="00A77851"/>
    <w:rsid w:val="00A77D03"/>
    <w:rsid w:val="00A77D45"/>
    <w:rsid w:val="00A8134D"/>
    <w:rsid w:val="00A81E43"/>
    <w:rsid w:val="00A81F24"/>
    <w:rsid w:val="00A833C0"/>
    <w:rsid w:val="00A84F22"/>
    <w:rsid w:val="00A85586"/>
    <w:rsid w:val="00A86138"/>
    <w:rsid w:val="00A86EC4"/>
    <w:rsid w:val="00A925BD"/>
    <w:rsid w:val="00A92E6B"/>
    <w:rsid w:val="00A945D8"/>
    <w:rsid w:val="00A95421"/>
    <w:rsid w:val="00AA07E4"/>
    <w:rsid w:val="00AA094E"/>
    <w:rsid w:val="00AA1C60"/>
    <w:rsid w:val="00AA200F"/>
    <w:rsid w:val="00AA2DF0"/>
    <w:rsid w:val="00AA43FE"/>
    <w:rsid w:val="00AA4703"/>
    <w:rsid w:val="00AA5A1F"/>
    <w:rsid w:val="00AA687B"/>
    <w:rsid w:val="00AA6DEF"/>
    <w:rsid w:val="00AB040F"/>
    <w:rsid w:val="00AB0FB1"/>
    <w:rsid w:val="00AB40E7"/>
    <w:rsid w:val="00AB6600"/>
    <w:rsid w:val="00AC0632"/>
    <w:rsid w:val="00AC1CF3"/>
    <w:rsid w:val="00AC2994"/>
    <w:rsid w:val="00AC3888"/>
    <w:rsid w:val="00AC4C27"/>
    <w:rsid w:val="00AC5E2B"/>
    <w:rsid w:val="00AC723D"/>
    <w:rsid w:val="00AC75F2"/>
    <w:rsid w:val="00AD01D2"/>
    <w:rsid w:val="00AD0452"/>
    <w:rsid w:val="00AD3300"/>
    <w:rsid w:val="00AD535E"/>
    <w:rsid w:val="00AD5C98"/>
    <w:rsid w:val="00AD6D84"/>
    <w:rsid w:val="00AE0440"/>
    <w:rsid w:val="00AE1467"/>
    <w:rsid w:val="00AE189F"/>
    <w:rsid w:val="00AE4833"/>
    <w:rsid w:val="00AE4EF6"/>
    <w:rsid w:val="00AE5241"/>
    <w:rsid w:val="00AE53F6"/>
    <w:rsid w:val="00AE6227"/>
    <w:rsid w:val="00AE6CF2"/>
    <w:rsid w:val="00AE6E28"/>
    <w:rsid w:val="00AE75D0"/>
    <w:rsid w:val="00AF0607"/>
    <w:rsid w:val="00AF0DB2"/>
    <w:rsid w:val="00AF192C"/>
    <w:rsid w:val="00AF24F2"/>
    <w:rsid w:val="00AF3004"/>
    <w:rsid w:val="00AF320C"/>
    <w:rsid w:val="00AF3DE9"/>
    <w:rsid w:val="00AF4C81"/>
    <w:rsid w:val="00AF51BA"/>
    <w:rsid w:val="00AF6D9E"/>
    <w:rsid w:val="00AF6F82"/>
    <w:rsid w:val="00AF773F"/>
    <w:rsid w:val="00B01FAF"/>
    <w:rsid w:val="00B02F7C"/>
    <w:rsid w:val="00B039CC"/>
    <w:rsid w:val="00B0413C"/>
    <w:rsid w:val="00B06856"/>
    <w:rsid w:val="00B06DBD"/>
    <w:rsid w:val="00B0706D"/>
    <w:rsid w:val="00B10EA2"/>
    <w:rsid w:val="00B1269F"/>
    <w:rsid w:val="00B13903"/>
    <w:rsid w:val="00B14B46"/>
    <w:rsid w:val="00B15093"/>
    <w:rsid w:val="00B15314"/>
    <w:rsid w:val="00B15996"/>
    <w:rsid w:val="00B159CE"/>
    <w:rsid w:val="00B2276C"/>
    <w:rsid w:val="00B22BC5"/>
    <w:rsid w:val="00B22C93"/>
    <w:rsid w:val="00B232C7"/>
    <w:rsid w:val="00B26F08"/>
    <w:rsid w:val="00B2711C"/>
    <w:rsid w:val="00B30BAD"/>
    <w:rsid w:val="00B30C03"/>
    <w:rsid w:val="00B3127D"/>
    <w:rsid w:val="00B330AD"/>
    <w:rsid w:val="00B331C7"/>
    <w:rsid w:val="00B33EE7"/>
    <w:rsid w:val="00B347B9"/>
    <w:rsid w:val="00B36EBE"/>
    <w:rsid w:val="00B4222E"/>
    <w:rsid w:val="00B434BF"/>
    <w:rsid w:val="00B451A7"/>
    <w:rsid w:val="00B47C68"/>
    <w:rsid w:val="00B50A18"/>
    <w:rsid w:val="00B51894"/>
    <w:rsid w:val="00B53687"/>
    <w:rsid w:val="00B53A34"/>
    <w:rsid w:val="00B53A77"/>
    <w:rsid w:val="00B53D59"/>
    <w:rsid w:val="00B543BC"/>
    <w:rsid w:val="00B662D9"/>
    <w:rsid w:val="00B67552"/>
    <w:rsid w:val="00B67895"/>
    <w:rsid w:val="00B71192"/>
    <w:rsid w:val="00B72744"/>
    <w:rsid w:val="00B748B0"/>
    <w:rsid w:val="00B750D9"/>
    <w:rsid w:val="00B75E99"/>
    <w:rsid w:val="00B76EFA"/>
    <w:rsid w:val="00B77391"/>
    <w:rsid w:val="00B77EF6"/>
    <w:rsid w:val="00B8124C"/>
    <w:rsid w:val="00B836EF"/>
    <w:rsid w:val="00B84928"/>
    <w:rsid w:val="00B84ACE"/>
    <w:rsid w:val="00B870F9"/>
    <w:rsid w:val="00B90F38"/>
    <w:rsid w:val="00B90FBB"/>
    <w:rsid w:val="00B913DC"/>
    <w:rsid w:val="00B925DA"/>
    <w:rsid w:val="00B92EFD"/>
    <w:rsid w:val="00B9388D"/>
    <w:rsid w:val="00B95D2A"/>
    <w:rsid w:val="00B97501"/>
    <w:rsid w:val="00B97C53"/>
    <w:rsid w:val="00BA1CE6"/>
    <w:rsid w:val="00BA23F8"/>
    <w:rsid w:val="00BA2504"/>
    <w:rsid w:val="00BA3D37"/>
    <w:rsid w:val="00BA51CF"/>
    <w:rsid w:val="00BA5C38"/>
    <w:rsid w:val="00BA6420"/>
    <w:rsid w:val="00BB1303"/>
    <w:rsid w:val="00BB1B74"/>
    <w:rsid w:val="00BB2E76"/>
    <w:rsid w:val="00BB3538"/>
    <w:rsid w:val="00BB3CAD"/>
    <w:rsid w:val="00BB4DB0"/>
    <w:rsid w:val="00BB64CA"/>
    <w:rsid w:val="00BB7C4D"/>
    <w:rsid w:val="00BB7C59"/>
    <w:rsid w:val="00BC15B9"/>
    <w:rsid w:val="00BC1CFB"/>
    <w:rsid w:val="00BC2876"/>
    <w:rsid w:val="00BC3235"/>
    <w:rsid w:val="00BC37B7"/>
    <w:rsid w:val="00BC4925"/>
    <w:rsid w:val="00BC4C73"/>
    <w:rsid w:val="00BC6F8A"/>
    <w:rsid w:val="00BC7767"/>
    <w:rsid w:val="00BC7D6E"/>
    <w:rsid w:val="00BC7DB2"/>
    <w:rsid w:val="00BD0EE4"/>
    <w:rsid w:val="00BD2CEF"/>
    <w:rsid w:val="00BD3183"/>
    <w:rsid w:val="00BD4DEF"/>
    <w:rsid w:val="00BD4E07"/>
    <w:rsid w:val="00BD67BC"/>
    <w:rsid w:val="00BD6944"/>
    <w:rsid w:val="00BE0F38"/>
    <w:rsid w:val="00BE2297"/>
    <w:rsid w:val="00BE2B81"/>
    <w:rsid w:val="00BE389C"/>
    <w:rsid w:val="00BE4409"/>
    <w:rsid w:val="00BE4B28"/>
    <w:rsid w:val="00BF0413"/>
    <w:rsid w:val="00BF0451"/>
    <w:rsid w:val="00BF07B4"/>
    <w:rsid w:val="00BF0EEA"/>
    <w:rsid w:val="00BF14EB"/>
    <w:rsid w:val="00BF214E"/>
    <w:rsid w:val="00BF2ED1"/>
    <w:rsid w:val="00BF4CA1"/>
    <w:rsid w:val="00BF649A"/>
    <w:rsid w:val="00BF6FAD"/>
    <w:rsid w:val="00C00707"/>
    <w:rsid w:val="00C02686"/>
    <w:rsid w:val="00C04349"/>
    <w:rsid w:val="00C045E5"/>
    <w:rsid w:val="00C047B3"/>
    <w:rsid w:val="00C04F7B"/>
    <w:rsid w:val="00C05FAB"/>
    <w:rsid w:val="00C10157"/>
    <w:rsid w:val="00C10610"/>
    <w:rsid w:val="00C122CB"/>
    <w:rsid w:val="00C13438"/>
    <w:rsid w:val="00C13B4F"/>
    <w:rsid w:val="00C1435D"/>
    <w:rsid w:val="00C16138"/>
    <w:rsid w:val="00C16264"/>
    <w:rsid w:val="00C16317"/>
    <w:rsid w:val="00C1736E"/>
    <w:rsid w:val="00C17657"/>
    <w:rsid w:val="00C17A08"/>
    <w:rsid w:val="00C21A7C"/>
    <w:rsid w:val="00C22373"/>
    <w:rsid w:val="00C22B66"/>
    <w:rsid w:val="00C23DA9"/>
    <w:rsid w:val="00C24406"/>
    <w:rsid w:val="00C25AA9"/>
    <w:rsid w:val="00C26EF6"/>
    <w:rsid w:val="00C3012B"/>
    <w:rsid w:val="00C30153"/>
    <w:rsid w:val="00C3070E"/>
    <w:rsid w:val="00C3148C"/>
    <w:rsid w:val="00C32A35"/>
    <w:rsid w:val="00C34BB2"/>
    <w:rsid w:val="00C36474"/>
    <w:rsid w:val="00C36DF7"/>
    <w:rsid w:val="00C400DD"/>
    <w:rsid w:val="00C41164"/>
    <w:rsid w:val="00C41249"/>
    <w:rsid w:val="00C41344"/>
    <w:rsid w:val="00C41901"/>
    <w:rsid w:val="00C4214B"/>
    <w:rsid w:val="00C430AB"/>
    <w:rsid w:val="00C43C2C"/>
    <w:rsid w:val="00C45C5B"/>
    <w:rsid w:val="00C4607C"/>
    <w:rsid w:val="00C466CB"/>
    <w:rsid w:val="00C47D54"/>
    <w:rsid w:val="00C50AA1"/>
    <w:rsid w:val="00C532A7"/>
    <w:rsid w:val="00C542E2"/>
    <w:rsid w:val="00C5475A"/>
    <w:rsid w:val="00C54E0D"/>
    <w:rsid w:val="00C55AD9"/>
    <w:rsid w:val="00C567D2"/>
    <w:rsid w:val="00C57137"/>
    <w:rsid w:val="00C60673"/>
    <w:rsid w:val="00C62394"/>
    <w:rsid w:val="00C64292"/>
    <w:rsid w:val="00C65FD7"/>
    <w:rsid w:val="00C66C11"/>
    <w:rsid w:val="00C73478"/>
    <w:rsid w:val="00C73778"/>
    <w:rsid w:val="00C73BCC"/>
    <w:rsid w:val="00C7552F"/>
    <w:rsid w:val="00C779C4"/>
    <w:rsid w:val="00C77B0A"/>
    <w:rsid w:val="00C77F19"/>
    <w:rsid w:val="00C80775"/>
    <w:rsid w:val="00C810F8"/>
    <w:rsid w:val="00C82C55"/>
    <w:rsid w:val="00C82CD1"/>
    <w:rsid w:val="00C8648E"/>
    <w:rsid w:val="00C87951"/>
    <w:rsid w:val="00C9120F"/>
    <w:rsid w:val="00C912EC"/>
    <w:rsid w:val="00C93FA0"/>
    <w:rsid w:val="00C96209"/>
    <w:rsid w:val="00C96A94"/>
    <w:rsid w:val="00C972DB"/>
    <w:rsid w:val="00CA0350"/>
    <w:rsid w:val="00CA1B2E"/>
    <w:rsid w:val="00CA4974"/>
    <w:rsid w:val="00CA4A7C"/>
    <w:rsid w:val="00CA4B6A"/>
    <w:rsid w:val="00CA5DBB"/>
    <w:rsid w:val="00CA5ECB"/>
    <w:rsid w:val="00CA6015"/>
    <w:rsid w:val="00CA6177"/>
    <w:rsid w:val="00CA65C6"/>
    <w:rsid w:val="00CA74EC"/>
    <w:rsid w:val="00CB0F76"/>
    <w:rsid w:val="00CB1849"/>
    <w:rsid w:val="00CB1E4D"/>
    <w:rsid w:val="00CB327F"/>
    <w:rsid w:val="00CB4E62"/>
    <w:rsid w:val="00CB4FDA"/>
    <w:rsid w:val="00CB759F"/>
    <w:rsid w:val="00CB795C"/>
    <w:rsid w:val="00CC08F0"/>
    <w:rsid w:val="00CC0931"/>
    <w:rsid w:val="00CC0DD5"/>
    <w:rsid w:val="00CC0E15"/>
    <w:rsid w:val="00CC0F93"/>
    <w:rsid w:val="00CC1640"/>
    <w:rsid w:val="00CC17A2"/>
    <w:rsid w:val="00CC3A98"/>
    <w:rsid w:val="00CC4226"/>
    <w:rsid w:val="00CC4475"/>
    <w:rsid w:val="00CD0725"/>
    <w:rsid w:val="00CD2AF0"/>
    <w:rsid w:val="00CD5E66"/>
    <w:rsid w:val="00CD7E8A"/>
    <w:rsid w:val="00CE01B6"/>
    <w:rsid w:val="00CE219A"/>
    <w:rsid w:val="00CE3906"/>
    <w:rsid w:val="00CE5D13"/>
    <w:rsid w:val="00CF2E16"/>
    <w:rsid w:val="00CF3023"/>
    <w:rsid w:val="00CF32FB"/>
    <w:rsid w:val="00CF365F"/>
    <w:rsid w:val="00CF42CC"/>
    <w:rsid w:val="00CF4947"/>
    <w:rsid w:val="00CF4957"/>
    <w:rsid w:val="00CF5158"/>
    <w:rsid w:val="00CF6089"/>
    <w:rsid w:val="00D007A4"/>
    <w:rsid w:val="00D01BEA"/>
    <w:rsid w:val="00D01C0A"/>
    <w:rsid w:val="00D048F4"/>
    <w:rsid w:val="00D05834"/>
    <w:rsid w:val="00D05B0B"/>
    <w:rsid w:val="00D07A39"/>
    <w:rsid w:val="00D11645"/>
    <w:rsid w:val="00D13048"/>
    <w:rsid w:val="00D13F75"/>
    <w:rsid w:val="00D1544F"/>
    <w:rsid w:val="00D163D4"/>
    <w:rsid w:val="00D209CC"/>
    <w:rsid w:val="00D21AD5"/>
    <w:rsid w:val="00D22DD1"/>
    <w:rsid w:val="00D234C6"/>
    <w:rsid w:val="00D23D08"/>
    <w:rsid w:val="00D266FA"/>
    <w:rsid w:val="00D27B6F"/>
    <w:rsid w:val="00D30087"/>
    <w:rsid w:val="00D305B7"/>
    <w:rsid w:val="00D30FCD"/>
    <w:rsid w:val="00D31A9E"/>
    <w:rsid w:val="00D32676"/>
    <w:rsid w:val="00D35030"/>
    <w:rsid w:val="00D3505F"/>
    <w:rsid w:val="00D3666C"/>
    <w:rsid w:val="00D36E9C"/>
    <w:rsid w:val="00D40992"/>
    <w:rsid w:val="00D4106B"/>
    <w:rsid w:val="00D42046"/>
    <w:rsid w:val="00D426FC"/>
    <w:rsid w:val="00D42788"/>
    <w:rsid w:val="00D4297E"/>
    <w:rsid w:val="00D439B5"/>
    <w:rsid w:val="00D44086"/>
    <w:rsid w:val="00D460ED"/>
    <w:rsid w:val="00D46F93"/>
    <w:rsid w:val="00D50AF4"/>
    <w:rsid w:val="00D5182A"/>
    <w:rsid w:val="00D52375"/>
    <w:rsid w:val="00D53635"/>
    <w:rsid w:val="00D55AB8"/>
    <w:rsid w:val="00D563F7"/>
    <w:rsid w:val="00D575AA"/>
    <w:rsid w:val="00D60C88"/>
    <w:rsid w:val="00D626F4"/>
    <w:rsid w:val="00D6276F"/>
    <w:rsid w:val="00D63109"/>
    <w:rsid w:val="00D634CA"/>
    <w:rsid w:val="00D635CA"/>
    <w:rsid w:val="00D63A53"/>
    <w:rsid w:val="00D67767"/>
    <w:rsid w:val="00D67880"/>
    <w:rsid w:val="00D67D18"/>
    <w:rsid w:val="00D700CA"/>
    <w:rsid w:val="00D730D2"/>
    <w:rsid w:val="00D733A8"/>
    <w:rsid w:val="00D743BC"/>
    <w:rsid w:val="00D75241"/>
    <w:rsid w:val="00D75ACF"/>
    <w:rsid w:val="00D77070"/>
    <w:rsid w:val="00D771AF"/>
    <w:rsid w:val="00D8265E"/>
    <w:rsid w:val="00D832AB"/>
    <w:rsid w:val="00D84946"/>
    <w:rsid w:val="00D85101"/>
    <w:rsid w:val="00D85278"/>
    <w:rsid w:val="00D86AF3"/>
    <w:rsid w:val="00D87F01"/>
    <w:rsid w:val="00D87F66"/>
    <w:rsid w:val="00D9019F"/>
    <w:rsid w:val="00D92DC2"/>
    <w:rsid w:val="00D9317F"/>
    <w:rsid w:val="00D947A4"/>
    <w:rsid w:val="00D94E94"/>
    <w:rsid w:val="00D962BA"/>
    <w:rsid w:val="00D965AC"/>
    <w:rsid w:val="00D96BD3"/>
    <w:rsid w:val="00D97877"/>
    <w:rsid w:val="00DA1080"/>
    <w:rsid w:val="00DA1FFF"/>
    <w:rsid w:val="00DA2525"/>
    <w:rsid w:val="00DA2F56"/>
    <w:rsid w:val="00DA3336"/>
    <w:rsid w:val="00DA3916"/>
    <w:rsid w:val="00DA3E22"/>
    <w:rsid w:val="00DA41C8"/>
    <w:rsid w:val="00DA41E9"/>
    <w:rsid w:val="00DA4BEF"/>
    <w:rsid w:val="00DA4CD7"/>
    <w:rsid w:val="00DA4D7B"/>
    <w:rsid w:val="00DA5BE2"/>
    <w:rsid w:val="00DA63D7"/>
    <w:rsid w:val="00DA6420"/>
    <w:rsid w:val="00DB0EA5"/>
    <w:rsid w:val="00DB2A43"/>
    <w:rsid w:val="00DB4B2A"/>
    <w:rsid w:val="00DB4D63"/>
    <w:rsid w:val="00DB5230"/>
    <w:rsid w:val="00DB548C"/>
    <w:rsid w:val="00DB5FFD"/>
    <w:rsid w:val="00DB68C1"/>
    <w:rsid w:val="00DC03CA"/>
    <w:rsid w:val="00DC056D"/>
    <w:rsid w:val="00DC0A67"/>
    <w:rsid w:val="00DC2910"/>
    <w:rsid w:val="00DC411C"/>
    <w:rsid w:val="00DC4A60"/>
    <w:rsid w:val="00DC5EA2"/>
    <w:rsid w:val="00DC655A"/>
    <w:rsid w:val="00DD1B7D"/>
    <w:rsid w:val="00DD2139"/>
    <w:rsid w:val="00DD22FA"/>
    <w:rsid w:val="00DD2684"/>
    <w:rsid w:val="00DD4203"/>
    <w:rsid w:val="00DD4903"/>
    <w:rsid w:val="00DD5083"/>
    <w:rsid w:val="00DD7EB7"/>
    <w:rsid w:val="00DE1DD6"/>
    <w:rsid w:val="00DE2491"/>
    <w:rsid w:val="00DE351D"/>
    <w:rsid w:val="00DE4147"/>
    <w:rsid w:val="00DE4A55"/>
    <w:rsid w:val="00DE4AD5"/>
    <w:rsid w:val="00DE618A"/>
    <w:rsid w:val="00DF16E5"/>
    <w:rsid w:val="00DF1AB5"/>
    <w:rsid w:val="00DF1D6C"/>
    <w:rsid w:val="00DF2A98"/>
    <w:rsid w:val="00DF3CEC"/>
    <w:rsid w:val="00DF3E41"/>
    <w:rsid w:val="00DF4F66"/>
    <w:rsid w:val="00DF51AE"/>
    <w:rsid w:val="00DF57D6"/>
    <w:rsid w:val="00DF612F"/>
    <w:rsid w:val="00DF6762"/>
    <w:rsid w:val="00DF6B0F"/>
    <w:rsid w:val="00E00D9F"/>
    <w:rsid w:val="00E014E6"/>
    <w:rsid w:val="00E01EC5"/>
    <w:rsid w:val="00E025B0"/>
    <w:rsid w:val="00E02EDF"/>
    <w:rsid w:val="00E05632"/>
    <w:rsid w:val="00E0774B"/>
    <w:rsid w:val="00E07DC8"/>
    <w:rsid w:val="00E10CA0"/>
    <w:rsid w:val="00E110FA"/>
    <w:rsid w:val="00E11DEE"/>
    <w:rsid w:val="00E12128"/>
    <w:rsid w:val="00E122C9"/>
    <w:rsid w:val="00E13636"/>
    <w:rsid w:val="00E148A1"/>
    <w:rsid w:val="00E15B64"/>
    <w:rsid w:val="00E15D6C"/>
    <w:rsid w:val="00E16B63"/>
    <w:rsid w:val="00E16D5D"/>
    <w:rsid w:val="00E17639"/>
    <w:rsid w:val="00E179FC"/>
    <w:rsid w:val="00E20982"/>
    <w:rsid w:val="00E211A8"/>
    <w:rsid w:val="00E21681"/>
    <w:rsid w:val="00E22021"/>
    <w:rsid w:val="00E22476"/>
    <w:rsid w:val="00E24A72"/>
    <w:rsid w:val="00E24B6D"/>
    <w:rsid w:val="00E2556E"/>
    <w:rsid w:val="00E2566B"/>
    <w:rsid w:val="00E2585F"/>
    <w:rsid w:val="00E25DE5"/>
    <w:rsid w:val="00E26DB1"/>
    <w:rsid w:val="00E279DB"/>
    <w:rsid w:val="00E3090F"/>
    <w:rsid w:val="00E31658"/>
    <w:rsid w:val="00E317A1"/>
    <w:rsid w:val="00E32A3A"/>
    <w:rsid w:val="00E337FC"/>
    <w:rsid w:val="00E33BEA"/>
    <w:rsid w:val="00E3462B"/>
    <w:rsid w:val="00E364E3"/>
    <w:rsid w:val="00E40762"/>
    <w:rsid w:val="00E40A83"/>
    <w:rsid w:val="00E42DD2"/>
    <w:rsid w:val="00E437E4"/>
    <w:rsid w:val="00E43D1D"/>
    <w:rsid w:val="00E44CB1"/>
    <w:rsid w:val="00E4602D"/>
    <w:rsid w:val="00E46643"/>
    <w:rsid w:val="00E50B2E"/>
    <w:rsid w:val="00E53EFF"/>
    <w:rsid w:val="00E547BD"/>
    <w:rsid w:val="00E54DB8"/>
    <w:rsid w:val="00E551D6"/>
    <w:rsid w:val="00E554B9"/>
    <w:rsid w:val="00E55945"/>
    <w:rsid w:val="00E56C4A"/>
    <w:rsid w:val="00E5745C"/>
    <w:rsid w:val="00E578BE"/>
    <w:rsid w:val="00E6076B"/>
    <w:rsid w:val="00E62436"/>
    <w:rsid w:val="00E62478"/>
    <w:rsid w:val="00E625AF"/>
    <w:rsid w:val="00E636EE"/>
    <w:rsid w:val="00E65351"/>
    <w:rsid w:val="00E666CE"/>
    <w:rsid w:val="00E66F34"/>
    <w:rsid w:val="00E67541"/>
    <w:rsid w:val="00E7198F"/>
    <w:rsid w:val="00E7224B"/>
    <w:rsid w:val="00E73488"/>
    <w:rsid w:val="00E73DF5"/>
    <w:rsid w:val="00E74555"/>
    <w:rsid w:val="00E746A0"/>
    <w:rsid w:val="00E75306"/>
    <w:rsid w:val="00E775C5"/>
    <w:rsid w:val="00E80585"/>
    <w:rsid w:val="00E81770"/>
    <w:rsid w:val="00E81E6A"/>
    <w:rsid w:val="00E82050"/>
    <w:rsid w:val="00E82643"/>
    <w:rsid w:val="00E83AB8"/>
    <w:rsid w:val="00E85061"/>
    <w:rsid w:val="00E850EC"/>
    <w:rsid w:val="00E85683"/>
    <w:rsid w:val="00E8601B"/>
    <w:rsid w:val="00E86C99"/>
    <w:rsid w:val="00E873AB"/>
    <w:rsid w:val="00E87EAF"/>
    <w:rsid w:val="00E9211A"/>
    <w:rsid w:val="00E94871"/>
    <w:rsid w:val="00E94C3A"/>
    <w:rsid w:val="00E96A93"/>
    <w:rsid w:val="00E96D86"/>
    <w:rsid w:val="00E97237"/>
    <w:rsid w:val="00E974EF"/>
    <w:rsid w:val="00E97698"/>
    <w:rsid w:val="00EA07A9"/>
    <w:rsid w:val="00EA1199"/>
    <w:rsid w:val="00EA1E55"/>
    <w:rsid w:val="00EA3711"/>
    <w:rsid w:val="00EA503E"/>
    <w:rsid w:val="00EA5122"/>
    <w:rsid w:val="00EA669F"/>
    <w:rsid w:val="00EA6EF7"/>
    <w:rsid w:val="00EA737E"/>
    <w:rsid w:val="00EA76F0"/>
    <w:rsid w:val="00EA7F7F"/>
    <w:rsid w:val="00EB1003"/>
    <w:rsid w:val="00EB1178"/>
    <w:rsid w:val="00EB2229"/>
    <w:rsid w:val="00EB25C8"/>
    <w:rsid w:val="00EB3CA8"/>
    <w:rsid w:val="00EB3E8A"/>
    <w:rsid w:val="00EB42FA"/>
    <w:rsid w:val="00EB43A3"/>
    <w:rsid w:val="00EB454D"/>
    <w:rsid w:val="00EC0CA6"/>
    <w:rsid w:val="00EC21D9"/>
    <w:rsid w:val="00EC2E60"/>
    <w:rsid w:val="00EC59E4"/>
    <w:rsid w:val="00EC5FBE"/>
    <w:rsid w:val="00EC7308"/>
    <w:rsid w:val="00ED20DE"/>
    <w:rsid w:val="00ED368B"/>
    <w:rsid w:val="00ED36FF"/>
    <w:rsid w:val="00ED66F3"/>
    <w:rsid w:val="00ED7532"/>
    <w:rsid w:val="00EE15DB"/>
    <w:rsid w:val="00EE34B5"/>
    <w:rsid w:val="00EE4622"/>
    <w:rsid w:val="00EE48CB"/>
    <w:rsid w:val="00EE48E4"/>
    <w:rsid w:val="00EE5911"/>
    <w:rsid w:val="00EE63C6"/>
    <w:rsid w:val="00EE6493"/>
    <w:rsid w:val="00EE6775"/>
    <w:rsid w:val="00EE6BE3"/>
    <w:rsid w:val="00EE7534"/>
    <w:rsid w:val="00EE7E33"/>
    <w:rsid w:val="00EF0316"/>
    <w:rsid w:val="00EF0415"/>
    <w:rsid w:val="00EF1273"/>
    <w:rsid w:val="00EF35C6"/>
    <w:rsid w:val="00EF36BB"/>
    <w:rsid w:val="00EF4C97"/>
    <w:rsid w:val="00EF5640"/>
    <w:rsid w:val="00EF5BFE"/>
    <w:rsid w:val="00EF6D32"/>
    <w:rsid w:val="00EF767C"/>
    <w:rsid w:val="00F00AC0"/>
    <w:rsid w:val="00F03ABA"/>
    <w:rsid w:val="00F045B7"/>
    <w:rsid w:val="00F04FD7"/>
    <w:rsid w:val="00F0519B"/>
    <w:rsid w:val="00F063BD"/>
    <w:rsid w:val="00F06970"/>
    <w:rsid w:val="00F06E88"/>
    <w:rsid w:val="00F07B1B"/>
    <w:rsid w:val="00F07BE2"/>
    <w:rsid w:val="00F10394"/>
    <w:rsid w:val="00F10C7C"/>
    <w:rsid w:val="00F11EEC"/>
    <w:rsid w:val="00F11EF4"/>
    <w:rsid w:val="00F12E3A"/>
    <w:rsid w:val="00F158C5"/>
    <w:rsid w:val="00F15CEC"/>
    <w:rsid w:val="00F2129C"/>
    <w:rsid w:val="00F216DC"/>
    <w:rsid w:val="00F232DF"/>
    <w:rsid w:val="00F23435"/>
    <w:rsid w:val="00F2390D"/>
    <w:rsid w:val="00F23A8E"/>
    <w:rsid w:val="00F26F16"/>
    <w:rsid w:val="00F2797F"/>
    <w:rsid w:val="00F27DA1"/>
    <w:rsid w:val="00F31906"/>
    <w:rsid w:val="00F31EC8"/>
    <w:rsid w:val="00F321C0"/>
    <w:rsid w:val="00F32333"/>
    <w:rsid w:val="00F36628"/>
    <w:rsid w:val="00F376DE"/>
    <w:rsid w:val="00F41327"/>
    <w:rsid w:val="00F41E2A"/>
    <w:rsid w:val="00F4253A"/>
    <w:rsid w:val="00F430EC"/>
    <w:rsid w:val="00F44668"/>
    <w:rsid w:val="00F44BAF"/>
    <w:rsid w:val="00F44BB8"/>
    <w:rsid w:val="00F46894"/>
    <w:rsid w:val="00F46AA8"/>
    <w:rsid w:val="00F4742D"/>
    <w:rsid w:val="00F51DA6"/>
    <w:rsid w:val="00F53990"/>
    <w:rsid w:val="00F53AEC"/>
    <w:rsid w:val="00F54799"/>
    <w:rsid w:val="00F565FD"/>
    <w:rsid w:val="00F56FB8"/>
    <w:rsid w:val="00F5723C"/>
    <w:rsid w:val="00F60484"/>
    <w:rsid w:val="00F605CA"/>
    <w:rsid w:val="00F6089D"/>
    <w:rsid w:val="00F62EC6"/>
    <w:rsid w:val="00F672AF"/>
    <w:rsid w:val="00F67668"/>
    <w:rsid w:val="00F70AE3"/>
    <w:rsid w:val="00F72BD5"/>
    <w:rsid w:val="00F7412C"/>
    <w:rsid w:val="00F745FD"/>
    <w:rsid w:val="00F75F6B"/>
    <w:rsid w:val="00F77AC8"/>
    <w:rsid w:val="00F81519"/>
    <w:rsid w:val="00F8236D"/>
    <w:rsid w:val="00F82532"/>
    <w:rsid w:val="00F82C7F"/>
    <w:rsid w:val="00F83314"/>
    <w:rsid w:val="00F8616F"/>
    <w:rsid w:val="00F904A9"/>
    <w:rsid w:val="00F90603"/>
    <w:rsid w:val="00F90A76"/>
    <w:rsid w:val="00F927EA"/>
    <w:rsid w:val="00F93097"/>
    <w:rsid w:val="00F930E5"/>
    <w:rsid w:val="00F938B3"/>
    <w:rsid w:val="00F94881"/>
    <w:rsid w:val="00F969D3"/>
    <w:rsid w:val="00F969FA"/>
    <w:rsid w:val="00F97CB1"/>
    <w:rsid w:val="00FA11CC"/>
    <w:rsid w:val="00FA36C2"/>
    <w:rsid w:val="00FA392F"/>
    <w:rsid w:val="00FA3BB1"/>
    <w:rsid w:val="00FA49CF"/>
    <w:rsid w:val="00FA60EA"/>
    <w:rsid w:val="00FA67C0"/>
    <w:rsid w:val="00FA7669"/>
    <w:rsid w:val="00FA7902"/>
    <w:rsid w:val="00FB22C9"/>
    <w:rsid w:val="00FB5E0C"/>
    <w:rsid w:val="00FC01D2"/>
    <w:rsid w:val="00FC10ED"/>
    <w:rsid w:val="00FC222D"/>
    <w:rsid w:val="00FC553B"/>
    <w:rsid w:val="00FC6261"/>
    <w:rsid w:val="00FC6B2C"/>
    <w:rsid w:val="00FC6B78"/>
    <w:rsid w:val="00FC6EB5"/>
    <w:rsid w:val="00FC75D0"/>
    <w:rsid w:val="00FC765D"/>
    <w:rsid w:val="00FD0376"/>
    <w:rsid w:val="00FD0694"/>
    <w:rsid w:val="00FD19CA"/>
    <w:rsid w:val="00FD4D02"/>
    <w:rsid w:val="00FD4FC8"/>
    <w:rsid w:val="00FD59E8"/>
    <w:rsid w:val="00FD679A"/>
    <w:rsid w:val="00FD67F9"/>
    <w:rsid w:val="00FE0260"/>
    <w:rsid w:val="00FE12D4"/>
    <w:rsid w:val="00FE1C4F"/>
    <w:rsid w:val="00FE25AC"/>
    <w:rsid w:val="00FE3089"/>
    <w:rsid w:val="00FE376A"/>
    <w:rsid w:val="00FE46B5"/>
    <w:rsid w:val="00FE491A"/>
    <w:rsid w:val="00FE6B26"/>
    <w:rsid w:val="00FE709C"/>
    <w:rsid w:val="00FE7B2E"/>
    <w:rsid w:val="00FF1066"/>
    <w:rsid w:val="00FF1D7A"/>
    <w:rsid w:val="00FF2E48"/>
    <w:rsid w:val="00FF30A0"/>
    <w:rsid w:val="00FF3E8F"/>
    <w:rsid w:val="00FF6BB5"/>
    <w:rsid w:val="00FF720A"/>
    <w:rsid w:val="00FF7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F9D7A"/>
  <w15:chartTrackingRefBased/>
  <w15:docId w15:val="{FE10F7D3-4EF1-4B18-A466-19EE1358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FA"/>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E,E FNZ"/>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4"/>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4"/>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lang w:val="x-none" w:eastAsia="x-none"/>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b/>
      <w:sz w:val="24"/>
      <w:szCs w:val="24"/>
      <w:lang w:val="x-none" w:eastAsia="x-none"/>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Char"/>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5"/>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paragraph" w:styleId="DocumentMap">
    <w:name w:val="Document Map"/>
    <w:basedOn w:val="Normal"/>
    <w:link w:val="DocumentMapChar"/>
    <w:uiPriority w:val="99"/>
    <w:semiHidden/>
    <w:unhideWhenUsed/>
    <w:rsid w:val="00031522"/>
    <w:rPr>
      <w:rFonts w:eastAsia="Calibri"/>
      <w:lang w:val="x-none"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 w:type="paragraph" w:customStyle="1" w:styleId="Default">
    <w:name w:val="Default"/>
    <w:rsid w:val="00C34BB2"/>
    <w:pPr>
      <w:autoSpaceDE w:val="0"/>
      <w:autoSpaceDN w:val="0"/>
      <w:adjustRightInd w:val="0"/>
    </w:pPr>
    <w:rPr>
      <w:rFonts w:ascii="Times New Roman" w:hAnsi="Times New Roman"/>
      <w:color w:val="000000"/>
      <w:sz w:val="24"/>
      <w:szCs w:val="24"/>
      <w:lang w:eastAsia="en-US"/>
    </w:rPr>
  </w:style>
  <w:style w:type="character" w:customStyle="1" w:styleId="VPBodyChar">
    <w:name w:val="VP Body Char"/>
    <w:link w:val="VPBody"/>
    <w:locked/>
    <w:rsid w:val="00622034"/>
    <w:rPr>
      <w:rFonts w:ascii="Times New Roman" w:hAnsi="Times New Roman"/>
      <w:sz w:val="24"/>
      <w:szCs w:val="22"/>
      <w:lang w:val="lv-LV"/>
    </w:rPr>
  </w:style>
  <w:style w:type="paragraph" w:customStyle="1" w:styleId="VPNumbered">
    <w:name w:val="VP Numbered"/>
    <w:basedOn w:val="VPBody"/>
    <w:qFormat/>
    <w:rsid w:val="00622034"/>
    <w:pPr>
      <w:numPr>
        <w:numId w:val="9"/>
      </w:numPr>
      <w:tabs>
        <w:tab w:val="left" w:pos="709"/>
      </w:tabs>
      <w:spacing w:before="80" w:after="80" w:line="240" w:lineRule="auto"/>
      <w:jc w:val="both"/>
    </w:pPr>
    <w:rPr>
      <w:bCs/>
      <w:szCs w:val="24"/>
    </w:rPr>
  </w:style>
  <w:style w:type="paragraph" w:customStyle="1" w:styleId="VPBullet">
    <w:name w:val="VP Bullet"/>
    <w:basedOn w:val="VPBody"/>
    <w:rsid w:val="00613B64"/>
    <w:pPr>
      <w:numPr>
        <w:numId w:val="10"/>
      </w:numPr>
      <w:tabs>
        <w:tab w:val="left" w:pos="0"/>
      </w:tabs>
      <w:spacing w:before="80" w:after="80" w:line="240" w:lineRule="auto"/>
      <w:jc w:val="both"/>
    </w:pPr>
    <w:rPr>
      <w:bCs/>
    </w:rPr>
  </w:style>
  <w:style w:type="paragraph" w:styleId="TOC6">
    <w:name w:val="toc 6"/>
    <w:basedOn w:val="Normal"/>
    <w:next w:val="Normal"/>
    <w:autoRedefine/>
    <w:uiPriority w:val="39"/>
    <w:unhideWhenUsed/>
    <w:rsid w:val="00613B64"/>
    <w:pPr>
      <w:spacing w:after="100" w:line="259" w:lineRule="auto"/>
      <w:ind w:left="1100"/>
    </w:pPr>
    <w:rPr>
      <w:rFonts w:ascii="Calibri" w:hAnsi="Calibri"/>
      <w:sz w:val="22"/>
      <w:szCs w:val="22"/>
      <w:lang w:val="en-US" w:eastAsia="en-US"/>
    </w:rPr>
  </w:style>
  <w:style w:type="paragraph" w:customStyle="1" w:styleId="EYNormal">
    <w:name w:val="EY Normal"/>
    <w:link w:val="EYNormalChar"/>
    <w:qFormat/>
    <w:rsid w:val="003A13BA"/>
    <w:pPr>
      <w:jc w:val="both"/>
    </w:pPr>
    <w:rPr>
      <w:rFonts w:ascii="Arial" w:eastAsia="Times New Roman" w:hAnsi="Arial" w:cs="Arial"/>
      <w:kern w:val="12"/>
      <w:szCs w:val="24"/>
      <w:lang w:eastAsia="en-US"/>
    </w:rPr>
  </w:style>
  <w:style w:type="character" w:customStyle="1" w:styleId="EYNormalChar">
    <w:name w:val="EY Normal Char"/>
    <w:link w:val="EYNormal"/>
    <w:rsid w:val="003A13BA"/>
    <w:rPr>
      <w:rFonts w:ascii="Arial" w:eastAsia="Times New Roman" w:hAnsi="Arial" w:cs="Arial"/>
      <w:kern w:val="1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65736067">
      <w:bodyDiv w:val="1"/>
      <w:marLeft w:val="0"/>
      <w:marRight w:val="0"/>
      <w:marTop w:val="0"/>
      <w:marBottom w:val="0"/>
      <w:divBdr>
        <w:top w:val="none" w:sz="0" w:space="0" w:color="auto"/>
        <w:left w:val="none" w:sz="0" w:space="0" w:color="auto"/>
        <w:bottom w:val="none" w:sz="0" w:space="0" w:color="auto"/>
        <w:right w:val="none" w:sz="0" w:space="0" w:color="auto"/>
      </w:divBdr>
    </w:div>
    <w:div w:id="89082435">
      <w:bodyDiv w:val="1"/>
      <w:marLeft w:val="0"/>
      <w:marRight w:val="0"/>
      <w:marTop w:val="0"/>
      <w:marBottom w:val="0"/>
      <w:divBdr>
        <w:top w:val="none" w:sz="0" w:space="0" w:color="auto"/>
        <w:left w:val="none" w:sz="0" w:space="0" w:color="auto"/>
        <w:bottom w:val="none" w:sz="0" w:space="0" w:color="auto"/>
        <w:right w:val="none" w:sz="0" w:space="0" w:color="auto"/>
      </w:divBdr>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179008499">
      <w:bodyDiv w:val="1"/>
      <w:marLeft w:val="0"/>
      <w:marRight w:val="0"/>
      <w:marTop w:val="0"/>
      <w:marBottom w:val="0"/>
      <w:divBdr>
        <w:top w:val="none" w:sz="0" w:space="0" w:color="auto"/>
        <w:left w:val="none" w:sz="0" w:space="0" w:color="auto"/>
        <w:bottom w:val="none" w:sz="0" w:space="0" w:color="auto"/>
        <w:right w:val="none" w:sz="0" w:space="0" w:color="auto"/>
      </w:divBdr>
    </w:div>
    <w:div w:id="328022282">
      <w:bodyDiv w:val="1"/>
      <w:marLeft w:val="0"/>
      <w:marRight w:val="0"/>
      <w:marTop w:val="0"/>
      <w:marBottom w:val="0"/>
      <w:divBdr>
        <w:top w:val="none" w:sz="0" w:space="0" w:color="auto"/>
        <w:left w:val="none" w:sz="0" w:space="0" w:color="auto"/>
        <w:bottom w:val="none" w:sz="0" w:space="0" w:color="auto"/>
        <w:right w:val="none" w:sz="0" w:space="0" w:color="auto"/>
      </w:divBdr>
      <w:divsChild>
        <w:div w:id="302121304">
          <w:marLeft w:val="0"/>
          <w:marRight w:val="0"/>
          <w:marTop w:val="0"/>
          <w:marBottom w:val="0"/>
          <w:divBdr>
            <w:top w:val="none" w:sz="0" w:space="0" w:color="auto"/>
            <w:left w:val="none" w:sz="0" w:space="0" w:color="auto"/>
            <w:bottom w:val="none" w:sz="0" w:space="0" w:color="auto"/>
            <w:right w:val="none" w:sz="0" w:space="0" w:color="auto"/>
          </w:divBdr>
          <w:divsChild>
            <w:div w:id="904416292">
              <w:marLeft w:val="0"/>
              <w:marRight w:val="0"/>
              <w:marTop w:val="0"/>
              <w:marBottom w:val="0"/>
              <w:divBdr>
                <w:top w:val="none" w:sz="0" w:space="0" w:color="auto"/>
                <w:left w:val="none" w:sz="0" w:space="0" w:color="auto"/>
                <w:bottom w:val="none" w:sz="0" w:space="0" w:color="auto"/>
                <w:right w:val="none" w:sz="0" w:space="0" w:color="auto"/>
              </w:divBdr>
              <w:divsChild>
                <w:div w:id="1870871184">
                  <w:marLeft w:val="0"/>
                  <w:marRight w:val="0"/>
                  <w:marTop w:val="0"/>
                  <w:marBottom w:val="0"/>
                  <w:divBdr>
                    <w:top w:val="none" w:sz="0" w:space="0" w:color="auto"/>
                    <w:left w:val="none" w:sz="0" w:space="0" w:color="auto"/>
                    <w:bottom w:val="none" w:sz="0" w:space="0" w:color="auto"/>
                    <w:right w:val="none" w:sz="0" w:space="0" w:color="auto"/>
                  </w:divBdr>
                  <w:divsChild>
                    <w:div w:id="971131668">
                      <w:marLeft w:val="0"/>
                      <w:marRight w:val="0"/>
                      <w:marTop w:val="0"/>
                      <w:marBottom w:val="0"/>
                      <w:divBdr>
                        <w:top w:val="none" w:sz="0" w:space="0" w:color="auto"/>
                        <w:left w:val="none" w:sz="0" w:space="0" w:color="auto"/>
                        <w:bottom w:val="none" w:sz="0" w:space="0" w:color="auto"/>
                        <w:right w:val="none" w:sz="0" w:space="0" w:color="auto"/>
                      </w:divBdr>
                      <w:divsChild>
                        <w:div w:id="1171724610">
                          <w:marLeft w:val="150"/>
                          <w:marRight w:val="0"/>
                          <w:marTop w:val="0"/>
                          <w:marBottom w:val="0"/>
                          <w:divBdr>
                            <w:top w:val="none" w:sz="0" w:space="0" w:color="auto"/>
                            <w:left w:val="none" w:sz="0" w:space="0" w:color="auto"/>
                            <w:bottom w:val="none" w:sz="0" w:space="0" w:color="auto"/>
                            <w:right w:val="none" w:sz="0" w:space="0" w:color="auto"/>
                          </w:divBdr>
                          <w:divsChild>
                            <w:div w:id="1402100360">
                              <w:marLeft w:val="0"/>
                              <w:marRight w:val="0"/>
                              <w:marTop w:val="0"/>
                              <w:marBottom w:val="0"/>
                              <w:divBdr>
                                <w:top w:val="none" w:sz="0" w:space="0" w:color="auto"/>
                                <w:left w:val="none" w:sz="0" w:space="0" w:color="auto"/>
                                <w:bottom w:val="none" w:sz="0" w:space="0" w:color="auto"/>
                                <w:right w:val="none" w:sz="0" w:space="0" w:color="auto"/>
                              </w:divBdr>
                              <w:divsChild>
                                <w:div w:id="88620605">
                                  <w:marLeft w:val="0"/>
                                  <w:marRight w:val="0"/>
                                  <w:marTop w:val="0"/>
                                  <w:marBottom w:val="0"/>
                                  <w:divBdr>
                                    <w:top w:val="none" w:sz="0" w:space="0" w:color="auto"/>
                                    <w:left w:val="none" w:sz="0" w:space="0" w:color="auto"/>
                                    <w:bottom w:val="none" w:sz="0" w:space="0" w:color="auto"/>
                                    <w:right w:val="none" w:sz="0" w:space="0" w:color="auto"/>
                                  </w:divBdr>
                                  <w:divsChild>
                                    <w:div w:id="1897281940">
                                      <w:marLeft w:val="0"/>
                                      <w:marRight w:val="0"/>
                                      <w:marTop w:val="0"/>
                                      <w:marBottom w:val="0"/>
                                      <w:divBdr>
                                        <w:top w:val="none" w:sz="0" w:space="0" w:color="auto"/>
                                        <w:left w:val="none" w:sz="0" w:space="0" w:color="auto"/>
                                        <w:bottom w:val="none" w:sz="0" w:space="0" w:color="auto"/>
                                        <w:right w:val="none" w:sz="0" w:space="0" w:color="auto"/>
                                      </w:divBdr>
                                      <w:divsChild>
                                        <w:div w:id="538708265">
                                          <w:marLeft w:val="0"/>
                                          <w:marRight w:val="0"/>
                                          <w:marTop w:val="0"/>
                                          <w:marBottom w:val="0"/>
                                          <w:divBdr>
                                            <w:top w:val="none" w:sz="0" w:space="0" w:color="auto"/>
                                            <w:left w:val="none" w:sz="0" w:space="0" w:color="auto"/>
                                            <w:bottom w:val="none" w:sz="0" w:space="0" w:color="auto"/>
                                            <w:right w:val="none" w:sz="0" w:space="0" w:color="auto"/>
                                          </w:divBdr>
                                          <w:divsChild>
                                            <w:div w:id="1122067434">
                                              <w:marLeft w:val="0"/>
                                              <w:marRight w:val="270"/>
                                              <w:marTop w:val="0"/>
                                              <w:marBottom w:val="0"/>
                                              <w:divBdr>
                                                <w:top w:val="none" w:sz="0" w:space="0" w:color="auto"/>
                                                <w:left w:val="none" w:sz="0" w:space="0" w:color="auto"/>
                                                <w:bottom w:val="none" w:sz="0" w:space="0" w:color="auto"/>
                                                <w:right w:val="none" w:sz="0" w:space="0" w:color="auto"/>
                                              </w:divBdr>
                                              <w:divsChild>
                                                <w:div w:id="243342764">
                                                  <w:marLeft w:val="0"/>
                                                  <w:marRight w:val="0"/>
                                                  <w:marTop w:val="0"/>
                                                  <w:marBottom w:val="0"/>
                                                  <w:divBdr>
                                                    <w:top w:val="none" w:sz="0" w:space="0" w:color="auto"/>
                                                    <w:left w:val="none" w:sz="0" w:space="0" w:color="auto"/>
                                                    <w:bottom w:val="none" w:sz="0" w:space="0" w:color="auto"/>
                                                    <w:right w:val="none" w:sz="0" w:space="0" w:color="auto"/>
                                                  </w:divBdr>
                                                </w:div>
                                                <w:div w:id="518080669">
                                                  <w:marLeft w:val="0"/>
                                                  <w:marRight w:val="0"/>
                                                  <w:marTop w:val="0"/>
                                                  <w:marBottom w:val="0"/>
                                                  <w:divBdr>
                                                    <w:top w:val="none" w:sz="0" w:space="0" w:color="auto"/>
                                                    <w:left w:val="none" w:sz="0" w:space="0" w:color="auto"/>
                                                    <w:bottom w:val="none" w:sz="0" w:space="0" w:color="auto"/>
                                                    <w:right w:val="none" w:sz="0" w:space="0" w:color="auto"/>
                                                  </w:divBdr>
                                                </w:div>
                                                <w:div w:id="607466581">
                                                  <w:marLeft w:val="0"/>
                                                  <w:marRight w:val="0"/>
                                                  <w:marTop w:val="0"/>
                                                  <w:marBottom w:val="0"/>
                                                  <w:divBdr>
                                                    <w:top w:val="none" w:sz="0" w:space="0" w:color="auto"/>
                                                    <w:left w:val="none" w:sz="0" w:space="0" w:color="auto"/>
                                                    <w:bottom w:val="none" w:sz="0" w:space="0" w:color="auto"/>
                                                    <w:right w:val="none" w:sz="0" w:space="0" w:color="auto"/>
                                                  </w:divBdr>
                                                </w:div>
                                                <w:div w:id="874266884">
                                                  <w:marLeft w:val="0"/>
                                                  <w:marRight w:val="0"/>
                                                  <w:marTop w:val="0"/>
                                                  <w:marBottom w:val="0"/>
                                                  <w:divBdr>
                                                    <w:top w:val="none" w:sz="0" w:space="0" w:color="auto"/>
                                                    <w:left w:val="none" w:sz="0" w:space="0" w:color="auto"/>
                                                    <w:bottom w:val="none" w:sz="0" w:space="0" w:color="auto"/>
                                                    <w:right w:val="none" w:sz="0" w:space="0" w:color="auto"/>
                                                  </w:divBdr>
                                                </w:div>
                                                <w:div w:id="1428430712">
                                                  <w:marLeft w:val="0"/>
                                                  <w:marRight w:val="0"/>
                                                  <w:marTop w:val="0"/>
                                                  <w:marBottom w:val="0"/>
                                                  <w:divBdr>
                                                    <w:top w:val="none" w:sz="0" w:space="0" w:color="auto"/>
                                                    <w:left w:val="none" w:sz="0" w:space="0" w:color="auto"/>
                                                    <w:bottom w:val="none" w:sz="0" w:space="0" w:color="auto"/>
                                                    <w:right w:val="none" w:sz="0" w:space="0" w:color="auto"/>
                                                  </w:divBdr>
                                                </w:div>
                                                <w:div w:id="1560822334">
                                                  <w:marLeft w:val="0"/>
                                                  <w:marRight w:val="0"/>
                                                  <w:marTop w:val="0"/>
                                                  <w:marBottom w:val="0"/>
                                                  <w:divBdr>
                                                    <w:top w:val="none" w:sz="0" w:space="0" w:color="auto"/>
                                                    <w:left w:val="none" w:sz="0" w:space="0" w:color="auto"/>
                                                    <w:bottom w:val="none" w:sz="0" w:space="0" w:color="auto"/>
                                                    <w:right w:val="none" w:sz="0" w:space="0" w:color="auto"/>
                                                  </w:divBdr>
                                                </w:div>
                                                <w:div w:id="1660183960">
                                                  <w:marLeft w:val="0"/>
                                                  <w:marRight w:val="0"/>
                                                  <w:marTop w:val="0"/>
                                                  <w:marBottom w:val="0"/>
                                                  <w:divBdr>
                                                    <w:top w:val="none" w:sz="0" w:space="0" w:color="auto"/>
                                                    <w:left w:val="none" w:sz="0" w:space="0" w:color="auto"/>
                                                    <w:bottom w:val="none" w:sz="0" w:space="0" w:color="auto"/>
                                                    <w:right w:val="none" w:sz="0" w:space="0" w:color="auto"/>
                                                  </w:divBdr>
                                                </w:div>
                                                <w:div w:id="18014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51496533">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22147830">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24355">
      <w:bodyDiv w:val="1"/>
      <w:marLeft w:val="0"/>
      <w:marRight w:val="0"/>
      <w:marTop w:val="0"/>
      <w:marBottom w:val="0"/>
      <w:divBdr>
        <w:top w:val="none" w:sz="0" w:space="0" w:color="auto"/>
        <w:left w:val="none" w:sz="0" w:space="0" w:color="auto"/>
        <w:bottom w:val="none" w:sz="0" w:space="0" w:color="auto"/>
        <w:right w:val="none" w:sz="0" w:space="0" w:color="auto"/>
      </w:divBdr>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19050414">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545876280">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686060355">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772287177">
      <w:bodyDiv w:val="1"/>
      <w:marLeft w:val="0"/>
      <w:marRight w:val="0"/>
      <w:marTop w:val="0"/>
      <w:marBottom w:val="0"/>
      <w:divBdr>
        <w:top w:val="none" w:sz="0" w:space="0" w:color="auto"/>
        <w:left w:val="none" w:sz="0" w:space="0" w:color="auto"/>
        <w:bottom w:val="none" w:sz="0" w:space="0" w:color="auto"/>
        <w:right w:val="none" w:sz="0" w:space="0" w:color="auto"/>
      </w:divBdr>
    </w:div>
    <w:div w:id="789279276">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1865307">
      <w:bodyDiv w:val="1"/>
      <w:marLeft w:val="0"/>
      <w:marRight w:val="0"/>
      <w:marTop w:val="0"/>
      <w:marBottom w:val="0"/>
      <w:divBdr>
        <w:top w:val="none" w:sz="0" w:space="0" w:color="auto"/>
        <w:left w:val="none" w:sz="0" w:space="0" w:color="auto"/>
        <w:bottom w:val="none" w:sz="0" w:space="0" w:color="auto"/>
        <w:right w:val="none" w:sz="0" w:space="0" w:color="auto"/>
      </w:divBdr>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32220349">
      <w:bodyDiv w:val="1"/>
      <w:marLeft w:val="0"/>
      <w:marRight w:val="0"/>
      <w:marTop w:val="0"/>
      <w:marBottom w:val="0"/>
      <w:divBdr>
        <w:top w:val="none" w:sz="0" w:space="0" w:color="auto"/>
        <w:left w:val="none" w:sz="0" w:space="0" w:color="auto"/>
        <w:bottom w:val="none" w:sz="0" w:space="0" w:color="auto"/>
        <w:right w:val="none" w:sz="0" w:space="0" w:color="auto"/>
      </w:divBdr>
    </w:div>
    <w:div w:id="1038580438">
      <w:bodyDiv w:val="1"/>
      <w:marLeft w:val="0"/>
      <w:marRight w:val="0"/>
      <w:marTop w:val="0"/>
      <w:marBottom w:val="0"/>
      <w:divBdr>
        <w:top w:val="none" w:sz="0" w:space="0" w:color="auto"/>
        <w:left w:val="none" w:sz="0" w:space="0" w:color="auto"/>
        <w:bottom w:val="none" w:sz="0" w:space="0" w:color="auto"/>
        <w:right w:val="none" w:sz="0" w:space="0" w:color="auto"/>
      </w:divBdr>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074278029">
      <w:bodyDiv w:val="1"/>
      <w:marLeft w:val="0"/>
      <w:marRight w:val="0"/>
      <w:marTop w:val="0"/>
      <w:marBottom w:val="0"/>
      <w:divBdr>
        <w:top w:val="none" w:sz="0" w:space="0" w:color="auto"/>
        <w:left w:val="none" w:sz="0" w:space="0" w:color="auto"/>
        <w:bottom w:val="none" w:sz="0" w:space="0" w:color="auto"/>
        <w:right w:val="none" w:sz="0" w:space="0" w:color="auto"/>
      </w:divBdr>
      <w:divsChild>
        <w:div w:id="56981020">
          <w:marLeft w:val="0"/>
          <w:marRight w:val="0"/>
          <w:marTop w:val="0"/>
          <w:marBottom w:val="0"/>
          <w:divBdr>
            <w:top w:val="none" w:sz="0" w:space="0" w:color="auto"/>
            <w:left w:val="none" w:sz="0" w:space="0" w:color="auto"/>
            <w:bottom w:val="none" w:sz="0" w:space="0" w:color="auto"/>
            <w:right w:val="none" w:sz="0" w:space="0" w:color="auto"/>
          </w:divBdr>
          <w:divsChild>
            <w:div w:id="1407724630">
              <w:marLeft w:val="0"/>
              <w:marRight w:val="0"/>
              <w:marTop w:val="0"/>
              <w:marBottom w:val="0"/>
              <w:divBdr>
                <w:top w:val="none" w:sz="0" w:space="0" w:color="auto"/>
                <w:left w:val="none" w:sz="0" w:space="0" w:color="auto"/>
                <w:bottom w:val="none" w:sz="0" w:space="0" w:color="auto"/>
                <w:right w:val="none" w:sz="0" w:space="0" w:color="auto"/>
              </w:divBdr>
              <w:divsChild>
                <w:div w:id="1711343558">
                  <w:marLeft w:val="0"/>
                  <w:marRight w:val="0"/>
                  <w:marTop w:val="0"/>
                  <w:marBottom w:val="0"/>
                  <w:divBdr>
                    <w:top w:val="none" w:sz="0" w:space="0" w:color="auto"/>
                    <w:left w:val="none" w:sz="0" w:space="0" w:color="auto"/>
                    <w:bottom w:val="none" w:sz="0" w:space="0" w:color="auto"/>
                    <w:right w:val="none" w:sz="0" w:space="0" w:color="auto"/>
                  </w:divBdr>
                  <w:divsChild>
                    <w:div w:id="2070227903">
                      <w:marLeft w:val="0"/>
                      <w:marRight w:val="0"/>
                      <w:marTop w:val="0"/>
                      <w:marBottom w:val="0"/>
                      <w:divBdr>
                        <w:top w:val="none" w:sz="0" w:space="0" w:color="auto"/>
                        <w:left w:val="none" w:sz="0" w:space="0" w:color="auto"/>
                        <w:bottom w:val="none" w:sz="0" w:space="0" w:color="auto"/>
                        <w:right w:val="none" w:sz="0" w:space="0" w:color="auto"/>
                      </w:divBdr>
                      <w:divsChild>
                        <w:div w:id="2047750230">
                          <w:marLeft w:val="0"/>
                          <w:marRight w:val="0"/>
                          <w:marTop w:val="0"/>
                          <w:marBottom w:val="0"/>
                          <w:divBdr>
                            <w:top w:val="none" w:sz="0" w:space="0" w:color="auto"/>
                            <w:left w:val="none" w:sz="0" w:space="0" w:color="auto"/>
                            <w:bottom w:val="none" w:sz="0" w:space="0" w:color="auto"/>
                            <w:right w:val="none" w:sz="0" w:space="0" w:color="auto"/>
                          </w:divBdr>
                          <w:divsChild>
                            <w:div w:id="173238180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793419">
      <w:bodyDiv w:val="1"/>
      <w:marLeft w:val="0"/>
      <w:marRight w:val="0"/>
      <w:marTop w:val="0"/>
      <w:marBottom w:val="0"/>
      <w:divBdr>
        <w:top w:val="none" w:sz="0" w:space="0" w:color="auto"/>
        <w:left w:val="none" w:sz="0" w:space="0" w:color="auto"/>
        <w:bottom w:val="none" w:sz="0" w:space="0" w:color="auto"/>
        <w:right w:val="none" w:sz="0" w:space="0" w:color="auto"/>
      </w:divBdr>
    </w:div>
    <w:div w:id="1121727341">
      <w:bodyDiv w:val="1"/>
      <w:marLeft w:val="0"/>
      <w:marRight w:val="0"/>
      <w:marTop w:val="0"/>
      <w:marBottom w:val="0"/>
      <w:divBdr>
        <w:top w:val="none" w:sz="0" w:space="0" w:color="auto"/>
        <w:left w:val="none" w:sz="0" w:space="0" w:color="auto"/>
        <w:bottom w:val="none" w:sz="0" w:space="0" w:color="auto"/>
        <w:right w:val="none" w:sz="0" w:space="0" w:color="auto"/>
      </w:divBdr>
    </w:div>
    <w:div w:id="1127940433">
      <w:bodyDiv w:val="1"/>
      <w:marLeft w:val="0"/>
      <w:marRight w:val="0"/>
      <w:marTop w:val="0"/>
      <w:marBottom w:val="0"/>
      <w:divBdr>
        <w:top w:val="none" w:sz="0" w:space="0" w:color="auto"/>
        <w:left w:val="none" w:sz="0" w:space="0" w:color="auto"/>
        <w:bottom w:val="none" w:sz="0" w:space="0" w:color="auto"/>
        <w:right w:val="none" w:sz="0" w:space="0" w:color="auto"/>
      </w:divBdr>
    </w:div>
    <w:div w:id="1202859526">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15513834">
      <w:bodyDiv w:val="1"/>
      <w:marLeft w:val="0"/>
      <w:marRight w:val="0"/>
      <w:marTop w:val="0"/>
      <w:marBottom w:val="0"/>
      <w:divBdr>
        <w:top w:val="none" w:sz="0" w:space="0" w:color="auto"/>
        <w:left w:val="none" w:sz="0" w:space="0" w:color="auto"/>
        <w:bottom w:val="none" w:sz="0" w:space="0" w:color="auto"/>
        <w:right w:val="none" w:sz="0" w:space="0" w:color="auto"/>
      </w:divBdr>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42933167">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648242923">
      <w:bodyDiv w:val="1"/>
      <w:marLeft w:val="0"/>
      <w:marRight w:val="0"/>
      <w:marTop w:val="0"/>
      <w:marBottom w:val="0"/>
      <w:divBdr>
        <w:top w:val="none" w:sz="0" w:space="0" w:color="auto"/>
        <w:left w:val="none" w:sz="0" w:space="0" w:color="auto"/>
        <w:bottom w:val="none" w:sz="0" w:space="0" w:color="auto"/>
        <w:right w:val="none" w:sz="0" w:space="0" w:color="auto"/>
      </w:divBdr>
    </w:div>
    <w:div w:id="1666014316">
      <w:bodyDiv w:val="1"/>
      <w:marLeft w:val="0"/>
      <w:marRight w:val="0"/>
      <w:marTop w:val="0"/>
      <w:marBottom w:val="0"/>
      <w:divBdr>
        <w:top w:val="none" w:sz="0" w:space="0" w:color="auto"/>
        <w:left w:val="none" w:sz="0" w:space="0" w:color="auto"/>
        <w:bottom w:val="none" w:sz="0" w:space="0" w:color="auto"/>
        <w:right w:val="none" w:sz="0" w:space="0" w:color="auto"/>
      </w:divBdr>
    </w:div>
    <w:div w:id="1738434756">
      <w:bodyDiv w:val="1"/>
      <w:marLeft w:val="0"/>
      <w:marRight w:val="0"/>
      <w:marTop w:val="0"/>
      <w:marBottom w:val="0"/>
      <w:divBdr>
        <w:top w:val="none" w:sz="0" w:space="0" w:color="auto"/>
        <w:left w:val="none" w:sz="0" w:space="0" w:color="auto"/>
        <w:bottom w:val="none" w:sz="0" w:space="0" w:color="auto"/>
        <w:right w:val="none" w:sz="0" w:space="0" w:color="auto"/>
      </w:divBdr>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1865484634">
      <w:bodyDiv w:val="1"/>
      <w:marLeft w:val="0"/>
      <w:marRight w:val="0"/>
      <w:marTop w:val="0"/>
      <w:marBottom w:val="0"/>
      <w:divBdr>
        <w:top w:val="none" w:sz="0" w:space="0" w:color="auto"/>
        <w:left w:val="none" w:sz="0" w:space="0" w:color="auto"/>
        <w:bottom w:val="none" w:sz="0" w:space="0" w:color="auto"/>
        <w:right w:val="none" w:sz="0" w:space="0" w:color="auto"/>
      </w:divBdr>
    </w:div>
    <w:div w:id="1953779294">
      <w:bodyDiv w:val="1"/>
      <w:marLeft w:val="0"/>
      <w:marRight w:val="0"/>
      <w:marTop w:val="0"/>
      <w:marBottom w:val="0"/>
      <w:divBdr>
        <w:top w:val="none" w:sz="0" w:space="0" w:color="auto"/>
        <w:left w:val="none" w:sz="0" w:space="0" w:color="auto"/>
        <w:bottom w:val="none" w:sz="0" w:space="0" w:color="auto"/>
        <w:right w:val="none" w:sz="0" w:space="0" w:color="auto"/>
      </w:divBdr>
    </w:div>
    <w:div w:id="2000619607">
      <w:bodyDiv w:val="1"/>
      <w:marLeft w:val="0"/>
      <w:marRight w:val="0"/>
      <w:marTop w:val="0"/>
      <w:marBottom w:val="0"/>
      <w:divBdr>
        <w:top w:val="none" w:sz="0" w:space="0" w:color="auto"/>
        <w:left w:val="none" w:sz="0" w:space="0" w:color="auto"/>
        <w:bottom w:val="none" w:sz="0" w:space="0" w:color="auto"/>
        <w:right w:val="none" w:sz="0" w:space="0" w:color="auto"/>
      </w:divBdr>
    </w:div>
    <w:div w:id="2015834498">
      <w:bodyDiv w:val="1"/>
      <w:marLeft w:val="0"/>
      <w:marRight w:val="0"/>
      <w:marTop w:val="0"/>
      <w:marBottom w:val="0"/>
      <w:divBdr>
        <w:top w:val="none" w:sz="0" w:space="0" w:color="auto"/>
        <w:left w:val="none" w:sz="0" w:space="0" w:color="auto"/>
        <w:bottom w:val="none" w:sz="0" w:space="0" w:color="auto"/>
        <w:right w:val="none" w:sz="0" w:space="0" w:color="auto"/>
      </w:divBdr>
    </w:div>
    <w:div w:id="2022851309">
      <w:bodyDiv w:val="1"/>
      <w:marLeft w:val="0"/>
      <w:marRight w:val="0"/>
      <w:marTop w:val="0"/>
      <w:marBottom w:val="0"/>
      <w:divBdr>
        <w:top w:val="none" w:sz="0" w:space="0" w:color="auto"/>
        <w:left w:val="none" w:sz="0" w:space="0" w:color="auto"/>
        <w:bottom w:val="none" w:sz="0" w:space="0" w:color="auto"/>
        <w:right w:val="none" w:sz="0" w:space="0" w:color="auto"/>
      </w:divBdr>
    </w:div>
    <w:div w:id="2038892866">
      <w:bodyDiv w:val="1"/>
      <w:marLeft w:val="0"/>
      <w:marRight w:val="0"/>
      <w:marTop w:val="0"/>
      <w:marBottom w:val="0"/>
      <w:divBdr>
        <w:top w:val="none" w:sz="0" w:space="0" w:color="auto"/>
        <w:left w:val="none" w:sz="0" w:space="0" w:color="auto"/>
        <w:bottom w:val="none" w:sz="0" w:space="0" w:color="auto"/>
        <w:right w:val="none" w:sz="0" w:space="0" w:color="auto"/>
      </w:divBdr>
    </w:div>
    <w:div w:id="2045212459">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48288976">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 w:id="21154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08976-1089-440F-9D54-4EADF247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14961</Words>
  <Characters>8529</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Inguna.Kampane@izm.gov.lv</dc:creator>
  <cp:keywords/>
  <dc:description/>
  <cp:lastModifiedBy>Kaspars Veldre</cp:lastModifiedBy>
  <cp:revision>33</cp:revision>
  <cp:lastPrinted>2018-09-05T15:43:00Z</cp:lastPrinted>
  <dcterms:created xsi:type="dcterms:W3CDTF">2018-10-01T04:12:00Z</dcterms:created>
  <dcterms:modified xsi:type="dcterms:W3CDTF">2018-10-10T07:40:00Z</dcterms:modified>
</cp:coreProperties>
</file>