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83CD2" w14:textId="7CF16705" w:rsidR="004E0A60" w:rsidRPr="00E05674" w:rsidRDefault="004E0A60" w:rsidP="004E0A60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540A3043" w14:textId="77777777" w:rsidR="00132622" w:rsidRPr="00E05674" w:rsidRDefault="00132622" w:rsidP="004E0A60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7AA51D4B" w14:textId="77777777" w:rsidR="004E0A60" w:rsidRPr="00E05674" w:rsidRDefault="004E0A60" w:rsidP="004E0A60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5C788BA7" w14:textId="4E803F65" w:rsidR="004E0A60" w:rsidRPr="00E05674" w:rsidRDefault="004E0A60" w:rsidP="004E0A6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05674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FA6163" w:rsidRPr="00E05674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E05674">
        <w:rPr>
          <w:rFonts w:ascii="Times New Roman" w:hAnsi="Times New Roman" w:cs="Times New Roman"/>
          <w:color w:val="auto"/>
          <w:sz w:val="28"/>
          <w:szCs w:val="28"/>
        </w:rPr>
        <w:t xml:space="preserve">. gada </w:t>
      </w:r>
      <w:r w:rsidR="002A123A">
        <w:rPr>
          <w:rFonts w:ascii="Times New Roman" w:hAnsi="Times New Roman" w:cs="Times New Roman"/>
          <w:color w:val="auto"/>
          <w:sz w:val="28"/>
          <w:szCs w:val="28"/>
        </w:rPr>
        <w:t>2. oktobrī</w:t>
      </w:r>
      <w:r w:rsidRPr="00E05674">
        <w:rPr>
          <w:rFonts w:ascii="Times New Roman" w:hAnsi="Times New Roman" w:cs="Times New Roman"/>
          <w:color w:val="auto"/>
          <w:sz w:val="28"/>
          <w:szCs w:val="28"/>
        </w:rPr>
        <w:tab/>
        <w:t>Noteikumi Nr.</w:t>
      </w:r>
      <w:r w:rsidR="002A123A">
        <w:rPr>
          <w:rFonts w:ascii="Times New Roman" w:hAnsi="Times New Roman" w:cs="Times New Roman"/>
          <w:color w:val="auto"/>
          <w:sz w:val="28"/>
          <w:szCs w:val="28"/>
        </w:rPr>
        <w:t> 619</w:t>
      </w:r>
    </w:p>
    <w:p w14:paraId="17925F6F" w14:textId="5E190016" w:rsidR="004E0A60" w:rsidRPr="00E05674" w:rsidRDefault="004E0A60" w:rsidP="004E0A6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05674">
        <w:rPr>
          <w:rFonts w:ascii="Times New Roman" w:hAnsi="Times New Roman" w:cs="Times New Roman"/>
          <w:color w:val="auto"/>
          <w:sz w:val="28"/>
          <w:szCs w:val="28"/>
        </w:rPr>
        <w:t>Rīgā</w:t>
      </w:r>
      <w:r w:rsidRPr="00E05674">
        <w:rPr>
          <w:rFonts w:ascii="Times New Roman" w:hAnsi="Times New Roman" w:cs="Times New Roman"/>
          <w:color w:val="auto"/>
          <w:sz w:val="28"/>
          <w:szCs w:val="28"/>
        </w:rPr>
        <w:tab/>
        <w:t>(prot. Nr. </w:t>
      </w:r>
      <w:r w:rsidR="002A123A">
        <w:rPr>
          <w:rFonts w:ascii="Times New Roman" w:hAnsi="Times New Roman" w:cs="Times New Roman"/>
          <w:color w:val="auto"/>
          <w:sz w:val="28"/>
          <w:szCs w:val="28"/>
        </w:rPr>
        <w:t>45</w:t>
      </w:r>
      <w:r w:rsidRPr="00E05674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A123A">
        <w:rPr>
          <w:rFonts w:ascii="Times New Roman" w:hAnsi="Times New Roman" w:cs="Times New Roman"/>
          <w:color w:val="auto"/>
          <w:sz w:val="28"/>
          <w:szCs w:val="28"/>
        </w:rPr>
        <w:t>23</w:t>
      </w:r>
      <w:bookmarkStart w:id="0" w:name="_GoBack"/>
      <w:bookmarkEnd w:id="0"/>
      <w:r w:rsidRPr="00E05674">
        <w:rPr>
          <w:rFonts w:ascii="Times New Roman" w:hAnsi="Times New Roman" w:cs="Times New Roman"/>
          <w:color w:val="auto"/>
          <w:sz w:val="28"/>
          <w:szCs w:val="28"/>
        </w:rPr>
        <w:t>. §)</w:t>
      </w:r>
    </w:p>
    <w:p w14:paraId="31D79AC3" w14:textId="221360E2" w:rsidR="00F5019D" w:rsidRPr="00E05674" w:rsidRDefault="00F5019D" w:rsidP="004E0A6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6AA874D1" w14:textId="4792A225" w:rsidR="00F5019D" w:rsidRPr="00E05674" w:rsidRDefault="00BC16AF" w:rsidP="004E0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056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Zinātnisko institūciju darbības starptautiskā novērtējuma organizēšanas kārtība</w:t>
      </w:r>
      <w:r w:rsidRPr="00E05674" w:rsidDel="00BC16A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2039CD5E" w14:textId="77777777" w:rsidR="004E0A60" w:rsidRPr="00E05674" w:rsidRDefault="004E0A60" w:rsidP="004E0A6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B96571B" w14:textId="2EBCE8C0" w:rsidR="00F5019D" w:rsidRPr="00E05674" w:rsidRDefault="00F5019D" w:rsidP="004E0A6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Izdoti saskaņā ar </w:t>
      </w:r>
    </w:p>
    <w:p w14:paraId="31989734" w14:textId="77777777" w:rsidR="00F5019D" w:rsidRPr="00E05674" w:rsidRDefault="00F5019D" w:rsidP="004E0A6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Zinātniskās darbības likuma </w:t>
      </w:r>
    </w:p>
    <w:p w14:paraId="45ED6B0D" w14:textId="7E1FD621" w:rsidR="00F5019D" w:rsidRPr="00E05674" w:rsidRDefault="00F5019D" w:rsidP="004E0A6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41.</w:t>
      </w:r>
      <w:r w:rsidR="00132622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panta trešo daļu</w:t>
      </w:r>
    </w:p>
    <w:p w14:paraId="62659B2D" w14:textId="77777777" w:rsidR="003D63BF" w:rsidRPr="00E05674" w:rsidRDefault="003D63BF" w:rsidP="004E0A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729E1A7" w14:textId="6AD33ACC" w:rsidR="000A7B2A" w:rsidRPr="00E05674" w:rsidRDefault="0003111B" w:rsidP="0019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1. </w:t>
      </w:r>
      <w:r w:rsidR="00BF177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Noteikumi</w:t>
      </w:r>
      <w:proofErr w:type="gramEnd"/>
      <w:r w:rsidR="00BF177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nosaka kārtību, kādā Izglītības un zinātnes ministrija (turpmāk – ministrija)</w:t>
      </w:r>
      <w:r w:rsidR="009F07FF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reizi sešos gados</w:t>
      </w:r>
      <w:r w:rsidR="009D7BBC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(turpmāk – novērtējuma gads)</w:t>
      </w:r>
      <w:r w:rsidR="00BF177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organizē zinātnisko institūciju darbības starptautisko novērtējumu (turpmāk</w:t>
      </w:r>
      <w:r w:rsidR="00132622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BF177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– novērtējums).</w:t>
      </w:r>
      <w:r w:rsidR="000A7B2A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45ACDA74" w14:textId="77777777" w:rsidR="004A2928" w:rsidRPr="00E05674" w:rsidRDefault="004A2928" w:rsidP="0019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7CA66B9" w14:textId="285ECC6A" w:rsidR="0003111B" w:rsidRPr="00E05674" w:rsidRDefault="00A73605" w:rsidP="0019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4F3776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03111B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0764A3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Ministrija novērtējuma organizēšanai atbilstoši šiem noteikumiem piesaista novērtējuma izpildītāju</w:t>
      </w:r>
      <w:r w:rsid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32622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0764A3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juridisk</w:t>
      </w:r>
      <w:r w:rsidR="00132622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u</w:t>
      </w:r>
      <w:r w:rsidR="000764A3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person</w:t>
      </w:r>
      <w:r w:rsidR="00132622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u</w:t>
      </w:r>
      <w:r w:rsidR="000764A3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kurai ir profesionāla </w:t>
      </w:r>
      <w:r w:rsidR="00651130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pieredze un </w:t>
      </w:r>
      <w:r w:rsidR="000764A3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kompetence </w:t>
      </w:r>
      <w:r w:rsidR="00E925B6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zinātnisko </w:t>
      </w:r>
      <w:r w:rsidR="000764A3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institūciju </w:t>
      </w:r>
      <w:r w:rsidR="0016647B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zinātniskās</w:t>
      </w:r>
      <w:r w:rsidR="000764A3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925B6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darbības </w:t>
      </w:r>
      <w:r w:rsidR="000764A3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novērtējumu organizēšanā, kā arī laba reputācija un atbilstoša kapacitāte</w:t>
      </w:r>
      <w:r w:rsid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0567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(turpmāk</w:t>
      </w:r>
      <w:r w:rsid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E0567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– izpildītājs)</w:t>
      </w:r>
      <w:r w:rsidR="000764A3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B1662E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Izpildītāju ministrija </w:t>
      </w:r>
      <w:r w:rsidR="00132622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piesaista </w:t>
      </w:r>
      <w:r w:rsidR="00B1662E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atbilstoši normatīvo aktu prasībām publisko iepirkumu jomā.</w:t>
      </w:r>
      <w:r w:rsidR="005D70A9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M</w:t>
      </w:r>
      <w:r w:rsidR="005D70A9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inistrija organizē </w:t>
      </w:r>
      <w:r w:rsid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to </w:t>
      </w:r>
      <w:r w:rsidR="005D70A9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zinātnisk</w:t>
      </w:r>
      <w:r w:rsid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o</w:t>
      </w:r>
      <w:r w:rsidR="005D70A9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institūcij</w:t>
      </w:r>
      <w:r w:rsid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u</w:t>
      </w:r>
      <w:r w:rsidR="00E0567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n</w:t>
      </w:r>
      <w:r w:rsidR="00E0567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ovērtējumu</w:t>
      </w:r>
      <w:r w:rsidR="005D70A9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, kas snie</w:t>
      </w:r>
      <w:r w:rsidR="00681BFE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gušas šo noteikumu 16. un 17.</w:t>
      </w:r>
      <w:r w:rsidR="00132622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5D70A9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punktā minēto informāciju.</w:t>
      </w:r>
    </w:p>
    <w:p w14:paraId="412BE0D5" w14:textId="77777777" w:rsidR="00A73605" w:rsidRPr="00E05674" w:rsidRDefault="00A73605" w:rsidP="0019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1241152" w14:textId="0876348A" w:rsidR="003055B7" w:rsidRPr="00E05674" w:rsidRDefault="00A73605" w:rsidP="001977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5674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C65924" w:rsidRPr="00E05674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05674">
        <w:rPr>
          <w:rFonts w:ascii="Times New Roman" w:hAnsi="Times New Roman" w:cs="Times New Roman"/>
          <w:color w:val="auto"/>
          <w:sz w:val="28"/>
          <w:szCs w:val="28"/>
        </w:rPr>
        <w:t>Ministrija nodrošina izpildītājam Nacionālā</w:t>
      </w:r>
      <w:r w:rsidR="00E05674">
        <w:rPr>
          <w:rFonts w:ascii="Times New Roman" w:hAnsi="Times New Roman" w:cs="Times New Roman"/>
          <w:color w:val="auto"/>
          <w:sz w:val="28"/>
          <w:szCs w:val="28"/>
        </w:rPr>
        <w:t>s</w:t>
      </w:r>
      <w:r w:rsidRPr="00E05674">
        <w:rPr>
          <w:rFonts w:ascii="Times New Roman" w:hAnsi="Times New Roman" w:cs="Times New Roman"/>
          <w:color w:val="auto"/>
          <w:sz w:val="28"/>
          <w:szCs w:val="28"/>
        </w:rPr>
        <w:t xml:space="preserve"> zinātniskās darbības informācijas sistēmas (turpmāk – informācijas sistēma) lietotāja tiesības, ievērojot normatīvo regulējumu par informācijas sistēmu. </w:t>
      </w:r>
    </w:p>
    <w:p w14:paraId="3E6119E2" w14:textId="77777777" w:rsidR="0003111B" w:rsidRPr="00E05674" w:rsidRDefault="0003111B" w:rsidP="0019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C5A40DF" w14:textId="3C45BD8F" w:rsidR="00121D46" w:rsidRPr="00E05674" w:rsidRDefault="00121D46" w:rsidP="0019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Izpildītājs, ievērojot šo noteikumu prasības</w:t>
      </w:r>
      <w:r w:rsidR="001516AE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un</w:t>
      </w: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konsultēj</w:t>
      </w:r>
      <w:r w:rsidR="001516AE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otie</w:t>
      </w: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s ar nozaru ministrijām, kuru padotībā ir zinātniskās </w:t>
      </w:r>
      <w:r w:rsidR="00757D2C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institūcijas, </w:t>
      </w: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zinātnisk</w:t>
      </w:r>
      <w:r w:rsid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ās</w:t>
      </w: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institūcij</w:t>
      </w:r>
      <w:r w:rsid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as</w:t>
      </w: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pārstāvošajām organizācijām</w:t>
      </w:r>
      <w:r w:rsidR="00F0429B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un Latvijas Zinātnes padomi</w:t>
      </w: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1516AE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izstrādā</w:t>
      </w:r>
      <w:r w:rsidR="00B4267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un ministrija apstiprina novērtējuma metodoloģiju.</w:t>
      </w:r>
      <w:r w:rsidRPr="00E05674" w:rsidDel="00121D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21E74B2E" w14:textId="77777777" w:rsidR="007875E5" w:rsidRPr="00E05674" w:rsidRDefault="007875E5" w:rsidP="0019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2255455" w14:textId="1DA7234E" w:rsidR="00222E05" w:rsidRPr="00E05674" w:rsidRDefault="0042030C" w:rsidP="0019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5674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7875E5" w:rsidRPr="00E0567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05674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22E05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Izpildītājs nodrošina novērtējuma </w:t>
      </w:r>
      <w:r w:rsid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veikšanu</w:t>
      </w:r>
      <w:r w:rsidR="00222E05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, kas paredz ārvalstu ekspertu piesaisti</w:t>
      </w:r>
      <w:r w:rsidR="007E79E3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70A60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un</w:t>
      </w:r>
      <w:r w:rsidR="00222E05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70A60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novērtējuma darba </w:t>
      </w:r>
      <w:r w:rsidR="00222E05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organizāciju, kā arī </w:t>
      </w:r>
      <w:r w:rsidR="00F21C8F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ārvalstu ekspertu </w:t>
      </w:r>
      <w:r w:rsidR="00A471C0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ziņojum</w:t>
      </w:r>
      <w:r w:rsidR="003055B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a</w:t>
      </w:r>
      <w:r w:rsidR="00B5581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par </w:t>
      </w:r>
      <w:r w:rsidR="0086611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zinātnisko </w:t>
      </w:r>
      <w:r w:rsidR="004562BC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institūciju </w:t>
      </w:r>
      <w:r w:rsidR="00B5581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novērtējumu </w:t>
      </w:r>
      <w:r w:rsidR="00A471C0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(turpmāk – konsolidētais ziņojums) sagatavošanu. </w:t>
      </w:r>
    </w:p>
    <w:p w14:paraId="7424FA57" w14:textId="77777777" w:rsidR="00970057" w:rsidRPr="00E05674" w:rsidRDefault="00970057" w:rsidP="0019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629CDEC" w14:textId="6A83BE7F" w:rsidR="009704A7" w:rsidRPr="00E05674" w:rsidRDefault="0042030C" w:rsidP="0019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6</w:t>
      </w:r>
      <w:r w:rsidR="0097005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 Izpildītājs</w:t>
      </w:r>
      <w:r w:rsidR="008477B1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14:paraId="438F5708" w14:textId="70BB80CA" w:rsidR="00970057" w:rsidRPr="00E05674" w:rsidRDefault="0042030C" w:rsidP="0019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D74F15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.1.</w:t>
      </w:r>
      <w:r w:rsid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7E4099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izveido</w:t>
      </w:r>
      <w:r w:rsidR="00770A60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un organizē</w:t>
      </w:r>
      <w:r w:rsidR="002E079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62DD3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novērtējuma</w:t>
      </w:r>
      <w:r w:rsidR="00082E9D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E079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darbu</w:t>
      </w:r>
      <w:r w:rsidR="007E4099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70A60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š</w:t>
      </w:r>
      <w:r w:rsidR="002E079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ādā</w:t>
      </w:r>
      <w:r w:rsidR="00770A60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s </w:t>
      </w:r>
      <w:r w:rsidR="007E4099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koleģiāl</w:t>
      </w:r>
      <w:r w:rsidR="00082E9D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ās</w:t>
      </w:r>
      <w:r w:rsidR="007E4099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ārvalstu ekspertu grup</w:t>
      </w:r>
      <w:r w:rsidR="002E079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ā</w:t>
      </w:r>
      <w:r w:rsidR="007E4099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s (turpmāk – ekspertu grupa)</w:t>
      </w:r>
      <w:r w:rsidR="00796E8F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082E9D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ievērojot</w:t>
      </w:r>
      <w:r w:rsidR="00796E8F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82E9D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normatīvo regulējumu </w:t>
      </w:r>
      <w:r w:rsidR="00796E8F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par Latvijas zinātnes nozarēm un apakšnozarēm</w:t>
      </w:r>
      <w:r w:rsidR="007E4099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14:paraId="6D0AA8CB" w14:textId="44ECF971" w:rsidR="00970057" w:rsidRPr="00E05674" w:rsidRDefault="0042030C" w:rsidP="0019779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97005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.1.</w:t>
      </w:r>
      <w:r w:rsidR="0039400F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97005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dabaszinātņu</w:t>
      </w:r>
      <w:r w:rsidR="009F07FF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ekspertu </w:t>
      </w:r>
      <w:r w:rsidR="00646DC6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grupa</w:t>
      </w:r>
      <w:r w:rsidR="0097005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</w:p>
    <w:p w14:paraId="4CFA5A3F" w14:textId="522A34E6" w:rsidR="00970057" w:rsidRPr="00E05674" w:rsidRDefault="0042030C" w:rsidP="0019779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D74F15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.1.2. </w:t>
      </w:r>
      <w:r w:rsidR="0097005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inženierzinātņu un tehnoloģiju</w:t>
      </w:r>
      <w:r w:rsidR="009F07FF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ekspertu </w:t>
      </w:r>
      <w:r w:rsidR="00646DC6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grupa</w:t>
      </w:r>
      <w:r w:rsidR="0097005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</w:p>
    <w:p w14:paraId="3B650F4F" w14:textId="383C3505" w:rsidR="00970057" w:rsidRPr="00E05674" w:rsidRDefault="0042030C" w:rsidP="0019779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97005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D74F15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97005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3. medicīnas un veselības zinātņu</w:t>
      </w:r>
      <w:r w:rsidR="009F07FF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ekspertu </w:t>
      </w:r>
      <w:r w:rsidR="00646DC6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grupa</w:t>
      </w:r>
      <w:r w:rsidR="0097005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</w:p>
    <w:p w14:paraId="2F091D2C" w14:textId="78CAD602" w:rsidR="00970057" w:rsidRPr="00E05674" w:rsidRDefault="009F07FF" w:rsidP="0019779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97005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D74F15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97005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4. lauksaimniecības, meža un veterināro zinātņu</w:t>
      </w: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ekspertu </w:t>
      </w:r>
      <w:r w:rsidR="00646DC6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grupa</w:t>
      </w:r>
      <w:r w:rsidR="0097005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</w:p>
    <w:p w14:paraId="31C8EEE4" w14:textId="1880F8B9" w:rsidR="00D74F15" w:rsidRPr="00E05674" w:rsidRDefault="0042030C" w:rsidP="0019779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97005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D74F15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97005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5. sociālo zinātņu</w:t>
      </w:r>
      <w:r w:rsidR="009F07FF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ekspertu </w:t>
      </w:r>
      <w:r w:rsidR="00646DC6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grupa</w:t>
      </w:r>
      <w:r w:rsidR="0097005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</w:p>
    <w:p w14:paraId="2EF2D113" w14:textId="26D29D90" w:rsidR="00D74F15" w:rsidRPr="00E05674" w:rsidRDefault="0042030C" w:rsidP="0019779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97005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D74F15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97005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6. humanitāro un mākslas zinātņu</w:t>
      </w:r>
      <w:r w:rsidR="009F07FF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ekspertu </w:t>
      </w:r>
      <w:r w:rsidR="00646DC6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grupa</w:t>
      </w:r>
      <w:r w:rsidR="009704A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61795D12" w14:textId="33C722B3" w:rsidR="0060778E" w:rsidRPr="00E05674" w:rsidRDefault="00446761" w:rsidP="0019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D74F15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.2.</w:t>
      </w:r>
      <w:r w:rsidR="00D22A4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E166E9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nodrošina, ka katrā ekspertu grupā ir vismaz seši ārvalstu eksperti, no kuriem </w:t>
      </w:r>
      <w:r w:rsidR="00082E9D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viens </w:t>
      </w:r>
      <w:r w:rsidR="00B4267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082E9D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ekspertu grupas vadītājs, </w:t>
      </w:r>
      <w:r w:rsidR="00E166E9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viens </w:t>
      </w:r>
      <w:r w:rsidR="00B4267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E166E9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tautsaimniecības eksperts</w:t>
      </w:r>
      <w:r w:rsidR="002E079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un</w:t>
      </w:r>
      <w:r w:rsidR="00082E9D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73809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vismaz viens</w:t>
      </w:r>
      <w:r w:rsidR="007B44A3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82E9D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ārvalsts </w:t>
      </w:r>
      <w:r w:rsidR="007B44A3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eksperts atbilst</w:t>
      </w:r>
      <w:r w:rsidR="0086611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zinātniskās</w:t>
      </w:r>
      <w:r w:rsidR="007B44A3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institūcijas</w:t>
      </w:r>
      <w:r w:rsidR="001A25A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B44A3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vai </w:t>
      </w:r>
      <w:r w:rsidR="00121D46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šo </w:t>
      </w:r>
      <w:r w:rsidR="00764733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noteikumu 15.2.</w:t>
      </w:r>
      <w:r w:rsidR="00D22A41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673809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apakšpunktā minētās </w:t>
      </w:r>
      <w:r w:rsidR="007B44A3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v</w:t>
      </w:r>
      <w:r w:rsidR="00673809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ērtējamās vienības </w:t>
      </w:r>
      <w:r w:rsidR="00B4267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darbības </w:t>
      </w:r>
      <w:r w:rsidR="003A4AA9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zinātnes </w:t>
      </w:r>
      <w:r w:rsidR="007B44A3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nozarei</w:t>
      </w:r>
      <w:r w:rsidR="00CE4E88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, ievērojot normatīvo regulējumu par Latvijas zinātnes nozarēm un apakšnozarēm</w:t>
      </w:r>
      <w:r w:rsidR="0060778E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63F8D130" w14:textId="70525DB0" w:rsidR="005E6FB9" w:rsidRPr="00E05674" w:rsidRDefault="0060778E" w:rsidP="001977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6.</w:t>
      </w:r>
      <w:r w:rsidR="007438BF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D22A41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nodrošina</w:t>
      </w:r>
      <w:r w:rsidR="007B44A3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6611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zinātniskajai </w:t>
      </w: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institūcijai </w:t>
      </w:r>
      <w:r w:rsidR="005D0EB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tiesības</w:t>
      </w: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iepazīties ar</w:t>
      </w:r>
      <w:r w:rsidRPr="00E056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0EB7" w:rsidRPr="00E05674">
        <w:rPr>
          <w:rFonts w:ascii="Times New Roman" w:hAnsi="Times New Roman" w:cs="Times New Roman"/>
          <w:color w:val="auto"/>
          <w:sz w:val="28"/>
          <w:szCs w:val="28"/>
        </w:rPr>
        <w:t>attiecīg</w:t>
      </w:r>
      <w:r w:rsidR="0019779D">
        <w:rPr>
          <w:rFonts w:ascii="Times New Roman" w:hAnsi="Times New Roman" w:cs="Times New Roman"/>
          <w:color w:val="auto"/>
          <w:sz w:val="28"/>
          <w:szCs w:val="28"/>
        </w:rPr>
        <w:t>ā</w:t>
      </w:r>
      <w:r w:rsidR="005D0EB7" w:rsidRPr="00E05674">
        <w:rPr>
          <w:rFonts w:ascii="Times New Roman" w:hAnsi="Times New Roman" w:cs="Times New Roman"/>
          <w:color w:val="auto"/>
          <w:sz w:val="28"/>
          <w:szCs w:val="28"/>
        </w:rPr>
        <w:t xml:space="preserve">s ekspertu </w:t>
      </w:r>
      <w:r w:rsidR="005D0EB7" w:rsidRPr="00C33D08">
        <w:rPr>
          <w:rFonts w:ascii="Times New Roman" w:hAnsi="Times New Roman" w:cs="Times New Roman"/>
          <w:color w:val="auto"/>
          <w:sz w:val="28"/>
          <w:szCs w:val="28"/>
        </w:rPr>
        <w:t xml:space="preserve">grupas locekļiem, kuri ir piesaistīti </w:t>
      </w:r>
      <w:r w:rsidR="00866117" w:rsidRPr="00C33D08">
        <w:rPr>
          <w:rFonts w:ascii="Times New Roman" w:eastAsia="Times New Roman" w:hAnsi="Times New Roman" w:cs="Times New Roman"/>
          <w:color w:val="auto"/>
          <w:sz w:val="28"/>
          <w:szCs w:val="28"/>
        </w:rPr>
        <w:t>zinātniskās</w:t>
      </w:r>
      <w:r w:rsidR="00866117" w:rsidRPr="00C33D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0EB7" w:rsidRPr="00C33D08">
        <w:rPr>
          <w:rFonts w:ascii="Times New Roman" w:hAnsi="Times New Roman" w:cs="Times New Roman"/>
          <w:color w:val="auto"/>
          <w:sz w:val="28"/>
          <w:szCs w:val="28"/>
        </w:rPr>
        <w:t>institūcijas</w:t>
      </w:r>
      <w:r w:rsidR="00CE4E88" w:rsidRPr="00C33D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0EB7" w:rsidRPr="00C33D08">
        <w:rPr>
          <w:rFonts w:ascii="Times New Roman" w:hAnsi="Times New Roman" w:cs="Times New Roman"/>
          <w:color w:val="auto"/>
          <w:sz w:val="28"/>
          <w:szCs w:val="28"/>
        </w:rPr>
        <w:t>novērtēšanai</w:t>
      </w:r>
      <w:r w:rsidR="009D6131" w:rsidRPr="00C33D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E4E88" w:rsidRPr="00C33D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3D08" w:rsidRPr="00C33D08">
        <w:rPr>
          <w:rFonts w:ascii="Times New Roman" w:eastAsia="Times New Roman" w:hAnsi="Times New Roman" w:cs="Times New Roman"/>
          <w:color w:val="auto"/>
          <w:sz w:val="28"/>
          <w:szCs w:val="28"/>
        </w:rPr>
        <w:t>Zinātniskā institūcija</w:t>
      </w:r>
      <w:r w:rsidR="005D0EB7" w:rsidRPr="00C33D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84C3E" w:rsidRPr="00C33D08">
        <w:rPr>
          <w:rFonts w:ascii="Times New Roman" w:eastAsia="Times New Roman" w:hAnsi="Times New Roman" w:cs="Times New Roman"/>
          <w:color w:val="auto"/>
          <w:sz w:val="28"/>
          <w:szCs w:val="28"/>
        </w:rPr>
        <w:t>piecu</w:t>
      </w:r>
      <w:r w:rsidR="005E6FB9" w:rsidRPr="00C33D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darbdienu laikā </w:t>
      </w:r>
      <w:r w:rsidR="00C33D08" w:rsidRPr="00C33D08">
        <w:rPr>
          <w:rFonts w:ascii="Times New Roman" w:eastAsia="Times New Roman" w:hAnsi="Times New Roman" w:cs="Times New Roman"/>
          <w:color w:val="auto"/>
          <w:sz w:val="28"/>
          <w:szCs w:val="28"/>
        </w:rPr>
        <w:t>pēc</w:t>
      </w:r>
      <w:r w:rsidR="005E6FB9" w:rsidRPr="00C33D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33D08" w:rsidRPr="00C33D08">
        <w:rPr>
          <w:rFonts w:ascii="Times New Roman" w:eastAsia="Times New Roman" w:hAnsi="Times New Roman" w:cs="Times New Roman"/>
          <w:color w:val="auto"/>
          <w:sz w:val="28"/>
          <w:szCs w:val="28"/>
        </w:rPr>
        <w:t>šī</w:t>
      </w:r>
      <w:r w:rsidR="005E6FB9" w:rsidRPr="00C33D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s informācijas </w:t>
      </w:r>
      <w:r w:rsidR="00C33D08" w:rsidRPr="00C33D08">
        <w:rPr>
          <w:rFonts w:ascii="Times New Roman" w:eastAsia="Times New Roman" w:hAnsi="Times New Roman" w:cs="Times New Roman"/>
          <w:color w:val="auto"/>
          <w:sz w:val="28"/>
          <w:szCs w:val="28"/>
        </w:rPr>
        <w:t>saņemšanas</w:t>
      </w:r>
      <w:r w:rsidR="005E6FB9" w:rsidRPr="00C33D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33D08" w:rsidRPr="00C33D08">
        <w:rPr>
          <w:rFonts w:ascii="Times New Roman" w:eastAsia="Times New Roman" w:hAnsi="Times New Roman" w:cs="Times New Roman"/>
          <w:color w:val="auto"/>
          <w:sz w:val="28"/>
          <w:szCs w:val="28"/>
        </w:rPr>
        <w:t>nosūta</w:t>
      </w:r>
      <w:r w:rsidRPr="00C33D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D0EB7" w:rsidRPr="00C33D08">
        <w:rPr>
          <w:rFonts w:ascii="Times New Roman" w:eastAsia="Times New Roman" w:hAnsi="Times New Roman" w:cs="Times New Roman"/>
          <w:color w:val="auto"/>
          <w:sz w:val="28"/>
          <w:szCs w:val="28"/>
        </w:rPr>
        <w:t>izpildītājam raks</w:t>
      </w:r>
      <w:r w:rsidR="008E7ABC" w:rsidRPr="00C33D08">
        <w:rPr>
          <w:rFonts w:ascii="Times New Roman" w:eastAsia="Times New Roman" w:hAnsi="Times New Roman" w:cs="Times New Roman"/>
          <w:color w:val="auto"/>
          <w:sz w:val="28"/>
          <w:szCs w:val="28"/>
        </w:rPr>
        <w:t>tveida</w:t>
      </w:r>
      <w:r w:rsidR="005D0EB7" w:rsidRPr="00C33D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F6DE3">
        <w:rPr>
          <w:rFonts w:ascii="Times New Roman" w:eastAsia="Times New Roman" w:hAnsi="Times New Roman" w:cs="Times New Roman"/>
          <w:color w:val="auto"/>
          <w:sz w:val="28"/>
          <w:szCs w:val="28"/>
        </w:rPr>
        <w:t>iesnieg</w:t>
      </w:r>
      <w:r w:rsidR="005D0EB7" w:rsidRPr="00C33D08">
        <w:rPr>
          <w:rFonts w:ascii="Times New Roman" w:eastAsia="Times New Roman" w:hAnsi="Times New Roman" w:cs="Times New Roman"/>
          <w:color w:val="auto"/>
          <w:sz w:val="28"/>
          <w:szCs w:val="28"/>
        </w:rPr>
        <w:t>umu par piesaistīto ārvalstu ekspert</w:t>
      </w:r>
      <w:r w:rsidR="005E6FB9" w:rsidRPr="00C33D08">
        <w:rPr>
          <w:rFonts w:ascii="Times New Roman" w:eastAsia="Times New Roman" w:hAnsi="Times New Roman" w:cs="Times New Roman"/>
          <w:color w:val="auto"/>
          <w:sz w:val="28"/>
          <w:szCs w:val="28"/>
        </w:rPr>
        <w:t>u</w:t>
      </w:r>
      <w:r w:rsidR="005D0EB7" w:rsidRPr="00C33D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522E8" w:rsidRPr="00C33D08">
        <w:rPr>
          <w:rFonts w:ascii="Times New Roman" w:eastAsia="Times New Roman" w:hAnsi="Times New Roman" w:cs="Times New Roman"/>
          <w:color w:val="auto"/>
          <w:sz w:val="28"/>
          <w:szCs w:val="28"/>
        </w:rPr>
        <w:t>atbilstību</w:t>
      </w:r>
      <w:r w:rsidR="00CE4E88" w:rsidRPr="00C33D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66117" w:rsidRPr="00C33D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zinātniskās </w:t>
      </w:r>
      <w:r w:rsidR="005E6FB9" w:rsidRPr="00C33D08">
        <w:rPr>
          <w:rFonts w:ascii="Times New Roman" w:eastAsia="Times New Roman" w:hAnsi="Times New Roman" w:cs="Times New Roman"/>
          <w:color w:val="auto"/>
          <w:sz w:val="28"/>
          <w:szCs w:val="28"/>
        </w:rPr>
        <w:t>insti</w:t>
      </w:r>
      <w:r w:rsidR="00764733" w:rsidRPr="00C33D08">
        <w:rPr>
          <w:rFonts w:ascii="Times New Roman" w:eastAsia="Times New Roman" w:hAnsi="Times New Roman" w:cs="Times New Roman"/>
          <w:color w:val="auto"/>
          <w:sz w:val="28"/>
          <w:szCs w:val="28"/>
        </w:rPr>
        <w:t>tūcijas vai šo noteikumu 15.2.</w:t>
      </w:r>
      <w:r w:rsidR="00C33D08" w:rsidRPr="00C33D08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5E6FB9" w:rsidRPr="00C33D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apakšpunktā minētās vērtējamās vienības </w:t>
      </w:r>
      <w:r w:rsidR="000F6D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darbības </w:t>
      </w:r>
      <w:r w:rsidR="005E6FB9" w:rsidRPr="00C33D08">
        <w:rPr>
          <w:rFonts w:ascii="Times New Roman" w:eastAsia="Times New Roman" w:hAnsi="Times New Roman" w:cs="Times New Roman"/>
          <w:color w:val="auto"/>
          <w:sz w:val="28"/>
          <w:szCs w:val="28"/>
        </w:rPr>
        <w:t>zinātnes nozarei, ievērojot normatīvo regulējumu par Latvijas zinātnes nozarēm un apakšnozarēm</w:t>
      </w: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7438BF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D0EB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Ja </w:t>
      </w:r>
      <w:r w:rsidR="005E6FB9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izpildītājs</w:t>
      </w:r>
      <w:r w:rsidR="005D0EB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F6DE3">
        <w:rPr>
          <w:rFonts w:ascii="Times New Roman" w:eastAsia="Times New Roman" w:hAnsi="Times New Roman" w:cs="Times New Roman"/>
          <w:color w:val="auto"/>
          <w:sz w:val="28"/>
          <w:szCs w:val="28"/>
        </w:rPr>
        <w:t>minēto iesniegumu</w:t>
      </w:r>
      <w:r w:rsidR="00C33D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D0EB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atzīst </w:t>
      </w:r>
      <w:r w:rsidR="005E6FB9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par pamatotu, tas</w:t>
      </w:r>
      <w:r w:rsidR="005E6FB9" w:rsidRPr="00E05674">
        <w:rPr>
          <w:rFonts w:ascii="Times New Roman" w:hAnsi="Times New Roman" w:cs="Times New Roman"/>
          <w:color w:val="auto"/>
          <w:sz w:val="28"/>
          <w:szCs w:val="28"/>
        </w:rPr>
        <w:t xml:space="preserve"> precizē attiecīg</w:t>
      </w:r>
      <w:r w:rsidR="0019779D">
        <w:rPr>
          <w:rFonts w:ascii="Times New Roman" w:hAnsi="Times New Roman" w:cs="Times New Roman"/>
          <w:color w:val="auto"/>
          <w:sz w:val="28"/>
          <w:szCs w:val="28"/>
        </w:rPr>
        <w:t>ā</w:t>
      </w:r>
      <w:r w:rsidR="005E6FB9" w:rsidRPr="00E05674">
        <w:rPr>
          <w:rFonts w:ascii="Times New Roman" w:hAnsi="Times New Roman" w:cs="Times New Roman"/>
          <w:color w:val="auto"/>
          <w:sz w:val="28"/>
          <w:szCs w:val="28"/>
        </w:rPr>
        <w:t>s ekspertu grupas sastāvu, lai nodrošinātu</w:t>
      </w:r>
      <w:r w:rsidR="0086611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zinātniskās</w:t>
      </w:r>
      <w:r w:rsidR="005E6FB9" w:rsidRPr="00E05674">
        <w:rPr>
          <w:rFonts w:ascii="Times New Roman" w:hAnsi="Times New Roman" w:cs="Times New Roman"/>
          <w:color w:val="auto"/>
          <w:sz w:val="28"/>
          <w:szCs w:val="28"/>
        </w:rPr>
        <w:t xml:space="preserve"> institūcijas novērtējumu. </w:t>
      </w:r>
    </w:p>
    <w:p w14:paraId="0C8D820A" w14:textId="77777777" w:rsidR="007438BF" w:rsidRPr="00E05674" w:rsidRDefault="007438BF" w:rsidP="0019779D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68C4404" w14:textId="365B6929" w:rsidR="0005035E" w:rsidRPr="00E05674" w:rsidRDefault="00446761" w:rsidP="0019779D">
      <w:pPr>
        <w:pStyle w:val="CommentText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05035E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9D79FC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Prasības </w:t>
      </w:r>
      <w:r w:rsidR="00FC281F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ārvalsts</w:t>
      </w:r>
      <w:r w:rsidR="00A471C0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5035E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ekspert</w:t>
      </w:r>
      <w:r w:rsidR="009D79FC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am: </w:t>
      </w:r>
    </w:p>
    <w:p w14:paraId="7BC2D688" w14:textId="10DFDE81" w:rsidR="0042030C" w:rsidRPr="00E05674" w:rsidRDefault="00446761" w:rsidP="0019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05035E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.1.</w:t>
      </w:r>
      <w:r w:rsidR="00D22A41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222E05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doktora zinātniskais grāds; </w:t>
      </w:r>
    </w:p>
    <w:p w14:paraId="52DCCF4C" w14:textId="03786174" w:rsidR="0005035E" w:rsidRPr="00E05674" w:rsidRDefault="00446761" w:rsidP="0019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39400F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.2.</w:t>
      </w:r>
      <w:r w:rsidR="00D22A41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E166E9" w:rsidRPr="00E05674">
        <w:rPr>
          <w:rFonts w:ascii="Times New Roman" w:hAnsi="Times New Roman" w:cs="Times New Roman"/>
          <w:color w:val="auto"/>
          <w:sz w:val="28"/>
          <w:szCs w:val="28"/>
        </w:rPr>
        <w:t>starptautiska pētniecības un attīstības</w:t>
      </w:r>
      <w:r w:rsidR="00D22A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166E9" w:rsidRPr="00E05674">
        <w:rPr>
          <w:rFonts w:ascii="Times New Roman" w:hAnsi="Times New Roman" w:cs="Times New Roman"/>
          <w:color w:val="auto"/>
          <w:sz w:val="28"/>
          <w:szCs w:val="28"/>
        </w:rPr>
        <w:t xml:space="preserve">sistēmu </w:t>
      </w:r>
      <w:r w:rsidR="002E0794" w:rsidRPr="00E05674">
        <w:rPr>
          <w:rFonts w:ascii="Times New Roman" w:hAnsi="Times New Roman" w:cs="Times New Roman"/>
          <w:color w:val="auto"/>
          <w:sz w:val="28"/>
          <w:szCs w:val="28"/>
        </w:rPr>
        <w:t xml:space="preserve">vai </w:t>
      </w:r>
      <w:r w:rsidR="0093346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zinātnisko institūciju</w:t>
      </w:r>
      <w:r w:rsidR="00E166E9" w:rsidRPr="00E05674">
        <w:rPr>
          <w:rFonts w:ascii="Times New Roman" w:hAnsi="Times New Roman" w:cs="Times New Roman"/>
          <w:color w:val="auto"/>
          <w:sz w:val="28"/>
          <w:szCs w:val="28"/>
        </w:rPr>
        <w:t xml:space="preserve"> novērtēšanas pieredze, kas iegūta dažādās valstīs</w:t>
      </w:r>
      <w:r w:rsidR="00D22A4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C0970BF" w14:textId="14E7852F" w:rsidR="0005035E" w:rsidRPr="00E05674" w:rsidRDefault="00446761" w:rsidP="0019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05035E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.3.</w:t>
      </w:r>
      <w:r w:rsidR="00D22A41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5D70A9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vismaz 10 </w:t>
      </w:r>
      <w:r w:rsidR="00292B2B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gadu</w:t>
      </w:r>
      <w:r w:rsidR="0016647B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zinātniskā </w:t>
      </w:r>
      <w:r w:rsidR="0016647B" w:rsidRPr="003A122B">
        <w:rPr>
          <w:rFonts w:ascii="Times New Roman" w:eastAsia="Times New Roman" w:hAnsi="Times New Roman" w:cs="Times New Roman"/>
          <w:color w:val="auto"/>
          <w:sz w:val="28"/>
          <w:szCs w:val="28"/>
        </w:rPr>
        <w:t>darba</w:t>
      </w:r>
      <w:r w:rsidR="00292B2B" w:rsidRPr="003A12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pieredze</w:t>
      </w:r>
      <w:r w:rsidR="00C33D08" w:rsidRPr="003A12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un</w:t>
      </w:r>
      <w:r w:rsidR="00292B2B" w:rsidRPr="003A12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5035E" w:rsidRPr="003A122B">
        <w:rPr>
          <w:rFonts w:ascii="Times New Roman" w:eastAsia="Times New Roman" w:hAnsi="Times New Roman" w:cs="Times New Roman"/>
          <w:color w:val="auto"/>
          <w:sz w:val="28"/>
          <w:szCs w:val="28"/>
        </w:rPr>
        <w:t>oriģināl</w:t>
      </w:r>
      <w:r w:rsidR="00C33D08" w:rsidRPr="003A122B">
        <w:rPr>
          <w:rFonts w:ascii="Times New Roman" w:eastAsia="Times New Roman" w:hAnsi="Times New Roman" w:cs="Times New Roman"/>
          <w:color w:val="auto"/>
          <w:sz w:val="28"/>
          <w:szCs w:val="28"/>
        </w:rPr>
        <w:t>u</w:t>
      </w:r>
      <w:r w:rsidR="0005035E" w:rsidRPr="003A12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zinātnisk</w:t>
      </w:r>
      <w:r w:rsidR="00C33D08" w:rsidRPr="003A122B">
        <w:rPr>
          <w:rFonts w:ascii="Times New Roman" w:eastAsia="Times New Roman" w:hAnsi="Times New Roman" w:cs="Times New Roman"/>
          <w:color w:val="auto"/>
          <w:sz w:val="28"/>
          <w:szCs w:val="28"/>
        </w:rPr>
        <w:t>o</w:t>
      </w:r>
      <w:r w:rsidR="0005035E" w:rsidRPr="003A12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rakst</w:t>
      </w:r>
      <w:r w:rsidR="00C33D08" w:rsidRPr="003A122B">
        <w:rPr>
          <w:rFonts w:ascii="Times New Roman" w:eastAsia="Times New Roman" w:hAnsi="Times New Roman" w:cs="Times New Roman"/>
          <w:color w:val="auto"/>
          <w:sz w:val="28"/>
          <w:szCs w:val="28"/>
        </w:rPr>
        <w:t>u</w:t>
      </w:r>
      <w:r w:rsidR="0005035E" w:rsidRPr="003A12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33D08" w:rsidRPr="003A122B">
        <w:rPr>
          <w:rFonts w:ascii="Times New Roman" w:eastAsia="Times New Roman" w:hAnsi="Times New Roman" w:cs="Times New Roman"/>
          <w:color w:val="auto"/>
          <w:sz w:val="28"/>
          <w:szCs w:val="28"/>
        </w:rPr>
        <w:t>publikācijas</w:t>
      </w:r>
      <w:r w:rsidR="00C33D08" w:rsidRPr="003A122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="0005035E" w:rsidRPr="003A122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Web </w:t>
      </w:r>
      <w:proofErr w:type="spellStart"/>
      <w:r w:rsidR="0005035E" w:rsidRPr="003A122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of</w:t>
      </w:r>
      <w:proofErr w:type="spellEnd"/>
      <w:r w:rsidR="0005035E" w:rsidRPr="003A122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="0005035E" w:rsidRPr="003A122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Science</w:t>
      </w:r>
      <w:proofErr w:type="spellEnd"/>
      <w:r w:rsidR="0005035E" w:rsidRPr="003A12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vai </w:t>
      </w:r>
      <w:r w:rsidR="0005035E" w:rsidRPr="003A122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SCOPUS</w:t>
      </w:r>
      <w:r w:rsidR="0005035E" w:rsidRPr="003A12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datubāzēs iekļautajos recenzēt</w:t>
      </w:r>
      <w:r w:rsidR="003A122B" w:rsidRPr="003A122B">
        <w:rPr>
          <w:rFonts w:ascii="Times New Roman" w:eastAsia="Times New Roman" w:hAnsi="Times New Roman" w:cs="Times New Roman"/>
          <w:color w:val="auto"/>
          <w:sz w:val="28"/>
          <w:szCs w:val="28"/>
        </w:rPr>
        <w:t>aj</w:t>
      </w:r>
      <w:r w:rsidR="0005035E" w:rsidRPr="003A122B">
        <w:rPr>
          <w:rFonts w:ascii="Times New Roman" w:eastAsia="Times New Roman" w:hAnsi="Times New Roman" w:cs="Times New Roman"/>
          <w:color w:val="auto"/>
          <w:sz w:val="28"/>
          <w:szCs w:val="28"/>
        </w:rPr>
        <w:t>os zinātniskajos žurnālos</w:t>
      </w:r>
      <w:proofErr w:type="gramStart"/>
      <w:r w:rsidR="0005035E" w:rsidRPr="003A12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vai rakstu krājumos, kuru citējamības indekss sasniedz vismaz nozares vidējo</w:t>
      </w:r>
      <w:r w:rsidR="003A122B" w:rsidRPr="003A12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indeksu</w:t>
      </w:r>
      <w:proofErr w:type="gramEnd"/>
      <w:r w:rsidR="00115DCB" w:rsidRPr="003A12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(nav attiecināms uz tautsaimniecības ekspertu)</w:t>
      </w:r>
      <w:r w:rsidR="0005035E" w:rsidRPr="003A122B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2FC31204" w14:textId="276C249F" w:rsidR="00E166E9" w:rsidRPr="00E05674" w:rsidRDefault="00446761" w:rsidP="0019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AB4436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.4</w:t>
      </w:r>
      <w:r w:rsidR="0005035E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5D1A2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05035E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nepārstāv </w:t>
      </w:r>
      <w:r w:rsidR="0086611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zinātnisko </w:t>
      </w:r>
      <w:r w:rsidR="0005035E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institūciju un viņa darbībā nav tādu apstākļu, kas izraisa interešu konfliktu, ta</w:t>
      </w:r>
      <w:r w:rsidR="00D903D4">
        <w:rPr>
          <w:rFonts w:ascii="Times New Roman" w:eastAsia="Times New Roman" w:hAnsi="Times New Roman" w:cs="Times New Roman"/>
          <w:color w:val="auto"/>
          <w:sz w:val="28"/>
          <w:szCs w:val="28"/>
        </w:rPr>
        <w:t>i</w:t>
      </w:r>
      <w:r w:rsidR="0005035E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skaitā nerada un neradīs personisko vai mantisko ieinteresētību</w:t>
      </w:r>
      <w:r w:rsidR="00673809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0F2965E2" w14:textId="77777777" w:rsidR="0005035E" w:rsidRPr="00E05674" w:rsidRDefault="0005035E" w:rsidP="0019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2364666" w14:textId="5ED8A925" w:rsidR="0005035E" w:rsidRPr="00E05674" w:rsidRDefault="00446761" w:rsidP="0019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05035E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5D1A2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9D79FC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Prasības </w:t>
      </w:r>
      <w:r w:rsidR="0005035E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ekspertu grupas vadītāj</w:t>
      </w:r>
      <w:r w:rsidR="009D79FC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am:</w:t>
      </w:r>
      <w:r w:rsidR="0005035E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373792D8" w14:textId="6BFD18FE" w:rsidR="0005035E" w:rsidRPr="00E05674" w:rsidRDefault="00446761" w:rsidP="0019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5D1A2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.1. </w:t>
      </w:r>
      <w:r w:rsidR="00AB4436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atbilst</w:t>
      </w:r>
      <w:r w:rsidR="005D1A2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ība</w:t>
      </w:r>
      <w:r w:rsidR="0091153E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šo noteikumu</w:t>
      </w:r>
      <w:r w:rsidR="00AB4436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2030C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003D3B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 </w:t>
      </w:r>
      <w:r w:rsidR="00867685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punktā</w:t>
      </w:r>
      <w:r w:rsidR="00AB4436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D2B79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minētajām prasībām</w:t>
      </w:r>
      <w:r w:rsidR="00AB4436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46C2FCB7" w14:textId="5BDCDA39" w:rsidR="00970057" w:rsidRPr="00E05674" w:rsidRDefault="00446761" w:rsidP="0019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5D1A2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.2.</w:t>
      </w:r>
      <w:r w:rsidR="00D903D4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351CF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pi</w:t>
      </w:r>
      <w:r w:rsidR="00E2518D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eredze </w:t>
      </w:r>
      <w:r w:rsidR="008B1123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starptautiskas </w:t>
      </w:r>
      <w:r w:rsidR="00867685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ekspertu grup</w:t>
      </w:r>
      <w:r w:rsidR="009D79FC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as</w:t>
      </w:r>
      <w:r w:rsidR="00867685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vadībā, </w:t>
      </w:r>
      <w:r w:rsidR="003305BB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novērtējot </w:t>
      </w:r>
      <w:r w:rsidR="0086611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zinātniskās</w:t>
      </w:r>
      <w:r w:rsidR="002A5378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305BB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institūcijas.</w:t>
      </w:r>
    </w:p>
    <w:p w14:paraId="76B6AC18" w14:textId="77777777" w:rsidR="00867685" w:rsidRPr="00E05674" w:rsidRDefault="00867685" w:rsidP="0019779D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24B9A9B" w14:textId="29FF8254" w:rsidR="00FE42F7" w:rsidRPr="00E05674" w:rsidRDefault="00446761" w:rsidP="0019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97005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5D1A2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0D0805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Ekspertu grupa</w:t>
      </w:r>
      <w:r w:rsidR="003A12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D79FC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veic šādus</w:t>
      </w:r>
      <w:r w:rsidR="000D0805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D79FC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uzdevumus</w:t>
      </w:r>
      <w:r w:rsidR="000D0805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14:paraId="31CF1A11" w14:textId="22A5FB1A" w:rsidR="002B32C6" w:rsidRPr="00E05674" w:rsidRDefault="00446761" w:rsidP="0019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auto"/>
          <w:sz w:val="28"/>
          <w:szCs w:val="28"/>
        </w:rPr>
      </w:pP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9</w:t>
      </w:r>
      <w:r w:rsidR="000D0805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.1.</w:t>
      </w:r>
      <w:r w:rsidR="005D1A2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97005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izvērtē</w:t>
      </w:r>
      <w:r w:rsidR="00B771DA" w:rsidRPr="00E056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71DA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zinātniskās</w:t>
      </w:r>
      <w:r w:rsidR="0097005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institūcij</w:t>
      </w:r>
      <w:r w:rsidR="009D79FC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as</w:t>
      </w:r>
      <w:r w:rsidR="0097005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F5CEF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darbības </w:t>
      </w:r>
      <w:r w:rsidR="0097005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pašvērtējuma </w:t>
      </w:r>
      <w:r w:rsidR="00222E05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ziņojum</w:t>
      </w:r>
      <w:r w:rsidR="00FF5F38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ā</w:t>
      </w:r>
      <w:r w:rsidR="003E117C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F5CEF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(turpmāk – pašvērtējuma ziņojums) </w:t>
      </w:r>
      <w:r w:rsidR="003E117C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sniegto informāciju;</w:t>
      </w:r>
    </w:p>
    <w:p w14:paraId="50C71AAD" w14:textId="19CFE911" w:rsidR="001E1AC6" w:rsidRPr="00E05674" w:rsidRDefault="00446761" w:rsidP="0019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auto"/>
          <w:sz w:val="28"/>
          <w:szCs w:val="28"/>
        </w:rPr>
      </w:pPr>
      <w:r w:rsidRPr="00E05674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5D1A24" w:rsidRPr="00E05674">
        <w:rPr>
          <w:rFonts w:ascii="Times New Roman" w:hAnsi="Times New Roman" w:cs="Times New Roman"/>
          <w:color w:val="auto"/>
          <w:sz w:val="28"/>
          <w:szCs w:val="28"/>
        </w:rPr>
        <w:t>.2. </w:t>
      </w:r>
      <w:r w:rsidR="001E1AC6" w:rsidRPr="00E05674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1E1AC6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zvērtē</w:t>
      </w:r>
      <w:r w:rsidR="001E51B2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1153E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informācijas sistēm</w:t>
      </w:r>
      <w:r w:rsidR="00A73605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ā</w:t>
      </w:r>
      <w:r w:rsidR="001E1AC6" w:rsidRPr="00E056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562BC" w:rsidRPr="00E05674">
        <w:rPr>
          <w:rFonts w:ascii="Times New Roman" w:hAnsi="Times New Roman" w:cs="Times New Roman"/>
          <w:color w:val="auto"/>
          <w:sz w:val="28"/>
          <w:szCs w:val="28"/>
        </w:rPr>
        <w:t xml:space="preserve">iekļauto </w:t>
      </w:r>
      <w:r w:rsidR="001E1AC6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informāciju</w:t>
      </w:r>
      <w:r w:rsidR="009D79FC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par </w:t>
      </w:r>
      <w:r w:rsidR="00B771DA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zinātnisko </w:t>
      </w:r>
      <w:r w:rsidR="009D79FC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institūciju</w:t>
      </w:r>
      <w:r w:rsidR="00D719BD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4562BC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7515621D" w14:textId="716E7139" w:rsidR="0091153E" w:rsidRPr="00E05674" w:rsidRDefault="00446761" w:rsidP="0019779D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E05674">
        <w:rPr>
          <w:color w:val="auto"/>
          <w:sz w:val="28"/>
          <w:szCs w:val="28"/>
        </w:rPr>
        <w:t>9</w:t>
      </w:r>
      <w:r w:rsidR="001E1AC6" w:rsidRPr="00E05674">
        <w:rPr>
          <w:color w:val="auto"/>
          <w:sz w:val="28"/>
          <w:szCs w:val="28"/>
        </w:rPr>
        <w:t>.3</w:t>
      </w:r>
      <w:r w:rsidR="005D1A24" w:rsidRPr="00E05674">
        <w:rPr>
          <w:color w:val="auto"/>
          <w:sz w:val="28"/>
          <w:szCs w:val="28"/>
        </w:rPr>
        <w:t>. </w:t>
      </w:r>
      <w:r w:rsidR="001E1AC6" w:rsidRPr="00E05674">
        <w:rPr>
          <w:color w:val="auto"/>
          <w:sz w:val="28"/>
          <w:szCs w:val="28"/>
        </w:rPr>
        <w:t xml:space="preserve">izvērtē </w:t>
      </w:r>
      <w:r w:rsidR="003D78FA" w:rsidRPr="00E05674">
        <w:rPr>
          <w:i/>
          <w:color w:val="auto"/>
          <w:sz w:val="28"/>
          <w:szCs w:val="28"/>
        </w:rPr>
        <w:t xml:space="preserve">Web </w:t>
      </w:r>
      <w:proofErr w:type="spellStart"/>
      <w:r w:rsidR="003D78FA" w:rsidRPr="00E05674">
        <w:rPr>
          <w:i/>
          <w:color w:val="auto"/>
          <w:sz w:val="28"/>
          <w:szCs w:val="28"/>
        </w:rPr>
        <w:t>of</w:t>
      </w:r>
      <w:proofErr w:type="spellEnd"/>
      <w:r w:rsidR="003D78FA" w:rsidRPr="00E05674">
        <w:rPr>
          <w:i/>
          <w:color w:val="auto"/>
          <w:sz w:val="28"/>
          <w:szCs w:val="28"/>
        </w:rPr>
        <w:t xml:space="preserve"> </w:t>
      </w:r>
      <w:proofErr w:type="spellStart"/>
      <w:r w:rsidR="003D78FA" w:rsidRPr="00E05674">
        <w:rPr>
          <w:i/>
          <w:color w:val="auto"/>
          <w:sz w:val="28"/>
          <w:szCs w:val="28"/>
        </w:rPr>
        <w:t>Science</w:t>
      </w:r>
      <w:proofErr w:type="spellEnd"/>
      <w:r w:rsidR="004311EE" w:rsidRPr="00E05674">
        <w:rPr>
          <w:color w:val="auto"/>
          <w:sz w:val="28"/>
          <w:szCs w:val="28"/>
        </w:rPr>
        <w:t xml:space="preserve">, </w:t>
      </w:r>
      <w:r w:rsidR="003D78FA" w:rsidRPr="00E05674">
        <w:rPr>
          <w:i/>
          <w:color w:val="auto"/>
          <w:sz w:val="28"/>
          <w:szCs w:val="28"/>
        </w:rPr>
        <w:t>SCOPUS</w:t>
      </w:r>
      <w:r w:rsidR="003D78FA" w:rsidRPr="00E05674">
        <w:rPr>
          <w:color w:val="auto"/>
          <w:sz w:val="28"/>
          <w:szCs w:val="28"/>
        </w:rPr>
        <w:t xml:space="preserve"> </w:t>
      </w:r>
      <w:r w:rsidR="004311EE" w:rsidRPr="00E05674">
        <w:rPr>
          <w:color w:val="auto"/>
          <w:sz w:val="28"/>
          <w:szCs w:val="28"/>
        </w:rPr>
        <w:t xml:space="preserve">un citās </w:t>
      </w:r>
      <w:r w:rsidR="000D172C" w:rsidRPr="00E05674">
        <w:rPr>
          <w:color w:val="auto"/>
          <w:sz w:val="28"/>
          <w:szCs w:val="28"/>
        </w:rPr>
        <w:t>zinātniskās</w:t>
      </w:r>
      <w:r w:rsidR="004311EE" w:rsidRPr="00E05674">
        <w:rPr>
          <w:color w:val="auto"/>
          <w:sz w:val="28"/>
          <w:szCs w:val="28"/>
        </w:rPr>
        <w:t xml:space="preserve"> literatūras </w:t>
      </w:r>
      <w:r w:rsidR="003D78FA" w:rsidRPr="00E05674">
        <w:rPr>
          <w:color w:val="auto"/>
          <w:sz w:val="28"/>
          <w:szCs w:val="28"/>
        </w:rPr>
        <w:t xml:space="preserve">datubāzēs </w:t>
      </w:r>
      <w:r w:rsidR="00FE42F7" w:rsidRPr="00E05674">
        <w:rPr>
          <w:color w:val="auto"/>
          <w:sz w:val="28"/>
          <w:szCs w:val="28"/>
        </w:rPr>
        <w:t>pieejamo informāciju</w:t>
      </w:r>
      <w:r w:rsidR="001E1AC6" w:rsidRPr="00E05674">
        <w:rPr>
          <w:color w:val="auto"/>
          <w:sz w:val="28"/>
          <w:szCs w:val="28"/>
        </w:rPr>
        <w:t xml:space="preserve"> </w:t>
      </w:r>
      <w:r w:rsidR="0091153E" w:rsidRPr="00E05674">
        <w:rPr>
          <w:color w:val="auto"/>
          <w:sz w:val="28"/>
          <w:szCs w:val="28"/>
        </w:rPr>
        <w:t xml:space="preserve">un </w:t>
      </w:r>
      <w:proofErr w:type="spellStart"/>
      <w:r w:rsidR="00FE42F7" w:rsidRPr="00E05674">
        <w:rPr>
          <w:color w:val="auto"/>
          <w:sz w:val="28"/>
          <w:szCs w:val="28"/>
        </w:rPr>
        <w:t>bibliometriskās</w:t>
      </w:r>
      <w:proofErr w:type="spellEnd"/>
      <w:r w:rsidR="00FE42F7" w:rsidRPr="00E05674">
        <w:rPr>
          <w:color w:val="auto"/>
          <w:sz w:val="28"/>
          <w:szCs w:val="28"/>
        </w:rPr>
        <w:t xml:space="preserve"> anal</w:t>
      </w:r>
      <w:r w:rsidR="0091153E" w:rsidRPr="00E05674">
        <w:rPr>
          <w:color w:val="auto"/>
          <w:sz w:val="28"/>
          <w:szCs w:val="28"/>
        </w:rPr>
        <w:t>īzes rezultātus</w:t>
      </w:r>
      <w:r w:rsidR="000D0805" w:rsidRPr="00E05674">
        <w:rPr>
          <w:color w:val="auto"/>
          <w:sz w:val="28"/>
          <w:szCs w:val="28"/>
        </w:rPr>
        <w:t>;</w:t>
      </w:r>
    </w:p>
    <w:p w14:paraId="5F222068" w14:textId="4F8824E4" w:rsidR="0091153E" w:rsidRPr="00E05674" w:rsidRDefault="00446761" w:rsidP="0019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8B7190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.4</w:t>
      </w:r>
      <w:r w:rsidR="000D0805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5D1A2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014FF3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īsteno </w:t>
      </w:r>
      <w:r w:rsidR="0097005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klātienes vizītes</w:t>
      </w:r>
      <w:r w:rsidR="00B448D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771DA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zinātniskajā </w:t>
      </w:r>
      <w:r w:rsidR="00222E05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institūcijā</w:t>
      </w:r>
      <w:r w:rsidR="0097005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F0268E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kas ietver</w:t>
      </w:r>
      <w:r w:rsidR="0097005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intervijas</w:t>
      </w:r>
      <w:r w:rsidR="00174608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ar </w:t>
      </w:r>
      <w:r w:rsidR="00014FF3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zinātniskās </w:t>
      </w:r>
      <w:r w:rsidR="00174608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institūcijas darbiniekiem</w:t>
      </w:r>
      <w:r w:rsidR="0097005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un pētniecības infrastruktūras apskat</w:t>
      </w:r>
      <w:r w:rsidR="003A4AA9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i. </w:t>
      </w:r>
      <w:r w:rsidR="003A122B">
        <w:rPr>
          <w:rFonts w:ascii="Times New Roman" w:eastAsia="Times New Roman" w:hAnsi="Times New Roman" w:cs="Times New Roman"/>
          <w:color w:val="auto"/>
          <w:sz w:val="28"/>
          <w:szCs w:val="28"/>
        </w:rPr>
        <w:t>V</w:t>
      </w:r>
      <w:r w:rsidR="002F068B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izīšu laikā </w:t>
      </w:r>
      <w:r w:rsidR="00014FF3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zinātniskā </w:t>
      </w:r>
      <w:r w:rsidR="002F068B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institūcija var papildus organizēt ekspertu grupas intervijas ar </w:t>
      </w:r>
      <w:r w:rsidR="00164F6A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nozar</w:t>
      </w:r>
      <w:r w:rsidR="000268C9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es</w:t>
      </w:r>
      <w:r w:rsidR="00164F6A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ministriju, kuras padotībā ir zinātniskā institūcija</w:t>
      </w:r>
      <w:r w:rsidR="001516AE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2F068B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un </w:t>
      </w:r>
      <w:r w:rsidR="00164F6A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saistīto </w:t>
      </w:r>
      <w:r w:rsidR="002F068B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industriju pārstāvjiem</w:t>
      </w:r>
      <w:r w:rsidR="001233FE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, ņemot vērā zinātniskās institūcijas darbības specifiku</w:t>
      </w:r>
      <w:r w:rsidR="0091153E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14969A9A" w14:textId="6E96507E" w:rsidR="009F46E6" w:rsidRPr="00E05674" w:rsidRDefault="00446761" w:rsidP="0019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8B7190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.5</w:t>
      </w:r>
      <w:r w:rsidR="000D0805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5D1A2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97005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sagatavo </w:t>
      </w:r>
      <w:r w:rsidR="00C4257C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pārskatu par katras </w:t>
      </w:r>
      <w:r w:rsidR="00B771DA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zinātniskās </w:t>
      </w:r>
      <w:r w:rsidR="00C4257C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institūcijas</w:t>
      </w:r>
      <w:r w:rsidR="00B771DA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vai šo noteikumu 15.2.</w:t>
      </w:r>
      <w:r w:rsidR="00D903D4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B771DA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apakšpunktā minētās vērtējamās vienības</w:t>
      </w:r>
      <w:r w:rsidR="00C4257C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novērtējuma rezultātiem</w:t>
      </w:r>
      <w:r w:rsidR="004C47B3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(turpmāk</w:t>
      </w:r>
      <w:r w:rsidR="00D903D4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4C47B3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– pārskats)</w:t>
      </w:r>
      <w:r w:rsidR="00C4257C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08D61C0B" w14:textId="77777777" w:rsidR="009F46E6" w:rsidRPr="00E05674" w:rsidRDefault="009F46E6" w:rsidP="0019779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9A75718" w14:textId="77777777" w:rsidR="00EF5CEF" w:rsidRPr="00E05674" w:rsidRDefault="009F46E6" w:rsidP="0019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10.</w:t>
      </w:r>
      <w:r w:rsidR="003E117C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395BBA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Izpildītājs sadarbībā ar ekspertu grupas vadītājiem</w:t>
      </w:r>
      <w:r w:rsidR="00EF5CEF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14:paraId="17F48F97" w14:textId="34D31131" w:rsidR="00FF2066" w:rsidRPr="00E05674" w:rsidRDefault="00EF5CEF" w:rsidP="0019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10.1.</w:t>
      </w:r>
      <w:r w:rsidR="00D903D4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395BBA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nodrošina </w:t>
      </w:r>
      <w:r w:rsidR="00B771DA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zinātniskajai </w:t>
      </w:r>
      <w:r w:rsidR="00395BBA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institūcijai iespēju iepazīties ar pārskatu un sniegt</w:t>
      </w: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par to</w:t>
      </w:r>
      <w:r w:rsidR="00395BBA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iebildumus un papildinājumus</w:t>
      </w: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10</w:t>
      </w:r>
      <w:r w:rsidR="00D903D4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darbdienu laikā no dienas, kad tai bija nodrošināta iespēja iepazīties ar pārskatu;</w:t>
      </w:r>
      <w:r w:rsidR="00395BBA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079B580B" w14:textId="3CF9BC98" w:rsidR="003D3993" w:rsidRPr="00E05674" w:rsidRDefault="00FF2066" w:rsidP="0019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10.2.</w:t>
      </w:r>
      <w:r w:rsidR="00D903D4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395BBA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pēc saņemto iebildumu un papildinājumu</w:t>
      </w:r>
      <w:r w:rsidR="004C47B3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395BBA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izvērtēšanas</w:t>
      </w:r>
      <w:proofErr w:type="gramEnd"/>
      <w:r w:rsidR="00395BBA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sagatavo katras ekspertu grupas ziņojumu un konsolidēto ziņojumu</w:t>
      </w:r>
      <w:r w:rsidR="003D3993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603F7D2E" w14:textId="77777777" w:rsidR="0042030C" w:rsidRPr="00E05674" w:rsidRDefault="0042030C" w:rsidP="0019779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C96764B" w14:textId="0B79E2FE" w:rsidR="00C828DA" w:rsidRPr="00E05674" w:rsidRDefault="009F46E6" w:rsidP="0019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  <w:r w:rsidR="00562F92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E117C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4762C2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Ministrija</w:t>
      </w:r>
      <w:r w:rsidR="007C2FA3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B771DA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konsultējoties ar </w:t>
      </w:r>
      <w:r w:rsidR="007C2FA3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nozaru ministrij</w:t>
      </w:r>
      <w:r w:rsidR="00B771DA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ām</w:t>
      </w:r>
      <w:r w:rsidR="001A25A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kuru padotībā ir </w:t>
      </w:r>
      <w:r w:rsidR="00B771DA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zinātniskās </w:t>
      </w:r>
      <w:r w:rsidR="001A25A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institūcijas,</w:t>
      </w:r>
      <w:r w:rsidR="007C2FA3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771DA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zinātnisk</w:t>
      </w:r>
      <w:r w:rsidR="00D903D4">
        <w:rPr>
          <w:rFonts w:ascii="Times New Roman" w:eastAsia="Times New Roman" w:hAnsi="Times New Roman" w:cs="Times New Roman"/>
          <w:color w:val="auto"/>
          <w:sz w:val="28"/>
          <w:szCs w:val="28"/>
        </w:rPr>
        <w:t>ās</w:t>
      </w:r>
      <w:r w:rsidR="00B771DA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institūcij</w:t>
      </w:r>
      <w:r w:rsidR="00D903D4">
        <w:rPr>
          <w:rFonts w:ascii="Times New Roman" w:eastAsia="Times New Roman" w:hAnsi="Times New Roman" w:cs="Times New Roman"/>
          <w:color w:val="auto"/>
          <w:sz w:val="28"/>
          <w:szCs w:val="28"/>
        </w:rPr>
        <w:t>as</w:t>
      </w:r>
      <w:r w:rsidR="00B771DA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C2FA3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pārstāvoš</w:t>
      </w:r>
      <w:r w:rsidR="00B771DA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ajām</w:t>
      </w:r>
      <w:r w:rsidR="007C2FA3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organizācij</w:t>
      </w:r>
      <w:r w:rsidR="00B771DA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ām</w:t>
      </w:r>
      <w:r w:rsidR="00D27C13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un Latvijas Zinātnes padom</w:t>
      </w:r>
      <w:r w:rsidR="00B771DA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i</w:t>
      </w:r>
      <w:r w:rsidR="00D27C13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764733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771DA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izstrādā </w:t>
      </w:r>
      <w:r w:rsidR="007C2FA3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un apstiprina pašvērtējuma ziņojuma veidlapu. </w:t>
      </w:r>
    </w:p>
    <w:p w14:paraId="6839026C" w14:textId="77777777" w:rsidR="003023B7" w:rsidRPr="00E05674" w:rsidRDefault="003023B7" w:rsidP="0019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6311330" w14:textId="3F4C2E1D" w:rsidR="0074185B" w:rsidRPr="00E05674" w:rsidRDefault="000F290B" w:rsidP="0019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12.</w:t>
      </w:r>
      <w:r w:rsidR="00962534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971DD5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Ministrija publicē pašvērtējuma ziņojuma veidlapu informācijas sistēmā līdz novērtējuma gada 1. janvārim.</w:t>
      </w:r>
    </w:p>
    <w:p w14:paraId="4F9F87FC" w14:textId="77777777" w:rsidR="0074185B" w:rsidRPr="00E05674" w:rsidRDefault="0074185B" w:rsidP="0019779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A241DFA" w14:textId="7A7F2542" w:rsidR="00CC42BD" w:rsidRPr="00E05674" w:rsidRDefault="009F46E6" w:rsidP="0019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0F290B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AD468B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E117C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0D776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I</w:t>
      </w:r>
      <w:r w:rsidR="00F96370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zpildītājs </w:t>
      </w:r>
      <w:r w:rsidR="003E117C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un </w:t>
      </w:r>
      <w:r w:rsidR="002B120E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zinātniskā</w:t>
      </w:r>
      <w:r w:rsidR="00B771DA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E117C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institūcija</w:t>
      </w:r>
      <w:r w:rsidR="00F96370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nodrošina ekspertu grupai šo noteikumu </w:t>
      </w:r>
      <w:r w:rsidR="009F07FF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F96370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9F07FF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F96370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punktā minēto uzdevumu izpildei</w:t>
      </w:r>
      <w:r w:rsidR="00A2524B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nepieciešamo</w:t>
      </w:r>
      <w:r w:rsidR="003E117C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informāciju un </w:t>
      </w:r>
      <w:r w:rsidR="009625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sniedz </w:t>
      </w:r>
      <w:r w:rsidR="003E117C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organizatorisk</w:t>
      </w:r>
      <w:r w:rsidR="00962534">
        <w:rPr>
          <w:rFonts w:ascii="Times New Roman" w:eastAsia="Times New Roman" w:hAnsi="Times New Roman" w:cs="Times New Roman"/>
          <w:color w:val="auto"/>
          <w:sz w:val="28"/>
          <w:szCs w:val="28"/>
        </w:rPr>
        <w:t>u</w:t>
      </w:r>
      <w:r w:rsidR="003E117C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atbalstu</w:t>
      </w:r>
      <w:r w:rsidR="00F96370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635860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5C7FF1A0" w14:textId="77777777" w:rsidR="00CE68F0" w:rsidRPr="00E05674" w:rsidRDefault="00CE68F0" w:rsidP="0019779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CD4BA49" w14:textId="3AA8AB98" w:rsidR="003D63BF" w:rsidRPr="00E05674" w:rsidRDefault="009F46E6" w:rsidP="0019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0F290B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A2524B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E117C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3F72B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E</w:t>
      </w:r>
      <w:r w:rsidR="006A1286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kspertu grupa</w:t>
      </w:r>
      <w:r w:rsidR="00CC42BD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7F726E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veicot </w:t>
      </w:r>
      <w:r w:rsidR="004562BC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šo </w:t>
      </w:r>
      <w:r w:rsidR="007F726E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notei</w:t>
      </w:r>
      <w:r w:rsidR="003F72B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kumu 9.</w:t>
      </w:r>
      <w:r w:rsidR="00962534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3F72B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punktā minētos uzdevumus, </w:t>
      </w:r>
      <w:r w:rsidR="007F5752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ievēro</w:t>
      </w:r>
      <w:r w:rsidR="00BF177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F5752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šādus</w:t>
      </w:r>
      <w:r w:rsidR="00BF177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448D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vērtēšanas </w:t>
      </w:r>
      <w:r w:rsidR="00BF177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pamatprincip</w:t>
      </w:r>
      <w:r w:rsidR="00CC42BD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us</w:t>
      </w:r>
      <w:r w:rsidR="00907271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(turpmāk – vērtēšanas pamatprincipi)</w:t>
      </w:r>
      <w:r w:rsidR="00BF177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14:paraId="07FB7FCE" w14:textId="326D691E" w:rsidR="003D63BF" w:rsidRPr="00E05674" w:rsidRDefault="009F46E6" w:rsidP="0019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0F290B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BF177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.1.</w:t>
      </w:r>
      <w:r w:rsidR="005D1A2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proofErr w:type="gramStart"/>
      <w:r w:rsidR="00CC42BD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v</w:t>
      </w:r>
      <w:r w:rsidR="00BF177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ērtējot zinātniskās</w:t>
      </w:r>
      <w:proofErr w:type="gramEnd"/>
      <w:r w:rsidR="00BF177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darbības kvalitāti, fundamentāl</w:t>
      </w:r>
      <w:r w:rsidR="00CC42BD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os</w:t>
      </w:r>
      <w:r w:rsidR="00BF177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un lietišķ</w:t>
      </w:r>
      <w:r w:rsidR="00CC42BD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os</w:t>
      </w:r>
      <w:r w:rsidR="006A1286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F177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pētījum</w:t>
      </w:r>
      <w:r w:rsidR="00CC42BD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us</w:t>
      </w:r>
      <w:r w:rsidR="0016790E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F177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vērtē kā vienlīdz nozīmīg</w:t>
      </w:r>
      <w:r w:rsidR="00CC42BD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us;</w:t>
      </w:r>
    </w:p>
    <w:p w14:paraId="5662A9EC" w14:textId="7586DEB9" w:rsidR="003D63BF" w:rsidRPr="00E05674" w:rsidRDefault="009F46E6" w:rsidP="0019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0F290B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BF177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.2.</w:t>
      </w:r>
      <w:r w:rsidR="005D1A2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CC42BD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v</w:t>
      </w:r>
      <w:r w:rsidR="00BF177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ērtējot zinātniskās darbības ietekm</w:t>
      </w:r>
      <w:r w:rsidR="0016790E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i uz attiecīgo zinātnes nozari,</w:t>
      </w:r>
      <w:r w:rsidR="00673809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vērtē tās ie</w:t>
      </w:r>
      <w:r w:rsidR="00393312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tekmi uz saistītajām nozarēm, </w:t>
      </w:r>
      <w:r w:rsidR="00BF177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atbilstīb</w:t>
      </w:r>
      <w:r w:rsidR="007F5752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u</w:t>
      </w:r>
      <w:r w:rsidR="00BF177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valsts zinātnes un tehnoloģijas attīstības</w:t>
      </w:r>
      <w:r w:rsidR="00326ECD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kā arī </w:t>
      </w:r>
      <w:r w:rsidR="0093346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izglītības un </w:t>
      </w:r>
      <w:r w:rsidR="00326ECD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inovācij</w:t>
      </w:r>
      <w:r w:rsidR="00A875A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u attīstības</w:t>
      </w:r>
      <w:r w:rsidR="00BF177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politikas mērķiem;</w:t>
      </w:r>
    </w:p>
    <w:p w14:paraId="221DA365" w14:textId="1731B93E" w:rsidR="003D63BF" w:rsidRPr="00E05674" w:rsidRDefault="009F46E6" w:rsidP="0019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_gjdgxs" w:colFirst="0" w:colLast="0"/>
      <w:bookmarkEnd w:id="1"/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0F290B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BF177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.3.</w:t>
      </w:r>
      <w:r w:rsidR="005D1A2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7F5752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v</w:t>
      </w:r>
      <w:r w:rsidR="00BF177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ērtējot zinātniskās darbības ekonomisko un sociālo ietekmi, vērtē zinātnisko rezultātu potenciāl</w:t>
      </w:r>
      <w:r w:rsidR="007F5752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u</w:t>
      </w:r>
      <w:r w:rsidR="00BF177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veicināt</w:t>
      </w:r>
      <w:r w:rsidR="0093346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augstāko izglītību,</w:t>
      </w:r>
      <w:r w:rsidR="00BF177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sabiedrības vienlīdzību, integrāciju un labklājību,</w:t>
      </w:r>
      <w:r w:rsidR="003722CD" w:rsidRPr="00E056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22CD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sabiedrības veselību,</w:t>
      </w:r>
      <w:r w:rsidR="00BF177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valsts drošību, ilgtspējīgu sociālā</w:t>
      </w:r>
      <w:r w:rsidR="00FC6DCA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s</w:t>
      </w:r>
      <w:r w:rsidR="00BF177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, ekonomiskā</w:t>
      </w:r>
      <w:r w:rsidR="00FC6DCA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s</w:t>
      </w:r>
      <w:r w:rsidR="00BF177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un kultūras </w:t>
      </w:r>
      <w:r w:rsidR="00FC6DCA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jomas </w:t>
      </w:r>
      <w:r w:rsidR="00BF177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attīstību, </w:t>
      </w:r>
      <w:r w:rsidR="004311EE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sabiedrības izpratni </w:t>
      </w:r>
      <w:r w:rsidR="004311EE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par zinātniskās darbības nozīmi, </w:t>
      </w:r>
      <w:r w:rsidR="00BF177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kā arī </w:t>
      </w:r>
      <w:r w:rsidR="00DB2F5B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ietekmi </w:t>
      </w:r>
      <w:r w:rsidR="00BF177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uz Viedās specializācijas stratēģijas mērķu sasniegšanu, prioritāšu un jomu attīstību</w:t>
      </w:r>
      <w:r w:rsidR="007F5752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6612194E" w14:textId="5A8C4BA3" w:rsidR="003D63BF" w:rsidRPr="00E05674" w:rsidRDefault="009F46E6" w:rsidP="0019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0F290B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D05DB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.4.</w:t>
      </w:r>
      <w:r w:rsidR="005D1A2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7F5752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v</w:t>
      </w:r>
      <w:r w:rsidR="00BF177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ērtējot pētniecības </w:t>
      </w:r>
      <w:r w:rsidR="00D66749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infrastruktūru un tās atbilstību zinātniskās institūcijas darbībai</w:t>
      </w:r>
      <w:r w:rsidR="00BF177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DB2F5B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vērtē atbilstību </w:t>
      </w:r>
      <w:r w:rsidR="00D1356B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institucionāl</w:t>
      </w:r>
      <w:r w:rsidR="003E529A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ajai</w:t>
      </w:r>
      <w:r w:rsidR="00D1356B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F177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pārvaldība</w:t>
      </w:r>
      <w:r w:rsidR="007F5752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i</w:t>
      </w:r>
      <w:r w:rsidR="00BF177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040EA6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atvērtās pieejas nodrošināšanai, </w:t>
      </w:r>
      <w:r w:rsidR="00BF177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ilgtermiņa </w:t>
      </w:r>
      <w:r w:rsidR="00D1356B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attīstība</w:t>
      </w:r>
      <w:r w:rsidR="003E529A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i</w:t>
      </w:r>
      <w:r w:rsidR="00BF177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un resursu plānošana</w:t>
      </w:r>
      <w:r w:rsidR="007F5752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i;</w:t>
      </w:r>
    </w:p>
    <w:p w14:paraId="45E57586" w14:textId="614D7D18" w:rsidR="00446761" w:rsidRPr="00E05674" w:rsidRDefault="009F46E6" w:rsidP="0019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0F290B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BF177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.5.</w:t>
      </w:r>
      <w:r w:rsidR="005D1A2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7F5752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v</w:t>
      </w:r>
      <w:r w:rsidR="00BF177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ērtējot </w:t>
      </w:r>
      <w:r w:rsidR="00B771DA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zinātniskās </w:t>
      </w:r>
      <w:r w:rsidR="00BF177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institūcijas attīstības potenciālu, </w:t>
      </w:r>
      <w:r w:rsidR="000B517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vērtē </w:t>
      </w:r>
      <w:r w:rsidR="003E117C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šādus aspektus</w:t>
      </w:r>
      <w:r w:rsidR="007F5752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14:paraId="5EF41767" w14:textId="214E7465" w:rsidR="00C74819" w:rsidRPr="00E05674" w:rsidRDefault="00446761" w:rsidP="0019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0F290B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.5.</w:t>
      </w:r>
      <w:r w:rsidR="002A5378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 </w:t>
      </w:r>
      <w:r w:rsidR="00B771DA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zinātniskās </w:t>
      </w:r>
      <w:r w:rsidR="00BF177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institūcijas nākotnes </w:t>
      </w:r>
      <w:r w:rsidR="008D5B09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vīzija</w:t>
      </w:r>
      <w:r w:rsidR="00C74819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BF177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ta</w:t>
      </w:r>
      <w:r w:rsidR="00962534">
        <w:rPr>
          <w:rFonts w:ascii="Times New Roman" w:eastAsia="Times New Roman" w:hAnsi="Times New Roman" w:cs="Times New Roman"/>
          <w:color w:val="auto"/>
          <w:sz w:val="28"/>
          <w:szCs w:val="28"/>
        </w:rPr>
        <w:t>i</w:t>
      </w:r>
      <w:r w:rsidR="00BF177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skaitā</w:t>
      </w:r>
      <w:r w:rsidR="008D5B09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BF177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cik </w:t>
      </w:r>
      <w:r w:rsidR="00222E05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pamatoti</w:t>
      </w:r>
      <w:r w:rsidR="007F5752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771DA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zinātniskā </w:t>
      </w:r>
      <w:r w:rsidR="00BF177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institūcija</w:t>
      </w:r>
      <w:r w:rsidR="007F5752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ir</w:t>
      </w:r>
      <w:r w:rsidR="00BF177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izvērtē</w:t>
      </w:r>
      <w:r w:rsidR="007F5752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jusi</w:t>
      </w:r>
      <w:r w:rsidR="00BF177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savas stiprās un vājās puses,</w:t>
      </w:r>
      <w:r w:rsidR="00C74819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iespējas un draudus;</w:t>
      </w:r>
    </w:p>
    <w:p w14:paraId="0A9EECC4" w14:textId="2EAFBA5E" w:rsidR="00D70613" w:rsidRPr="00E05674" w:rsidRDefault="00446761" w:rsidP="0019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0F290B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.5.</w:t>
      </w:r>
      <w:r w:rsidR="002A5378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 </w:t>
      </w:r>
      <w:r w:rsidR="00B771DA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zinātniskās </w:t>
      </w:r>
      <w:r w:rsidR="00C74819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institūcijas attīstības </w:t>
      </w:r>
      <w:r w:rsidR="008D5B09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plāns </w:t>
      </w:r>
      <w:r w:rsidR="00C74819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šādu faktoru pārvaldīšanai:</w:t>
      </w:r>
      <w:r w:rsidR="005E1E9D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28AA7921" w14:textId="4973D1F1" w:rsidR="00D70613" w:rsidRPr="00E05674" w:rsidRDefault="00D70613" w:rsidP="0019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0F290B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.5.</w:t>
      </w:r>
      <w:r w:rsidR="002A5378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.1.</w:t>
      </w:r>
      <w:r w:rsidR="00962534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BF177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izvēlēto zinātnisko mēr</w:t>
      </w:r>
      <w:r w:rsidR="005D1A2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ķu </w:t>
      </w:r>
      <w:r w:rsidR="00962534">
        <w:rPr>
          <w:rFonts w:ascii="Times New Roman" w:eastAsia="Times New Roman" w:hAnsi="Times New Roman" w:cs="Times New Roman"/>
          <w:color w:val="auto"/>
          <w:sz w:val="28"/>
          <w:szCs w:val="28"/>
        </w:rPr>
        <w:t>spēja</w:t>
      </w:r>
      <w:r w:rsidR="005D1A2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ietekmēt starptautisko </w:t>
      </w:r>
      <w:r w:rsidR="00BF177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zinātnisko kopie</w:t>
      </w:r>
      <w:r w:rsidR="005E1E9D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nu</w:t>
      </w: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182E494D" w14:textId="2DBA8531" w:rsidR="00D70613" w:rsidRPr="00E05674" w:rsidRDefault="00D70613" w:rsidP="0019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0F290B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.5.</w:t>
      </w:r>
      <w:r w:rsidR="002A5378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230466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962534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D972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spēja </w:t>
      </w:r>
      <w:r w:rsidR="00D97230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uzsāk</w:t>
      </w:r>
      <w:r w:rsidR="00D97230">
        <w:rPr>
          <w:rFonts w:ascii="Times New Roman" w:eastAsia="Times New Roman" w:hAnsi="Times New Roman" w:cs="Times New Roman"/>
          <w:color w:val="auto"/>
          <w:sz w:val="28"/>
          <w:szCs w:val="28"/>
        </w:rPr>
        <w:t>t</w:t>
      </w:r>
      <w:r w:rsidR="00D97230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E1E9D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jaunu</w:t>
      </w:r>
      <w:r w:rsidR="00D97230">
        <w:rPr>
          <w:rFonts w:ascii="Times New Roman" w:eastAsia="Times New Roman" w:hAnsi="Times New Roman" w:cs="Times New Roman"/>
          <w:color w:val="auto"/>
          <w:sz w:val="28"/>
          <w:szCs w:val="28"/>
        </w:rPr>
        <w:t>s</w:t>
      </w:r>
      <w:r w:rsidR="005E1E9D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pētniecības virzienu</w:t>
      </w:r>
      <w:r w:rsidR="00D97230">
        <w:rPr>
          <w:rFonts w:ascii="Times New Roman" w:eastAsia="Times New Roman" w:hAnsi="Times New Roman" w:cs="Times New Roman"/>
          <w:color w:val="auto"/>
          <w:sz w:val="28"/>
          <w:szCs w:val="28"/>
        </w:rPr>
        <w:t>s</w:t>
      </w: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78C3B228" w14:textId="27540DD3" w:rsidR="00D70613" w:rsidRPr="00E05674" w:rsidRDefault="00D70613" w:rsidP="0019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0F290B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.5.</w:t>
      </w:r>
      <w:r w:rsidR="002A5378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230466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962534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D97230">
        <w:rPr>
          <w:rFonts w:ascii="Times New Roman" w:eastAsia="Times New Roman" w:hAnsi="Times New Roman" w:cs="Times New Roman"/>
          <w:color w:val="auto"/>
          <w:sz w:val="28"/>
          <w:szCs w:val="28"/>
        </w:rPr>
        <w:t>spēja</w:t>
      </w:r>
      <w:r w:rsidR="00D97230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D4701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piesaist</w:t>
      </w:r>
      <w:r w:rsidR="006D4701">
        <w:rPr>
          <w:rFonts w:ascii="Times New Roman" w:eastAsia="Times New Roman" w:hAnsi="Times New Roman" w:cs="Times New Roman"/>
          <w:color w:val="auto"/>
          <w:sz w:val="28"/>
          <w:szCs w:val="28"/>
        </w:rPr>
        <w:t>īt</w:t>
      </w:r>
      <w:r w:rsidR="006D4701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F177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stud</w:t>
      </w:r>
      <w:r w:rsidR="008B1123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ējošo</w:t>
      </w:r>
      <w:r w:rsidR="006D4701">
        <w:rPr>
          <w:rFonts w:ascii="Times New Roman" w:eastAsia="Times New Roman" w:hAnsi="Times New Roman" w:cs="Times New Roman"/>
          <w:color w:val="auto"/>
          <w:sz w:val="28"/>
          <w:szCs w:val="28"/>
        </w:rPr>
        <w:t>s</w:t>
      </w: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, doktora grāda pretendentu</w:t>
      </w:r>
      <w:r w:rsidR="006D4701">
        <w:rPr>
          <w:rFonts w:ascii="Times New Roman" w:eastAsia="Times New Roman" w:hAnsi="Times New Roman" w:cs="Times New Roman"/>
          <w:color w:val="auto"/>
          <w:sz w:val="28"/>
          <w:szCs w:val="28"/>
        </w:rPr>
        <w:t>s</w:t>
      </w:r>
      <w:r w:rsidR="005E1E9D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un </w:t>
      </w: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ārvalst</w:t>
      </w:r>
      <w:r w:rsidR="00681A52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u</w:t>
      </w: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B1123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pētnieku</w:t>
      </w:r>
      <w:r w:rsidR="006D4701">
        <w:rPr>
          <w:rFonts w:ascii="Times New Roman" w:eastAsia="Times New Roman" w:hAnsi="Times New Roman" w:cs="Times New Roman"/>
          <w:color w:val="auto"/>
          <w:sz w:val="28"/>
          <w:szCs w:val="28"/>
        </w:rPr>
        <w:t>s</w:t>
      </w: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48B98D44" w14:textId="3E2F4D9F" w:rsidR="00D70613" w:rsidRPr="00E05674" w:rsidRDefault="00D70613" w:rsidP="0019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0F290B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.5.</w:t>
      </w:r>
      <w:r w:rsidR="002A5378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230466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9625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spēja </w:t>
      </w:r>
      <w:r w:rsidR="00BF177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piesaistīt</w:t>
      </w:r>
      <w:r w:rsidR="005E1E9D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finansējumu konkurs</w:t>
      </w:r>
      <w:r w:rsidR="008403F1">
        <w:rPr>
          <w:rFonts w:ascii="Times New Roman" w:eastAsia="Times New Roman" w:hAnsi="Times New Roman" w:cs="Times New Roman"/>
          <w:color w:val="auto"/>
          <w:sz w:val="28"/>
          <w:szCs w:val="28"/>
        </w:rPr>
        <w:t>u</w:t>
      </w:r>
      <w:r w:rsidR="005E1E9D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rezultātā</w:t>
      </w: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5F61A757" w14:textId="6BB6EAE0" w:rsidR="003D63BF" w:rsidRPr="00E05674" w:rsidRDefault="00D70613" w:rsidP="0019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0F290B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.5.</w:t>
      </w:r>
      <w:r w:rsidR="002A5378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230466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962534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ED7936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akadēmiskā personāla starptautiskā konkurētspēja</w:t>
      </w:r>
      <w:r w:rsidR="008403F1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056654A5" w14:textId="0E08A3E3" w:rsidR="006C2E41" w:rsidRPr="00E05674" w:rsidRDefault="006C2E41" w:rsidP="0019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14.6.</w:t>
      </w:r>
      <w:r w:rsidR="008403F1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vērtējot zinātniskās darbības kvalitāti, vērtē zinātniskās institūcijas sadarbību ar darbības jomai atbilstošo tautsaimniecības nozari.</w:t>
      </w:r>
    </w:p>
    <w:p w14:paraId="71C237EE" w14:textId="137C0F09" w:rsidR="000764A3" w:rsidRPr="00E05674" w:rsidRDefault="000764A3" w:rsidP="0019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</w:p>
    <w:p w14:paraId="474685E7" w14:textId="4A17DC0B" w:rsidR="003141B9" w:rsidRPr="00E05674" w:rsidRDefault="00D05DB7" w:rsidP="0019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3849C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8403F1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4A2928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Ekspertu g</w:t>
      </w:r>
      <w:r w:rsidR="00BF177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rupa</w:t>
      </w:r>
      <w:r w:rsidR="003141B9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BF177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141B9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ievērojot vērtēšanas pamatprincipus un pamatojot vērtējumu ekspertu grupas ziņojumā ar iegūto rezultātu kvalitatīvu analīzi:</w:t>
      </w:r>
    </w:p>
    <w:p w14:paraId="421912A9" w14:textId="1802281B" w:rsidR="00DB2F5B" w:rsidRPr="00E05674" w:rsidRDefault="003141B9" w:rsidP="0019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15.1.</w:t>
      </w:r>
      <w:r w:rsidR="008403F1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BF177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piešķir </w:t>
      </w:r>
      <w:r w:rsidR="00B771DA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zinātniskajai </w:t>
      </w:r>
      <w:r w:rsidR="00BF177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institūcijai</w:t>
      </w:r>
      <w:r w:rsidR="003B42C8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F177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vērtējumu</w:t>
      </w:r>
      <w:r w:rsidR="00686C5D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no </w:t>
      </w:r>
      <w:r w:rsidR="008403F1">
        <w:rPr>
          <w:rFonts w:ascii="Times New Roman" w:eastAsia="Times New Roman" w:hAnsi="Times New Roman" w:cs="Times New Roman"/>
          <w:color w:val="auto"/>
          <w:sz w:val="28"/>
          <w:szCs w:val="28"/>
        </w:rPr>
        <w:t>viena</w:t>
      </w:r>
      <w:r w:rsidR="00686C5D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līdz </w:t>
      </w:r>
      <w:r w:rsidR="008403F1">
        <w:rPr>
          <w:rFonts w:ascii="Times New Roman" w:eastAsia="Times New Roman" w:hAnsi="Times New Roman" w:cs="Times New Roman"/>
          <w:color w:val="auto"/>
          <w:sz w:val="28"/>
          <w:szCs w:val="28"/>
        </w:rPr>
        <w:t>pieciem</w:t>
      </w:r>
      <w:r w:rsidR="00686C5D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punktiem;</w:t>
      </w:r>
    </w:p>
    <w:p w14:paraId="3FAC4ABF" w14:textId="0E08BA47" w:rsidR="00CB3AAE" w:rsidRPr="00E05674" w:rsidRDefault="00506207" w:rsidP="0019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green"/>
        </w:rPr>
      </w:pP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15.</w:t>
      </w:r>
      <w:r w:rsidR="00D144BF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8403F1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3B42C8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j</w:t>
      </w:r>
      <w:r w:rsidR="009A28D8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a</w:t>
      </w:r>
      <w:r w:rsidR="00B771DA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zinātniskā</w:t>
      </w:r>
      <w:r w:rsidR="009A28D8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institūcija ir augstskola</w:t>
      </w:r>
      <w:r w:rsidR="00907271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, kuras</w:t>
      </w: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struktūrā ir </w:t>
      </w:r>
      <w:r w:rsidR="003B42C8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vairāk </w:t>
      </w:r>
      <w:r w:rsidR="008403F1">
        <w:rPr>
          <w:rFonts w:ascii="Times New Roman" w:eastAsia="Times New Roman" w:hAnsi="Times New Roman" w:cs="Times New Roman"/>
          <w:color w:val="auto"/>
          <w:sz w:val="28"/>
          <w:szCs w:val="28"/>
        </w:rPr>
        <w:t>ne</w:t>
      </w:r>
      <w:r w:rsidR="003B42C8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kā viena fakultāte</w:t>
      </w:r>
      <w:r w:rsidR="0085069D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D144BF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vērtē </w:t>
      </w:r>
      <w:r w:rsidR="0085069D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katr</w:t>
      </w:r>
      <w:r w:rsidR="008403F1">
        <w:rPr>
          <w:rFonts w:ascii="Times New Roman" w:eastAsia="Times New Roman" w:hAnsi="Times New Roman" w:cs="Times New Roman"/>
          <w:color w:val="auto"/>
          <w:sz w:val="28"/>
          <w:szCs w:val="28"/>
        </w:rPr>
        <w:t>u</w:t>
      </w:r>
      <w:r w:rsidR="00907271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F1CAD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augstskolas </w:t>
      </w:r>
      <w:r w:rsidR="00D97230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vērtējam</w:t>
      </w:r>
      <w:r w:rsidR="00D972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o </w:t>
      </w:r>
      <w:r w:rsidR="00CF2060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vienīb</w:t>
      </w:r>
      <w:r w:rsidR="00907271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u</w:t>
      </w:r>
      <w:r w:rsidR="00D144BF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403F1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atsevišķi </w:t>
      </w:r>
      <w:r w:rsidR="00D144BF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(turpmāk – </w:t>
      </w:r>
      <w:r w:rsidR="002E6338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vērtējam</w:t>
      </w:r>
      <w:r w:rsidR="008403F1">
        <w:rPr>
          <w:rFonts w:ascii="Times New Roman" w:eastAsia="Times New Roman" w:hAnsi="Times New Roman" w:cs="Times New Roman"/>
          <w:color w:val="auto"/>
          <w:sz w:val="28"/>
          <w:szCs w:val="28"/>
        </w:rPr>
        <w:t>ā</w:t>
      </w:r>
      <w:r w:rsidR="00D144BF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vienība)</w:t>
      </w:r>
      <w:r w:rsidR="003141B9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144BF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un </w:t>
      </w:r>
      <w:r w:rsidR="0067118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piešķir</w:t>
      </w:r>
      <w:r w:rsidR="00D144BF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07271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katrai </w:t>
      </w:r>
      <w:r w:rsidR="00D144BF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vērtējamai </w:t>
      </w:r>
      <w:r w:rsidR="00907271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vienībai </w:t>
      </w:r>
      <w:r w:rsidR="007B5A36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vērtējum</w:t>
      </w:r>
      <w:r w:rsidR="0067118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u</w:t>
      </w:r>
      <w:r w:rsidR="007B5A36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879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no </w:t>
      </w:r>
      <w:r w:rsidR="008403F1">
        <w:rPr>
          <w:rFonts w:ascii="Times New Roman" w:eastAsia="Times New Roman" w:hAnsi="Times New Roman" w:cs="Times New Roman"/>
          <w:color w:val="auto"/>
          <w:sz w:val="28"/>
          <w:szCs w:val="28"/>
        </w:rPr>
        <w:t>viena</w:t>
      </w:r>
      <w:r w:rsidR="008403F1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līdz </w:t>
      </w:r>
      <w:r w:rsidR="008403F1">
        <w:rPr>
          <w:rFonts w:ascii="Times New Roman" w:eastAsia="Times New Roman" w:hAnsi="Times New Roman" w:cs="Times New Roman"/>
          <w:color w:val="auto"/>
          <w:sz w:val="28"/>
          <w:szCs w:val="28"/>
        </w:rPr>
        <w:t>pieciem</w:t>
      </w:r>
      <w:r w:rsidR="008403F1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5069D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punktiem</w:t>
      </w:r>
      <w:r w:rsidR="007B5A36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D144BF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Vērtējamo v</w:t>
      </w:r>
      <w:r w:rsidR="0085069D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ienību skaits</w:t>
      </w:r>
      <w:r w:rsidR="002E6338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augstskol</w:t>
      </w:r>
      <w:r w:rsidR="008403F1">
        <w:rPr>
          <w:rFonts w:ascii="Times New Roman" w:eastAsia="Times New Roman" w:hAnsi="Times New Roman" w:cs="Times New Roman"/>
          <w:color w:val="auto"/>
          <w:sz w:val="28"/>
          <w:szCs w:val="28"/>
        </w:rPr>
        <w:t>ā</w:t>
      </w:r>
      <w:r w:rsidR="0085069D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403F1">
        <w:rPr>
          <w:rFonts w:ascii="Times New Roman" w:eastAsia="Times New Roman" w:hAnsi="Times New Roman" w:cs="Times New Roman"/>
          <w:color w:val="auto"/>
          <w:sz w:val="28"/>
          <w:szCs w:val="28"/>
        </w:rPr>
        <w:t>nepārsniedz</w:t>
      </w:r>
      <w:r w:rsidR="00EB1B7C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5069D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augstskolas fakultāšu skait</w:t>
      </w:r>
      <w:r w:rsidR="008403F1">
        <w:rPr>
          <w:rFonts w:ascii="Times New Roman" w:eastAsia="Times New Roman" w:hAnsi="Times New Roman" w:cs="Times New Roman"/>
          <w:color w:val="auto"/>
          <w:sz w:val="28"/>
          <w:szCs w:val="28"/>
        </w:rPr>
        <w:t>u</w:t>
      </w:r>
      <w:r w:rsidR="00B2139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131DCC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Vērtējamās </w:t>
      </w:r>
      <w:r w:rsidR="00651130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vienības </w:t>
      </w:r>
      <w:r w:rsidR="00131DCC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aptver visu </w:t>
      </w:r>
      <w:r w:rsidR="007B5A3D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augstskolas kā </w:t>
      </w:r>
      <w:r w:rsidR="00B771DA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zinātniskās </w:t>
      </w:r>
      <w:r w:rsidR="00131DCC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institūcijas zinātnisko darbību</w:t>
      </w:r>
      <w:r w:rsidR="00B2139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85069D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Augstskola </w:t>
      </w:r>
      <w:r w:rsidR="007B5A36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patstāvīgi</w:t>
      </w:r>
      <w:r w:rsidR="0085069D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nosaka</w:t>
      </w:r>
      <w:r w:rsidR="003141B9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144BF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vērtējamo </w:t>
      </w:r>
      <w:r w:rsidR="003141B9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vienību veidu</w:t>
      </w:r>
      <w:r w:rsidR="007123B1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5069D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7B5A36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piemēram, </w:t>
      </w:r>
      <w:r w:rsidR="0085069D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fakultātes, </w:t>
      </w:r>
      <w:r w:rsidR="00CF2060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pētniecības platformas</w:t>
      </w:r>
      <w:r w:rsidR="00907271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, centri</w:t>
      </w:r>
      <w:r w:rsidR="0085069D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), </w:t>
      </w:r>
      <w:r w:rsidR="007B5A36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ievērojot</w:t>
      </w:r>
      <w:r w:rsidR="0067118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nosacījumu</w:t>
      </w:r>
      <w:r w:rsidR="0085069D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, ka</w:t>
      </w:r>
      <w:r w:rsidR="003B5C05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5069D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visas</w:t>
      </w:r>
      <w:r w:rsidR="00935BDC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25DA1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vērtējamās</w:t>
      </w:r>
      <w:r w:rsidR="0085069D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vienības ir viena veida</w:t>
      </w:r>
      <w:r w:rsidR="00CF2060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kā arī </w:t>
      </w:r>
      <w:r w:rsidR="002E6338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nosaka </w:t>
      </w:r>
      <w:r w:rsidR="00CF2060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vērtējam</w:t>
      </w:r>
      <w:r w:rsidR="002E6338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ai </w:t>
      </w:r>
      <w:r w:rsidR="00CF2060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vienība</w:t>
      </w:r>
      <w:r w:rsidR="002E6338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i nepieciešamo šo noteikumu 6.1.</w:t>
      </w:r>
      <w:r w:rsidR="008403F1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2E6338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apakšpunktā </w:t>
      </w:r>
      <w:r w:rsidR="00627BF1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noteikto</w:t>
      </w:r>
      <w:r w:rsidR="002E6338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27BF1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ekspertu grupu. </w:t>
      </w:r>
    </w:p>
    <w:p w14:paraId="58B9BAC9" w14:textId="77777777" w:rsidR="00506207" w:rsidRPr="00E05674" w:rsidRDefault="00506207" w:rsidP="0019779D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46073FB" w14:textId="2FB5EA92" w:rsidR="00506207" w:rsidRPr="00E05674" w:rsidRDefault="00D144BF" w:rsidP="0019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16.</w:t>
      </w:r>
      <w:r w:rsidR="008403F1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B771DA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Z</w:t>
      </w:r>
      <w:r w:rsidR="0093346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inātniskā</w:t>
      </w:r>
      <w:r w:rsidR="00B771DA" w:rsidRPr="00E05674" w:rsidDel="00B771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771DA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i</w:t>
      </w:r>
      <w:r w:rsidR="007438BF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nstitūcija </w:t>
      </w:r>
      <w:r w:rsidR="008403F1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līdz novērtējuma gada 1.</w:t>
      </w:r>
      <w:r w:rsidR="00837186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8403F1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janvārim </w:t>
      </w:r>
      <w:r w:rsidR="007438BF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rakstveidā paziņo ministrijai par </w:t>
      </w:r>
      <w:r w:rsidR="00837186">
        <w:rPr>
          <w:rFonts w:ascii="Times New Roman" w:eastAsia="Times New Roman" w:hAnsi="Times New Roman" w:cs="Times New Roman"/>
          <w:color w:val="auto"/>
          <w:sz w:val="28"/>
          <w:szCs w:val="28"/>
        </w:rPr>
        <w:t>institūcija</w:t>
      </w:r>
      <w:r w:rsidR="007438BF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s atbilstību zinātnes nozar</w:t>
      </w:r>
      <w:r w:rsidR="007B7B7C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ēm</w:t>
      </w:r>
      <w:r w:rsidR="00DB5E7D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, ievērojot normatīvo regulējumu par Latvijas zinātnes nozarēm un apakšnozarēm</w:t>
      </w:r>
      <w:r w:rsidR="007438BF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6FF2A637" w14:textId="77777777" w:rsidR="00326ECD" w:rsidRPr="00E05674" w:rsidRDefault="00326ECD" w:rsidP="0019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586C3C5" w14:textId="738B4B6E" w:rsidR="008E7ABC" w:rsidRPr="00E05674" w:rsidRDefault="00003D3B" w:rsidP="0019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17.</w:t>
      </w:r>
      <w:r w:rsidR="00837186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93346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Zinātniskā</w:t>
      </w:r>
      <w:r w:rsidR="00933467" w:rsidRPr="00E05674" w:rsidDel="00B771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3346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i</w:t>
      </w:r>
      <w:r w:rsidR="007438BF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nstitūcija, kas ir augstskola un </w:t>
      </w:r>
      <w:r w:rsidR="00F3457A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kuras</w:t>
      </w:r>
      <w:r w:rsidR="007438BF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struktūrā ir fakultātes, </w:t>
      </w:r>
      <w:r w:rsidR="00837186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līdz novērtējuma gada 1.</w:t>
      </w:r>
      <w:r w:rsidR="00837186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837186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janvārim </w:t>
      </w:r>
      <w:r w:rsidR="007438BF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rakstveidā paziņo ministrijai par plānoto vērtējamo vienību skaitu un katras vērtējamās vienības atbilstību zinātnes </w:t>
      </w:r>
      <w:r w:rsidR="0093346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nozarēm</w:t>
      </w:r>
      <w:r w:rsidR="007438BF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, ievērojot normatīvo regulējumu par Latvijas zinātnes nozarēm un apakšnozarēm</w:t>
      </w:r>
      <w:r w:rsidR="004C47B3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683F87DC" w14:textId="6C333375" w:rsidR="00506207" w:rsidRPr="00E05674" w:rsidRDefault="00673809" w:rsidP="0019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18</w:t>
      </w:r>
      <w:r w:rsidR="002E6338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55391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93346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Zinātniskā</w:t>
      </w:r>
      <w:r w:rsidR="00933467" w:rsidRPr="00E05674" w:rsidDel="00B771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3346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i</w:t>
      </w:r>
      <w:r w:rsidR="00971DD5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nstitūcija</w:t>
      </w:r>
      <w:r w:rsidR="004C47B3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aizpildītu pašvērtējuma ziņojumu un</w:t>
      </w:r>
      <w:r w:rsidR="00F0429B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3346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zinātniskā</w:t>
      </w:r>
      <w:r w:rsidR="00933467" w:rsidRPr="00E05674" w:rsidDel="00B771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3346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i</w:t>
      </w:r>
      <w:r w:rsidR="0050620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nstitūcija, kas ir augstskola </w:t>
      </w:r>
      <w:r w:rsidR="002D3EB5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un </w:t>
      </w:r>
      <w:r w:rsidR="00F3457A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kuras</w:t>
      </w:r>
      <w:r w:rsidR="002D3EB5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struktūrā ir vairāk </w:t>
      </w:r>
      <w:r w:rsidR="00553912">
        <w:rPr>
          <w:rFonts w:ascii="Times New Roman" w:eastAsia="Times New Roman" w:hAnsi="Times New Roman" w:cs="Times New Roman"/>
          <w:color w:val="auto"/>
          <w:sz w:val="28"/>
          <w:szCs w:val="28"/>
        </w:rPr>
        <w:t>ne</w:t>
      </w:r>
      <w:r w:rsidR="002D3EB5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kā viena fakultāte</w:t>
      </w:r>
      <w:r w:rsidR="0050620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, aizpildītu pašvērtējuma ziņojumu par katru vērtējamo vienību iesniedz informācijas sistēmā līdz novērtējuma gada 30</w:t>
      </w:r>
      <w:r w:rsidR="00003D3B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 </w:t>
      </w:r>
      <w:r w:rsidR="0050620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aprīlim.</w:t>
      </w:r>
    </w:p>
    <w:p w14:paraId="6CFD9052" w14:textId="77777777" w:rsidR="00913B04" w:rsidRPr="00E05674" w:rsidRDefault="00913B04" w:rsidP="0019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" w:name="32351"/>
      <w:bookmarkEnd w:id="2"/>
    </w:p>
    <w:p w14:paraId="56969DD0" w14:textId="0E9A4B0E" w:rsidR="00913B04" w:rsidRPr="00E05674" w:rsidRDefault="00933467" w:rsidP="0019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19</w:t>
      </w:r>
      <w:r w:rsidR="00913B0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55391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913B0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Novērtējuma īstenošanai 2019.</w:t>
      </w:r>
      <w:r w:rsidR="0055391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913B0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gadā </w:t>
      </w: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zinātniskā</w:t>
      </w:r>
      <w:r w:rsidRPr="00E05674" w:rsidDel="00B771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13B0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institūcija </w:t>
      </w:r>
      <w:r w:rsidR="00553912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līdz 2018.</w:t>
      </w:r>
      <w:r w:rsidR="0055391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553912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gada 1.</w:t>
      </w:r>
      <w:r w:rsidR="0055391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553912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novembrim </w:t>
      </w:r>
      <w:r w:rsidR="00913B0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rakstveidā paziņo ministrijai par </w:t>
      </w:r>
      <w:r w:rsidR="00553912">
        <w:rPr>
          <w:rFonts w:ascii="Times New Roman" w:eastAsia="Times New Roman" w:hAnsi="Times New Roman" w:cs="Times New Roman"/>
          <w:color w:val="auto"/>
          <w:sz w:val="28"/>
          <w:szCs w:val="28"/>
        </w:rPr>
        <w:t>institūcija</w:t>
      </w:r>
      <w:r w:rsidR="00913B0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s </w:t>
      </w:r>
      <w:r w:rsidR="001A25A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atbilstību zinātnes </w:t>
      </w: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nozarēm</w:t>
      </w:r>
      <w:r w:rsidR="001A25A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, ievērojot normatīvo regulējumu par Latvijas zinātnes nozarēm un apakšnozarēm</w:t>
      </w:r>
      <w:r w:rsidR="007B5A3D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4FF24CF1" w14:textId="77777777" w:rsidR="00913B04" w:rsidRPr="00E05674" w:rsidRDefault="00913B04" w:rsidP="0019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14:paraId="7508824A" w14:textId="0B2FF2F5" w:rsidR="00913B04" w:rsidRPr="00E05674" w:rsidRDefault="00913B04" w:rsidP="0019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93346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55391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Novērtējuma īstenošanai 2019.</w:t>
      </w:r>
      <w:r w:rsidR="0055391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gadā </w:t>
      </w:r>
      <w:r w:rsidR="00933467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zinātniskā</w:t>
      </w:r>
      <w:r w:rsidR="00933467" w:rsidRPr="00E05674" w:rsidDel="00B771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institūcija, kas ir augstskola un </w:t>
      </w:r>
      <w:r w:rsidR="00F3457A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kuras</w:t>
      </w: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struktūrā ir fakultātes, </w:t>
      </w:r>
      <w:r w:rsidR="00553912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līdz 2018.</w:t>
      </w:r>
      <w:r w:rsidR="0055391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553912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gada 1.</w:t>
      </w:r>
      <w:r w:rsidR="0055391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553912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novembrim </w:t>
      </w: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rakstveidā paziņo ministrijai par plānoto vērtējamo vienību skaitu un katra</w:t>
      </w:r>
      <w:r w:rsidR="001A25A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s</w:t>
      </w:r>
      <w:r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vērtējam</w:t>
      </w:r>
      <w:r w:rsidR="001A25A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ās vienības atbilstību zinātnes </w:t>
      </w:r>
      <w:r w:rsidR="002B120E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nozarēm</w:t>
      </w:r>
      <w:r w:rsidR="001A25A4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, ievērojot normatīvo regulējumu par Latvijas zinātnes nozarēm un apakšnozarēm</w:t>
      </w:r>
      <w:r w:rsidR="00F0429B" w:rsidRPr="00E0567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36F4C84A" w14:textId="77777777" w:rsidR="004E0A60" w:rsidRPr="00E05674" w:rsidRDefault="004E0A60" w:rsidP="001977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7B48191" w14:textId="77777777" w:rsidR="004E0A60" w:rsidRPr="00E05674" w:rsidRDefault="004E0A60" w:rsidP="004E0A6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2DB8AD8" w14:textId="77777777" w:rsidR="004E0A60" w:rsidRPr="00E05674" w:rsidRDefault="004E0A60" w:rsidP="004E0A6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FB377B7" w14:textId="0AE68D9A" w:rsidR="004E0A60" w:rsidRPr="00E05674" w:rsidRDefault="004E0A60" w:rsidP="00553912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05674">
        <w:rPr>
          <w:sz w:val="28"/>
          <w:szCs w:val="28"/>
        </w:rPr>
        <w:t>Ministru prezidents</w:t>
      </w:r>
      <w:r w:rsidRPr="00E05674">
        <w:rPr>
          <w:sz w:val="28"/>
          <w:szCs w:val="28"/>
        </w:rPr>
        <w:tab/>
        <w:t xml:space="preserve">Māris Kučinskis </w:t>
      </w:r>
    </w:p>
    <w:p w14:paraId="6304722F" w14:textId="77777777" w:rsidR="004E0A60" w:rsidRPr="00E05674" w:rsidRDefault="004E0A60" w:rsidP="00553912">
      <w:pPr>
        <w:pStyle w:val="naisf"/>
        <w:tabs>
          <w:tab w:val="left" w:pos="6804"/>
          <w:tab w:val="right" w:pos="9000"/>
        </w:tabs>
        <w:spacing w:before="0" w:after="0"/>
        <w:rPr>
          <w:sz w:val="28"/>
          <w:szCs w:val="28"/>
        </w:rPr>
      </w:pPr>
    </w:p>
    <w:p w14:paraId="3C9D5296" w14:textId="77777777" w:rsidR="004E0A60" w:rsidRPr="00E05674" w:rsidRDefault="004E0A60" w:rsidP="00553912">
      <w:pPr>
        <w:pStyle w:val="naisf"/>
        <w:tabs>
          <w:tab w:val="left" w:pos="6804"/>
          <w:tab w:val="right" w:pos="9000"/>
        </w:tabs>
        <w:spacing w:before="0" w:after="0"/>
        <w:rPr>
          <w:sz w:val="28"/>
          <w:szCs w:val="28"/>
        </w:rPr>
      </w:pPr>
    </w:p>
    <w:p w14:paraId="7A761257" w14:textId="77777777" w:rsidR="004E0A60" w:rsidRPr="00E05674" w:rsidRDefault="004E0A60" w:rsidP="00553912">
      <w:pPr>
        <w:pStyle w:val="naisf"/>
        <w:tabs>
          <w:tab w:val="left" w:pos="6804"/>
          <w:tab w:val="right" w:pos="9000"/>
        </w:tabs>
        <w:spacing w:before="0" w:after="0"/>
        <w:rPr>
          <w:sz w:val="28"/>
          <w:szCs w:val="28"/>
        </w:rPr>
      </w:pPr>
    </w:p>
    <w:p w14:paraId="1EAA893F" w14:textId="77777777" w:rsidR="004E0A60" w:rsidRPr="00E05674" w:rsidRDefault="004E0A60" w:rsidP="00553912">
      <w:pPr>
        <w:tabs>
          <w:tab w:val="left" w:pos="6804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05674">
        <w:rPr>
          <w:rFonts w:ascii="Times New Roman" w:hAnsi="Times New Roman" w:cs="Times New Roman"/>
          <w:color w:val="auto"/>
          <w:sz w:val="28"/>
          <w:szCs w:val="28"/>
        </w:rPr>
        <w:t>Izglītības un zinātnes ministrs</w:t>
      </w:r>
      <w:r w:rsidRPr="00E05674">
        <w:rPr>
          <w:rFonts w:ascii="Times New Roman" w:hAnsi="Times New Roman" w:cs="Times New Roman"/>
          <w:color w:val="auto"/>
          <w:sz w:val="28"/>
          <w:szCs w:val="28"/>
        </w:rPr>
        <w:tab/>
        <w:t>Kārlis Šadurskis</w:t>
      </w:r>
    </w:p>
    <w:sectPr w:rsidR="004E0A60" w:rsidRPr="00E05674" w:rsidSect="004E0A6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E805A" w14:textId="77777777" w:rsidR="00866BF6" w:rsidRDefault="00866BF6" w:rsidP="007B26D5">
      <w:pPr>
        <w:spacing w:after="0" w:line="240" w:lineRule="auto"/>
      </w:pPr>
      <w:r>
        <w:separator/>
      </w:r>
    </w:p>
  </w:endnote>
  <w:endnote w:type="continuationSeparator" w:id="0">
    <w:p w14:paraId="797502BF" w14:textId="77777777" w:rsidR="00866BF6" w:rsidRDefault="00866BF6" w:rsidP="007B26D5">
      <w:pPr>
        <w:spacing w:after="0" w:line="240" w:lineRule="auto"/>
      </w:pPr>
      <w:r>
        <w:continuationSeparator/>
      </w:r>
    </w:p>
  </w:endnote>
  <w:endnote w:type="continuationNotice" w:id="1">
    <w:p w14:paraId="630F94CB" w14:textId="77777777" w:rsidR="00866BF6" w:rsidRDefault="00866B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DC7AD" w14:textId="77777777" w:rsidR="004E0A60" w:rsidRPr="004E0A60" w:rsidRDefault="004E0A60" w:rsidP="004E0A60">
    <w:pPr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N1960_8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ADBD" w14:textId="41140B25" w:rsidR="00EB3B09" w:rsidRPr="004E0A60" w:rsidRDefault="004E0A60" w:rsidP="00EB3B09">
    <w:pPr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N1960_8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B7904" w14:textId="77777777" w:rsidR="00866BF6" w:rsidRDefault="00866BF6" w:rsidP="007B26D5">
      <w:pPr>
        <w:spacing w:after="0" w:line="240" w:lineRule="auto"/>
      </w:pPr>
      <w:r>
        <w:separator/>
      </w:r>
    </w:p>
  </w:footnote>
  <w:footnote w:type="continuationSeparator" w:id="0">
    <w:p w14:paraId="384C10DB" w14:textId="77777777" w:rsidR="00866BF6" w:rsidRDefault="00866BF6" w:rsidP="007B26D5">
      <w:pPr>
        <w:spacing w:after="0" w:line="240" w:lineRule="auto"/>
      </w:pPr>
      <w:r>
        <w:continuationSeparator/>
      </w:r>
    </w:p>
  </w:footnote>
  <w:footnote w:type="continuationNotice" w:id="1">
    <w:p w14:paraId="0E44823B" w14:textId="77777777" w:rsidR="00866BF6" w:rsidRDefault="00866B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FA9E9" w14:textId="4103FFB1" w:rsidR="009F07FF" w:rsidRPr="009A4197" w:rsidRDefault="00B97466">
    <w:pPr>
      <w:pStyle w:val="Header"/>
      <w:jc w:val="center"/>
      <w:rPr>
        <w:rFonts w:ascii="Times New Roman" w:hAnsi="Times New Roman" w:cs="Times New Roman"/>
        <w:sz w:val="24"/>
        <w:szCs w:val="24"/>
      </w:rPr>
    </w:pPr>
    <w:sdt>
      <w:sdtPr>
        <w:id w:val="-449312147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</w:rPr>
      </w:sdtEndPr>
      <w:sdtContent>
        <w:r w:rsidR="009F07FF" w:rsidRPr="009A41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F07FF" w:rsidRPr="009A41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9F07FF" w:rsidRPr="009A41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515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="009F07FF" w:rsidRPr="009A419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087A7" w14:textId="639B6B9E" w:rsidR="004E0A60" w:rsidRDefault="004E0A60">
    <w:pPr>
      <w:pStyle w:val="Header"/>
      <w:rPr>
        <w:rFonts w:ascii="Times New Roman" w:hAnsi="Times New Roman" w:cs="Times New Roman"/>
        <w:sz w:val="24"/>
        <w:szCs w:val="24"/>
      </w:rPr>
    </w:pPr>
  </w:p>
  <w:p w14:paraId="377895A8" w14:textId="606B11A6" w:rsidR="004E0A60" w:rsidRPr="00A142D0" w:rsidRDefault="004E0A60" w:rsidP="00501350">
    <w:pPr>
      <w:pStyle w:val="Header"/>
    </w:pPr>
    <w:r>
      <w:rPr>
        <w:noProof/>
      </w:rPr>
      <w:drawing>
        <wp:inline distT="0" distB="0" distL="0" distR="0" wp14:anchorId="5FE6E1FD" wp14:editId="16CD6367">
          <wp:extent cx="5918835" cy="1036320"/>
          <wp:effectExtent l="0" t="0" r="0" b="0"/>
          <wp:docPr id="3" name="Picture 3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83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3FFF"/>
    <w:multiLevelType w:val="hybridMultilevel"/>
    <w:tmpl w:val="5CBC280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82896"/>
    <w:multiLevelType w:val="hybridMultilevel"/>
    <w:tmpl w:val="BD90F086"/>
    <w:lvl w:ilvl="0" w:tplc="4BC2DAEA">
      <w:start w:val="1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zNDC0NLI0NjeyMDdW0lEKTi0uzszPAykwrAUAgBaaDywAAAA="/>
  </w:docVars>
  <w:rsids>
    <w:rsidRoot w:val="003D63BF"/>
    <w:rsid w:val="00001094"/>
    <w:rsid w:val="00003681"/>
    <w:rsid w:val="00003D3B"/>
    <w:rsid w:val="000043FB"/>
    <w:rsid w:val="00005B81"/>
    <w:rsid w:val="00014790"/>
    <w:rsid w:val="00014B84"/>
    <w:rsid w:val="00014FF3"/>
    <w:rsid w:val="000268C9"/>
    <w:rsid w:val="00027839"/>
    <w:rsid w:val="0003111B"/>
    <w:rsid w:val="0003526D"/>
    <w:rsid w:val="00040695"/>
    <w:rsid w:val="00040EA6"/>
    <w:rsid w:val="00044693"/>
    <w:rsid w:val="00047E9A"/>
    <w:rsid w:val="000501DE"/>
    <w:rsid w:val="0005035E"/>
    <w:rsid w:val="0005402F"/>
    <w:rsid w:val="00054339"/>
    <w:rsid w:val="000764A3"/>
    <w:rsid w:val="00081FF0"/>
    <w:rsid w:val="00082E9D"/>
    <w:rsid w:val="00083349"/>
    <w:rsid w:val="0009676D"/>
    <w:rsid w:val="000A36F7"/>
    <w:rsid w:val="000A7B2A"/>
    <w:rsid w:val="000B422B"/>
    <w:rsid w:val="000B5174"/>
    <w:rsid w:val="000D0805"/>
    <w:rsid w:val="000D172C"/>
    <w:rsid w:val="000D4AA4"/>
    <w:rsid w:val="000D7764"/>
    <w:rsid w:val="000E09FE"/>
    <w:rsid w:val="000E1314"/>
    <w:rsid w:val="000F290B"/>
    <w:rsid w:val="000F2F54"/>
    <w:rsid w:val="000F4268"/>
    <w:rsid w:val="000F520F"/>
    <w:rsid w:val="000F6DE3"/>
    <w:rsid w:val="00100CE8"/>
    <w:rsid w:val="00100F1D"/>
    <w:rsid w:val="00113477"/>
    <w:rsid w:val="00115DCB"/>
    <w:rsid w:val="001167E5"/>
    <w:rsid w:val="00121D46"/>
    <w:rsid w:val="001233FE"/>
    <w:rsid w:val="00125E2F"/>
    <w:rsid w:val="001306BA"/>
    <w:rsid w:val="00131DCC"/>
    <w:rsid w:val="00132622"/>
    <w:rsid w:val="00132DE3"/>
    <w:rsid w:val="00133044"/>
    <w:rsid w:val="001470A5"/>
    <w:rsid w:val="001516AE"/>
    <w:rsid w:val="00164F6A"/>
    <w:rsid w:val="0016606E"/>
    <w:rsid w:val="0016647B"/>
    <w:rsid w:val="0016790E"/>
    <w:rsid w:val="00172BE2"/>
    <w:rsid w:val="00174608"/>
    <w:rsid w:val="00174778"/>
    <w:rsid w:val="00196969"/>
    <w:rsid w:val="00196F5C"/>
    <w:rsid w:val="0019779D"/>
    <w:rsid w:val="001A1249"/>
    <w:rsid w:val="001A25A4"/>
    <w:rsid w:val="001B5B49"/>
    <w:rsid w:val="001C458A"/>
    <w:rsid w:val="001C6EB2"/>
    <w:rsid w:val="001D349A"/>
    <w:rsid w:val="001E1AC6"/>
    <w:rsid w:val="001E33E2"/>
    <w:rsid w:val="001E421E"/>
    <w:rsid w:val="001E51B2"/>
    <w:rsid w:val="001F5458"/>
    <w:rsid w:val="001F6202"/>
    <w:rsid w:val="00203B37"/>
    <w:rsid w:val="00214951"/>
    <w:rsid w:val="00216583"/>
    <w:rsid w:val="00222E05"/>
    <w:rsid w:val="0023023E"/>
    <w:rsid w:val="00230466"/>
    <w:rsid w:val="00235640"/>
    <w:rsid w:val="0024185E"/>
    <w:rsid w:val="002611B9"/>
    <w:rsid w:val="00272A57"/>
    <w:rsid w:val="00275DC2"/>
    <w:rsid w:val="0028338D"/>
    <w:rsid w:val="002866A3"/>
    <w:rsid w:val="00290AFE"/>
    <w:rsid w:val="00292B2B"/>
    <w:rsid w:val="00293A83"/>
    <w:rsid w:val="002A123A"/>
    <w:rsid w:val="002A4A65"/>
    <w:rsid w:val="002A5378"/>
    <w:rsid w:val="002B08B0"/>
    <w:rsid w:val="002B0F01"/>
    <w:rsid w:val="002B120E"/>
    <w:rsid w:val="002B32C6"/>
    <w:rsid w:val="002D2B67"/>
    <w:rsid w:val="002D3EB5"/>
    <w:rsid w:val="002E0794"/>
    <w:rsid w:val="002E1028"/>
    <w:rsid w:val="002E6338"/>
    <w:rsid w:val="002F068B"/>
    <w:rsid w:val="003023B7"/>
    <w:rsid w:val="003055B7"/>
    <w:rsid w:val="003141B9"/>
    <w:rsid w:val="00317635"/>
    <w:rsid w:val="00326ECD"/>
    <w:rsid w:val="003305BB"/>
    <w:rsid w:val="00332A42"/>
    <w:rsid w:val="00340383"/>
    <w:rsid w:val="00341D09"/>
    <w:rsid w:val="0035065A"/>
    <w:rsid w:val="00351CF4"/>
    <w:rsid w:val="0035475D"/>
    <w:rsid w:val="00354E44"/>
    <w:rsid w:val="00361A39"/>
    <w:rsid w:val="00362E66"/>
    <w:rsid w:val="00366F94"/>
    <w:rsid w:val="003722CD"/>
    <w:rsid w:val="003765DE"/>
    <w:rsid w:val="003849C4"/>
    <w:rsid w:val="00393312"/>
    <w:rsid w:val="0039400F"/>
    <w:rsid w:val="00395BBA"/>
    <w:rsid w:val="003A122B"/>
    <w:rsid w:val="003A4AA9"/>
    <w:rsid w:val="003B42C8"/>
    <w:rsid w:val="003B5C05"/>
    <w:rsid w:val="003B647B"/>
    <w:rsid w:val="003D3993"/>
    <w:rsid w:val="003D63BF"/>
    <w:rsid w:val="003D78FA"/>
    <w:rsid w:val="003D7D7B"/>
    <w:rsid w:val="003E117C"/>
    <w:rsid w:val="003E38B4"/>
    <w:rsid w:val="003E529A"/>
    <w:rsid w:val="003F1CAD"/>
    <w:rsid w:val="003F3986"/>
    <w:rsid w:val="003F68E1"/>
    <w:rsid w:val="003F72B4"/>
    <w:rsid w:val="00410E3E"/>
    <w:rsid w:val="00411A82"/>
    <w:rsid w:val="00417506"/>
    <w:rsid w:val="0042030C"/>
    <w:rsid w:val="004311EE"/>
    <w:rsid w:val="00444240"/>
    <w:rsid w:val="00446761"/>
    <w:rsid w:val="004524C3"/>
    <w:rsid w:val="004562BC"/>
    <w:rsid w:val="00461EE4"/>
    <w:rsid w:val="004659FC"/>
    <w:rsid w:val="004762C2"/>
    <w:rsid w:val="00476BB1"/>
    <w:rsid w:val="00491794"/>
    <w:rsid w:val="00496472"/>
    <w:rsid w:val="004A1F47"/>
    <w:rsid w:val="004A2928"/>
    <w:rsid w:val="004A6C7D"/>
    <w:rsid w:val="004C47B3"/>
    <w:rsid w:val="004D4A73"/>
    <w:rsid w:val="004E0A60"/>
    <w:rsid w:val="004E1FC6"/>
    <w:rsid w:val="004F3776"/>
    <w:rsid w:val="004F5126"/>
    <w:rsid w:val="00506207"/>
    <w:rsid w:val="0051069C"/>
    <w:rsid w:val="005113F9"/>
    <w:rsid w:val="005238B8"/>
    <w:rsid w:val="00533D5D"/>
    <w:rsid w:val="00545EBE"/>
    <w:rsid w:val="00546F34"/>
    <w:rsid w:val="00547ABD"/>
    <w:rsid w:val="005522E8"/>
    <w:rsid w:val="00553912"/>
    <w:rsid w:val="00556450"/>
    <w:rsid w:val="00562F21"/>
    <w:rsid w:val="00562F92"/>
    <w:rsid w:val="00566E8E"/>
    <w:rsid w:val="005678D9"/>
    <w:rsid w:val="00586F7C"/>
    <w:rsid w:val="005B0F51"/>
    <w:rsid w:val="005B2A30"/>
    <w:rsid w:val="005C1CF6"/>
    <w:rsid w:val="005C45D8"/>
    <w:rsid w:val="005D0EB7"/>
    <w:rsid w:val="005D1A24"/>
    <w:rsid w:val="005D4838"/>
    <w:rsid w:val="005D70A9"/>
    <w:rsid w:val="005E076D"/>
    <w:rsid w:val="005E1E9D"/>
    <w:rsid w:val="005E41E1"/>
    <w:rsid w:val="005E6FB9"/>
    <w:rsid w:val="005F6851"/>
    <w:rsid w:val="00603FC5"/>
    <w:rsid w:val="006048C9"/>
    <w:rsid w:val="0060778E"/>
    <w:rsid w:val="00623319"/>
    <w:rsid w:val="00624A58"/>
    <w:rsid w:val="00625748"/>
    <w:rsid w:val="00627BF1"/>
    <w:rsid w:val="00635860"/>
    <w:rsid w:val="00637473"/>
    <w:rsid w:val="0064251A"/>
    <w:rsid w:val="00646DC6"/>
    <w:rsid w:val="00651130"/>
    <w:rsid w:val="00651CB7"/>
    <w:rsid w:val="006531AE"/>
    <w:rsid w:val="00653B20"/>
    <w:rsid w:val="006549F1"/>
    <w:rsid w:val="0065760F"/>
    <w:rsid w:val="00660576"/>
    <w:rsid w:val="00667737"/>
    <w:rsid w:val="006678D1"/>
    <w:rsid w:val="00671184"/>
    <w:rsid w:val="00673809"/>
    <w:rsid w:val="00681A52"/>
    <w:rsid w:val="00681BFE"/>
    <w:rsid w:val="00686C5D"/>
    <w:rsid w:val="00690D56"/>
    <w:rsid w:val="006A1286"/>
    <w:rsid w:val="006A50BC"/>
    <w:rsid w:val="006B4174"/>
    <w:rsid w:val="006C2E41"/>
    <w:rsid w:val="006C3C8C"/>
    <w:rsid w:val="006D4495"/>
    <w:rsid w:val="006D4701"/>
    <w:rsid w:val="006D6253"/>
    <w:rsid w:val="006E55EA"/>
    <w:rsid w:val="006F4432"/>
    <w:rsid w:val="006F5BAB"/>
    <w:rsid w:val="00703A3D"/>
    <w:rsid w:val="00707AF4"/>
    <w:rsid w:val="007123B1"/>
    <w:rsid w:val="0071326D"/>
    <w:rsid w:val="00725DA1"/>
    <w:rsid w:val="00726D8F"/>
    <w:rsid w:val="007276A3"/>
    <w:rsid w:val="007306A6"/>
    <w:rsid w:val="00740D2F"/>
    <w:rsid w:val="00740D86"/>
    <w:rsid w:val="0074185B"/>
    <w:rsid w:val="007438BF"/>
    <w:rsid w:val="007512F6"/>
    <w:rsid w:val="00753FB1"/>
    <w:rsid w:val="00755B18"/>
    <w:rsid w:val="00757D2C"/>
    <w:rsid w:val="00764733"/>
    <w:rsid w:val="00770A60"/>
    <w:rsid w:val="007719EF"/>
    <w:rsid w:val="00785B44"/>
    <w:rsid w:val="007875E5"/>
    <w:rsid w:val="007929B1"/>
    <w:rsid w:val="00796E8F"/>
    <w:rsid w:val="007A7EB5"/>
    <w:rsid w:val="007B26D5"/>
    <w:rsid w:val="007B2D0B"/>
    <w:rsid w:val="007B44A3"/>
    <w:rsid w:val="007B5A36"/>
    <w:rsid w:val="007B5A3D"/>
    <w:rsid w:val="007B7B7C"/>
    <w:rsid w:val="007C24C4"/>
    <w:rsid w:val="007C2FA3"/>
    <w:rsid w:val="007C40E8"/>
    <w:rsid w:val="007E4099"/>
    <w:rsid w:val="007E79E3"/>
    <w:rsid w:val="007F108A"/>
    <w:rsid w:val="007F5752"/>
    <w:rsid w:val="007F632C"/>
    <w:rsid w:val="007F63E4"/>
    <w:rsid w:val="007F726E"/>
    <w:rsid w:val="00800C43"/>
    <w:rsid w:val="00812492"/>
    <w:rsid w:val="00820DF0"/>
    <w:rsid w:val="008226C8"/>
    <w:rsid w:val="008270B5"/>
    <w:rsid w:val="00835ED7"/>
    <w:rsid w:val="00837186"/>
    <w:rsid w:val="008403F1"/>
    <w:rsid w:val="00840CD1"/>
    <w:rsid w:val="008477B1"/>
    <w:rsid w:val="0085069D"/>
    <w:rsid w:val="008607C6"/>
    <w:rsid w:val="00860C4D"/>
    <w:rsid w:val="008652CC"/>
    <w:rsid w:val="00866117"/>
    <w:rsid w:val="00866BF6"/>
    <w:rsid w:val="00867685"/>
    <w:rsid w:val="0087238D"/>
    <w:rsid w:val="00874E51"/>
    <w:rsid w:val="00875D78"/>
    <w:rsid w:val="00876F27"/>
    <w:rsid w:val="00892708"/>
    <w:rsid w:val="00893B4A"/>
    <w:rsid w:val="008A0891"/>
    <w:rsid w:val="008A35BC"/>
    <w:rsid w:val="008A4437"/>
    <w:rsid w:val="008B1123"/>
    <w:rsid w:val="008B7190"/>
    <w:rsid w:val="008C6A21"/>
    <w:rsid w:val="008D2B79"/>
    <w:rsid w:val="008D5B09"/>
    <w:rsid w:val="008D5BE1"/>
    <w:rsid w:val="008E7ABC"/>
    <w:rsid w:val="008F06B6"/>
    <w:rsid w:val="008F2A0C"/>
    <w:rsid w:val="00903536"/>
    <w:rsid w:val="0090720A"/>
    <w:rsid w:val="00907271"/>
    <w:rsid w:val="0091153E"/>
    <w:rsid w:val="009123B2"/>
    <w:rsid w:val="00913B04"/>
    <w:rsid w:val="00922284"/>
    <w:rsid w:val="00927FAF"/>
    <w:rsid w:val="00933467"/>
    <w:rsid w:val="00935BDC"/>
    <w:rsid w:val="00950445"/>
    <w:rsid w:val="0095677B"/>
    <w:rsid w:val="00962534"/>
    <w:rsid w:val="00965155"/>
    <w:rsid w:val="00970057"/>
    <w:rsid w:val="009704A7"/>
    <w:rsid w:val="00971DD5"/>
    <w:rsid w:val="00974954"/>
    <w:rsid w:val="0098092E"/>
    <w:rsid w:val="009A28D8"/>
    <w:rsid w:val="009A4197"/>
    <w:rsid w:val="009A513D"/>
    <w:rsid w:val="009C2D89"/>
    <w:rsid w:val="009C76BD"/>
    <w:rsid w:val="009D6131"/>
    <w:rsid w:val="009D79FC"/>
    <w:rsid w:val="009D7BBC"/>
    <w:rsid w:val="009E2FA5"/>
    <w:rsid w:val="009E437A"/>
    <w:rsid w:val="009F07FF"/>
    <w:rsid w:val="009F121D"/>
    <w:rsid w:val="009F46E6"/>
    <w:rsid w:val="00A140A9"/>
    <w:rsid w:val="00A20664"/>
    <w:rsid w:val="00A23407"/>
    <w:rsid w:val="00A24866"/>
    <w:rsid w:val="00A2524B"/>
    <w:rsid w:val="00A30239"/>
    <w:rsid w:val="00A44FF8"/>
    <w:rsid w:val="00A464CC"/>
    <w:rsid w:val="00A471C0"/>
    <w:rsid w:val="00A50E84"/>
    <w:rsid w:val="00A7214E"/>
    <w:rsid w:val="00A722D0"/>
    <w:rsid w:val="00A73605"/>
    <w:rsid w:val="00A84CCD"/>
    <w:rsid w:val="00A875A4"/>
    <w:rsid w:val="00AA0523"/>
    <w:rsid w:val="00AA375C"/>
    <w:rsid w:val="00AA450E"/>
    <w:rsid w:val="00AB00D6"/>
    <w:rsid w:val="00AB0A3D"/>
    <w:rsid w:val="00AB4436"/>
    <w:rsid w:val="00AC4EBB"/>
    <w:rsid w:val="00AD3369"/>
    <w:rsid w:val="00AD468B"/>
    <w:rsid w:val="00AD7078"/>
    <w:rsid w:val="00AF1C42"/>
    <w:rsid w:val="00AF34BF"/>
    <w:rsid w:val="00B1662E"/>
    <w:rsid w:val="00B2138B"/>
    <w:rsid w:val="00B21397"/>
    <w:rsid w:val="00B36E5F"/>
    <w:rsid w:val="00B41009"/>
    <w:rsid w:val="00B42677"/>
    <w:rsid w:val="00B448D4"/>
    <w:rsid w:val="00B47566"/>
    <w:rsid w:val="00B55817"/>
    <w:rsid w:val="00B6020E"/>
    <w:rsid w:val="00B62A82"/>
    <w:rsid w:val="00B62DD3"/>
    <w:rsid w:val="00B635BE"/>
    <w:rsid w:val="00B64972"/>
    <w:rsid w:val="00B6689A"/>
    <w:rsid w:val="00B723BA"/>
    <w:rsid w:val="00B771DA"/>
    <w:rsid w:val="00B93DF9"/>
    <w:rsid w:val="00B95D3B"/>
    <w:rsid w:val="00B96AF5"/>
    <w:rsid w:val="00BA29E2"/>
    <w:rsid w:val="00BB275D"/>
    <w:rsid w:val="00BC16AF"/>
    <w:rsid w:val="00BC444F"/>
    <w:rsid w:val="00BD12E4"/>
    <w:rsid w:val="00BE5800"/>
    <w:rsid w:val="00BE6183"/>
    <w:rsid w:val="00BF1774"/>
    <w:rsid w:val="00C22D41"/>
    <w:rsid w:val="00C232E0"/>
    <w:rsid w:val="00C240D3"/>
    <w:rsid w:val="00C24586"/>
    <w:rsid w:val="00C33D08"/>
    <w:rsid w:val="00C3753A"/>
    <w:rsid w:val="00C37E00"/>
    <w:rsid w:val="00C4257C"/>
    <w:rsid w:val="00C63172"/>
    <w:rsid w:val="00C65924"/>
    <w:rsid w:val="00C70862"/>
    <w:rsid w:val="00C74819"/>
    <w:rsid w:val="00C828DA"/>
    <w:rsid w:val="00C842F5"/>
    <w:rsid w:val="00C86748"/>
    <w:rsid w:val="00C925F4"/>
    <w:rsid w:val="00CA1429"/>
    <w:rsid w:val="00CA40B4"/>
    <w:rsid w:val="00CB0E40"/>
    <w:rsid w:val="00CB1D51"/>
    <w:rsid w:val="00CB3AAE"/>
    <w:rsid w:val="00CB6C49"/>
    <w:rsid w:val="00CC0360"/>
    <w:rsid w:val="00CC42BD"/>
    <w:rsid w:val="00CD15F4"/>
    <w:rsid w:val="00CE4E88"/>
    <w:rsid w:val="00CE68F0"/>
    <w:rsid w:val="00CE7F2E"/>
    <w:rsid w:val="00CF1F8B"/>
    <w:rsid w:val="00CF2060"/>
    <w:rsid w:val="00CF42BC"/>
    <w:rsid w:val="00CF47B8"/>
    <w:rsid w:val="00D0213F"/>
    <w:rsid w:val="00D05DB7"/>
    <w:rsid w:val="00D0682D"/>
    <w:rsid w:val="00D10139"/>
    <w:rsid w:val="00D1356B"/>
    <w:rsid w:val="00D144BF"/>
    <w:rsid w:val="00D2141F"/>
    <w:rsid w:val="00D227D9"/>
    <w:rsid w:val="00D22A41"/>
    <w:rsid w:val="00D27C13"/>
    <w:rsid w:val="00D30573"/>
    <w:rsid w:val="00D30AC2"/>
    <w:rsid w:val="00D401DF"/>
    <w:rsid w:val="00D408B2"/>
    <w:rsid w:val="00D43BDB"/>
    <w:rsid w:val="00D43E35"/>
    <w:rsid w:val="00D55DC5"/>
    <w:rsid w:val="00D62288"/>
    <w:rsid w:val="00D635C5"/>
    <w:rsid w:val="00D66749"/>
    <w:rsid w:val="00D66ADB"/>
    <w:rsid w:val="00D70607"/>
    <w:rsid w:val="00D70613"/>
    <w:rsid w:val="00D70D97"/>
    <w:rsid w:val="00D719BD"/>
    <w:rsid w:val="00D71D25"/>
    <w:rsid w:val="00D74325"/>
    <w:rsid w:val="00D74F15"/>
    <w:rsid w:val="00D74F2C"/>
    <w:rsid w:val="00D84C3E"/>
    <w:rsid w:val="00D879C6"/>
    <w:rsid w:val="00D903D4"/>
    <w:rsid w:val="00D97230"/>
    <w:rsid w:val="00DA1394"/>
    <w:rsid w:val="00DB2F5B"/>
    <w:rsid w:val="00DB5E7D"/>
    <w:rsid w:val="00DC0EA0"/>
    <w:rsid w:val="00DC3AF3"/>
    <w:rsid w:val="00DD71D3"/>
    <w:rsid w:val="00DE2E58"/>
    <w:rsid w:val="00DE629F"/>
    <w:rsid w:val="00DF3D60"/>
    <w:rsid w:val="00E031FD"/>
    <w:rsid w:val="00E05674"/>
    <w:rsid w:val="00E05E55"/>
    <w:rsid w:val="00E14CC0"/>
    <w:rsid w:val="00E166E9"/>
    <w:rsid w:val="00E24787"/>
    <w:rsid w:val="00E2518D"/>
    <w:rsid w:val="00E26E5A"/>
    <w:rsid w:val="00E376AD"/>
    <w:rsid w:val="00E400C3"/>
    <w:rsid w:val="00E433AF"/>
    <w:rsid w:val="00E618FA"/>
    <w:rsid w:val="00E90118"/>
    <w:rsid w:val="00E925B6"/>
    <w:rsid w:val="00E9409E"/>
    <w:rsid w:val="00E95B6E"/>
    <w:rsid w:val="00EA2351"/>
    <w:rsid w:val="00EA2D27"/>
    <w:rsid w:val="00EA503E"/>
    <w:rsid w:val="00EB1B7C"/>
    <w:rsid w:val="00EB3B09"/>
    <w:rsid w:val="00EC04ED"/>
    <w:rsid w:val="00ED7936"/>
    <w:rsid w:val="00EE0192"/>
    <w:rsid w:val="00EE3D10"/>
    <w:rsid w:val="00EF0FA3"/>
    <w:rsid w:val="00EF5CEF"/>
    <w:rsid w:val="00EF6502"/>
    <w:rsid w:val="00F0268E"/>
    <w:rsid w:val="00F0429B"/>
    <w:rsid w:val="00F15728"/>
    <w:rsid w:val="00F168FD"/>
    <w:rsid w:val="00F174E6"/>
    <w:rsid w:val="00F21C8F"/>
    <w:rsid w:val="00F3457A"/>
    <w:rsid w:val="00F5019D"/>
    <w:rsid w:val="00F56633"/>
    <w:rsid w:val="00F81094"/>
    <w:rsid w:val="00F900CB"/>
    <w:rsid w:val="00F96370"/>
    <w:rsid w:val="00FA6163"/>
    <w:rsid w:val="00FA79FC"/>
    <w:rsid w:val="00FB40EB"/>
    <w:rsid w:val="00FC281F"/>
    <w:rsid w:val="00FC6DA2"/>
    <w:rsid w:val="00FC6DCA"/>
    <w:rsid w:val="00FD0414"/>
    <w:rsid w:val="00FD427B"/>
    <w:rsid w:val="00FD6442"/>
    <w:rsid w:val="00FE1615"/>
    <w:rsid w:val="00FE42F7"/>
    <w:rsid w:val="00FF2066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161590D"/>
  <w15:docId w15:val="{81064BEB-77C4-4060-B70A-9E63D427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A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425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25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7B26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B26D5"/>
  </w:style>
  <w:style w:type="paragraph" w:styleId="Footer">
    <w:name w:val="footer"/>
    <w:basedOn w:val="Normal"/>
    <w:link w:val="FooterChar"/>
    <w:uiPriority w:val="99"/>
    <w:unhideWhenUsed/>
    <w:rsid w:val="007B26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6D5"/>
  </w:style>
  <w:style w:type="paragraph" w:customStyle="1" w:styleId="NChar1CharCharCharCharCharChar">
    <w:name w:val="N Char1 Char Char Char Char Char Char"/>
    <w:basedOn w:val="Normal"/>
    <w:autoRedefine/>
    <w:uiPriority w:val="99"/>
    <w:rsid w:val="00411A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Cs/>
      <w:color w:val="auto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62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22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22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28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E2E58"/>
    <w:pPr>
      <w:ind w:left="720"/>
      <w:contextualSpacing/>
    </w:pPr>
  </w:style>
  <w:style w:type="paragraph" w:styleId="Revision">
    <w:name w:val="Revision"/>
    <w:hidden/>
    <w:uiPriority w:val="99"/>
    <w:semiHidden/>
    <w:rsid w:val="00CB1D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963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637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96370"/>
    <w:rPr>
      <w:vertAlign w:val="superscript"/>
    </w:rPr>
  </w:style>
  <w:style w:type="paragraph" w:customStyle="1" w:styleId="tv2132">
    <w:name w:val="tv2132"/>
    <w:basedOn w:val="Normal"/>
    <w:rsid w:val="001E1A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7360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11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en-US" w:eastAsia="en-US"/>
    </w:rPr>
  </w:style>
  <w:style w:type="paragraph" w:customStyle="1" w:styleId="naisf">
    <w:name w:val="naisf"/>
    <w:basedOn w:val="Normal"/>
    <w:rsid w:val="004E0A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56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97FC6-A4C7-4A62-85CF-28023CED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6651</Words>
  <Characters>3792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 Frančeska Dreimane</dc:creator>
  <cp:lastModifiedBy>Leontine Babkina</cp:lastModifiedBy>
  <cp:revision>23</cp:revision>
  <cp:lastPrinted>2018-10-02T05:25:00Z</cp:lastPrinted>
  <dcterms:created xsi:type="dcterms:W3CDTF">2018-09-18T09:57:00Z</dcterms:created>
  <dcterms:modified xsi:type="dcterms:W3CDTF">2018-10-03T10:20:00Z</dcterms:modified>
</cp:coreProperties>
</file>