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C8B4F" w14:textId="77777777" w:rsidR="00E21EE3" w:rsidRPr="008C1565" w:rsidRDefault="00E21EE3" w:rsidP="00E21EE3">
      <w:pPr>
        <w:ind w:firstLine="720"/>
        <w:jc w:val="center"/>
        <w:rPr>
          <w:sz w:val="23"/>
          <w:szCs w:val="23"/>
        </w:rPr>
      </w:pPr>
      <w:bookmarkStart w:id="0" w:name="_Hlk518568586"/>
      <w:bookmarkStart w:id="1" w:name="_Hlk514336973"/>
      <w:r w:rsidRPr="008C1565">
        <w:rPr>
          <w:b/>
          <w:bCs/>
          <w:sz w:val="23"/>
          <w:szCs w:val="23"/>
        </w:rPr>
        <w:t>Ministru kabineta noteikumu projekta</w:t>
      </w:r>
    </w:p>
    <w:p w14:paraId="635E82F8" w14:textId="2F7EA39B" w:rsidR="00E21EE3" w:rsidRPr="008C1565" w:rsidRDefault="00E21EE3" w:rsidP="00E21EE3">
      <w:pPr>
        <w:pStyle w:val="Heading2"/>
        <w:ind w:firstLine="0"/>
        <w:jc w:val="center"/>
        <w:rPr>
          <w:sz w:val="23"/>
          <w:szCs w:val="23"/>
        </w:rPr>
      </w:pPr>
      <w:bookmarkStart w:id="2" w:name="_Hlk514336760"/>
      <w:r w:rsidRPr="008C1565">
        <w:rPr>
          <w:sz w:val="23"/>
          <w:szCs w:val="23"/>
        </w:rPr>
        <w:t>Grozījumi Ministru kabineta 2015. gada 28.jūlija noteikumos Nr.435</w:t>
      </w:r>
    </w:p>
    <w:p w14:paraId="505E55D6" w14:textId="0714D496" w:rsidR="00E21EE3" w:rsidRPr="008C1565" w:rsidRDefault="00E21EE3" w:rsidP="00E21EE3">
      <w:pPr>
        <w:pStyle w:val="Heading2"/>
        <w:ind w:firstLine="0"/>
        <w:jc w:val="center"/>
        <w:rPr>
          <w:sz w:val="23"/>
          <w:szCs w:val="23"/>
          <w:lang w:eastAsia="lv-LV"/>
        </w:rPr>
      </w:pPr>
      <w:r w:rsidRPr="008C1565">
        <w:rPr>
          <w:bCs w:val="0"/>
          <w:sz w:val="23"/>
          <w:szCs w:val="23"/>
          <w:shd w:val="clear" w:color="auto" w:fill="FFFFFF"/>
        </w:rPr>
        <w:t>“</w:t>
      </w:r>
      <w:bookmarkEnd w:id="2"/>
      <w:r w:rsidRPr="008C1565">
        <w:rPr>
          <w:sz w:val="23"/>
          <w:szCs w:val="23"/>
        </w:rPr>
        <w:t xml:space="preserve">Kārtība, kādā nosaka un kompensē ar sabiedriskā transporta pakalpojumu sniegšanu saistītos zaudējumus un izdevumus un nosaka sabiedriskā transporta pakalpojuma tarifu” </w:t>
      </w:r>
      <w:r w:rsidRPr="008C1565">
        <w:rPr>
          <w:sz w:val="23"/>
          <w:szCs w:val="23"/>
          <w:lang w:eastAsia="lv-LV"/>
        </w:rPr>
        <w:t>sākotnējās ietekmes novērtējuma ziņojums (anotācija)</w:t>
      </w:r>
    </w:p>
    <w:bookmarkEnd w:id="0"/>
    <w:bookmarkEnd w:id="1"/>
    <w:p w14:paraId="7280DC85" w14:textId="77777777" w:rsidR="00372F53" w:rsidRPr="008C1565" w:rsidRDefault="00372F53" w:rsidP="00372F53">
      <w:pPr>
        <w:ind w:firstLine="720"/>
        <w:jc w:val="center"/>
        <w:rPr>
          <w:b/>
          <w:sz w:val="23"/>
          <w:szCs w:val="23"/>
        </w:rPr>
      </w:pPr>
    </w:p>
    <w:tbl>
      <w:tblPr>
        <w:tblW w:w="5166"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9"/>
        <w:gridCol w:w="6527"/>
      </w:tblGrid>
      <w:tr w:rsidR="00DF22DF" w:rsidRPr="008C1565" w14:paraId="082EE49E" w14:textId="77777777" w:rsidTr="00B95D1C">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5498E24F" w14:textId="77777777" w:rsidR="00372F53" w:rsidRPr="008C1565" w:rsidRDefault="00372F53" w:rsidP="00B95D1C">
            <w:pPr>
              <w:jc w:val="center"/>
              <w:rPr>
                <w:b/>
                <w:bCs/>
                <w:iCs/>
                <w:sz w:val="23"/>
                <w:szCs w:val="23"/>
              </w:rPr>
            </w:pPr>
            <w:r w:rsidRPr="008C1565">
              <w:rPr>
                <w:b/>
                <w:bCs/>
                <w:iCs/>
                <w:sz w:val="23"/>
                <w:szCs w:val="23"/>
              </w:rPr>
              <w:t>Tiesību akta projekta anotācijas kopsavilkums</w:t>
            </w:r>
          </w:p>
        </w:tc>
      </w:tr>
      <w:tr w:rsidR="00DF22DF" w:rsidRPr="008C1565" w14:paraId="70CE06DB" w14:textId="77777777" w:rsidTr="004524E0">
        <w:trPr>
          <w:tblCellSpacing w:w="15" w:type="dxa"/>
        </w:trPr>
        <w:tc>
          <w:tcPr>
            <w:tcW w:w="1492" w:type="pct"/>
            <w:tcBorders>
              <w:top w:val="outset" w:sz="6" w:space="0" w:color="auto"/>
              <w:left w:val="outset" w:sz="6" w:space="0" w:color="auto"/>
              <w:bottom w:val="outset" w:sz="6" w:space="0" w:color="auto"/>
              <w:right w:val="outset" w:sz="6" w:space="0" w:color="auto"/>
            </w:tcBorders>
            <w:hideMark/>
          </w:tcPr>
          <w:p w14:paraId="0A0534CE" w14:textId="77777777" w:rsidR="00372F53" w:rsidRPr="008C1565" w:rsidRDefault="00372F53" w:rsidP="00B95D1C">
            <w:pPr>
              <w:rPr>
                <w:iCs/>
                <w:sz w:val="23"/>
                <w:szCs w:val="23"/>
              </w:rPr>
            </w:pPr>
            <w:r w:rsidRPr="008C1565">
              <w:rPr>
                <w:iCs/>
                <w:sz w:val="23"/>
                <w:szCs w:val="23"/>
              </w:rPr>
              <w:t>Mērķis, risinājums un projekta spēkā stāšanās laiks (500 zīmes bez atstarpēm)</w:t>
            </w:r>
          </w:p>
        </w:tc>
        <w:tc>
          <w:tcPr>
            <w:tcW w:w="3460" w:type="pct"/>
            <w:tcBorders>
              <w:top w:val="outset" w:sz="6" w:space="0" w:color="auto"/>
              <w:left w:val="outset" w:sz="6" w:space="0" w:color="auto"/>
              <w:bottom w:val="outset" w:sz="6" w:space="0" w:color="auto"/>
              <w:right w:val="outset" w:sz="6" w:space="0" w:color="auto"/>
            </w:tcBorders>
          </w:tcPr>
          <w:p w14:paraId="04C7672E" w14:textId="66DE4CDB" w:rsidR="00DF33C4" w:rsidRPr="008C1565" w:rsidRDefault="002D673C" w:rsidP="002D673C">
            <w:pPr>
              <w:jc w:val="both"/>
              <w:rPr>
                <w:iCs/>
                <w:sz w:val="23"/>
                <w:szCs w:val="23"/>
              </w:rPr>
            </w:pPr>
            <w:r>
              <w:rPr>
                <w:color w:val="2A2A2A"/>
              </w:rPr>
              <w:t>L</w:t>
            </w:r>
            <w:r w:rsidRPr="00026430">
              <w:rPr>
                <w:rFonts w:eastAsia="Calibri"/>
                <w:color w:val="2A2A2A"/>
              </w:rPr>
              <w:t>ai nodrošinātu no valsts budžeta piešķirto līdzekļu ekonomiju</w:t>
            </w:r>
            <w:r>
              <w:rPr>
                <w:rFonts w:eastAsia="Calibri"/>
                <w:color w:val="2A2A2A"/>
              </w:rPr>
              <w:t xml:space="preserve"> un </w:t>
            </w:r>
            <w:r w:rsidRPr="00026430">
              <w:rPr>
                <w:iCs/>
              </w:rPr>
              <w:t>pilnveidot budžeta finansējuma izlietojuma kontroli attiecībā uz republikas pilsētu pašvaldību zaudējumiem</w:t>
            </w:r>
            <w:r>
              <w:rPr>
                <w:rFonts w:eastAsia="Calibri"/>
                <w:color w:val="2A2A2A"/>
              </w:rPr>
              <w:t xml:space="preserve"> </w:t>
            </w:r>
            <w:r w:rsidRPr="00026430">
              <w:rPr>
                <w:rFonts w:eastAsia="Calibri"/>
                <w:color w:val="2A2A2A"/>
              </w:rPr>
              <w:t>sabiedriskā transporta pakalpojumu sniegšanā</w:t>
            </w:r>
            <w:r>
              <w:rPr>
                <w:rFonts w:eastAsia="Calibri"/>
                <w:color w:val="2A2A2A"/>
              </w:rPr>
              <w:t xml:space="preserve">, </w:t>
            </w:r>
            <w:r w:rsidRPr="00026430">
              <w:t>noteikumu projektā ir paredzēta sadarbība starp Republikas pilsētu pašvaldībām un Autotransporta direkcij</w:t>
            </w:r>
            <w:r>
              <w:t>u</w:t>
            </w:r>
            <w:r w:rsidRPr="00026430">
              <w:t xml:space="preserve">, nosakot </w:t>
            </w:r>
            <w:r w:rsidRPr="00026430">
              <w:rPr>
                <w:iCs/>
              </w:rPr>
              <w:t xml:space="preserve">pienākumu Republikas pilsētu pašvaldībām </w:t>
            </w:r>
            <w:r w:rsidRPr="00026430">
              <w:t>salīdzināt no valsts budžeta saņemto un aprēķināto zaudējumu kompensācijas apmēru, kā arī atlikumu ar Satiksmes ministriju</w:t>
            </w:r>
            <w:r w:rsidRPr="0089178E">
              <w:t xml:space="preserve">. </w:t>
            </w:r>
            <w:r w:rsidR="00DF33C4">
              <w:rPr>
                <w:iCs/>
                <w:sz w:val="23"/>
                <w:szCs w:val="23"/>
              </w:rPr>
              <w:t>Noteikumi stājas spēkā 2019.gada 1.janvārī.</w:t>
            </w:r>
          </w:p>
        </w:tc>
      </w:tr>
    </w:tbl>
    <w:p w14:paraId="2AE9F3C6" w14:textId="77777777" w:rsidR="00372F53" w:rsidRPr="008C1565" w:rsidRDefault="00372F53" w:rsidP="00372F53">
      <w:pPr>
        <w:ind w:firstLine="720"/>
        <w:jc w:val="center"/>
        <w:rPr>
          <w:b/>
          <w:sz w:val="23"/>
          <w:szCs w:val="23"/>
        </w:rPr>
      </w:pPr>
    </w:p>
    <w:tbl>
      <w:tblPr>
        <w:tblW w:w="5166"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0"/>
        <w:gridCol w:w="1988"/>
        <w:gridCol w:w="6538"/>
      </w:tblGrid>
      <w:tr w:rsidR="00DF22DF" w:rsidRPr="008C1565" w14:paraId="7EDF0557" w14:textId="77777777" w:rsidTr="00B95D1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C39C247" w14:textId="77777777" w:rsidR="00372F53" w:rsidRPr="008C1565" w:rsidRDefault="00372F53" w:rsidP="00B95D1C">
            <w:pPr>
              <w:rPr>
                <w:b/>
                <w:bCs/>
                <w:iCs/>
                <w:sz w:val="23"/>
                <w:szCs w:val="23"/>
              </w:rPr>
            </w:pPr>
            <w:r w:rsidRPr="008C1565">
              <w:rPr>
                <w:b/>
                <w:bCs/>
                <w:iCs/>
                <w:sz w:val="23"/>
                <w:szCs w:val="23"/>
              </w:rPr>
              <w:t>I. Tiesību akta projekta izstrādes nepieciešamība</w:t>
            </w:r>
          </w:p>
        </w:tc>
      </w:tr>
      <w:tr w:rsidR="00DF22DF" w:rsidRPr="008C1565" w14:paraId="1117A6C8" w14:textId="77777777" w:rsidTr="004524E0">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4CDCDC02" w14:textId="77777777" w:rsidR="00372F53" w:rsidRPr="008C1565" w:rsidRDefault="00372F53" w:rsidP="00B95D1C">
            <w:pPr>
              <w:rPr>
                <w:iCs/>
                <w:sz w:val="23"/>
                <w:szCs w:val="23"/>
              </w:rPr>
            </w:pPr>
            <w:r w:rsidRPr="008C1565">
              <w:rPr>
                <w:iCs/>
                <w:sz w:val="23"/>
                <w:szCs w:val="23"/>
              </w:rPr>
              <w:t>1.</w:t>
            </w:r>
          </w:p>
        </w:tc>
        <w:tc>
          <w:tcPr>
            <w:tcW w:w="1053" w:type="pct"/>
            <w:tcBorders>
              <w:top w:val="outset" w:sz="6" w:space="0" w:color="auto"/>
              <w:left w:val="outset" w:sz="6" w:space="0" w:color="auto"/>
              <w:bottom w:val="outset" w:sz="6" w:space="0" w:color="auto"/>
              <w:right w:val="outset" w:sz="6" w:space="0" w:color="auto"/>
            </w:tcBorders>
            <w:hideMark/>
          </w:tcPr>
          <w:p w14:paraId="4FF106E0" w14:textId="77777777" w:rsidR="00372F53" w:rsidRPr="008C1565" w:rsidRDefault="00372F53" w:rsidP="00B95D1C">
            <w:pPr>
              <w:rPr>
                <w:iCs/>
                <w:sz w:val="23"/>
                <w:szCs w:val="23"/>
              </w:rPr>
            </w:pPr>
            <w:r w:rsidRPr="008C1565">
              <w:rPr>
                <w:iCs/>
                <w:sz w:val="23"/>
                <w:szCs w:val="23"/>
              </w:rPr>
              <w:t>Pamatojums</w:t>
            </w:r>
          </w:p>
        </w:tc>
        <w:tc>
          <w:tcPr>
            <w:tcW w:w="3460" w:type="pct"/>
            <w:tcBorders>
              <w:top w:val="outset" w:sz="6" w:space="0" w:color="auto"/>
              <w:left w:val="outset" w:sz="6" w:space="0" w:color="auto"/>
              <w:bottom w:val="outset" w:sz="6" w:space="0" w:color="auto"/>
              <w:right w:val="outset" w:sz="6" w:space="0" w:color="auto"/>
            </w:tcBorders>
          </w:tcPr>
          <w:p w14:paraId="6CA1AA85" w14:textId="0DC18D27" w:rsidR="00372F53" w:rsidRPr="008C1565" w:rsidRDefault="00563A53" w:rsidP="00E21EE3">
            <w:pPr>
              <w:jc w:val="both"/>
              <w:rPr>
                <w:iCs/>
                <w:sz w:val="23"/>
                <w:szCs w:val="23"/>
              </w:rPr>
            </w:pPr>
            <w:r w:rsidRPr="008C1565">
              <w:rPr>
                <w:iCs/>
                <w:sz w:val="23"/>
                <w:szCs w:val="23"/>
              </w:rPr>
              <w:t xml:space="preserve">Ministru kabineta 2017.gada 12.decembra sēdes </w:t>
            </w:r>
            <w:proofErr w:type="spellStart"/>
            <w:r w:rsidR="00DF22DF" w:rsidRPr="008C1565">
              <w:rPr>
                <w:iCs/>
                <w:sz w:val="23"/>
                <w:szCs w:val="23"/>
              </w:rPr>
              <w:t>protokollēmuma</w:t>
            </w:r>
            <w:proofErr w:type="spellEnd"/>
            <w:r w:rsidR="00DF22DF" w:rsidRPr="008C1565">
              <w:rPr>
                <w:iCs/>
                <w:sz w:val="23"/>
                <w:szCs w:val="23"/>
              </w:rPr>
              <w:t xml:space="preserve"> (protokols </w:t>
            </w:r>
            <w:r w:rsidRPr="008C1565">
              <w:rPr>
                <w:iCs/>
                <w:sz w:val="23"/>
                <w:szCs w:val="23"/>
              </w:rPr>
              <w:t>Nr.61 66.§</w:t>
            </w:r>
            <w:r w:rsidR="00DF22DF" w:rsidRPr="008C1565">
              <w:rPr>
                <w:iCs/>
                <w:sz w:val="23"/>
                <w:szCs w:val="23"/>
              </w:rPr>
              <w:t>) 2.punkts</w:t>
            </w:r>
          </w:p>
        </w:tc>
      </w:tr>
      <w:tr w:rsidR="00DF22DF" w:rsidRPr="008C1565" w14:paraId="1000FB47" w14:textId="77777777" w:rsidTr="004524E0">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536600E0" w14:textId="77777777" w:rsidR="00372F53" w:rsidRPr="008C1565" w:rsidRDefault="00372F53" w:rsidP="00B95D1C">
            <w:pPr>
              <w:rPr>
                <w:iCs/>
                <w:sz w:val="23"/>
                <w:szCs w:val="23"/>
              </w:rPr>
            </w:pPr>
            <w:r w:rsidRPr="008C1565">
              <w:rPr>
                <w:iCs/>
                <w:sz w:val="23"/>
                <w:szCs w:val="23"/>
              </w:rPr>
              <w:t>2.</w:t>
            </w:r>
          </w:p>
        </w:tc>
        <w:tc>
          <w:tcPr>
            <w:tcW w:w="1053" w:type="pct"/>
            <w:tcBorders>
              <w:top w:val="outset" w:sz="6" w:space="0" w:color="auto"/>
              <w:left w:val="outset" w:sz="6" w:space="0" w:color="auto"/>
              <w:bottom w:val="outset" w:sz="6" w:space="0" w:color="auto"/>
              <w:right w:val="outset" w:sz="6" w:space="0" w:color="auto"/>
            </w:tcBorders>
            <w:hideMark/>
          </w:tcPr>
          <w:p w14:paraId="0B3C7063" w14:textId="77777777" w:rsidR="00372F53" w:rsidRPr="008C1565" w:rsidRDefault="00372F53" w:rsidP="00B95D1C">
            <w:pPr>
              <w:rPr>
                <w:iCs/>
                <w:sz w:val="23"/>
                <w:szCs w:val="23"/>
              </w:rPr>
            </w:pPr>
            <w:r w:rsidRPr="008C1565">
              <w:rPr>
                <w:iCs/>
                <w:sz w:val="23"/>
                <w:szCs w:val="23"/>
              </w:rPr>
              <w:t>Pašreizējā situācija un problēmas, kuru risināšanai tiesību akta projekts izstrādāts, tiesiskā regulējuma mērķis un būtība</w:t>
            </w:r>
          </w:p>
        </w:tc>
        <w:tc>
          <w:tcPr>
            <w:tcW w:w="3460" w:type="pct"/>
            <w:tcBorders>
              <w:top w:val="outset" w:sz="6" w:space="0" w:color="auto"/>
              <w:left w:val="outset" w:sz="6" w:space="0" w:color="auto"/>
              <w:bottom w:val="outset" w:sz="6" w:space="0" w:color="auto"/>
              <w:right w:val="outset" w:sz="6" w:space="0" w:color="auto"/>
            </w:tcBorders>
          </w:tcPr>
          <w:p w14:paraId="0D2C0E83" w14:textId="57D0B993" w:rsidR="007E4289" w:rsidRPr="00026430" w:rsidRDefault="007E4289" w:rsidP="00EA1341">
            <w:pPr>
              <w:ind w:right="45" w:firstLine="345"/>
              <w:jc w:val="both"/>
              <w:rPr>
                <w:iCs/>
              </w:rPr>
            </w:pPr>
            <w:r w:rsidRPr="00026430">
              <w:rPr>
                <w:iCs/>
              </w:rPr>
              <w:t xml:space="preserve">Saskaņā ar Ministru kabineta 2017.gada 12.decembra sēdes  (protokols Nr.61 66.§) </w:t>
            </w:r>
            <w:r w:rsidR="00C52614" w:rsidRPr="00026430">
              <w:rPr>
                <w:iCs/>
              </w:rPr>
              <w:t xml:space="preserve">lēmuma </w:t>
            </w:r>
            <w:r w:rsidRPr="00026430">
              <w:rPr>
                <w:iCs/>
              </w:rPr>
              <w:t>2.punktu</w:t>
            </w:r>
            <w:r w:rsidR="0001713F" w:rsidRPr="00026430">
              <w:rPr>
                <w:iCs/>
              </w:rPr>
              <w:t>,</w:t>
            </w:r>
            <w:r w:rsidRPr="00026430">
              <w:rPr>
                <w:iCs/>
              </w:rPr>
              <w:t xml:space="preserve"> Satiksmes ministrijai uzdots</w:t>
            </w:r>
            <w:r w:rsidR="0001713F" w:rsidRPr="00026430">
              <w:rPr>
                <w:iCs/>
              </w:rPr>
              <w:t xml:space="preserve"> </w:t>
            </w:r>
            <w:r w:rsidRPr="00026430">
              <w:rPr>
                <w:rFonts w:eastAsia="Calibri"/>
                <w:color w:val="2A2A2A"/>
              </w:rPr>
              <w:t>izstrādāt un noteiktā kārtībā iesniegt izskatīšanai Ministru kabinetā grozījumus Ministru kabineta 2015.gada 28.jūlija noteikumos Nr.435 "Kārtība, kādā nosaka un kompensē ar sabiedriskā transporta pakalpojumu sniegšanu saistītos zaudējumus un izdevumus un nosaka sabiedriskā transporta pakalpojuma tarifu", lai nodrošinātu no valsts budžeta piešķirto līdzekļu ekonomiju sabiedriskā transporta pakalpojumu sniegšanā:</w:t>
            </w:r>
            <w:r w:rsidRPr="00026430">
              <w:rPr>
                <w:rFonts w:eastAsia="Calibri"/>
                <w:color w:val="2A2A2A"/>
              </w:rPr>
              <w:br/>
              <w:t>2.1. izslēgt normu, ka pilsētas nozīmes maršrutu tīklā pārvadātājam kompensē radušos zaudējumus par maršruta daļu, kas ir ārpus pilsētas administratīvās teritorijas, ja šī maršruta daļa ir vairāk nekā 30% no kopējā maršruta garuma;</w:t>
            </w:r>
            <w:r w:rsidRPr="00026430">
              <w:rPr>
                <w:rFonts w:eastAsia="Calibri"/>
                <w:color w:val="2A2A2A"/>
              </w:rPr>
              <w:br/>
              <w:t xml:space="preserve">2.2. pārskatīt </w:t>
            </w:r>
            <w:r w:rsidRPr="00026430">
              <w:rPr>
                <w:rFonts w:eastAsia="Calibri"/>
              </w:rPr>
              <w:t>peļņas aprēķina formulu, pārvadājumos ar autobusiem samazinot nobraukuma koeficientu par kilometru, kā arī pārvadājumos ar sliežu transportu samazinot nobraukuma koeficientu par sastāva (vilciena), nevis vagona nobrauktajiem kilometriem;</w:t>
            </w:r>
            <w:r w:rsidRPr="00026430">
              <w:rPr>
                <w:rFonts w:eastAsia="Calibri"/>
              </w:rPr>
              <w:br/>
              <w:t>2.3. pilnveidot budžeta finansējuma izlietojuma kontroli attiecībā uz republikas pilsētu pašvaldību zaudējumiem par sabiedriskā transporta pakalpojumu veikšanu, paredzot atskaišu iesniegšanu Valsts kases e-pārskatu sistēmā un precizējot atskaišu iesniegšanas termiņus.</w:t>
            </w:r>
            <w:r w:rsidRPr="00026430">
              <w:rPr>
                <w:rFonts w:eastAsia="Calibri"/>
                <w:color w:val="2A2A2A"/>
              </w:rPr>
              <w:br/>
            </w:r>
            <w:r w:rsidR="0098026F">
              <w:rPr>
                <w:iCs/>
              </w:rPr>
              <w:t xml:space="preserve">    </w:t>
            </w:r>
            <w:r w:rsidRPr="00026430">
              <w:rPr>
                <w:iCs/>
              </w:rPr>
              <w:t xml:space="preserve">Satiksmes ministrija ir sagatavojusi noteikumu projektu “Grozījumi </w:t>
            </w:r>
            <w:r w:rsidR="00237ADA" w:rsidRPr="00026430">
              <w:rPr>
                <w:iCs/>
              </w:rPr>
              <w:t>Ministru kabineta 2015.gada 28.jūlija noteikumos Nr.435 “Kārtība, kādā nosaka un kompensē ar sabiedriskā transporta pakalpojumu sniegšanu saistītos zaudējumus un izdevumus un nosaka sabiedriskā transporta pakalpojuma tarifu</w:t>
            </w:r>
            <w:r w:rsidR="00026430" w:rsidRPr="00026430">
              <w:rPr>
                <w:iCs/>
              </w:rPr>
              <w:t>”</w:t>
            </w:r>
            <w:r w:rsidR="00237ADA" w:rsidRPr="00026430">
              <w:rPr>
                <w:iCs/>
              </w:rPr>
              <w:t>” (turpmāk – MK noteikumi Nr.435)</w:t>
            </w:r>
            <w:r w:rsidRPr="00026430">
              <w:rPr>
                <w:iCs/>
              </w:rPr>
              <w:t xml:space="preserve"> un Ministru kabineta sēdes </w:t>
            </w:r>
            <w:proofErr w:type="spellStart"/>
            <w:r w:rsidRPr="00026430">
              <w:rPr>
                <w:iCs/>
              </w:rPr>
              <w:t>protokollēmuma</w:t>
            </w:r>
            <w:proofErr w:type="spellEnd"/>
            <w:r w:rsidRPr="00026430">
              <w:rPr>
                <w:iCs/>
              </w:rPr>
              <w:t xml:space="preserve"> projektu.</w:t>
            </w:r>
          </w:p>
          <w:p w14:paraId="6110A903" w14:textId="77777777" w:rsidR="007E4289" w:rsidRPr="00026430" w:rsidRDefault="007E4289" w:rsidP="00EA1341">
            <w:pPr>
              <w:ind w:right="45" w:firstLine="345"/>
              <w:jc w:val="both"/>
              <w:rPr>
                <w:iCs/>
              </w:rPr>
            </w:pPr>
          </w:p>
          <w:p w14:paraId="66B9B068" w14:textId="548434B7" w:rsidR="00817B91" w:rsidRPr="00026430" w:rsidRDefault="007E4289" w:rsidP="0001713F">
            <w:pPr>
              <w:pStyle w:val="ListParagraph"/>
              <w:numPr>
                <w:ilvl w:val="0"/>
                <w:numId w:val="7"/>
              </w:numPr>
              <w:spacing w:after="0" w:line="240" w:lineRule="auto"/>
              <w:ind w:left="96" w:right="45" w:firstLine="346"/>
              <w:contextualSpacing w:val="0"/>
              <w:jc w:val="both"/>
              <w:rPr>
                <w:rFonts w:ascii="Times New Roman" w:hAnsi="Times New Roman" w:cs="Times New Roman"/>
                <w:sz w:val="24"/>
                <w:szCs w:val="24"/>
              </w:rPr>
            </w:pPr>
            <w:r w:rsidRPr="00026430">
              <w:rPr>
                <w:rFonts w:ascii="Times New Roman" w:hAnsi="Times New Roman" w:cs="Times New Roman"/>
                <w:iCs/>
                <w:sz w:val="24"/>
                <w:szCs w:val="24"/>
              </w:rPr>
              <w:t xml:space="preserve">Saskaņā </w:t>
            </w:r>
            <w:r w:rsidR="00C52614" w:rsidRPr="00026430">
              <w:rPr>
                <w:rFonts w:ascii="Times New Roman" w:hAnsi="Times New Roman" w:cs="Times New Roman"/>
                <w:iCs/>
                <w:sz w:val="24"/>
                <w:szCs w:val="24"/>
              </w:rPr>
              <w:t xml:space="preserve">Ministru kabineta 2017.gada 12.decembra sēdes (prot.61 66. §) lēmuma </w:t>
            </w:r>
            <w:r w:rsidRPr="00026430">
              <w:rPr>
                <w:rFonts w:ascii="Times New Roman" w:hAnsi="Times New Roman" w:cs="Times New Roman"/>
                <w:iCs/>
                <w:sz w:val="24"/>
                <w:szCs w:val="24"/>
              </w:rPr>
              <w:t>2.1.apakšpunt</w:t>
            </w:r>
            <w:r w:rsidR="00C52614" w:rsidRPr="00026430">
              <w:rPr>
                <w:rFonts w:ascii="Times New Roman" w:hAnsi="Times New Roman" w:cs="Times New Roman"/>
                <w:iCs/>
                <w:sz w:val="24"/>
                <w:szCs w:val="24"/>
              </w:rPr>
              <w:t>u</w:t>
            </w:r>
            <w:r w:rsidRPr="00026430">
              <w:rPr>
                <w:rFonts w:ascii="Times New Roman" w:hAnsi="Times New Roman" w:cs="Times New Roman"/>
                <w:iCs/>
                <w:sz w:val="24"/>
                <w:szCs w:val="24"/>
              </w:rPr>
              <w:t>, lai nodrošinātu no valsts budžeta piešķirto līdzekļu ekonomiju sabiedriskā transporta pakalpojumu sniegšanā Satiksmes ministrija sadarbībā ar VSIA “</w:t>
            </w:r>
            <w:r w:rsidR="00C52614" w:rsidRPr="00026430">
              <w:rPr>
                <w:rFonts w:ascii="Times New Roman" w:hAnsi="Times New Roman" w:cs="Times New Roman"/>
                <w:iCs/>
                <w:sz w:val="24"/>
                <w:szCs w:val="24"/>
              </w:rPr>
              <w:t>A</w:t>
            </w:r>
            <w:r w:rsidRPr="00026430">
              <w:rPr>
                <w:rFonts w:ascii="Times New Roman" w:hAnsi="Times New Roman" w:cs="Times New Roman"/>
                <w:iCs/>
                <w:sz w:val="24"/>
                <w:szCs w:val="24"/>
              </w:rPr>
              <w:t xml:space="preserve">utotransporta direkcija” (turpmāk – Autotransporta direkcija) nepieciešams izstrādāt grozījumus MK noteikumos Nr.435 un izslēgt šo noteikumu </w:t>
            </w:r>
            <w:r w:rsidR="00237ADA" w:rsidRPr="00026430">
              <w:rPr>
                <w:rFonts w:ascii="Times New Roman" w:hAnsi="Times New Roman" w:cs="Times New Roman"/>
                <w:iCs/>
                <w:sz w:val="24"/>
                <w:szCs w:val="24"/>
              </w:rPr>
              <w:t>6.2.apakšpunktā ir noteikt</w:t>
            </w:r>
            <w:r w:rsidRPr="00026430">
              <w:rPr>
                <w:rFonts w:ascii="Times New Roman" w:hAnsi="Times New Roman" w:cs="Times New Roman"/>
                <w:iCs/>
                <w:sz w:val="24"/>
                <w:szCs w:val="24"/>
              </w:rPr>
              <w:t>o regulējumu</w:t>
            </w:r>
            <w:r w:rsidR="00237ADA" w:rsidRPr="00026430">
              <w:rPr>
                <w:rFonts w:ascii="Times New Roman" w:hAnsi="Times New Roman" w:cs="Times New Roman"/>
                <w:iCs/>
                <w:sz w:val="24"/>
                <w:szCs w:val="24"/>
              </w:rPr>
              <w:t>, ka</w:t>
            </w:r>
            <w:r w:rsidR="00026430">
              <w:rPr>
                <w:rFonts w:ascii="Times New Roman" w:hAnsi="Times New Roman" w:cs="Times New Roman"/>
                <w:iCs/>
                <w:sz w:val="24"/>
                <w:szCs w:val="24"/>
              </w:rPr>
              <w:t xml:space="preserve">s nosaka, ka </w:t>
            </w:r>
            <w:r w:rsidR="00237ADA" w:rsidRPr="00026430">
              <w:rPr>
                <w:rFonts w:ascii="Times New Roman" w:hAnsi="Times New Roman" w:cs="Times New Roman"/>
                <w:iCs/>
                <w:sz w:val="24"/>
                <w:szCs w:val="24"/>
              </w:rPr>
              <w:t xml:space="preserve">no valsts budžeta tiek kompensēti zaudējumi par maršruta daļu, kas ir ārpus pilsētas administratīvās teritorijas, ja šī maršruta daļa ir vairāk nekā 30% no kopējā maršruta garuma </w:t>
            </w:r>
            <w:r w:rsidR="006E5BA3" w:rsidRPr="00026430">
              <w:rPr>
                <w:rFonts w:ascii="Times New Roman" w:hAnsi="Times New Roman" w:cs="Times New Roman"/>
                <w:iCs/>
                <w:sz w:val="24"/>
                <w:szCs w:val="24"/>
              </w:rPr>
              <w:t xml:space="preserve">Latvijas Lielo pilsētu asociācija 2017.gada 20.decembrī Ministru prezidentam adresētajā vēstulē Nr.5-1/355 pauda iebildumus pret minētās normas izslēgšanu no MK noteikumiem Nr.435, jo tas radīs papildus finansiālo slogu republikas pilsētu pašvaldībām. </w:t>
            </w:r>
          </w:p>
          <w:p w14:paraId="1446637D" w14:textId="1B3955F7" w:rsidR="006E5BA3" w:rsidRPr="00026430" w:rsidRDefault="006E5BA3" w:rsidP="00EA1341">
            <w:pPr>
              <w:ind w:right="45" w:firstLine="345"/>
              <w:jc w:val="both"/>
            </w:pPr>
            <w:r w:rsidRPr="00026430">
              <w:t>2018.gada 14.maija Satiksmes ministrijas un Latvijas Pašvaldību savienības sarunās tika panākta vienošanās, ka Satiksmes ministrija turpina konsultācijas ar Latvijas Lielo pilsētu asociāciju jautājumā par valsts budžeta līdzfinansējumu pilsētas nozīmes maršrutiem, kas iziet ārpus pilsētas administratīvās robežas. 2018.gada 12.jūnija sanāksmē</w:t>
            </w:r>
            <w:r w:rsidR="00817B91" w:rsidRPr="00026430">
              <w:t xml:space="preserve"> ar Latvijas Lielo pilsētu asociāciju</w:t>
            </w:r>
            <w:r w:rsidRPr="00026430">
              <w:t xml:space="preserve"> </w:t>
            </w:r>
            <w:bookmarkStart w:id="3" w:name="_Hlk516743746"/>
            <w:r w:rsidR="003B3033" w:rsidRPr="00026430">
              <w:t>panākta vienošanās, ka,</w:t>
            </w:r>
            <w:r w:rsidRPr="00026430">
              <w:t xml:space="preserve"> ņemot vērā plānot</w:t>
            </w:r>
            <w:r w:rsidR="00B95D1C" w:rsidRPr="00026430">
              <w:t>ā</w:t>
            </w:r>
            <w:r w:rsidRPr="00026430">
              <w:t xml:space="preserve">s izmaiņas reģionālo pārvadājumu maršruta tīklā no 2021.gada </w:t>
            </w:r>
            <w:r w:rsidR="00B95D1C" w:rsidRPr="00026430">
              <w:t>(</w:t>
            </w:r>
            <w:r w:rsidRPr="00026430">
              <w:t>maršrutu tīkla apjo</w:t>
            </w:r>
            <w:r w:rsidR="00B95D1C" w:rsidRPr="00026430">
              <w:t>mam)</w:t>
            </w:r>
            <w:r w:rsidRPr="00026430">
              <w:t xml:space="preserve">, Autotransporta direkcija sadarbībā ar republikas pilsētām veiks maršrutu, kuri iziet ārpus pilsētu administratīvajām robežām vairāk nekā 30% pārskatīšanu un izvērtēšanu, jautājumu par turpmāko lietderīgāko piepilsētu maršrutu apkalpošanas risinājumu, izskatot Sabiedriskā transporta padomē; </w:t>
            </w:r>
          </w:p>
          <w:bookmarkEnd w:id="3"/>
          <w:p w14:paraId="0A5892B9" w14:textId="129F6C89" w:rsidR="005B1D20" w:rsidRPr="00A605AA" w:rsidRDefault="006E5BA3" w:rsidP="00EA1341">
            <w:pPr>
              <w:ind w:right="45" w:firstLine="345"/>
              <w:jc w:val="both"/>
            </w:pPr>
            <w:r w:rsidRPr="00026430">
              <w:t>Vienlaikus ar Ministru prezidenta 2017.gada 14.decembra rīkojumu Nr.373 izveidotā darba grupa Rīgas pilsētas un Pierīgas pašvaldību savstarpējās koordinācijas jautājumu risināšanai</w:t>
            </w:r>
            <w:r w:rsidR="00026430">
              <w:t xml:space="preserve"> </w:t>
            </w:r>
            <w:r w:rsidRPr="00026430">
              <w:t xml:space="preserve"> uzdev</w:t>
            </w:r>
            <w:r w:rsidR="00026430">
              <w:t>a</w:t>
            </w:r>
            <w:r w:rsidRPr="00026430">
              <w:t xml:space="preserve"> iesaistītajām institūcijām līdz 2018.gada 30.jūnijam sniegt </w:t>
            </w:r>
            <w:r w:rsidR="000378C9" w:rsidRPr="00026430">
              <w:t xml:space="preserve">Autotransporta direkcijai </w:t>
            </w:r>
            <w:r w:rsidRPr="00026430">
              <w:t>priekšlikumus zaudējumu kompensācijas mehānisma izstrādei maršrutiem</w:t>
            </w:r>
            <w:r w:rsidRPr="00A605AA">
              <w:t xml:space="preserve">, kuri vairāk nekā 30% iziet ārpus pilsētas administratīvās teritorijas. </w:t>
            </w:r>
            <w:r w:rsidR="0001713F" w:rsidRPr="00A605AA">
              <w:t>Rīgas pilsētas un Pierīgas pašvaldību savstarpējās koordinācijas jautājumu risināšanai izveidotās darba grupas uzdevumā Autotransporta direkcija rīkoja tikšanos ar iesaistītajām institūcijām</w:t>
            </w:r>
            <w:r w:rsidR="005B1D20" w:rsidRPr="00A605AA">
              <w:t xml:space="preserve">, kas sniedza viedokli, </w:t>
            </w:r>
            <w:r w:rsidR="0001713F" w:rsidRPr="00A605AA">
              <w:t xml:space="preserve"> ka esošā norma Ministru kabineta noteikumos jāsaglabā, jo, to izslēdzot, nav prognozējama pilsētu pašvaldību rīcība – pastāv liels risks, ka daļa pilsētu pārvadājumu netiks nodrošināti ārpus pilsētu teritorijām (tajā skaitā </w:t>
            </w:r>
            <w:r w:rsidR="005B1D20" w:rsidRPr="00A605AA">
              <w:t xml:space="preserve">citos piepilsētas </w:t>
            </w:r>
            <w:r w:rsidR="0001713F" w:rsidRPr="00A605AA">
              <w:t>maršrutos, kuri ārpus pilsētu teritorijas iziet mazāk par 30% un kuriem pašreiz no valsts budžeta netiek segti zaudējumi)</w:t>
            </w:r>
            <w:r w:rsidR="005B1D20" w:rsidRPr="00A605AA">
              <w:t xml:space="preserve">. Tādā gadījumā minētie pilsētas pārvadājumi būtu jāaizstāj </w:t>
            </w:r>
            <w:r w:rsidR="00CF032A" w:rsidRPr="00A605AA">
              <w:t xml:space="preserve">ar reģionālās nozīmes autobusu pārvadājumiem, saglabājot tādu pašu sabiedriskā transporta pieejamību iedzīvotājiem, </w:t>
            </w:r>
            <w:r w:rsidR="005B1D20" w:rsidRPr="00A605AA">
              <w:t xml:space="preserve">un </w:t>
            </w:r>
            <w:r w:rsidR="00CF032A" w:rsidRPr="00A605AA">
              <w:t xml:space="preserve">nepieciešamais finansējums </w:t>
            </w:r>
            <w:r w:rsidR="005B1D20" w:rsidRPr="00A605AA">
              <w:t xml:space="preserve">šo </w:t>
            </w:r>
            <w:r w:rsidR="00CF032A" w:rsidRPr="00A605AA">
              <w:t>pārvadājumu izpildei, bū</w:t>
            </w:r>
            <w:r w:rsidR="005B1D20" w:rsidRPr="00A605AA">
              <w:t>tu</w:t>
            </w:r>
            <w:r w:rsidR="00CF032A" w:rsidRPr="00A605AA">
              <w:t xml:space="preserve"> nepieciešams aptuveni divas reizes lielāks, nekā tas pašlaik nepieciešams, izmantojot pilsētas nozīmes maršrutu pārvadājumus. </w:t>
            </w:r>
          </w:p>
          <w:p w14:paraId="3CE94D5C" w14:textId="4CFD3940" w:rsidR="0001713F" w:rsidRPr="00A605AA" w:rsidRDefault="00CF032A" w:rsidP="00EA1341">
            <w:pPr>
              <w:ind w:right="45" w:firstLine="345"/>
              <w:jc w:val="both"/>
            </w:pPr>
            <w:r w:rsidRPr="00A605AA">
              <w:t>Līdz ar to pašreizējā situācij</w:t>
            </w:r>
            <w:r w:rsidR="005B1D20" w:rsidRPr="00A605AA">
              <w:t>ā</w:t>
            </w:r>
            <w:r w:rsidRPr="00A605AA">
              <w:t xml:space="preserve"> attiecīgās normas izslēgšana no MK noteikumiem Nr.435 tieši palielinās sabiedriskā transporta </w:t>
            </w:r>
            <w:r w:rsidRPr="00A605AA">
              <w:lastRenderedPageBreak/>
              <w:t xml:space="preserve">pakalpojumu nozarei nepieciešamā valsts budžeta līdzekļu apmēru (skatīt tabulā aprēķināto dotāciju uz 1 km salīdzinājumu pilsētas pārvadātājiem maršrutos, kuru garums ārpus pilsētas ir vairāk kā 30% no kopējā maršruta garuma, ar reģionālajiem pārvadātājiem attiecīgajā reģionā). </w:t>
            </w:r>
          </w:p>
          <w:tbl>
            <w:tblPr>
              <w:tblW w:w="6341" w:type="dxa"/>
              <w:tblCellMar>
                <w:left w:w="0" w:type="dxa"/>
                <w:right w:w="0" w:type="dxa"/>
              </w:tblCellMar>
              <w:tblLook w:val="04A0" w:firstRow="1" w:lastRow="0" w:firstColumn="1" w:lastColumn="0" w:noHBand="0" w:noVBand="1"/>
            </w:tblPr>
            <w:tblGrid>
              <w:gridCol w:w="2040"/>
              <w:gridCol w:w="2054"/>
              <w:gridCol w:w="2247"/>
            </w:tblGrid>
            <w:tr w:rsidR="0001713F" w:rsidRPr="00026430" w14:paraId="23CFC5A2" w14:textId="77777777" w:rsidTr="00F96B06">
              <w:trPr>
                <w:trHeight w:val="3045"/>
              </w:trPr>
              <w:tc>
                <w:tcPr>
                  <w:tcW w:w="15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96E739F" w14:textId="77777777" w:rsidR="0001713F" w:rsidRPr="00A605AA" w:rsidRDefault="0001713F" w:rsidP="0001713F">
                  <w:pPr>
                    <w:rPr>
                      <w:b/>
                      <w:bCs/>
                    </w:rPr>
                  </w:pPr>
                  <w:r w:rsidRPr="00A605AA">
                    <w:rPr>
                      <w:b/>
                      <w:bCs/>
                    </w:rPr>
                    <w:t>Pašvaldība</w:t>
                  </w:r>
                </w:p>
              </w:tc>
              <w:tc>
                <w:tcPr>
                  <w:tcW w:w="1393"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14:paraId="0D566FCF" w14:textId="77777777" w:rsidR="0001713F" w:rsidRPr="00A605AA" w:rsidRDefault="0001713F" w:rsidP="0001713F">
                  <w:pPr>
                    <w:jc w:val="center"/>
                    <w:rPr>
                      <w:b/>
                      <w:bCs/>
                    </w:rPr>
                  </w:pPr>
                  <w:r w:rsidRPr="00A605AA">
                    <w:rPr>
                      <w:b/>
                      <w:bCs/>
                    </w:rPr>
                    <w:t>Pilsētām</w:t>
                  </w:r>
                </w:p>
                <w:p w14:paraId="480C11E5" w14:textId="77777777" w:rsidR="0001713F" w:rsidRPr="00A605AA" w:rsidRDefault="0001713F" w:rsidP="0001713F">
                  <w:pPr>
                    <w:jc w:val="center"/>
                    <w:rPr>
                      <w:b/>
                      <w:bCs/>
                    </w:rPr>
                  </w:pPr>
                  <w:r w:rsidRPr="00A605AA">
                    <w:rPr>
                      <w:b/>
                      <w:bCs/>
                    </w:rPr>
                    <w:t>aprēķinātā dotācija, t.sk. peļņa un zaudējumi par personu ar invaliditāti pārvadāšanu uz 1 km</w:t>
                  </w:r>
                </w:p>
              </w:tc>
              <w:tc>
                <w:tcPr>
                  <w:tcW w:w="151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1752CA" w14:textId="77777777" w:rsidR="0001713F" w:rsidRPr="00026430" w:rsidRDefault="0001713F" w:rsidP="0001713F">
                  <w:pPr>
                    <w:jc w:val="center"/>
                    <w:rPr>
                      <w:b/>
                      <w:bCs/>
                    </w:rPr>
                  </w:pPr>
                  <w:r w:rsidRPr="00A605AA">
                    <w:rPr>
                      <w:b/>
                      <w:bCs/>
                    </w:rPr>
                    <w:t>Reģionālajiem autobusiem aprēķinātā dotācija, t.sk. peļņa uz 1 km</w:t>
                  </w:r>
                </w:p>
              </w:tc>
            </w:tr>
            <w:tr w:rsidR="0001713F" w:rsidRPr="00026430" w14:paraId="531DC8C7" w14:textId="77777777" w:rsidTr="00F96B06">
              <w:trPr>
                <w:trHeight w:val="300"/>
              </w:trPr>
              <w:tc>
                <w:tcPr>
                  <w:tcW w:w="1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DD9ECE" w14:textId="77777777" w:rsidR="0001713F" w:rsidRPr="00026430" w:rsidRDefault="0001713F" w:rsidP="0001713F">
                  <w:pPr>
                    <w:rPr>
                      <w:b/>
                      <w:bCs/>
                    </w:rPr>
                  </w:pPr>
                  <w:r w:rsidRPr="00026430">
                    <w:rPr>
                      <w:b/>
                      <w:bCs/>
                    </w:rPr>
                    <w:t>Daugavpils</w:t>
                  </w:r>
                </w:p>
              </w:tc>
              <w:tc>
                <w:tcPr>
                  <w:tcW w:w="139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522458F" w14:textId="77777777" w:rsidR="0001713F" w:rsidRPr="00026430" w:rsidRDefault="0001713F" w:rsidP="0001713F">
                  <w:pPr>
                    <w:jc w:val="right"/>
                    <w:rPr>
                      <w:i/>
                      <w:iCs/>
                    </w:rPr>
                  </w:pPr>
                  <w:r w:rsidRPr="00026430">
                    <w:rPr>
                      <w:i/>
                      <w:iCs/>
                    </w:rPr>
                    <w:t>0.197</w:t>
                  </w:r>
                </w:p>
              </w:tc>
              <w:tc>
                <w:tcPr>
                  <w:tcW w:w="1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D3818D" w14:textId="77777777" w:rsidR="0001713F" w:rsidRPr="00026430" w:rsidRDefault="0001713F" w:rsidP="0001713F">
                  <w:pPr>
                    <w:jc w:val="right"/>
                    <w:rPr>
                      <w:b/>
                      <w:bCs/>
                      <w:i/>
                      <w:iCs/>
                    </w:rPr>
                  </w:pPr>
                  <w:r w:rsidRPr="00026430">
                    <w:rPr>
                      <w:b/>
                      <w:bCs/>
                      <w:i/>
                      <w:iCs/>
                    </w:rPr>
                    <w:t>0.665</w:t>
                  </w:r>
                </w:p>
              </w:tc>
            </w:tr>
            <w:tr w:rsidR="0001713F" w:rsidRPr="00026430" w14:paraId="3F74847C" w14:textId="77777777" w:rsidTr="00F96B06">
              <w:trPr>
                <w:trHeight w:val="300"/>
              </w:trPr>
              <w:tc>
                <w:tcPr>
                  <w:tcW w:w="1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AC49DE" w14:textId="77777777" w:rsidR="0001713F" w:rsidRPr="00026430" w:rsidRDefault="0001713F" w:rsidP="0001713F">
                  <w:pPr>
                    <w:rPr>
                      <w:b/>
                      <w:bCs/>
                    </w:rPr>
                  </w:pPr>
                  <w:r w:rsidRPr="00026430">
                    <w:rPr>
                      <w:b/>
                      <w:bCs/>
                    </w:rPr>
                    <w:t>Jelgava</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9A9FBE" w14:textId="77777777" w:rsidR="0001713F" w:rsidRPr="00026430" w:rsidRDefault="0001713F" w:rsidP="0001713F">
                  <w:pPr>
                    <w:jc w:val="right"/>
                    <w:rPr>
                      <w:i/>
                      <w:iCs/>
                    </w:rPr>
                  </w:pPr>
                  <w:r w:rsidRPr="00026430">
                    <w:rPr>
                      <w:i/>
                      <w:iCs/>
                    </w:rPr>
                    <w:t>0.485</w:t>
                  </w:r>
                </w:p>
              </w:tc>
              <w:tc>
                <w:tcPr>
                  <w:tcW w:w="1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EF0A8C" w14:textId="77777777" w:rsidR="0001713F" w:rsidRPr="00026430" w:rsidRDefault="0001713F" w:rsidP="0001713F">
                  <w:pPr>
                    <w:jc w:val="right"/>
                    <w:rPr>
                      <w:b/>
                      <w:bCs/>
                      <w:i/>
                      <w:iCs/>
                    </w:rPr>
                  </w:pPr>
                  <w:r w:rsidRPr="00026430">
                    <w:rPr>
                      <w:b/>
                      <w:bCs/>
                      <w:i/>
                      <w:iCs/>
                    </w:rPr>
                    <w:t>0.767</w:t>
                  </w:r>
                </w:p>
              </w:tc>
            </w:tr>
            <w:tr w:rsidR="0001713F" w:rsidRPr="00026430" w14:paraId="08F817C1" w14:textId="77777777" w:rsidTr="00F96B06">
              <w:trPr>
                <w:trHeight w:val="300"/>
              </w:trPr>
              <w:tc>
                <w:tcPr>
                  <w:tcW w:w="1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0B6AFA" w14:textId="77777777" w:rsidR="0001713F" w:rsidRPr="00026430" w:rsidRDefault="0001713F" w:rsidP="0001713F">
                  <w:pPr>
                    <w:rPr>
                      <w:b/>
                      <w:bCs/>
                    </w:rPr>
                  </w:pPr>
                  <w:r w:rsidRPr="00026430">
                    <w:rPr>
                      <w:b/>
                      <w:bCs/>
                    </w:rPr>
                    <w:t>Jēkabpils</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13E22B" w14:textId="77777777" w:rsidR="0001713F" w:rsidRPr="00026430" w:rsidRDefault="0001713F" w:rsidP="0001713F">
                  <w:pPr>
                    <w:jc w:val="right"/>
                    <w:rPr>
                      <w:i/>
                      <w:iCs/>
                    </w:rPr>
                  </w:pPr>
                  <w:r w:rsidRPr="00026430">
                    <w:rPr>
                      <w:i/>
                      <w:iCs/>
                    </w:rPr>
                    <w:t>0.157</w:t>
                  </w:r>
                </w:p>
              </w:tc>
              <w:tc>
                <w:tcPr>
                  <w:tcW w:w="1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D87473" w14:textId="77777777" w:rsidR="0001713F" w:rsidRPr="00026430" w:rsidRDefault="0001713F" w:rsidP="0001713F">
                  <w:pPr>
                    <w:jc w:val="right"/>
                    <w:rPr>
                      <w:b/>
                      <w:bCs/>
                      <w:i/>
                      <w:iCs/>
                    </w:rPr>
                  </w:pPr>
                  <w:r w:rsidRPr="00026430">
                    <w:rPr>
                      <w:b/>
                      <w:bCs/>
                      <w:i/>
                      <w:iCs/>
                    </w:rPr>
                    <w:t>0.648</w:t>
                  </w:r>
                </w:p>
              </w:tc>
            </w:tr>
            <w:tr w:rsidR="0001713F" w:rsidRPr="00026430" w14:paraId="70EDA7E7" w14:textId="77777777" w:rsidTr="00F96B06">
              <w:trPr>
                <w:trHeight w:val="300"/>
              </w:trPr>
              <w:tc>
                <w:tcPr>
                  <w:tcW w:w="1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B3EE87" w14:textId="77777777" w:rsidR="0001713F" w:rsidRPr="00026430" w:rsidRDefault="0001713F" w:rsidP="0001713F">
                  <w:pPr>
                    <w:rPr>
                      <w:b/>
                      <w:bCs/>
                    </w:rPr>
                  </w:pPr>
                  <w:r w:rsidRPr="00026430">
                    <w:rPr>
                      <w:b/>
                      <w:bCs/>
                    </w:rPr>
                    <w:t>Liepāja</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D2795A" w14:textId="77777777" w:rsidR="0001713F" w:rsidRPr="00026430" w:rsidRDefault="0001713F" w:rsidP="0001713F">
                  <w:pPr>
                    <w:jc w:val="right"/>
                    <w:rPr>
                      <w:i/>
                      <w:iCs/>
                    </w:rPr>
                  </w:pPr>
                  <w:r w:rsidRPr="00026430">
                    <w:rPr>
                      <w:i/>
                      <w:iCs/>
                    </w:rPr>
                    <w:t>0.346</w:t>
                  </w:r>
                </w:p>
              </w:tc>
              <w:tc>
                <w:tcPr>
                  <w:tcW w:w="1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86300A" w14:textId="77777777" w:rsidR="0001713F" w:rsidRPr="00026430" w:rsidRDefault="0001713F" w:rsidP="0001713F">
                  <w:pPr>
                    <w:jc w:val="right"/>
                    <w:rPr>
                      <w:b/>
                      <w:bCs/>
                      <w:i/>
                      <w:iCs/>
                    </w:rPr>
                  </w:pPr>
                  <w:r w:rsidRPr="00026430">
                    <w:rPr>
                      <w:b/>
                      <w:bCs/>
                      <w:i/>
                      <w:iCs/>
                    </w:rPr>
                    <w:t>0.519</w:t>
                  </w:r>
                </w:p>
              </w:tc>
            </w:tr>
            <w:tr w:rsidR="0001713F" w:rsidRPr="00026430" w14:paraId="0E953373" w14:textId="77777777" w:rsidTr="00F96B06">
              <w:trPr>
                <w:trHeight w:val="300"/>
              </w:trPr>
              <w:tc>
                <w:tcPr>
                  <w:tcW w:w="1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4F4990" w14:textId="77777777" w:rsidR="0001713F" w:rsidRPr="00026430" w:rsidRDefault="0001713F" w:rsidP="0001713F">
                  <w:pPr>
                    <w:rPr>
                      <w:b/>
                      <w:bCs/>
                    </w:rPr>
                  </w:pPr>
                  <w:r w:rsidRPr="00026430">
                    <w:rPr>
                      <w:b/>
                      <w:bCs/>
                    </w:rPr>
                    <w:t>Rēzekne</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C60D3A" w14:textId="77777777" w:rsidR="0001713F" w:rsidRPr="00026430" w:rsidRDefault="0001713F" w:rsidP="0001713F">
                  <w:pPr>
                    <w:jc w:val="right"/>
                    <w:rPr>
                      <w:i/>
                      <w:iCs/>
                    </w:rPr>
                  </w:pPr>
                  <w:r w:rsidRPr="00026430">
                    <w:rPr>
                      <w:i/>
                      <w:iCs/>
                    </w:rPr>
                    <w:t>0.333</w:t>
                  </w:r>
                </w:p>
              </w:tc>
              <w:tc>
                <w:tcPr>
                  <w:tcW w:w="1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F643D5" w14:textId="77777777" w:rsidR="0001713F" w:rsidRPr="00026430" w:rsidRDefault="0001713F" w:rsidP="0001713F">
                  <w:pPr>
                    <w:jc w:val="right"/>
                    <w:rPr>
                      <w:b/>
                      <w:bCs/>
                      <w:i/>
                      <w:iCs/>
                    </w:rPr>
                  </w:pPr>
                  <w:r w:rsidRPr="00026430">
                    <w:rPr>
                      <w:b/>
                      <w:bCs/>
                      <w:i/>
                      <w:iCs/>
                    </w:rPr>
                    <w:t>0.701</w:t>
                  </w:r>
                </w:p>
              </w:tc>
            </w:tr>
            <w:tr w:rsidR="0001713F" w:rsidRPr="00026430" w14:paraId="737BFD01" w14:textId="77777777" w:rsidTr="00F96B06">
              <w:trPr>
                <w:trHeight w:val="300"/>
              </w:trPr>
              <w:tc>
                <w:tcPr>
                  <w:tcW w:w="1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E37A01" w14:textId="77777777" w:rsidR="0001713F" w:rsidRPr="00026430" w:rsidRDefault="0001713F" w:rsidP="0001713F">
                  <w:pPr>
                    <w:rPr>
                      <w:b/>
                      <w:bCs/>
                    </w:rPr>
                  </w:pPr>
                  <w:r w:rsidRPr="00026430">
                    <w:rPr>
                      <w:b/>
                      <w:bCs/>
                    </w:rPr>
                    <w:t>Rīga</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CC26D2" w14:textId="77777777" w:rsidR="0001713F" w:rsidRPr="00026430" w:rsidRDefault="0001713F" w:rsidP="0001713F">
                  <w:pPr>
                    <w:jc w:val="right"/>
                    <w:rPr>
                      <w:i/>
                      <w:iCs/>
                    </w:rPr>
                  </w:pPr>
                  <w:r w:rsidRPr="00026430">
                    <w:rPr>
                      <w:i/>
                      <w:iCs/>
                    </w:rPr>
                    <w:t>0.474</w:t>
                  </w:r>
                </w:p>
              </w:tc>
              <w:tc>
                <w:tcPr>
                  <w:tcW w:w="1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FA1171" w14:textId="77777777" w:rsidR="0001713F" w:rsidRPr="00026430" w:rsidRDefault="0001713F" w:rsidP="0001713F">
                  <w:pPr>
                    <w:jc w:val="right"/>
                    <w:rPr>
                      <w:b/>
                      <w:bCs/>
                      <w:i/>
                      <w:iCs/>
                    </w:rPr>
                  </w:pPr>
                  <w:r w:rsidRPr="00026430">
                    <w:rPr>
                      <w:b/>
                      <w:bCs/>
                      <w:i/>
                      <w:iCs/>
                    </w:rPr>
                    <w:t>0.486</w:t>
                  </w:r>
                </w:p>
              </w:tc>
            </w:tr>
            <w:tr w:rsidR="0001713F" w:rsidRPr="00026430" w14:paraId="4188A00F" w14:textId="77777777" w:rsidTr="00F96B06">
              <w:trPr>
                <w:trHeight w:val="300"/>
              </w:trPr>
              <w:tc>
                <w:tcPr>
                  <w:tcW w:w="1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A6115C" w14:textId="77777777" w:rsidR="0001713F" w:rsidRPr="00026430" w:rsidRDefault="0001713F" w:rsidP="0001713F">
                  <w:pPr>
                    <w:rPr>
                      <w:b/>
                      <w:bCs/>
                    </w:rPr>
                  </w:pPr>
                  <w:r w:rsidRPr="00026430">
                    <w:rPr>
                      <w:b/>
                      <w:bCs/>
                    </w:rPr>
                    <w:t>Valmiera</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F4FC51" w14:textId="77777777" w:rsidR="0001713F" w:rsidRPr="00026430" w:rsidRDefault="0001713F" w:rsidP="0001713F">
                  <w:pPr>
                    <w:jc w:val="right"/>
                    <w:rPr>
                      <w:i/>
                      <w:iCs/>
                    </w:rPr>
                  </w:pPr>
                  <w:r w:rsidRPr="00026430">
                    <w:rPr>
                      <w:i/>
                      <w:iCs/>
                    </w:rPr>
                    <w:t>0.112</w:t>
                  </w:r>
                </w:p>
              </w:tc>
              <w:tc>
                <w:tcPr>
                  <w:tcW w:w="1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80A00B" w14:textId="77777777" w:rsidR="0001713F" w:rsidRPr="00026430" w:rsidRDefault="0001713F" w:rsidP="0001713F">
                  <w:pPr>
                    <w:jc w:val="right"/>
                    <w:rPr>
                      <w:b/>
                      <w:bCs/>
                      <w:i/>
                      <w:iCs/>
                    </w:rPr>
                  </w:pPr>
                  <w:r w:rsidRPr="00026430">
                    <w:rPr>
                      <w:b/>
                      <w:bCs/>
                      <w:i/>
                      <w:iCs/>
                    </w:rPr>
                    <w:t>0.742</w:t>
                  </w:r>
                </w:p>
              </w:tc>
            </w:tr>
            <w:tr w:rsidR="0001713F" w:rsidRPr="00026430" w14:paraId="22D06C85" w14:textId="77777777" w:rsidTr="00F96B06">
              <w:trPr>
                <w:trHeight w:val="300"/>
              </w:trPr>
              <w:tc>
                <w:tcPr>
                  <w:tcW w:w="1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714607" w14:textId="77777777" w:rsidR="0001713F" w:rsidRPr="00026430" w:rsidRDefault="0001713F" w:rsidP="0001713F">
                  <w:pPr>
                    <w:rPr>
                      <w:b/>
                      <w:bCs/>
                    </w:rPr>
                  </w:pPr>
                  <w:r w:rsidRPr="00026430">
                    <w:rPr>
                      <w:b/>
                      <w:bCs/>
                    </w:rPr>
                    <w:t>Ventspils</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984791" w14:textId="77777777" w:rsidR="0001713F" w:rsidRPr="00026430" w:rsidRDefault="0001713F" w:rsidP="0001713F">
                  <w:pPr>
                    <w:jc w:val="right"/>
                    <w:rPr>
                      <w:i/>
                      <w:iCs/>
                    </w:rPr>
                  </w:pPr>
                  <w:r w:rsidRPr="00026430">
                    <w:rPr>
                      <w:i/>
                      <w:iCs/>
                    </w:rPr>
                    <w:t>0.559</w:t>
                  </w:r>
                </w:p>
              </w:tc>
              <w:tc>
                <w:tcPr>
                  <w:tcW w:w="1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FE7B64" w14:textId="77777777" w:rsidR="0001713F" w:rsidRPr="00026430" w:rsidRDefault="0001713F" w:rsidP="0001713F">
                  <w:pPr>
                    <w:jc w:val="right"/>
                    <w:rPr>
                      <w:b/>
                      <w:bCs/>
                      <w:i/>
                      <w:iCs/>
                    </w:rPr>
                  </w:pPr>
                  <w:r w:rsidRPr="00026430">
                    <w:rPr>
                      <w:b/>
                      <w:bCs/>
                      <w:i/>
                      <w:iCs/>
                    </w:rPr>
                    <w:t>0.761</w:t>
                  </w:r>
                </w:p>
              </w:tc>
            </w:tr>
          </w:tbl>
          <w:p w14:paraId="46861894" w14:textId="36255A37" w:rsidR="0001713F" w:rsidRPr="00026430" w:rsidRDefault="0001713F" w:rsidP="00EA1341">
            <w:pPr>
              <w:ind w:right="45" w:firstLine="345"/>
              <w:jc w:val="both"/>
            </w:pPr>
            <w:r w:rsidRPr="00A605AA">
              <w:t>Ņemot vērā augstāk minētos aprēķinus</w:t>
            </w:r>
            <w:r w:rsidR="005B1D20" w:rsidRPr="00A605AA">
              <w:t xml:space="preserve"> un</w:t>
            </w:r>
            <w:r w:rsidRPr="00A605AA">
              <w:t xml:space="preserve"> pamatojoties  uz Rīgas pilsētas un Pierīgas pašvaldību savstarpējās koordinācijas jautājumu risināšanai izveidotās darba grupas uzdevumā </w:t>
            </w:r>
            <w:r w:rsidR="005B1D20" w:rsidRPr="00A605AA">
              <w:t xml:space="preserve">saņemto </w:t>
            </w:r>
            <w:r w:rsidRPr="00A605AA">
              <w:t>institūcij</w:t>
            </w:r>
            <w:r w:rsidR="005B1D20" w:rsidRPr="00A605AA">
              <w:t>u</w:t>
            </w:r>
            <w:r w:rsidRPr="00A605AA">
              <w:t xml:space="preserve"> </w:t>
            </w:r>
            <w:r w:rsidR="00CF032A" w:rsidRPr="00A605AA">
              <w:t xml:space="preserve"> </w:t>
            </w:r>
            <w:r w:rsidRPr="00A605AA">
              <w:t>viedokli</w:t>
            </w:r>
            <w:r w:rsidR="00CF032A" w:rsidRPr="00A605AA">
              <w:t xml:space="preserve">, </w:t>
            </w:r>
            <w:r w:rsidR="005B1D20" w:rsidRPr="00A605AA">
              <w:t xml:space="preserve">secināts, ka ar </w:t>
            </w:r>
            <w:r w:rsidRPr="00A605AA">
              <w:t>esošā</w:t>
            </w:r>
            <w:r w:rsidR="005B1D20" w:rsidRPr="00A605AA">
              <w:t>s</w:t>
            </w:r>
            <w:r w:rsidRPr="00A605AA">
              <w:t xml:space="preserve"> norma</w:t>
            </w:r>
            <w:r w:rsidR="005B1D20" w:rsidRPr="00A605AA">
              <w:t>s</w:t>
            </w:r>
            <w:r w:rsidRPr="00A605AA">
              <w:t xml:space="preserve"> </w:t>
            </w:r>
            <w:r w:rsidR="00CF032A" w:rsidRPr="00A605AA">
              <w:t xml:space="preserve">atcelšanu netiks sasniegts plānotais mērķis - </w:t>
            </w:r>
            <w:r w:rsidR="00CF032A" w:rsidRPr="00A605AA">
              <w:rPr>
                <w:iCs/>
              </w:rPr>
              <w:t xml:space="preserve">nodrošināta no valsts budžeta piešķirto līdzekļu ekonomija sabiedriskā transporta pakalpojumu sniegšanā. Līdz ar to Ministru kabineta sēdes </w:t>
            </w:r>
            <w:proofErr w:type="spellStart"/>
            <w:r w:rsidR="00CF032A" w:rsidRPr="00A605AA">
              <w:rPr>
                <w:iCs/>
              </w:rPr>
              <w:t>protoko</w:t>
            </w:r>
            <w:r w:rsidR="00280308" w:rsidRPr="00A605AA">
              <w:rPr>
                <w:iCs/>
              </w:rPr>
              <w:t>l</w:t>
            </w:r>
            <w:r w:rsidR="00CF032A" w:rsidRPr="00A605AA">
              <w:rPr>
                <w:iCs/>
              </w:rPr>
              <w:t>lēmuma</w:t>
            </w:r>
            <w:proofErr w:type="spellEnd"/>
            <w:r w:rsidR="00CF032A" w:rsidRPr="00A605AA">
              <w:rPr>
                <w:iCs/>
              </w:rPr>
              <w:t xml:space="preserve"> projekt</w:t>
            </w:r>
            <w:r w:rsidR="00C35D77" w:rsidRPr="00A605AA">
              <w:rPr>
                <w:iCs/>
              </w:rPr>
              <w:t xml:space="preserve">a </w:t>
            </w:r>
            <w:r w:rsidR="00CD5E62">
              <w:rPr>
                <w:iCs/>
              </w:rPr>
              <w:t>1</w:t>
            </w:r>
            <w:r w:rsidR="00C35D77" w:rsidRPr="00A605AA">
              <w:rPr>
                <w:iCs/>
              </w:rPr>
              <w:t>.punkts</w:t>
            </w:r>
            <w:r w:rsidR="00CF032A" w:rsidRPr="00A605AA">
              <w:rPr>
                <w:iCs/>
              </w:rPr>
              <w:t xml:space="preserve"> paredz </w:t>
            </w:r>
            <w:r w:rsidR="00CF032A" w:rsidRPr="00A605AA">
              <w:t xml:space="preserve">atzīt par aktualitāti zaudējušu Ministru kabineta 2017.gada 12.decembra sēdes </w:t>
            </w:r>
            <w:proofErr w:type="spellStart"/>
            <w:r w:rsidR="00CF032A" w:rsidRPr="00A605AA">
              <w:t>protokollēmuma</w:t>
            </w:r>
            <w:proofErr w:type="spellEnd"/>
            <w:r w:rsidR="00CF032A" w:rsidRPr="00A605AA">
              <w:t xml:space="preserve"> 2.1. apakšpunktā doto uzdevumu.</w:t>
            </w:r>
          </w:p>
          <w:p w14:paraId="3632B1AF" w14:textId="77777777" w:rsidR="0001713F" w:rsidRPr="00026430" w:rsidRDefault="0001713F" w:rsidP="00EA1341">
            <w:pPr>
              <w:ind w:right="45" w:firstLine="345"/>
              <w:jc w:val="both"/>
            </w:pPr>
          </w:p>
          <w:p w14:paraId="31F2799B" w14:textId="01A1BA3F" w:rsidR="004B5233" w:rsidRPr="00026430" w:rsidRDefault="007E4289" w:rsidP="00EA1341">
            <w:pPr>
              <w:ind w:firstLine="345"/>
              <w:jc w:val="both"/>
            </w:pPr>
            <w:r w:rsidRPr="00026430">
              <w:rPr>
                <w:iCs/>
              </w:rPr>
              <w:t xml:space="preserve">2) </w:t>
            </w:r>
            <w:r w:rsidR="00C52614" w:rsidRPr="00026430">
              <w:t xml:space="preserve">Saskaņā ar </w:t>
            </w:r>
            <w:r w:rsidR="00D31F07" w:rsidRPr="00026430">
              <w:rPr>
                <w:iCs/>
              </w:rPr>
              <w:t xml:space="preserve"> </w:t>
            </w:r>
            <w:r w:rsidR="0022206B" w:rsidRPr="00026430">
              <w:rPr>
                <w:iCs/>
              </w:rPr>
              <w:t>Ministru kabineta 2017.gada 12.decembra sēd</w:t>
            </w:r>
            <w:r w:rsidR="00C52614" w:rsidRPr="00026430">
              <w:rPr>
                <w:iCs/>
              </w:rPr>
              <w:t>es</w:t>
            </w:r>
            <w:r w:rsidR="0022206B" w:rsidRPr="00026430">
              <w:rPr>
                <w:iCs/>
              </w:rPr>
              <w:t xml:space="preserve">  (prot.Nr.61 66.§) l</w:t>
            </w:r>
            <w:r w:rsidR="00C52614" w:rsidRPr="00026430">
              <w:rPr>
                <w:iCs/>
              </w:rPr>
              <w:t>ēmuma  2.2. apakšpunktu,</w:t>
            </w:r>
            <w:r w:rsidR="0022206B" w:rsidRPr="00026430">
              <w:rPr>
                <w:iCs/>
              </w:rPr>
              <w:t xml:space="preserve"> </w:t>
            </w:r>
            <w:r w:rsidR="00C52614" w:rsidRPr="00026430">
              <w:rPr>
                <w:iCs/>
              </w:rPr>
              <w:t xml:space="preserve">Satiksmes ministrijai </w:t>
            </w:r>
            <w:r w:rsidR="0022206B" w:rsidRPr="00026430">
              <w:rPr>
                <w:iCs/>
              </w:rPr>
              <w:t xml:space="preserve"> uzdots </w:t>
            </w:r>
            <w:r w:rsidR="00D31F07" w:rsidRPr="00026430">
              <w:rPr>
                <w:iCs/>
              </w:rPr>
              <w:t xml:space="preserve">pārskatīt MK noteikumos Nr.435 iekļauto peļņas aprēķina formulu. Ar MK noteikumu Nr.435 54.punktu un Pārejas noteikumu </w:t>
            </w:r>
            <w:r w:rsidR="00D31F07" w:rsidRPr="00026430">
              <w:t xml:space="preserve">101.punktu </w:t>
            </w:r>
            <w:r w:rsidR="00D31F07" w:rsidRPr="00026430">
              <w:rPr>
                <w:iCs/>
              </w:rPr>
              <w:t>ir noteikts, ka</w:t>
            </w:r>
            <w:r w:rsidR="00D31F07" w:rsidRPr="00026430">
              <w:t xml:space="preserve">, aprēķinot garantēto peļņu, mainīgās daļas nobraukuma komponente </w:t>
            </w:r>
            <w:proofErr w:type="spellStart"/>
            <w:r w:rsidR="00D31F07" w:rsidRPr="00026430">
              <w:rPr>
                <w:i/>
              </w:rPr>
              <w:t>euro</w:t>
            </w:r>
            <w:proofErr w:type="spellEnd"/>
            <w:r w:rsidR="00D31F07" w:rsidRPr="00026430">
              <w:t xml:space="preserve"> valūtā par 2015.gadu sastāda 0,01 </w:t>
            </w:r>
            <w:proofErr w:type="spellStart"/>
            <w:r w:rsidR="00D31F07" w:rsidRPr="00026430">
              <w:rPr>
                <w:i/>
              </w:rPr>
              <w:t>euro</w:t>
            </w:r>
            <w:proofErr w:type="spellEnd"/>
            <w:r w:rsidR="00D31F07" w:rsidRPr="00026430">
              <w:t xml:space="preserve">, par 2016.gadu – 0,02 </w:t>
            </w:r>
            <w:proofErr w:type="spellStart"/>
            <w:r w:rsidR="00D31F07" w:rsidRPr="00026430">
              <w:rPr>
                <w:i/>
              </w:rPr>
              <w:t>euro</w:t>
            </w:r>
            <w:proofErr w:type="spellEnd"/>
            <w:r w:rsidR="00D31F07" w:rsidRPr="00026430">
              <w:t xml:space="preserve">, savukārt 2017.gadam un turpmākajiem tā sastāda 0,03 </w:t>
            </w:r>
            <w:proofErr w:type="spellStart"/>
            <w:r w:rsidR="00D31F07" w:rsidRPr="00026430">
              <w:rPr>
                <w:i/>
              </w:rPr>
              <w:t>euro</w:t>
            </w:r>
            <w:proofErr w:type="spellEnd"/>
            <w:r w:rsidR="00D31F07" w:rsidRPr="00026430">
              <w:t xml:space="preserve">. Šāda peļņas aprēķināšanas kārtība tika paredzēta, lai nodrošinātu pietiekamu atbalstu  sabiedriskā transporta pakalpojumu sniedzējiem sabiedriskā transporta pakalpojumu sniegšanā iesaistītās tehnikas (transportlīdzekļu parka) atjaunošanai, kā arī paaugstinātu sabiedriskā transporta pakalpojumu sniegšanas kvalitāti, turklāt šāds vidējais peļņas procents, ko saņemtu sabiedriskā transporta pakalpojumu sniedzēji, atbilstu 2015.gadā aptuveni 4% no </w:t>
            </w:r>
            <w:r w:rsidR="00D31F07" w:rsidRPr="00026430">
              <w:lastRenderedPageBreak/>
              <w:t>ieņēmumiem, jeb vidēji 2% no apgrozījuma, 2016.gadā vidējais peļņas procents atbilstu aptuveni 5% no ieņēmumiem, jeb vidēji 3%, savukārt 2017.gadā vidējais peļņas procents atbilstu aptuveni 6% no ieņēmumiem, jeb vidēji 4% no apgrozījuma, kas, ņemot vērā pašreizējo finansiālo situāciju un normatīvajos aktos izvirzītās prasības pakalpojumu sniegšanā izmantojamajiem transportlīdzekļiem, atbilst „saprātīgas peļņas” jēdzienam ilgtermiņa valsts pasūtījuma līgumos un Eiropas Parlamenta un Padomes Regulā (EK) Nr. 1370/2007 (2007.gada 23.oktobris) par sabiedriskā pasažieru transporta pakalpojumiem, izmantojot dzelzceļu un autoceļus, noteiktajam.</w:t>
            </w:r>
          </w:p>
          <w:p w14:paraId="53185145" w14:textId="7F89B8C0" w:rsidR="004B5233" w:rsidRPr="00026430" w:rsidRDefault="004B5233" w:rsidP="00EA1341">
            <w:pPr>
              <w:jc w:val="both"/>
            </w:pPr>
            <w:r w:rsidRPr="00026430">
              <w:t>Satversmes tiesa ir atzinusi, ka likumdevējam ir pienākums periodiski apsvērt, vai konkrētais tiesiskais regulējums joprojām ir efektīvs, piemērots un nepieciešams un vai tas kādā veidā nebūtu pilnveidojams. Šāds pienākums Satversmes tiesas izpratnē ir vienlīdz attiecināms arī uz Ministru kabinetu (</w:t>
            </w:r>
            <w:r w:rsidRPr="00026430">
              <w:rPr>
                <w:i/>
                <w:iCs/>
              </w:rPr>
              <w:t>sk. Satversmes tiesas 2012. gada 2. maija sprieduma lietā Nr. 2011-17-03 14.1. punktu</w:t>
            </w:r>
            <w:r w:rsidRPr="00026430">
              <w:t>). Tiesiskās paļāvības princips ne vien neizslēdz, bet noteiktos apstākļos pat pieprasa pastāvošā tiesiskā regulējuma grozīšanu. Pretējā gadījumā valsts nevarētu pienācīgi reaģēt uz mainīgajiem dzīves apstākļiem (</w:t>
            </w:r>
            <w:r w:rsidRPr="00026430">
              <w:rPr>
                <w:i/>
                <w:iCs/>
              </w:rPr>
              <w:t>sk. Satversmes tiesas 2010. gada 15. aprīļa sprieduma lietā Nr. 2009-88-01 15. punktu</w:t>
            </w:r>
            <w:r w:rsidRPr="00026430">
              <w:t>).</w:t>
            </w:r>
          </w:p>
          <w:p w14:paraId="5412567F" w14:textId="6BB18FBD" w:rsidR="001C0645" w:rsidRPr="00026430" w:rsidRDefault="004B5233" w:rsidP="00EA1341">
            <w:pPr>
              <w:jc w:val="both"/>
            </w:pPr>
            <w:r w:rsidRPr="00026430">
              <w:t xml:space="preserve">Pamatojoties </w:t>
            </w:r>
            <w:r w:rsidR="001C0645" w:rsidRPr="00026430">
              <w:t>uz to, ka kopējie valsts budžeta līdzekļi ir ierobežoti,</w:t>
            </w:r>
            <w:r w:rsidR="00F175D4" w:rsidRPr="00026430">
              <w:t xml:space="preserve"> Satiksmes ministrija sagatavoja </w:t>
            </w:r>
            <w:r w:rsidR="001C0645" w:rsidRPr="00026430">
              <w:t xml:space="preserve"> Ministru kabineta noteikumu projektu</w:t>
            </w:r>
            <w:r w:rsidR="00F175D4" w:rsidRPr="00026430">
              <w:t xml:space="preserve"> ar kuru tika </w:t>
            </w:r>
            <w:r w:rsidR="001C0645" w:rsidRPr="00026430">
              <w:t xml:space="preserve"> piedāvāts – samazināt nobraukuma komponenti līdz 0,01 </w:t>
            </w:r>
            <w:proofErr w:type="spellStart"/>
            <w:r w:rsidR="001C0645" w:rsidRPr="00026430">
              <w:rPr>
                <w:i/>
              </w:rPr>
              <w:t>euro</w:t>
            </w:r>
            <w:proofErr w:type="spellEnd"/>
            <w:r w:rsidR="001C0645" w:rsidRPr="00026430">
              <w:t xml:space="preserve"> un pārvadājumos ar sliežu transportu noteikt nobraukuma koeficientu par vilciena (sastāva) kilometriem. Minēto grozījumu rezultātā kopējā pozitīvā ietekme – samazinot peļņai paredzēto finansējumu, valsts budžetam sastādītu 2 197 787 </w:t>
            </w:r>
            <w:proofErr w:type="spellStart"/>
            <w:r w:rsidR="001C0645" w:rsidRPr="00026430">
              <w:rPr>
                <w:i/>
              </w:rPr>
              <w:t>euro</w:t>
            </w:r>
            <w:proofErr w:type="spellEnd"/>
            <w:r w:rsidR="001C0645" w:rsidRPr="00026430">
              <w:t xml:space="preserve"> (salīdzinājumā </w:t>
            </w:r>
            <w:r w:rsidR="0049421D" w:rsidRPr="00026430">
              <w:t>ar</w:t>
            </w:r>
            <w:r w:rsidR="001C0645" w:rsidRPr="00026430">
              <w:t xml:space="preserve"> 2017.gadu) un republikas pilsētu pašvaldību budžetos – 2 530 133 </w:t>
            </w:r>
            <w:proofErr w:type="spellStart"/>
            <w:r w:rsidR="001C0645" w:rsidRPr="00026430">
              <w:rPr>
                <w:i/>
              </w:rPr>
              <w:t>euro</w:t>
            </w:r>
            <w:proofErr w:type="spellEnd"/>
            <w:r w:rsidR="001C0645" w:rsidRPr="00026430">
              <w:rPr>
                <w:i/>
              </w:rPr>
              <w:t xml:space="preserve"> </w:t>
            </w:r>
            <w:r w:rsidR="001C0645" w:rsidRPr="00026430">
              <w:t>(salīdzinājumā ar 2017.gadu).</w:t>
            </w:r>
          </w:p>
          <w:p w14:paraId="41C78184" w14:textId="15E43934" w:rsidR="003C61F4" w:rsidRPr="00026430" w:rsidRDefault="00F175D4" w:rsidP="00EA1341">
            <w:pPr>
              <w:jc w:val="both"/>
            </w:pPr>
            <w:r w:rsidRPr="00026430">
              <w:t xml:space="preserve">Noteikumu projekts tika publicēts Satiksmes ministrijas tīmekļvietnē sabiedrības līdzdalībai. </w:t>
            </w:r>
            <w:r w:rsidR="00000481" w:rsidRPr="00026430">
              <w:t xml:space="preserve"> </w:t>
            </w:r>
            <w:r w:rsidR="00000481" w:rsidRPr="00026430">
              <w:rPr>
                <w:iCs/>
              </w:rPr>
              <w:t>Latvijas Pasažieru pārvadātāju asociācija 2018.gada 20.jūlija atzinumā kategoriski iebil</w:t>
            </w:r>
            <w:r w:rsidR="00A7284C" w:rsidRPr="00026430">
              <w:rPr>
                <w:iCs/>
              </w:rPr>
              <w:t>da</w:t>
            </w:r>
            <w:r w:rsidR="00000481" w:rsidRPr="00026430">
              <w:rPr>
                <w:iCs/>
              </w:rPr>
              <w:t xml:space="preserve"> pret garantētās peļņas apmēra samazināšanu un norāda, ka ņemot vērā izmaksu pieaugumu saistībā ar minimālās algas palielinājumu un degvielas akcīzes nodokļa palielinājumu   un par nepieciešamā finansējuma apjoms jāparedz plānojot  budžetu.  Savukārt Latvijas Pašvaldību savienība </w:t>
            </w:r>
            <w:r w:rsidR="00A7284C" w:rsidRPr="00026430">
              <w:rPr>
                <w:iCs/>
              </w:rPr>
              <w:t>norādīja, ka</w:t>
            </w:r>
            <w:r w:rsidR="00000481" w:rsidRPr="00026430">
              <w:t xml:space="preserve">, ka piedāvājum samazināt garantētās peļņas sabiedriskā transporta nobraukuma komponenti līdz 0.01 </w:t>
            </w:r>
            <w:r w:rsidR="00000481" w:rsidRPr="00026430">
              <w:rPr>
                <w:i/>
              </w:rPr>
              <w:t>eiro</w:t>
            </w:r>
            <w:r w:rsidR="00000481" w:rsidRPr="00026430">
              <w:t xml:space="preserve"> ievērojami samazinās sabiedriskā transporta pakalpojuma sniedzēju konkurētspēju, tādējādi ierobežojot to spēju piesaistīt investīcijas, kas savukārt ietekmēs iedzīvotāju mobilitāti.</w:t>
            </w:r>
          </w:p>
          <w:p w14:paraId="4FE5898F" w14:textId="78BDEA50" w:rsidR="00A7284C" w:rsidRPr="00026430" w:rsidRDefault="000378C9" w:rsidP="00EA1341">
            <w:pPr>
              <w:jc w:val="both"/>
            </w:pPr>
            <w:r w:rsidRPr="00026430">
              <w:rPr>
                <w:b/>
              </w:rPr>
              <w:t xml:space="preserve">    </w:t>
            </w:r>
            <w:r w:rsidR="00A7284C" w:rsidRPr="00026430">
              <w:t xml:space="preserve">Latvijas Darba devēju konfederācija (turpmāk iebilst pret noteikumu projekta 1.punktu, norādot, ka LDDK ir atbalstījusi nodokļu politikas reformu, kas cita starpā paredzēja 2018.gadā akcīzes nodokļa likmes celšanu un minimālās algas celšanu. LDDK ieskatā nav pieļaujams, ka  uzņēmumiem, kuriem tiesību akti nosaka zaudējumu kompensācijas mehānismu, minētie papildus izdevumi netiks kompensēti. Sagatavotais Noteikumu projekta </w:t>
            </w:r>
            <w:r w:rsidR="00A7284C" w:rsidRPr="00026430">
              <w:lastRenderedPageBreak/>
              <w:t>regulējums ne tikai neplāno segt papildus radušos zaudējumus, bet paredz uzņēmumiem samazināt peļņas apmēru.</w:t>
            </w:r>
          </w:p>
          <w:p w14:paraId="0664B6F2" w14:textId="75EB8B85" w:rsidR="000378C9" w:rsidRPr="00026430" w:rsidRDefault="000378C9" w:rsidP="00EA1341">
            <w:pPr>
              <w:jc w:val="both"/>
            </w:pPr>
            <w:r w:rsidRPr="00026430">
              <w:t xml:space="preserve">Ņemot vērā to, ka par noteikumu projektā paredzēto peļņas apmēra samazinājumu tika saņemti iebildumi no Latvijas Pašvaldību savienības, Latvijas darba devēju konfederācijas un Latvijas nepieciešams pagarināt </w:t>
            </w:r>
            <w:r w:rsidRPr="00026430">
              <w:rPr>
                <w:iCs/>
              </w:rPr>
              <w:t xml:space="preserve">Ministru kabineta 2017.gada 12.decembra sēdes  (protokols Nr.61 66.§) </w:t>
            </w:r>
            <w:r w:rsidRPr="00026430">
              <w:t xml:space="preserve">protokolā doto uzdevumu izpildes termiņu līdz 2018.gada 1.novembrim. </w:t>
            </w:r>
          </w:p>
          <w:p w14:paraId="5DA6D841" w14:textId="64C31914" w:rsidR="00F175D4" w:rsidRPr="00026430" w:rsidRDefault="00F175D4" w:rsidP="00EA1341">
            <w:pPr>
              <w:jc w:val="both"/>
            </w:pPr>
          </w:p>
          <w:p w14:paraId="3AB39A70" w14:textId="669051F7" w:rsidR="00237ADA" w:rsidRPr="0089178E" w:rsidRDefault="00D321C7" w:rsidP="00EA1341">
            <w:pPr>
              <w:ind w:firstLine="345"/>
              <w:jc w:val="both"/>
            </w:pPr>
            <w:r w:rsidRPr="00026430">
              <w:t>3)</w:t>
            </w:r>
            <w:r w:rsidR="00280308" w:rsidRPr="00026430">
              <w:t xml:space="preserve"> </w:t>
            </w:r>
            <w:r w:rsidR="00C52614" w:rsidRPr="00026430">
              <w:t xml:space="preserve">Saskaņā ar </w:t>
            </w:r>
            <w:r w:rsidR="0037755B" w:rsidRPr="00026430">
              <w:rPr>
                <w:iCs/>
              </w:rPr>
              <w:t xml:space="preserve">Ministru kabineta 2017.gada 12.decembra sēdes  (prot.Nr.61 66.§) lēmuma 2.3.punktu, </w:t>
            </w:r>
            <w:r w:rsidR="00C52614" w:rsidRPr="00026430">
              <w:rPr>
                <w:iCs/>
              </w:rPr>
              <w:t xml:space="preserve"> Satiksmes ministrijai </w:t>
            </w:r>
            <w:r w:rsidR="0037755B" w:rsidRPr="00026430">
              <w:rPr>
                <w:iCs/>
              </w:rPr>
              <w:t xml:space="preserve"> uzdots pilnveidot budžeta finansējuma izlietojuma kontroli attiecībā uz republikas pilsētu pašvaldību zaudējumiem, MK noteikumos Nr.435 ir noteikti </w:t>
            </w:r>
            <w:r w:rsidR="0037755B" w:rsidRPr="00026430">
              <w:rPr>
                <w:i/>
                <w:iCs/>
              </w:rPr>
              <w:t>Pārskatu par sabiedriskā transporta</w:t>
            </w:r>
            <w:r w:rsidR="0037755B" w:rsidRPr="00026430">
              <w:rPr>
                <w:iCs/>
              </w:rPr>
              <w:t xml:space="preserve"> </w:t>
            </w:r>
            <w:r w:rsidR="0037755B" w:rsidRPr="00026430">
              <w:rPr>
                <w:i/>
                <w:iCs/>
              </w:rPr>
              <w:t>pakalpojumu peļņu vai zaudējumiem, Informācijas par pasažieru pārvadāšanu un braukšanas maksas atvieglojumiem un Informācijas par zaudējumiem maršrutos, kuriem vairāk nekā 30% no kopējā maršruta garuma ir ārpus pilsētas administratīvās teritorijas</w:t>
            </w:r>
            <w:r w:rsidR="0037755B" w:rsidRPr="00026430">
              <w:rPr>
                <w:iCs/>
              </w:rPr>
              <w:t xml:space="preserve"> iesniegšanas termiņi, kas ir samēroti ar sabiedriskā transporta pakalpojumu sniedzēju tehniskām un administratīvām iespējām iesniegt informāciju par noteiktos periodos sniegtajiem sabiedriskā transporta pakalpojumiem. Tā piemēram, </w:t>
            </w:r>
            <w:r w:rsidR="00CA6B30" w:rsidRPr="00026430">
              <w:rPr>
                <w:i/>
                <w:iCs/>
              </w:rPr>
              <w:t>Pārskata par sabiedriskā transporta pakalpojumu peļņu vai zaudējumiem</w:t>
            </w:r>
            <w:r w:rsidR="00CA6B30" w:rsidRPr="00026430">
              <w:rPr>
                <w:iCs/>
              </w:rPr>
              <w:t xml:space="preserve"> iesniegšanas termiņš pasūtītājam ir noteikts 27.datums pēc iepriekšējā mēneša beigām, lai tas nesakristu ar citiem valsts pārvaldei iesniedzamajiem pārskatiem un informāciju (piemēram, pievienotās vērtības nodokļa deklarācijas iesniegšanas termiņu 20.datumā). Līdz ar to ar</w:t>
            </w:r>
            <w:r w:rsidR="004524E0" w:rsidRPr="00026430">
              <w:rPr>
                <w:iCs/>
              </w:rPr>
              <w:t>ī</w:t>
            </w:r>
            <w:r w:rsidR="00CA6B30" w:rsidRPr="00026430">
              <w:rPr>
                <w:iCs/>
              </w:rPr>
              <w:t xml:space="preserve"> Republikas pilsētu pašvaldībai ir noteikts secīgs pārskatu un informācijas iesniegšanas termiņš Autotransporta direkcija </w:t>
            </w:r>
            <w:r w:rsidR="004524E0" w:rsidRPr="00026430">
              <w:rPr>
                <w:iCs/>
              </w:rPr>
              <w:t xml:space="preserve">– </w:t>
            </w:r>
            <w:r w:rsidR="00CA6B30" w:rsidRPr="00026430">
              <w:rPr>
                <w:iCs/>
              </w:rPr>
              <w:t xml:space="preserve">10 dienu laikā pēc pārskatu un informācijas saņemšanas no pakalpojumu sniedzējiem. Lai neradītu papildus administratīvo slogu sabiedriskā transporta pakalpojumu sniedzējiem, </w:t>
            </w:r>
            <w:r w:rsidR="00B95D1C" w:rsidRPr="00026430">
              <w:rPr>
                <w:iCs/>
              </w:rPr>
              <w:t>MK noteikumos Nr.435 nav mainīti pārskatu un informācijas iesniegšanas termiņi, bet</w:t>
            </w:r>
            <w:r w:rsidR="000378C9" w:rsidRPr="00026430">
              <w:rPr>
                <w:iCs/>
              </w:rPr>
              <w:t>, k</w:t>
            </w:r>
            <w:r w:rsidR="000378C9" w:rsidRPr="00026430">
              <w:t xml:space="preserve">valitatīvas un precīzas informācijas apmaiņas nodrošināšanai Ministru kabineta noteikumu projektā ir paredzēta sadarbība starp Republikas pilsētu pašvaldībām un Autotransporta direkcija, nosakot </w:t>
            </w:r>
            <w:r w:rsidR="00B95D1C" w:rsidRPr="00026430">
              <w:rPr>
                <w:iCs/>
              </w:rPr>
              <w:t>pienākum</w:t>
            </w:r>
            <w:r w:rsidR="000378C9" w:rsidRPr="00026430">
              <w:rPr>
                <w:iCs/>
              </w:rPr>
              <w:t>u</w:t>
            </w:r>
            <w:r w:rsidR="00B95D1C" w:rsidRPr="00026430">
              <w:rPr>
                <w:iCs/>
              </w:rPr>
              <w:t xml:space="preserve"> Republikas pilsētu pašvaldībām </w:t>
            </w:r>
            <w:r w:rsidR="00B95D1C" w:rsidRPr="00026430">
              <w:t xml:space="preserve">salīdzināt no valsts budžeta saņemto un aprēķināto zaudējumu kompensācijas apmēru, kā arī atlikumu (ja izmaksātā zaudējumu kompensācija pārsniedz aprēķināto zaudējumu kompensāciju vai ir bijusi mazāka par aprēķināto zaudējumu kompensāciju) ar Satiksmes ministriju saskaņā ar grāmatvedības uzskaites un gada </w:t>
            </w:r>
            <w:r w:rsidR="00B95D1C" w:rsidRPr="0089178E">
              <w:t xml:space="preserve">pārskatu sagatavošanas reglamentējošajiem normatīvajiem aktiem. </w:t>
            </w:r>
          </w:p>
          <w:p w14:paraId="7CF9A377" w14:textId="2800082A" w:rsidR="00C35D77" w:rsidRPr="00026430" w:rsidRDefault="00280308" w:rsidP="00E9576A">
            <w:pPr>
              <w:ind w:firstLine="345"/>
              <w:jc w:val="both"/>
            </w:pPr>
            <w:r w:rsidRPr="0089178E">
              <w:t>Ņemot vērā</w:t>
            </w:r>
            <w:r w:rsidR="00C35D77" w:rsidRPr="0089178E">
              <w:t xml:space="preserve"> noteikumu projektā piedāvāto risinājumu, kas pastiprina  no valsts budžeta saņemto un aprēķināto zaudējumu kompensāciju kontroli,</w:t>
            </w:r>
            <w:r w:rsidR="00611678">
              <w:t xml:space="preserve"> </w:t>
            </w:r>
            <w:r w:rsidRPr="0089178E">
              <w:t xml:space="preserve">Ministru kabineta 2017.gada 12.decembra sēdes </w:t>
            </w:r>
            <w:proofErr w:type="spellStart"/>
            <w:r w:rsidRPr="0089178E">
              <w:t>protokollēmuma</w:t>
            </w:r>
            <w:proofErr w:type="spellEnd"/>
            <w:r w:rsidRPr="0089178E">
              <w:t xml:space="preserve"> 2.3. apakšpunktā dot</w:t>
            </w:r>
            <w:r w:rsidR="00611678">
              <w:t>ais uzdevums ir izpildīts</w:t>
            </w:r>
            <w:r w:rsidRPr="0089178E">
              <w:t>.</w:t>
            </w:r>
          </w:p>
        </w:tc>
      </w:tr>
      <w:tr w:rsidR="00DF22DF" w:rsidRPr="008C1565" w14:paraId="6348174C" w14:textId="77777777" w:rsidTr="004524E0">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10B48DC4" w14:textId="77777777" w:rsidR="00372F53" w:rsidRPr="008C1565" w:rsidRDefault="00372F53" w:rsidP="00B95D1C">
            <w:pPr>
              <w:rPr>
                <w:iCs/>
                <w:sz w:val="23"/>
                <w:szCs w:val="23"/>
              </w:rPr>
            </w:pPr>
            <w:r w:rsidRPr="008C1565">
              <w:rPr>
                <w:iCs/>
                <w:sz w:val="23"/>
                <w:szCs w:val="23"/>
              </w:rPr>
              <w:lastRenderedPageBreak/>
              <w:t>3.</w:t>
            </w:r>
          </w:p>
        </w:tc>
        <w:tc>
          <w:tcPr>
            <w:tcW w:w="1053" w:type="pct"/>
            <w:tcBorders>
              <w:top w:val="outset" w:sz="6" w:space="0" w:color="auto"/>
              <w:left w:val="outset" w:sz="6" w:space="0" w:color="auto"/>
              <w:bottom w:val="outset" w:sz="6" w:space="0" w:color="auto"/>
              <w:right w:val="outset" w:sz="6" w:space="0" w:color="auto"/>
            </w:tcBorders>
            <w:hideMark/>
          </w:tcPr>
          <w:p w14:paraId="79AF49CD" w14:textId="77777777" w:rsidR="00372F53" w:rsidRPr="008C1565" w:rsidRDefault="00372F53" w:rsidP="00B95D1C">
            <w:pPr>
              <w:rPr>
                <w:iCs/>
                <w:sz w:val="23"/>
                <w:szCs w:val="23"/>
              </w:rPr>
            </w:pPr>
            <w:r w:rsidRPr="008C1565">
              <w:rPr>
                <w:iCs/>
                <w:sz w:val="23"/>
                <w:szCs w:val="23"/>
              </w:rPr>
              <w:t xml:space="preserve">Projekta izstrādē iesaistītās </w:t>
            </w:r>
            <w:r w:rsidRPr="008C1565">
              <w:rPr>
                <w:iCs/>
                <w:sz w:val="23"/>
                <w:szCs w:val="23"/>
              </w:rPr>
              <w:lastRenderedPageBreak/>
              <w:t>institūcijas un publiskas personas kapitālsabiedrības</w:t>
            </w:r>
          </w:p>
        </w:tc>
        <w:tc>
          <w:tcPr>
            <w:tcW w:w="3460" w:type="pct"/>
            <w:tcBorders>
              <w:top w:val="outset" w:sz="6" w:space="0" w:color="auto"/>
              <w:left w:val="outset" w:sz="6" w:space="0" w:color="auto"/>
              <w:bottom w:val="outset" w:sz="6" w:space="0" w:color="auto"/>
              <w:right w:val="outset" w:sz="6" w:space="0" w:color="auto"/>
            </w:tcBorders>
          </w:tcPr>
          <w:p w14:paraId="54AF471D" w14:textId="23C90908" w:rsidR="00372F53" w:rsidRPr="008C1565" w:rsidRDefault="00372F53" w:rsidP="00B95D1C">
            <w:pPr>
              <w:rPr>
                <w:iCs/>
                <w:sz w:val="23"/>
                <w:szCs w:val="23"/>
              </w:rPr>
            </w:pPr>
            <w:r w:rsidRPr="008C1565">
              <w:rPr>
                <w:sz w:val="23"/>
                <w:szCs w:val="23"/>
              </w:rPr>
              <w:lastRenderedPageBreak/>
              <w:t>Satiksmes ministrija, VSIA “Autotransporta direkcija”</w:t>
            </w:r>
            <w:r w:rsidR="000378C9">
              <w:rPr>
                <w:sz w:val="23"/>
                <w:szCs w:val="23"/>
              </w:rPr>
              <w:t xml:space="preserve"> </w:t>
            </w:r>
          </w:p>
        </w:tc>
      </w:tr>
      <w:tr w:rsidR="00DF22DF" w:rsidRPr="008C1565" w14:paraId="766EDFBE" w14:textId="77777777" w:rsidTr="004524E0">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5FB2B0CC" w14:textId="77777777" w:rsidR="00372F53" w:rsidRPr="008C1565" w:rsidRDefault="00372F53" w:rsidP="00B95D1C">
            <w:pPr>
              <w:rPr>
                <w:iCs/>
                <w:sz w:val="23"/>
                <w:szCs w:val="23"/>
              </w:rPr>
            </w:pPr>
            <w:r w:rsidRPr="008C1565">
              <w:rPr>
                <w:iCs/>
                <w:sz w:val="23"/>
                <w:szCs w:val="23"/>
              </w:rPr>
              <w:t>4.</w:t>
            </w:r>
          </w:p>
        </w:tc>
        <w:tc>
          <w:tcPr>
            <w:tcW w:w="1053" w:type="pct"/>
            <w:tcBorders>
              <w:top w:val="outset" w:sz="6" w:space="0" w:color="auto"/>
              <w:left w:val="outset" w:sz="6" w:space="0" w:color="auto"/>
              <w:bottom w:val="outset" w:sz="6" w:space="0" w:color="auto"/>
              <w:right w:val="outset" w:sz="6" w:space="0" w:color="auto"/>
            </w:tcBorders>
            <w:hideMark/>
          </w:tcPr>
          <w:p w14:paraId="65357B6B" w14:textId="77777777" w:rsidR="00372F53" w:rsidRPr="008C1565" w:rsidRDefault="00372F53" w:rsidP="00B95D1C">
            <w:pPr>
              <w:rPr>
                <w:iCs/>
                <w:sz w:val="23"/>
                <w:szCs w:val="23"/>
              </w:rPr>
            </w:pPr>
            <w:r w:rsidRPr="008C1565">
              <w:rPr>
                <w:iCs/>
                <w:sz w:val="23"/>
                <w:szCs w:val="23"/>
              </w:rPr>
              <w:t>Cita informācija</w:t>
            </w:r>
          </w:p>
        </w:tc>
        <w:tc>
          <w:tcPr>
            <w:tcW w:w="3460" w:type="pct"/>
            <w:tcBorders>
              <w:top w:val="outset" w:sz="6" w:space="0" w:color="auto"/>
              <w:left w:val="outset" w:sz="6" w:space="0" w:color="auto"/>
              <w:bottom w:val="outset" w:sz="6" w:space="0" w:color="auto"/>
              <w:right w:val="outset" w:sz="6" w:space="0" w:color="auto"/>
            </w:tcBorders>
          </w:tcPr>
          <w:p w14:paraId="4FCC94A2" w14:textId="77777777" w:rsidR="00372F53" w:rsidRPr="008C1565" w:rsidRDefault="00372F53" w:rsidP="00B95D1C">
            <w:pPr>
              <w:rPr>
                <w:iCs/>
                <w:sz w:val="23"/>
                <w:szCs w:val="23"/>
              </w:rPr>
            </w:pPr>
            <w:r w:rsidRPr="008C1565">
              <w:rPr>
                <w:iCs/>
                <w:sz w:val="23"/>
                <w:szCs w:val="23"/>
              </w:rPr>
              <w:t>Nav.</w:t>
            </w:r>
          </w:p>
        </w:tc>
      </w:tr>
    </w:tbl>
    <w:p w14:paraId="58A47C10" w14:textId="10BD9E0E" w:rsidR="00372F53" w:rsidRPr="008C1565" w:rsidRDefault="00631048" w:rsidP="00372F53">
      <w:pPr>
        <w:ind w:firstLine="720"/>
        <w:jc w:val="center"/>
        <w:rPr>
          <w:b/>
          <w:sz w:val="23"/>
          <w:szCs w:val="23"/>
        </w:rPr>
      </w:pPr>
      <w:r>
        <w:rPr>
          <w:b/>
          <w:sz w:val="23"/>
          <w:szCs w:val="23"/>
        </w:rPr>
        <w:t xml:space="preserve"> </w:t>
      </w:r>
    </w:p>
    <w:tbl>
      <w:tblPr>
        <w:tblW w:w="5088"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1"/>
        <w:gridCol w:w="2866"/>
        <w:gridCol w:w="5667"/>
      </w:tblGrid>
      <w:tr w:rsidR="00DF22DF" w:rsidRPr="008C1565" w14:paraId="4008B3D9" w14:textId="77777777" w:rsidTr="00684D5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9384DAD" w14:textId="77777777" w:rsidR="00372F53" w:rsidRPr="008C1565" w:rsidRDefault="00372F53" w:rsidP="00B95D1C">
            <w:pPr>
              <w:jc w:val="center"/>
              <w:rPr>
                <w:b/>
                <w:bCs/>
                <w:iCs/>
                <w:sz w:val="23"/>
                <w:szCs w:val="23"/>
              </w:rPr>
            </w:pPr>
            <w:r w:rsidRPr="008C1565">
              <w:rPr>
                <w:b/>
                <w:bCs/>
                <w:iCs/>
                <w:sz w:val="23"/>
                <w:szCs w:val="23"/>
              </w:rPr>
              <w:t>II. Tiesību akta projekta ietekme uz sabiedrību, tautsaimniecības attīstību un administratīvo slogu</w:t>
            </w:r>
          </w:p>
        </w:tc>
      </w:tr>
      <w:tr w:rsidR="00DF22DF" w:rsidRPr="008C1565" w14:paraId="2353B13C" w14:textId="77777777" w:rsidTr="00684D58">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14:paraId="28E8690B" w14:textId="77777777" w:rsidR="00372F53" w:rsidRPr="008C1565" w:rsidRDefault="00372F53" w:rsidP="00B95D1C">
            <w:pPr>
              <w:rPr>
                <w:iCs/>
                <w:sz w:val="23"/>
                <w:szCs w:val="23"/>
              </w:rPr>
            </w:pPr>
            <w:r w:rsidRPr="008C1565">
              <w:rPr>
                <w:iCs/>
                <w:sz w:val="23"/>
                <w:szCs w:val="23"/>
              </w:rPr>
              <w:t>1.</w:t>
            </w:r>
          </w:p>
        </w:tc>
        <w:tc>
          <w:tcPr>
            <w:tcW w:w="1549" w:type="pct"/>
            <w:tcBorders>
              <w:top w:val="outset" w:sz="6" w:space="0" w:color="auto"/>
              <w:left w:val="outset" w:sz="6" w:space="0" w:color="auto"/>
              <w:bottom w:val="outset" w:sz="6" w:space="0" w:color="auto"/>
              <w:right w:val="outset" w:sz="6" w:space="0" w:color="auto"/>
            </w:tcBorders>
            <w:hideMark/>
          </w:tcPr>
          <w:p w14:paraId="7712A355" w14:textId="77777777" w:rsidR="00372F53" w:rsidRPr="008C1565" w:rsidRDefault="00372F53" w:rsidP="00B95D1C">
            <w:pPr>
              <w:rPr>
                <w:iCs/>
                <w:sz w:val="23"/>
                <w:szCs w:val="23"/>
              </w:rPr>
            </w:pPr>
            <w:r w:rsidRPr="008C1565">
              <w:rPr>
                <w:iCs/>
                <w:sz w:val="23"/>
                <w:szCs w:val="23"/>
              </w:rPr>
              <w:t xml:space="preserve">Sabiedrības </w:t>
            </w:r>
            <w:proofErr w:type="spellStart"/>
            <w:r w:rsidRPr="008C1565">
              <w:rPr>
                <w:iCs/>
                <w:sz w:val="23"/>
                <w:szCs w:val="23"/>
              </w:rPr>
              <w:t>mērķgrupas</w:t>
            </w:r>
            <w:proofErr w:type="spellEnd"/>
            <w:r w:rsidRPr="008C1565">
              <w:rPr>
                <w:iCs/>
                <w:sz w:val="23"/>
                <w:szCs w:val="23"/>
              </w:rPr>
              <w:t>, kuras tiesiskais regulējums ietekmē vai varētu ietekmēt</w:t>
            </w:r>
          </w:p>
        </w:tc>
        <w:tc>
          <w:tcPr>
            <w:tcW w:w="3039" w:type="pct"/>
            <w:tcBorders>
              <w:top w:val="outset" w:sz="6" w:space="0" w:color="auto"/>
              <w:left w:val="outset" w:sz="6" w:space="0" w:color="auto"/>
              <w:bottom w:val="outset" w:sz="6" w:space="0" w:color="auto"/>
              <w:right w:val="outset" w:sz="6" w:space="0" w:color="auto"/>
            </w:tcBorders>
            <w:hideMark/>
          </w:tcPr>
          <w:p w14:paraId="2110FA01" w14:textId="3B13837F" w:rsidR="00372F53" w:rsidRPr="008C1565" w:rsidRDefault="00372F53" w:rsidP="0098026F">
            <w:pPr>
              <w:jc w:val="both"/>
              <w:rPr>
                <w:iCs/>
                <w:sz w:val="23"/>
                <w:szCs w:val="23"/>
              </w:rPr>
            </w:pPr>
            <w:r w:rsidRPr="008C1565">
              <w:rPr>
                <w:sz w:val="23"/>
                <w:szCs w:val="23"/>
              </w:rPr>
              <w:t>Tiesiskais regulējums tiešā veidā ietekmē Satiksmes ministriju (VSIA </w:t>
            </w:r>
            <w:r w:rsidR="00D31F07" w:rsidRPr="008C1565">
              <w:rPr>
                <w:sz w:val="23"/>
                <w:szCs w:val="23"/>
              </w:rPr>
              <w:t>“</w:t>
            </w:r>
            <w:r w:rsidRPr="008C1565">
              <w:rPr>
                <w:sz w:val="23"/>
                <w:szCs w:val="23"/>
              </w:rPr>
              <w:t>Autotransporta direkcij</w:t>
            </w:r>
            <w:r w:rsidR="00D31F07" w:rsidRPr="008C1565">
              <w:rPr>
                <w:sz w:val="23"/>
                <w:szCs w:val="23"/>
              </w:rPr>
              <w:t>a”</w:t>
            </w:r>
            <w:r w:rsidRPr="008C1565">
              <w:rPr>
                <w:sz w:val="23"/>
                <w:szCs w:val="23"/>
              </w:rPr>
              <w:t>)</w:t>
            </w:r>
            <w:r w:rsidR="00237ADA" w:rsidRPr="008C1565">
              <w:rPr>
                <w:sz w:val="23"/>
                <w:szCs w:val="23"/>
              </w:rPr>
              <w:t xml:space="preserve">, </w:t>
            </w:r>
            <w:r w:rsidR="004C1FB8" w:rsidRPr="008C1565">
              <w:rPr>
                <w:sz w:val="23"/>
                <w:szCs w:val="23"/>
              </w:rPr>
              <w:t>r</w:t>
            </w:r>
            <w:r w:rsidR="00237ADA" w:rsidRPr="008C1565">
              <w:rPr>
                <w:sz w:val="23"/>
                <w:szCs w:val="23"/>
              </w:rPr>
              <w:t xml:space="preserve">epublikas pilsētu pašvaldības, </w:t>
            </w:r>
          </w:p>
        </w:tc>
      </w:tr>
      <w:tr w:rsidR="00DF22DF" w:rsidRPr="008C1565" w14:paraId="0D63ACCC" w14:textId="77777777" w:rsidTr="00684D58">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14:paraId="5CC31F77" w14:textId="77777777" w:rsidR="00372F53" w:rsidRPr="008C1565" w:rsidRDefault="00372F53" w:rsidP="00B95D1C">
            <w:pPr>
              <w:rPr>
                <w:iCs/>
                <w:sz w:val="23"/>
                <w:szCs w:val="23"/>
              </w:rPr>
            </w:pPr>
            <w:r w:rsidRPr="008C1565">
              <w:rPr>
                <w:iCs/>
                <w:sz w:val="23"/>
                <w:szCs w:val="23"/>
              </w:rPr>
              <w:t>2.</w:t>
            </w:r>
          </w:p>
        </w:tc>
        <w:tc>
          <w:tcPr>
            <w:tcW w:w="1549" w:type="pct"/>
            <w:tcBorders>
              <w:top w:val="outset" w:sz="6" w:space="0" w:color="auto"/>
              <w:left w:val="outset" w:sz="6" w:space="0" w:color="auto"/>
              <w:bottom w:val="outset" w:sz="6" w:space="0" w:color="auto"/>
              <w:right w:val="outset" w:sz="6" w:space="0" w:color="auto"/>
            </w:tcBorders>
            <w:hideMark/>
          </w:tcPr>
          <w:p w14:paraId="449AFBCF" w14:textId="77777777" w:rsidR="00372F53" w:rsidRPr="008C1565" w:rsidRDefault="00372F53" w:rsidP="00B95D1C">
            <w:pPr>
              <w:rPr>
                <w:iCs/>
                <w:sz w:val="23"/>
                <w:szCs w:val="23"/>
              </w:rPr>
            </w:pPr>
            <w:r w:rsidRPr="008C1565">
              <w:rPr>
                <w:iCs/>
                <w:sz w:val="23"/>
                <w:szCs w:val="23"/>
              </w:rPr>
              <w:t>Tiesiskā regulējuma ietekme uz tautsaimniecību un administratīvo slogu</w:t>
            </w:r>
          </w:p>
        </w:tc>
        <w:tc>
          <w:tcPr>
            <w:tcW w:w="3039" w:type="pct"/>
            <w:tcBorders>
              <w:top w:val="outset" w:sz="6" w:space="0" w:color="auto"/>
              <w:left w:val="outset" w:sz="6" w:space="0" w:color="auto"/>
              <w:bottom w:val="outset" w:sz="6" w:space="0" w:color="auto"/>
              <w:right w:val="outset" w:sz="6" w:space="0" w:color="auto"/>
            </w:tcBorders>
          </w:tcPr>
          <w:p w14:paraId="08BB1D67" w14:textId="3B5AD552" w:rsidR="00372F53" w:rsidRPr="008C1565" w:rsidRDefault="004C1FB8" w:rsidP="000378C9">
            <w:pPr>
              <w:jc w:val="both"/>
              <w:rPr>
                <w:sz w:val="23"/>
                <w:szCs w:val="23"/>
              </w:rPr>
            </w:pPr>
            <w:r w:rsidRPr="008C1565">
              <w:rPr>
                <w:sz w:val="23"/>
                <w:szCs w:val="23"/>
              </w:rPr>
              <w:t>Ar izstrādāto tiesisko regulējumu ti</w:t>
            </w:r>
            <w:r w:rsidR="00D321C7">
              <w:rPr>
                <w:sz w:val="23"/>
                <w:szCs w:val="23"/>
              </w:rPr>
              <w:t>ek precizēta kārtība kādā republikas pilsētu pašvaldība sni</w:t>
            </w:r>
            <w:r w:rsidR="000378C9">
              <w:rPr>
                <w:sz w:val="23"/>
                <w:szCs w:val="23"/>
              </w:rPr>
              <w:t xml:space="preserve">edz pārskatus par </w:t>
            </w:r>
            <w:r w:rsidR="00607C7D" w:rsidRPr="008C1565">
              <w:rPr>
                <w:iCs/>
                <w:sz w:val="23"/>
                <w:szCs w:val="23"/>
              </w:rPr>
              <w:t xml:space="preserve"> </w:t>
            </w:r>
            <w:r w:rsidR="000378C9" w:rsidRPr="008C1565">
              <w:rPr>
                <w:sz w:val="23"/>
                <w:szCs w:val="23"/>
              </w:rPr>
              <w:t>valsts budžeta saņemto un aprēķināto zaudējumu kompensācijas apmēru</w:t>
            </w:r>
            <w:r w:rsidR="000378C9">
              <w:rPr>
                <w:sz w:val="23"/>
                <w:szCs w:val="23"/>
              </w:rPr>
              <w:t xml:space="preserve">. </w:t>
            </w:r>
            <w:r w:rsidRPr="008C1565">
              <w:rPr>
                <w:sz w:val="23"/>
                <w:szCs w:val="23"/>
              </w:rPr>
              <w:t xml:space="preserve">Administratīvais slogs netiks ietekmēts. </w:t>
            </w:r>
          </w:p>
        </w:tc>
      </w:tr>
      <w:tr w:rsidR="00DF22DF" w:rsidRPr="008C1565" w14:paraId="5F86E015" w14:textId="77777777" w:rsidTr="00684D58">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14:paraId="43E8C050" w14:textId="77777777" w:rsidR="00372F53" w:rsidRPr="008C1565" w:rsidRDefault="00372F53" w:rsidP="00B95D1C">
            <w:pPr>
              <w:rPr>
                <w:iCs/>
                <w:sz w:val="23"/>
                <w:szCs w:val="23"/>
              </w:rPr>
            </w:pPr>
            <w:r w:rsidRPr="008C1565">
              <w:rPr>
                <w:iCs/>
                <w:sz w:val="23"/>
                <w:szCs w:val="23"/>
              </w:rPr>
              <w:t>3.</w:t>
            </w:r>
          </w:p>
        </w:tc>
        <w:tc>
          <w:tcPr>
            <w:tcW w:w="1549" w:type="pct"/>
            <w:tcBorders>
              <w:top w:val="outset" w:sz="6" w:space="0" w:color="auto"/>
              <w:left w:val="outset" w:sz="6" w:space="0" w:color="auto"/>
              <w:bottom w:val="outset" w:sz="6" w:space="0" w:color="auto"/>
              <w:right w:val="outset" w:sz="6" w:space="0" w:color="auto"/>
            </w:tcBorders>
            <w:hideMark/>
          </w:tcPr>
          <w:p w14:paraId="53268B5D" w14:textId="77777777" w:rsidR="00372F53" w:rsidRPr="008C1565" w:rsidRDefault="00372F53" w:rsidP="00B95D1C">
            <w:pPr>
              <w:rPr>
                <w:iCs/>
                <w:sz w:val="23"/>
                <w:szCs w:val="23"/>
              </w:rPr>
            </w:pPr>
            <w:r w:rsidRPr="008C1565">
              <w:rPr>
                <w:iCs/>
                <w:sz w:val="23"/>
                <w:szCs w:val="23"/>
              </w:rPr>
              <w:t>Administratīvo izmaksu monetārs novērtējums</w:t>
            </w:r>
          </w:p>
        </w:tc>
        <w:tc>
          <w:tcPr>
            <w:tcW w:w="3039" w:type="pct"/>
            <w:tcBorders>
              <w:top w:val="outset" w:sz="6" w:space="0" w:color="auto"/>
              <w:left w:val="outset" w:sz="6" w:space="0" w:color="auto"/>
              <w:bottom w:val="outset" w:sz="6" w:space="0" w:color="auto"/>
              <w:right w:val="outset" w:sz="6" w:space="0" w:color="auto"/>
            </w:tcBorders>
          </w:tcPr>
          <w:p w14:paraId="08BD4182" w14:textId="77777777" w:rsidR="00372F53" w:rsidRPr="008C1565" w:rsidRDefault="00372F53" w:rsidP="00B95D1C">
            <w:pPr>
              <w:jc w:val="both"/>
              <w:rPr>
                <w:iCs/>
                <w:sz w:val="23"/>
                <w:szCs w:val="23"/>
              </w:rPr>
            </w:pPr>
            <w:r w:rsidRPr="008C1565">
              <w:rPr>
                <w:iCs/>
                <w:sz w:val="23"/>
                <w:szCs w:val="23"/>
              </w:rPr>
              <w:t>Projekts šo jomu neskar.</w:t>
            </w:r>
          </w:p>
        </w:tc>
      </w:tr>
      <w:tr w:rsidR="00DF22DF" w:rsidRPr="008C1565" w14:paraId="14BADD05" w14:textId="77777777" w:rsidTr="00684D58">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14:paraId="544F66E3" w14:textId="77777777" w:rsidR="00372F53" w:rsidRPr="008C1565" w:rsidRDefault="00372F53" w:rsidP="00B95D1C">
            <w:pPr>
              <w:rPr>
                <w:iCs/>
                <w:sz w:val="23"/>
                <w:szCs w:val="23"/>
              </w:rPr>
            </w:pPr>
            <w:r w:rsidRPr="008C1565">
              <w:rPr>
                <w:iCs/>
                <w:sz w:val="23"/>
                <w:szCs w:val="23"/>
              </w:rPr>
              <w:t>4.</w:t>
            </w:r>
          </w:p>
        </w:tc>
        <w:tc>
          <w:tcPr>
            <w:tcW w:w="1549" w:type="pct"/>
            <w:tcBorders>
              <w:top w:val="outset" w:sz="6" w:space="0" w:color="auto"/>
              <w:left w:val="outset" w:sz="6" w:space="0" w:color="auto"/>
              <w:bottom w:val="outset" w:sz="6" w:space="0" w:color="auto"/>
              <w:right w:val="outset" w:sz="6" w:space="0" w:color="auto"/>
            </w:tcBorders>
            <w:hideMark/>
          </w:tcPr>
          <w:p w14:paraId="052AE377" w14:textId="77777777" w:rsidR="00372F53" w:rsidRPr="008C1565" w:rsidRDefault="00372F53" w:rsidP="00B95D1C">
            <w:pPr>
              <w:rPr>
                <w:iCs/>
                <w:sz w:val="23"/>
                <w:szCs w:val="23"/>
              </w:rPr>
            </w:pPr>
            <w:r w:rsidRPr="008C1565">
              <w:rPr>
                <w:iCs/>
                <w:sz w:val="23"/>
                <w:szCs w:val="23"/>
              </w:rPr>
              <w:t>Atbilstības izmaksu monetārs novērtējums</w:t>
            </w:r>
          </w:p>
        </w:tc>
        <w:tc>
          <w:tcPr>
            <w:tcW w:w="3039" w:type="pct"/>
            <w:tcBorders>
              <w:top w:val="outset" w:sz="6" w:space="0" w:color="auto"/>
              <w:left w:val="outset" w:sz="6" w:space="0" w:color="auto"/>
              <w:bottom w:val="outset" w:sz="6" w:space="0" w:color="auto"/>
              <w:right w:val="outset" w:sz="6" w:space="0" w:color="auto"/>
            </w:tcBorders>
            <w:hideMark/>
          </w:tcPr>
          <w:p w14:paraId="59650D44" w14:textId="77777777" w:rsidR="00372F53" w:rsidRPr="008C1565" w:rsidRDefault="00372F53" w:rsidP="00B95D1C">
            <w:pPr>
              <w:rPr>
                <w:iCs/>
                <w:sz w:val="23"/>
                <w:szCs w:val="23"/>
              </w:rPr>
            </w:pPr>
            <w:r w:rsidRPr="008C1565">
              <w:rPr>
                <w:iCs/>
                <w:sz w:val="23"/>
                <w:szCs w:val="23"/>
              </w:rPr>
              <w:t>Projekts šo jomu neskar.</w:t>
            </w:r>
          </w:p>
        </w:tc>
      </w:tr>
      <w:tr w:rsidR="00DF22DF" w:rsidRPr="008C1565" w14:paraId="3DF8E9A3" w14:textId="77777777" w:rsidTr="00684D58">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14:paraId="5FBDD132" w14:textId="77777777" w:rsidR="00372F53" w:rsidRPr="008C1565" w:rsidRDefault="00372F53" w:rsidP="00B95D1C">
            <w:pPr>
              <w:rPr>
                <w:iCs/>
                <w:sz w:val="23"/>
                <w:szCs w:val="23"/>
              </w:rPr>
            </w:pPr>
            <w:r w:rsidRPr="008C1565">
              <w:rPr>
                <w:iCs/>
                <w:sz w:val="23"/>
                <w:szCs w:val="23"/>
              </w:rPr>
              <w:t>5.</w:t>
            </w:r>
          </w:p>
        </w:tc>
        <w:tc>
          <w:tcPr>
            <w:tcW w:w="1549" w:type="pct"/>
            <w:tcBorders>
              <w:top w:val="outset" w:sz="6" w:space="0" w:color="auto"/>
              <w:left w:val="outset" w:sz="6" w:space="0" w:color="auto"/>
              <w:bottom w:val="outset" w:sz="6" w:space="0" w:color="auto"/>
              <w:right w:val="outset" w:sz="6" w:space="0" w:color="auto"/>
            </w:tcBorders>
            <w:hideMark/>
          </w:tcPr>
          <w:p w14:paraId="100F56D7" w14:textId="77777777" w:rsidR="00372F53" w:rsidRPr="008C1565" w:rsidRDefault="00372F53" w:rsidP="00B95D1C">
            <w:pPr>
              <w:rPr>
                <w:iCs/>
                <w:sz w:val="23"/>
                <w:szCs w:val="23"/>
              </w:rPr>
            </w:pPr>
            <w:r w:rsidRPr="008C1565">
              <w:rPr>
                <w:iCs/>
                <w:sz w:val="23"/>
                <w:szCs w:val="23"/>
              </w:rPr>
              <w:t>Cita informācija</w:t>
            </w:r>
          </w:p>
        </w:tc>
        <w:tc>
          <w:tcPr>
            <w:tcW w:w="3039" w:type="pct"/>
            <w:tcBorders>
              <w:top w:val="outset" w:sz="6" w:space="0" w:color="auto"/>
              <w:left w:val="outset" w:sz="6" w:space="0" w:color="auto"/>
              <w:bottom w:val="outset" w:sz="6" w:space="0" w:color="auto"/>
              <w:right w:val="outset" w:sz="6" w:space="0" w:color="auto"/>
            </w:tcBorders>
            <w:hideMark/>
          </w:tcPr>
          <w:p w14:paraId="37832A42" w14:textId="77777777" w:rsidR="00372F53" w:rsidRPr="008C1565" w:rsidRDefault="00372F53" w:rsidP="00B95D1C">
            <w:pPr>
              <w:rPr>
                <w:iCs/>
                <w:sz w:val="23"/>
                <w:szCs w:val="23"/>
              </w:rPr>
            </w:pPr>
            <w:r w:rsidRPr="008C1565">
              <w:rPr>
                <w:iCs/>
                <w:sz w:val="23"/>
                <w:szCs w:val="23"/>
              </w:rPr>
              <w:t>Nav.</w:t>
            </w:r>
          </w:p>
        </w:tc>
      </w:tr>
    </w:tbl>
    <w:p w14:paraId="1127ECE2" w14:textId="77777777" w:rsidR="00372F53" w:rsidRPr="008C1565" w:rsidRDefault="00372F53" w:rsidP="00372F53">
      <w:pPr>
        <w:pStyle w:val="naisf"/>
        <w:spacing w:before="0" w:after="0"/>
        <w:ind w:firstLine="0"/>
        <w:rPr>
          <w:sz w:val="23"/>
          <w:szCs w:val="23"/>
        </w:rPr>
      </w:pPr>
    </w:p>
    <w:p w14:paraId="43B74556" w14:textId="77777777" w:rsidR="00372F53" w:rsidRPr="008C1565" w:rsidRDefault="00372F53" w:rsidP="00372F53">
      <w:pPr>
        <w:pStyle w:val="naisf"/>
        <w:spacing w:before="0" w:after="0"/>
        <w:ind w:firstLine="0"/>
        <w:rPr>
          <w:sz w:val="23"/>
          <w:szCs w:val="23"/>
        </w:rPr>
      </w:pPr>
    </w:p>
    <w:tbl>
      <w:tblPr>
        <w:tblW w:w="5088" w:type="pct"/>
        <w:tblCellSpacing w:w="15" w:type="dxa"/>
        <w:tblInd w:w="-1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14"/>
      </w:tblGrid>
      <w:tr w:rsidR="00DF22DF" w:rsidRPr="008C1565" w14:paraId="38313A1B" w14:textId="77777777" w:rsidTr="006B2D5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8EBC6A9" w14:textId="77777777" w:rsidR="00372F53" w:rsidRPr="008C1565" w:rsidRDefault="00372F53" w:rsidP="00B95D1C">
            <w:pPr>
              <w:rPr>
                <w:b/>
                <w:bCs/>
                <w:iCs/>
                <w:sz w:val="23"/>
                <w:szCs w:val="23"/>
              </w:rPr>
            </w:pPr>
            <w:r w:rsidRPr="008C1565">
              <w:rPr>
                <w:b/>
                <w:bCs/>
                <w:iCs/>
                <w:sz w:val="23"/>
                <w:szCs w:val="23"/>
              </w:rPr>
              <w:t>III. Tiesību akta projekta ietekme uz valsts budžetu un pašvaldību budžetiem</w:t>
            </w:r>
          </w:p>
        </w:tc>
      </w:tr>
      <w:tr w:rsidR="006B2D58" w:rsidRPr="008C1565" w14:paraId="78B0CF83" w14:textId="77777777" w:rsidTr="006B2D5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1DAFB49E" w14:textId="07746389" w:rsidR="006B2D58" w:rsidRPr="006B2D58" w:rsidRDefault="006B2D58" w:rsidP="006B2D58">
            <w:pPr>
              <w:jc w:val="center"/>
              <w:rPr>
                <w:bCs/>
                <w:iCs/>
                <w:sz w:val="23"/>
                <w:szCs w:val="23"/>
              </w:rPr>
            </w:pPr>
            <w:r w:rsidRPr="006B2D58">
              <w:rPr>
                <w:bCs/>
                <w:iCs/>
                <w:sz w:val="23"/>
                <w:szCs w:val="23"/>
              </w:rPr>
              <w:t>Projekts šo jomu neskar</w:t>
            </w:r>
          </w:p>
        </w:tc>
      </w:tr>
    </w:tbl>
    <w:p w14:paraId="4AF501F7" w14:textId="77777777" w:rsidR="00372F53" w:rsidRPr="008C1565" w:rsidRDefault="00372F53" w:rsidP="00372F53">
      <w:pPr>
        <w:pStyle w:val="naisf"/>
        <w:spacing w:before="0" w:after="0"/>
        <w:ind w:firstLine="0"/>
        <w:rPr>
          <w:sz w:val="23"/>
          <w:szCs w:val="23"/>
        </w:rPr>
      </w:pPr>
    </w:p>
    <w:tbl>
      <w:tblPr>
        <w:tblW w:w="5083"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6"/>
        <w:gridCol w:w="3048"/>
        <w:gridCol w:w="5431"/>
      </w:tblGrid>
      <w:tr w:rsidR="00DF22DF" w:rsidRPr="008C1565" w14:paraId="5F005B03" w14:textId="77777777" w:rsidTr="006B2D5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4594031" w14:textId="77777777" w:rsidR="00372F53" w:rsidRPr="008C1565" w:rsidRDefault="00372F53" w:rsidP="00B95D1C">
            <w:pPr>
              <w:rPr>
                <w:b/>
                <w:bCs/>
                <w:iCs/>
                <w:sz w:val="23"/>
                <w:szCs w:val="23"/>
              </w:rPr>
            </w:pPr>
            <w:r w:rsidRPr="008C1565">
              <w:rPr>
                <w:b/>
                <w:bCs/>
                <w:iCs/>
                <w:sz w:val="23"/>
                <w:szCs w:val="23"/>
              </w:rPr>
              <w:t>IV. Tiesību akta projekta ietekme uz spēkā esošo tiesību normu sistēmu</w:t>
            </w:r>
          </w:p>
        </w:tc>
      </w:tr>
      <w:tr w:rsidR="00DF22DF" w:rsidRPr="008C1565" w14:paraId="722C0026" w14:textId="77777777" w:rsidTr="006B2D58">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14:paraId="2BB0594F" w14:textId="77777777" w:rsidR="00372F53" w:rsidRPr="008C1565" w:rsidRDefault="00372F53" w:rsidP="00B95D1C">
            <w:pPr>
              <w:rPr>
                <w:iCs/>
                <w:sz w:val="23"/>
                <w:szCs w:val="23"/>
              </w:rPr>
            </w:pPr>
            <w:r w:rsidRPr="008C1565">
              <w:rPr>
                <w:iCs/>
                <w:sz w:val="23"/>
                <w:szCs w:val="23"/>
              </w:rPr>
              <w:t>1.</w:t>
            </w:r>
          </w:p>
        </w:tc>
        <w:tc>
          <w:tcPr>
            <w:tcW w:w="1650" w:type="pct"/>
            <w:tcBorders>
              <w:top w:val="outset" w:sz="6" w:space="0" w:color="auto"/>
              <w:left w:val="outset" w:sz="6" w:space="0" w:color="auto"/>
              <w:bottom w:val="outset" w:sz="6" w:space="0" w:color="auto"/>
              <w:right w:val="outset" w:sz="6" w:space="0" w:color="auto"/>
            </w:tcBorders>
            <w:hideMark/>
          </w:tcPr>
          <w:p w14:paraId="275EEFA9" w14:textId="77777777" w:rsidR="00372F53" w:rsidRPr="008C1565" w:rsidRDefault="00372F53" w:rsidP="00B95D1C">
            <w:pPr>
              <w:rPr>
                <w:iCs/>
                <w:sz w:val="23"/>
                <w:szCs w:val="23"/>
              </w:rPr>
            </w:pPr>
            <w:r w:rsidRPr="008C1565">
              <w:rPr>
                <w:iCs/>
                <w:sz w:val="23"/>
                <w:szCs w:val="23"/>
              </w:rPr>
              <w:t>Saistītie tiesību aktu projekti</w:t>
            </w:r>
          </w:p>
        </w:tc>
        <w:tc>
          <w:tcPr>
            <w:tcW w:w="2912" w:type="pct"/>
            <w:tcBorders>
              <w:top w:val="outset" w:sz="6" w:space="0" w:color="auto"/>
              <w:left w:val="outset" w:sz="6" w:space="0" w:color="auto"/>
              <w:bottom w:val="outset" w:sz="6" w:space="0" w:color="auto"/>
              <w:right w:val="outset" w:sz="6" w:space="0" w:color="auto"/>
            </w:tcBorders>
          </w:tcPr>
          <w:p w14:paraId="001CF692" w14:textId="0DC18BAD" w:rsidR="00372F53" w:rsidRPr="008C1565" w:rsidRDefault="00EF5B88" w:rsidP="00B95D1C">
            <w:pPr>
              <w:rPr>
                <w:iCs/>
                <w:sz w:val="23"/>
                <w:szCs w:val="23"/>
              </w:rPr>
            </w:pPr>
            <w:r w:rsidRPr="008C1565">
              <w:rPr>
                <w:iCs/>
                <w:sz w:val="23"/>
                <w:szCs w:val="23"/>
              </w:rPr>
              <w:t>Projekts šo jomu neskar</w:t>
            </w:r>
          </w:p>
        </w:tc>
      </w:tr>
      <w:tr w:rsidR="00DF22DF" w:rsidRPr="008C1565" w14:paraId="6270F0A0" w14:textId="77777777" w:rsidTr="006B2D58">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14:paraId="1D0EAC17" w14:textId="77777777" w:rsidR="00372F53" w:rsidRPr="008C1565" w:rsidRDefault="00372F53" w:rsidP="00B95D1C">
            <w:pPr>
              <w:rPr>
                <w:iCs/>
                <w:sz w:val="23"/>
                <w:szCs w:val="23"/>
              </w:rPr>
            </w:pPr>
            <w:r w:rsidRPr="008C1565">
              <w:rPr>
                <w:iCs/>
                <w:sz w:val="23"/>
                <w:szCs w:val="23"/>
              </w:rPr>
              <w:t>2.</w:t>
            </w:r>
          </w:p>
        </w:tc>
        <w:tc>
          <w:tcPr>
            <w:tcW w:w="1650" w:type="pct"/>
            <w:tcBorders>
              <w:top w:val="outset" w:sz="6" w:space="0" w:color="auto"/>
              <w:left w:val="outset" w:sz="6" w:space="0" w:color="auto"/>
              <w:bottom w:val="outset" w:sz="6" w:space="0" w:color="auto"/>
              <w:right w:val="outset" w:sz="6" w:space="0" w:color="auto"/>
            </w:tcBorders>
            <w:hideMark/>
          </w:tcPr>
          <w:p w14:paraId="56ECC100" w14:textId="77777777" w:rsidR="00372F53" w:rsidRPr="008C1565" w:rsidRDefault="00372F53" w:rsidP="00B95D1C">
            <w:pPr>
              <w:rPr>
                <w:iCs/>
                <w:sz w:val="23"/>
                <w:szCs w:val="23"/>
              </w:rPr>
            </w:pPr>
            <w:r w:rsidRPr="008C1565">
              <w:rPr>
                <w:iCs/>
                <w:sz w:val="23"/>
                <w:szCs w:val="23"/>
              </w:rPr>
              <w:t>Atbildīgā institūcija</w:t>
            </w:r>
          </w:p>
        </w:tc>
        <w:tc>
          <w:tcPr>
            <w:tcW w:w="2912" w:type="pct"/>
            <w:tcBorders>
              <w:top w:val="outset" w:sz="6" w:space="0" w:color="auto"/>
              <w:left w:val="outset" w:sz="6" w:space="0" w:color="auto"/>
              <w:bottom w:val="outset" w:sz="6" w:space="0" w:color="auto"/>
              <w:right w:val="outset" w:sz="6" w:space="0" w:color="auto"/>
            </w:tcBorders>
          </w:tcPr>
          <w:p w14:paraId="53B50440" w14:textId="19260873" w:rsidR="00372F53" w:rsidRPr="008C1565" w:rsidRDefault="00EF5B88" w:rsidP="00B95D1C">
            <w:pPr>
              <w:rPr>
                <w:iCs/>
                <w:sz w:val="23"/>
                <w:szCs w:val="23"/>
              </w:rPr>
            </w:pPr>
            <w:r w:rsidRPr="008C1565">
              <w:rPr>
                <w:iCs/>
                <w:sz w:val="23"/>
                <w:szCs w:val="23"/>
              </w:rPr>
              <w:t>Projekts šo jomu neskar</w:t>
            </w:r>
          </w:p>
        </w:tc>
      </w:tr>
      <w:tr w:rsidR="00372F53" w:rsidRPr="008C1565" w14:paraId="3DCD264D" w14:textId="77777777" w:rsidTr="006B2D58">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14:paraId="21CC211D" w14:textId="77777777" w:rsidR="00372F53" w:rsidRPr="008C1565" w:rsidRDefault="00372F53" w:rsidP="00B95D1C">
            <w:pPr>
              <w:rPr>
                <w:iCs/>
                <w:sz w:val="23"/>
                <w:szCs w:val="23"/>
              </w:rPr>
            </w:pPr>
            <w:r w:rsidRPr="008C1565">
              <w:rPr>
                <w:iCs/>
                <w:sz w:val="23"/>
                <w:szCs w:val="23"/>
              </w:rPr>
              <w:t>3.</w:t>
            </w:r>
          </w:p>
        </w:tc>
        <w:tc>
          <w:tcPr>
            <w:tcW w:w="1650" w:type="pct"/>
            <w:tcBorders>
              <w:top w:val="outset" w:sz="6" w:space="0" w:color="auto"/>
              <w:left w:val="outset" w:sz="6" w:space="0" w:color="auto"/>
              <w:bottom w:val="outset" w:sz="6" w:space="0" w:color="auto"/>
              <w:right w:val="outset" w:sz="6" w:space="0" w:color="auto"/>
            </w:tcBorders>
            <w:hideMark/>
          </w:tcPr>
          <w:p w14:paraId="2F1F1A19" w14:textId="77777777" w:rsidR="00372F53" w:rsidRPr="008C1565" w:rsidRDefault="00372F53" w:rsidP="00B95D1C">
            <w:pPr>
              <w:rPr>
                <w:iCs/>
                <w:sz w:val="23"/>
                <w:szCs w:val="23"/>
              </w:rPr>
            </w:pPr>
            <w:r w:rsidRPr="008C1565">
              <w:rPr>
                <w:iCs/>
                <w:sz w:val="23"/>
                <w:szCs w:val="23"/>
              </w:rPr>
              <w:t>Cita informācija</w:t>
            </w:r>
          </w:p>
        </w:tc>
        <w:tc>
          <w:tcPr>
            <w:tcW w:w="2912" w:type="pct"/>
            <w:tcBorders>
              <w:top w:val="outset" w:sz="6" w:space="0" w:color="auto"/>
              <w:left w:val="outset" w:sz="6" w:space="0" w:color="auto"/>
              <w:bottom w:val="outset" w:sz="6" w:space="0" w:color="auto"/>
              <w:right w:val="outset" w:sz="6" w:space="0" w:color="auto"/>
            </w:tcBorders>
          </w:tcPr>
          <w:p w14:paraId="5738EC46" w14:textId="77777777" w:rsidR="00372F53" w:rsidRPr="008C1565" w:rsidRDefault="00372F53" w:rsidP="00B95D1C">
            <w:pPr>
              <w:rPr>
                <w:iCs/>
                <w:sz w:val="23"/>
                <w:szCs w:val="23"/>
              </w:rPr>
            </w:pPr>
            <w:r w:rsidRPr="008C1565">
              <w:rPr>
                <w:iCs/>
                <w:sz w:val="23"/>
                <w:szCs w:val="23"/>
              </w:rPr>
              <w:t>Nav.</w:t>
            </w:r>
          </w:p>
        </w:tc>
      </w:tr>
    </w:tbl>
    <w:p w14:paraId="02432EE5" w14:textId="77777777" w:rsidR="00372F53" w:rsidRPr="008C1565" w:rsidRDefault="00372F53" w:rsidP="00372F53">
      <w:pPr>
        <w:pStyle w:val="naisf"/>
        <w:spacing w:before="0" w:after="0"/>
        <w:ind w:firstLine="0"/>
        <w:rPr>
          <w:sz w:val="23"/>
          <w:szCs w:val="23"/>
        </w:rPr>
      </w:pPr>
    </w:p>
    <w:tbl>
      <w:tblPr>
        <w:tblW w:w="5083"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6"/>
        <w:gridCol w:w="3048"/>
        <w:gridCol w:w="5431"/>
      </w:tblGrid>
      <w:tr w:rsidR="00DF22DF" w:rsidRPr="008C1565" w14:paraId="25D31774" w14:textId="77777777" w:rsidTr="006B2D5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66AAF47" w14:textId="77777777" w:rsidR="00372F53" w:rsidRPr="008C1565" w:rsidRDefault="00372F53" w:rsidP="00B95D1C">
            <w:pPr>
              <w:rPr>
                <w:b/>
                <w:bCs/>
                <w:iCs/>
                <w:sz w:val="23"/>
                <w:szCs w:val="23"/>
              </w:rPr>
            </w:pPr>
            <w:r w:rsidRPr="008C1565">
              <w:rPr>
                <w:b/>
                <w:bCs/>
                <w:iCs/>
                <w:sz w:val="23"/>
                <w:szCs w:val="23"/>
              </w:rPr>
              <w:t>V. Tiesību akta projekta atbilstība Latvijas Republikas starptautiskajām saistībām</w:t>
            </w:r>
          </w:p>
        </w:tc>
      </w:tr>
      <w:tr w:rsidR="00DF22DF" w:rsidRPr="008C1565" w14:paraId="5246CDC8" w14:textId="77777777" w:rsidTr="006B2D58">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14:paraId="2E3793C2" w14:textId="77777777" w:rsidR="00372F53" w:rsidRPr="008C1565" w:rsidRDefault="00372F53" w:rsidP="00B95D1C">
            <w:pPr>
              <w:rPr>
                <w:iCs/>
                <w:sz w:val="23"/>
                <w:szCs w:val="23"/>
              </w:rPr>
            </w:pPr>
            <w:r w:rsidRPr="008C1565">
              <w:rPr>
                <w:iCs/>
                <w:sz w:val="23"/>
                <w:szCs w:val="23"/>
              </w:rPr>
              <w:t>1.</w:t>
            </w:r>
          </w:p>
        </w:tc>
        <w:tc>
          <w:tcPr>
            <w:tcW w:w="1650" w:type="pct"/>
            <w:tcBorders>
              <w:top w:val="outset" w:sz="6" w:space="0" w:color="auto"/>
              <w:left w:val="outset" w:sz="6" w:space="0" w:color="auto"/>
              <w:bottom w:val="outset" w:sz="6" w:space="0" w:color="auto"/>
              <w:right w:val="outset" w:sz="6" w:space="0" w:color="auto"/>
            </w:tcBorders>
            <w:hideMark/>
          </w:tcPr>
          <w:p w14:paraId="252C526B" w14:textId="77777777" w:rsidR="00372F53" w:rsidRPr="008C1565" w:rsidRDefault="00372F53" w:rsidP="00B95D1C">
            <w:pPr>
              <w:rPr>
                <w:iCs/>
                <w:sz w:val="23"/>
                <w:szCs w:val="23"/>
              </w:rPr>
            </w:pPr>
            <w:r w:rsidRPr="008C1565">
              <w:rPr>
                <w:iCs/>
                <w:sz w:val="23"/>
                <w:szCs w:val="23"/>
              </w:rPr>
              <w:t>Saistības pret Eiropas Savienību</w:t>
            </w:r>
          </w:p>
        </w:tc>
        <w:tc>
          <w:tcPr>
            <w:tcW w:w="2912" w:type="pct"/>
            <w:tcBorders>
              <w:top w:val="outset" w:sz="6" w:space="0" w:color="auto"/>
              <w:left w:val="outset" w:sz="6" w:space="0" w:color="auto"/>
              <w:bottom w:val="outset" w:sz="6" w:space="0" w:color="auto"/>
              <w:right w:val="outset" w:sz="6" w:space="0" w:color="auto"/>
            </w:tcBorders>
          </w:tcPr>
          <w:p w14:paraId="30629DA7" w14:textId="77777777" w:rsidR="00372F53" w:rsidRPr="008C1565" w:rsidRDefault="00372F53" w:rsidP="00B95D1C">
            <w:pPr>
              <w:rPr>
                <w:iCs/>
                <w:sz w:val="23"/>
                <w:szCs w:val="23"/>
              </w:rPr>
            </w:pPr>
            <w:r w:rsidRPr="008C1565">
              <w:rPr>
                <w:iCs/>
                <w:sz w:val="23"/>
                <w:szCs w:val="23"/>
              </w:rPr>
              <w:t>Projekts šo jomu neskar</w:t>
            </w:r>
          </w:p>
        </w:tc>
      </w:tr>
      <w:tr w:rsidR="00DF22DF" w:rsidRPr="008C1565" w14:paraId="60F504CD" w14:textId="77777777" w:rsidTr="006B2D58">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14:paraId="015161C1" w14:textId="77777777" w:rsidR="00372F53" w:rsidRPr="008C1565" w:rsidRDefault="00372F53" w:rsidP="00B95D1C">
            <w:pPr>
              <w:rPr>
                <w:iCs/>
                <w:sz w:val="23"/>
                <w:szCs w:val="23"/>
              </w:rPr>
            </w:pPr>
            <w:r w:rsidRPr="008C1565">
              <w:rPr>
                <w:iCs/>
                <w:sz w:val="23"/>
                <w:szCs w:val="23"/>
              </w:rPr>
              <w:t>2.</w:t>
            </w:r>
          </w:p>
        </w:tc>
        <w:tc>
          <w:tcPr>
            <w:tcW w:w="1650" w:type="pct"/>
            <w:tcBorders>
              <w:top w:val="outset" w:sz="6" w:space="0" w:color="auto"/>
              <w:left w:val="outset" w:sz="6" w:space="0" w:color="auto"/>
              <w:bottom w:val="outset" w:sz="6" w:space="0" w:color="auto"/>
              <w:right w:val="outset" w:sz="6" w:space="0" w:color="auto"/>
            </w:tcBorders>
            <w:hideMark/>
          </w:tcPr>
          <w:p w14:paraId="2A1FD267" w14:textId="77777777" w:rsidR="00372F53" w:rsidRPr="008C1565" w:rsidRDefault="00372F53" w:rsidP="00B95D1C">
            <w:pPr>
              <w:rPr>
                <w:iCs/>
                <w:sz w:val="23"/>
                <w:szCs w:val="23"/>
              </w:rPr>
            </w:pPr>
            <w:r w:rsidRPr="008C1565">
              <w:rPr>
                <w:iCs/>
                <w:sz w:val="23"/>
                <w:szCs w:val="23"/>
              </w:rPr>
              <w:t>Citas starptautiskās saistības</w:t>
            </w:r>
          </w:p>
        </w:tc>
        <w:tc>
          <w:tcPr>
            <w:tcW w:w="2912" w:type="pct"/>
            <w:tcBorders>
              <w:top w:val="outset" w:sz="6" w:space="0" w:color="auto"/>
              <w:left w:val="outset" w:sz="6" w:space="0" w:color="auto"/>
              <w:bottom w:val="outset" w:sz="6" w:space="0" w:color="auto"/>
              <w:right w:val="outset" w:sz="6" w:space="0" w:color="auto"/>
            </w:tcBorders>
          </w:tcPr>
          <w:p w14:paraId="21D7701E" w14:textId="77777777" w:rsidR="00372F53" w:rsidRPr="008C1565" w:rsidRDefault="00372F53" w:rsidP="00B95D1C">
            <w:pPr>
              <w:rPr>
                <w:iCs/>
                <w:sz w:val="23"/>
                <w:szCs w:val="23"/>
              </w:rPr>
            </w:pPr>
            <w:r w:rsidRPr="008C1565">
              <w:rPr>
                <w:iCs/>
                <w:sz w:val="23"/>
                <w:szCs w:val="23"/>
              </w:rPr>
              <w:t>Projekts šo jomu neskar</w:t>
            </w:r>
          </w:p>
        </w:tc>
      </w:tr>
      <w:tr w:rsidR="00372F53" w:rsidRPr="008C1565" w14:paraId="79E51C41" w14:textId="77777777" w:rsidTr="006B2D58">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14:paraId="32C6231F" w14:textId="77777777" w:rsidR="00372F53" w:rsidRPr="008C1565" w:rsidRDefault="00372F53" w:rsidP="00B95D1C">
            <w:pPr>
              <w:rPr>
                <w:iCs/>
                <w:sz w:val="23"/>
                <w:szCs w:val="23"/>
              </w:rPr>
            </w:pPr>
            <w:r w:rsidRPr="008C1565">
              <w:rPr>
                <w:iCs/>
                <w:sz w:val="23"/>
                <w:szCs w:val="23"/>
              </w:rPr>
              <w:t>3.</w:t>
            </w:r>
          </w:p>
        </w:tc>
        <w:tc>
          <w:tcPr>
            <w:tcW w:w="1650" w:type="pct"/>
            <w:tcBorders>
              <w:top w:val="outset" w:sz="6" w:space="0" w:color="auto"/>
              <w:left w:val="outset" w:sz="6" w:space="0" w:color="auto"/>
              <w:bottom w:val="outset" w:sz="6" w:space="0" w:color="auto"/>
              <w:right w:val="outset" w:sz="6" w:space="0" w:color="auto"/>
            </w:tcBorders>
            <w:hideMark/>
          </w:tcPr>
          <w:p w14:paraId="763E3AF8" w14:textId="77777777" w:rsidR="00372F53" w:rsidRPr="008C1565" w:rsidRDefault="00372F53" w:rsidP="00B95D1C">
            <w:pPr>
              <w:rPr>
                <w:iCs/>
                <w:sz w:val="23"/>
                <w:szCs w:val="23"/>
              </w:rPr>
            </w:pPr>
            <w:r w:rsidRPr="008C1565">
              <w:rPr>
                <w:iCs/>
                <w:sz w:val="23"/>
                <w:szCs w:val="23"/>
              </w:rPr>
              <w:t>Cita informācija</w:t>
            </w:r>
          </w:p>
        </w:tc>
        <w:tc>
          <w:tcPr>
            <w:tcW w:w="2912" w:type="pct"/>
            <w:tcBorders>
              <w:top w:val="outset" w:sz="6" w:space="0" w:color="auto"/>
              <w:left w:val="outset" w:sz="6" w:space="0" w:color="auto"/>
              <w:bottom w:val="outset" w:sz="6" w:space="0" w:color="auto"/>
              <w:right w:val="outset" w:sz="6" w:space="0" w:color="auto"/>
            </w:tcBorders>
          </w:tcPr>
          <w:p w14:paraId="4C692CB6" w14:textId="77777777" w:rsidR="00372F53" w:rsidRPr="008C1565" w:rsidRDefault="00372F53" w:rsidP="00B95D1C">
            <w:pPr>
              <w:rPr>
                <w:iCs/>
                <w:sz w:val="23"/>
                <w:szCs w:val="23"/>
              </w:rPr>
            </w:pPr>
            <w:r w:rsidRPr="008C1565">
              <w:rPr>
                <w:iCs/>
                <w:sz w:val="23"/>
                <w:szCs w:val="23"/>
              </w:rPr>
              <w:t>Nav.</w:t>
            </w:r>
          </w:p>
        </w:tc>
      </w:tr>
    </w:tbl>
    <w:p w14:paraId="6579D728" w14:textId="77777777" w:rsidR="00372F53" w:rsidRPr="008C1565" w:rsidRDefault="00372F53" w:rsidP="00372F53">
      <w:pPr>
        <w:pStyle w:val="naisf"/>
        <w:spacing w:before="0" w:after="0"/>
        <w:ind w:firstLine="0"/>
        <w:rPr>
          <w:sz w:val="23"/>
          <w:szCs w:val="23"/>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F22DF" w:rsidRPr="008C1565" w14:paraId="49A42FF0" w14:textId="77777777" w:rsidTr="00B95D1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4008F4" w14:textId="77777777" w:rsidR="00372F53" w:rsidRPr="008C1565" w:rsidRDefault="00372F53" w:rsidP="00B95D1C">
            <w:pPr>
              <w:rPr>
                <w:b/>
                <w:bCs/>
                <w:iCs/>
                <w:sz w:val="23"/>
                <w:szCs w:val="23"/>
              </w:rPr>
            </w:pPr>
            <w:r w:rsidRPr="008C1565">
              <w:rPr>
                <w:b/>
                <w:bCs/>
                <w:iCs/>
                <w:sz w:val="23"/>
                <w:szCs w:val="23"/>
              </w:rPr>
              <w:t>VI. Sabiedrības līdzdalība un komunikācijas aktivitātes</w:t>
            </w:r>
          </w:p>
        </w:tc>
      </w:tr>
      <w:tr w:rsidR="00DF22DF" w:rsidRPr="008C1565" w14:paraId="01E74D03" w14:textId="77777777" w:rsidTr="00B95D1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CFE5FA" w14:textId="77777777" w:rsidR="00372F53" w:rsidRPr="008C1565" w:rsidRDefault="00372F53" w:rsidP="00B95D1C">
            <w:pPr>
              <w:rPr>
                <w:iCs/>
                <w:sz w:val="23"/>
                <w:szCs w:val="23"/>
              </w:rPr>
            </w:pPr>
            <w:r w:rsidRPr="008C1565">
              <w:rPr>
                <w:iCs/>
                <w:sz w:val="23"/>
                <w:szCs w:val="23"/>
              </w:rPr>
              <w:t>1.</w:t>
            </w:r>
          </w:p>
        </w:tc>
        <w:tc>
          <w:tcPr>
            <w:tcW w:w="1700" w:type="pct"/>
            <w:tcBorders>
              <w:top w:val="outset" w:sz="6" w:space="0" w:color="auto"/>
              <w:left w:val="outset" w:sz="6" w:space="0" w:color="auto"/>
              <w:bottom w:val="outset" w:sz="6" w:space="0" w:color="auto"/>
              <w:right w:val="outset" w:sz="6" w:space="0" w:color="auto"/>
            </w:tcBorders>
            <w:hideMark/>
          </w:tcPr>
          <w:p w14:paraId="54B66EDA" w14:textId="77777777" w:rsidR="00372F53" w:rsidRPr="008C1565" w:rsidRDefault="00372F53" w:rsidP="00B95D1C">
            <w:pPr>
              <w:rPr>
                <w:iCs/>
                <w:sz w:val="23"/>
                <w:szCs w:val="23"/>
              </w:rPr>
            </w:pPr>
            <w:r w:rsidRPr="008C1565">
              <w:rPr>
                <w:iCs/>
                <w:sz w:val="23"/>
                <w:szCs w:val="23"/>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75C78286" w14:textId="20F7F968" w:rsidR="00372F53" w:rsidRPr="008C1565" w:rsidRDefault="007A383C" w:rsidP="00D334AD">
            <w:pPr>
              <w:pStyle w:val="naiskr"/>
              <w:tabs>
                <w:tab w:val="left" w:pos="2628"/>
              </w:tabs>
              <w:spacing w:before="0" w:after="0"/>
              <w:jc w:val="both"/>
              <w:rPr>
                <w:iCs/>
                <w:sz w:val="23"/>
                <w:szCs w:val="23"/>
              </w:rPr>
            </w:pPr>
            <w:r w:rsidRPr="008C1565">
              <w:rPr>
                <w:bCs/>
              </w:rPr>
              <w:t xml:space="preserve">Paziņojums par līdzdalības iespējām tiesību akta izstrādes procesā 2018.gada </w:t>
            </w:r>
            <w:r w:rsidR="00762D55" w:rsidRPr="008C1565">
              <w:rPr>
                <w:bCs/>
              </w:rPr>
              <w:t>5</w:t>
            </w:r>
            <w:r w:rsidR="00BF448B" w:rsidRPr="008C1565">
              <w:rPr>
                <w:bCs/>
              </w:rPr>
              <w:t>.</w:t>
            </w:r>
            <w:r w:rsidRPr="008C1565">
              <w:rPr>
                <w:bCs/>
              </w:rPr>
              <w:t>jūnijā ievietots Satiksmes ministrijas tīmekļa vietnē.</w:t>
            </w:r>
          </w:p>
        </w:tc>
      </w:tr>
      <w:tr w:rsidR="00DF22DF" w:rsidRPr="008C1565" w14:paraId="207EB3AF" w14:textId="77777777" w:rsidTr="00B95D1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822929" w14:textId="77777777" w:rsidR="00372F53" w:rsidRPr="008C1565" w:rsidRDefault="00372F53" w:rsidP="00B95D1C">
            <w:pPr>
              <w:rPr>
                <w:iCs/>
                <w:sz w:val="23"/>
                <w:szCs w:val="23"/>
              </w:rPr>
            </w:pPr>
            <w:r w:rsidRPr="008C1565">
              <w:rPr>
                <w:iCs/>
                <w:sz w:val="23"/>
                <w:szCs w:val="23"/>
              </w:rPr>
              <w:t>2.</w:t>
            </w:r>
          </w:p>
        </w:tc>
        <w:tc>
          <w:tcPr>
            <w:tcW w:w="1700" w:type="pct"/>
            <w:tcBorders>
              <w:top w:val="outset" w:sz="6" w:space="0" w:color="auto"/>
              <w:left w:val="outset" w:sz="6" w:space="0" w:color="auto"/>
              <w:bottom w:val="outset" w:sz="6" w:space="0" w:color="auto"/>
              <w:right w:val="outset" w:sz="6" w:space="0" w:color="auto"/>
            </w:tcBorders>
            <w:hideMark/>
          </w:tcPr>
          <w:p w14:paraId="1971BECD" w14:textId="77777777" w:rsidR="00372F53" w:rsidRPr="008C1565" w:rsidRDefault="00372F53" w:rsidP="00B95D1C">
            <w:pPr>
              <w:rPr>
                <w:iCs/>
                <w:sz w:val="23"/>
                <w:szCs w:val="23"/>
              </w:rPr>
            </w:pPr>
            <w:r w:rsidRPr="008C1565">
              <w:rPr>
                <w:iCs/>
                <w:sz w:val="23"/>
                <w:szCs w:val="23"/>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3BB16BBB" w14:textId="23154C97" w:rsidR="00372F53" w:rsidRPr="008C1565" w:rsidRDefault="00372634" w:rsidP="009159C8">
            <w:pPr>
              <w:jc w:val="both"/>
              <w:rPr>
                <w:iCs/>
                <w:sz w:val="23"/>
                <w:szCs w:val="23"/>
              </w:rPr>
            </w:pPr>
            <w:r w:rsidRPr="003E43AC">
              <w:rPr>
                <w:szCs w:val="28"/>
              </w:rPr>
              <w:t>Atbilstoši Ministru kabineta 2009.gada 25.augusta noteikumu Nr.970 „Sabiedrības līdzdalības kārtība attīstības plānošanas procesā” 7.4.</w:t>
            </w:r>
            <w:r w:rsidRPr="003E43AC">
              <w:rPr>
                <w:szCs w:val="28"/>
                <w:vertAlign w:val="superscript"/>
              </w:rPr>
              <w:t xml:space="preserve">1 </w:t>
            </w:r>
            <w:r w:rsidRPr="003E43AC">
              <w:rPr>
                <w:szCs w:val="28"/>
              </w:rPr>
              <w:t>apakšpunktam, sabiedrībai tiks dota iespēja rakstiski sniegt viedokli par noteikumu projektu tā izstrādes stadijā.</w:t>
            </w:r>
            <w:r w:rsidR="009159C8" w:rsidRPr="008C1565">
              <w:rPr>
                <w:iCs/>
                <w:sz w:val="23"/>
                <w:szCs w:val="23"/>
              </w:rPr>
              <w:t xml:space="preserve">. </w:t>
            </w:r>
          </w:p>
        </w:tc>
      </w:tr>
      <w:tr w:rsidR="00DF22DF" w:rsidRPr="008C1565" w14:paraId="1D5335BD" w14:textId="77777777" w:rsidTr="00B95D1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C016BE" w14:textId="77777777" w:rsidR="00372F53" w:rsidRPr="008C1565" w:rsidRDefault="00372F53" w:rsidP="00B95D1C">
            <w:pPr>
              <w:rPr>
                <w:iCs/>
                <w:sz w:val="23"/>
                <w:szCs w:val="23"/>
              </w:rPr>
            </w:pPr>
            <w:r w:rsidRPr="008C1565">
              <w:rPr>
                <w:iCs/>
                <w:sz w:val="23"/>
                <w:szCs w:val="23"/>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F354C84" w14:textId="77777777" w:rsidR="00372F53" w:rsidRPr="008C1565" w:rsidRDefault="00372F53" w:rsidP="00B95D1C">
            <w:pPr>
              <w:rPr>
                <w:iCs/>
                <w:sz w:val="23"/>
                <w:szCs w:val="23"/>
              </w:rPr>
            </w:pPr>
            <w:r w:rsidRPr="008C1565">
              <w:rPr>
                <w:iCs/>
                <w:sz w:val="23"/>
                <w:szCs w:val="23"/>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1BDDC609" w14:textId="0ABEBE62" w:rsidR="00000481" w:rsidRPr="0098026F" w:rsidRDefault="009159C8" w:rsidP="009159C8">
            <w:pPr>
              <w:jc w:val="both"/>
              <w:rPr>
                <w:iCs/>
              </w:rPr>
            </w:pPr>
            <w:r w:rsidRPr="0098026F">
              <w:rPr>
                <w:iCs/>
              </w:rPr>
              <w:t xml:space="preserve">Latvijas Pasažieru pārvadātāju asociācija 2018.gada 20.jūlija atzinumā </w:t>
            </w:r>
            <w:r w:rsidR="00372634" w:rsidRPr="0098026F">
              <w:rPr>
                <w:iCs/>
              </w:rPr>
              <w:t>kategoriski iebilst pret garantētās peļņas apmēra samazināšanu</w:t>
            </w:r>
            <w:r w:rsidR="00000481" w:rsidRPr="0098026F">
              <w:rPr>
                <w:iCs/>
              </w:rPr>
              <w:t xml:space="preserve"> un norāda, ka ņemot vērā izmaksu pieaugumu saistībā ar minimālās algas palielinājumu un degvielas akcīzes nodokļa palielinājumu   un par nepieciešamā finansējuma apjoms jāparedz plānojot  budžetu</w:t>
            </w:r>
            <w:r w:rsidR="006E6FF5" w:rsidRPr="0098026F">
              <w:rPr>
                <w:iCs/>
              </w:rPr>
              <w:t>.</w:t>
            </w:r>
            <w:r w:rsidR="00000481" w:rsidRPr="0098026F">
              <w:rPr>
                <w:iCs/>
              </w:rPr>
              <w:t xml:space="preserve"> </w:t>
            </w:r>
            <w:r w:rsidR="00372634" w:rsidRPr="0098026F">
              <w:rPr>
                <w:iCs/>
              </w:rPr>
              <w:t xml:space="preserve"> </w:t>
            </w:r>
          </w:p>
          <w:p w14:paraId="200B1D98" w14:textId="217C5CF2" w:rsidR="00372F53" w:rsidRPr="0098026F" w:rsidRDefault="00000481" w:rsidP="009159C8">
            <w:pPr>
              <w:jc w:val="both"/>
            </w:pPr>
            <w:r w:rsidRPr="0098026F">
              <w:rPr>
                <w:iCs/>
              </w:rPr>
              <w:t>Latvijas Pašvaldību savienība</w:t>
            </w:r>
            <w:r w:rsidR="00372634" w:rsidRPr="0098026F">
              <w:rPr>
                <w:iCs/>
              </w:rPr>
              <w:t xml:space="preserve"> </w:t>
            </w:r>
            <w:r w:rsidRPr="0098026F">
              <w:t>uzskata, ka piedāvājum samazināt garantētās peļņas sabiedriskā transporta nobraukuma komponenti līdz 0.01 eiro ievērojami samazinās sabiedriskā transporta pakalpojuma sniedzēju konkurētspēju, tādējādi ierobežojot to spēju piesaistīt investīcijas.</w:t>
            </w:r>
          </w:p>
          <w:p w14:paraId="38C8D0EA" w14:textId="36601F56" w:rsidR="006726A4" w:rsidRPr="0098026F" w:rsidRDefault="006726A4" w:rsidP="006726A4">
            <w:pPr>
              <w:jc w:val="both"/>
              <w:rPr>
                <w:iCs/>
              </w:rPr>
            </w:pPr>
            <w:r w:rsidRPr="0098026F">
              <w:t>LDDK iebilst pret garantētās peļņas apmēra samazināšanu, jo noteikumu projektā piedāvātā formula būtiski ietekmē Latvijas regulāro pasažieru pārvadātāju tālāku pastāvēšanu un attīstību, jo peļņa samazināsies robežās no 46% - 65% no esošā apjoma. Un izsaka p</w:t>
            </w:r>
            <w:r w:rsidRPr="0098026F">
              <w:rPr>
                <w:iCs/>
              </w:rPr>
              <w:t>riekšlikumu</w:t>
            </w:r>
            <w:r w:rsidRPr="0098026F">
              <w:rPr>
                <w:b/>
                <w:iCs/>
              </w:rPr>
              <w:t xml:space="preserve"> </w:t>
            </w:r>
            <w:r w:rsidRPr="0098026F">
              <w:rPr>
                <w:iCs/>
              </w:rPr>
              <w:t xml:space="preserve">minēto jautājumu par NTSP Transporta un sakaru nozares trīspusējās sadarbības </w:t>
            </w:r>
            <w:proofErr w:type="spellStart"/>
            <w:r w:rsidRPr="0098026F">
              <w:rPr>
                <w:iCs/>
              </w:rPr>
              <w:t>apakšpadomē</w:t>
            </w:r>
            <w:proofErr w:type="spellEnd"/>
            <w:r w:rsidRPr="0098026F">
              <w:rPr>
                <w:iCs/>
              </w:rPr>
              <w:t>, uzklausot nozares darba devēju organizāciju viedokli.</w:t>
            </w:r>
          </w:p>
          <w:p w14:paraId="1AC54776" w14:textId="5E64C4C7" w:rsidR="00000481" w:rsidRPr="0098026F" w:rsidRDefault="00631048" w:rsidP="006E6FF5">
            <w:pPr>
              <w:jc w:val="both"/>
              <w:rPr>
                <w:iCs/>
              </w:rPr>
            </w:pPr>
            <w:r>
              <w:rPr>
                <w:iCs/>
              </w:rPr>
              <w:t xml:space="preserve">    </w:t>
            </w:r>
            <w:r w:rsidR="00000481" w:rsidRPr="0098026F">
              <w:rPr>
                <w:iCs/>
              </w:rPr>
              <w:t>LPPA</w:t>
            </w:r>
            <w:r w:rsidR="006726A4" w:rsidRPr="0098026F">
              <w:rPr>
                <w:iCs/>
              </w:rPr>
              <w:t xml:space="preserve">, </w:t>
            </w:r>
            <w:r w:rsidR="00000481" w:rsidRPr="0098026F">
              <w:rPr>
                <w:iCs/>
              </w:rPr>
              <w:t>LPS</w:t>
            </w:r>
            <w:r w:rsidR="006726A4" w:rsidRPr="0098026F">
              <w:rPr>
                <w:iCs/>
              </w:rPr>
              <w:t xml:space="preserve"> un LDDK </w:t>
            </w:r>
            <w:r w:rsidR="00000481" w:rsidRPr="0098026F">
              <w:rPr>
                <w:iCs/>
              </w:rPr>
              <w:t>iebildumi ņemti vērā un regulējums no noteikumu projekta svītrots</w:t>
            </w:r>
            <w:r w:rsidR="006726A4" w:rsidRPr="0098026F">
              <w:rPr>
                <w:iCs/>
              </w:rPr>
              <w:t>, paredzot pagarināt uzdevuma izpildes termiņu, un veikt papildus pasā</w:t>
            </w:r>
            <w:r w:rsidR="00190627" w:rsidRPr="0098026F">
              <w:rPr>
                <w:iCs/>
              </w:rPr>
              <w:t>k</w:t>
            </w:r>
            <w:r w:rsidR="006726A4" w:rsidRPr="0098026F">
              <w:rPr>
                <w:iCs/>
              </w:rPr>
              <w:t>umus finansiālās ietekmes un lietderības izvērtēšanai.</w:t>
            </w:r>
          </w:p>
        </w:tc>
      </w:tr>
      <w:tr w:rsidR="00DF22DF" w:rsidRPr="008C1565" w14:paraId="05D8F4DF" w14:textId="77777777" w:rsidTr="00B95D1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414C29" w14:textId="77777777" w:rsidR="00372F53" w:rsidRPr="008C1565" w:rsidRDefault="00372F53" w:rsidP="00B95D1C">
            <w:pPr>
              <w:rPr>
                <w:iCs/>
                <w:sz w:val="23"/>
                <w:szCs w:val="23"/>
              </w:rPr>
            </w:pPr>
            <w:r w:rsidRPr="008C1565">
              <w:rPr>
                <w:iCs/>
                <w:sz w:val="23"/>
                <w:szCs w:val="23"/>
              </w:rPr>
              <w:t>4.</w:t>
            </w:r>
          </w:p>
        </w:tc>
        <w:tc>
          <w:tcPr>
            <w:tcW w:w="1700" w:type="pct"/>
            <w:tcBorders>
              <w:top w:val="outset" w:sz="6" w:space="0" w:color="auto"/>
              <w:left w:val="outset" w:sz="6" w:space="0" w:color="auto"/>
              <w:bottom w:val="outset" w:sz="6" w:space="0" w:color="auto"/>
              <w:right w:val="outset" w:sz="6" w:space="0" w:color="auto"/>
            </w:tcBorders>
            <w:hideMark/>
          </w:tcPr>
          <w:p w14:paraId="101372BA" w14:textId="77777777" w:rsidR="00372F53" w:rsidRPr="008C1565" w:rsidRDefault="00372F53" w:rsidP="00B95D1C">
            <w:pPr>
              <w:rPr>
                <w:iCs/>
                <w:sz w:val="23"/>
                <w:szCs w:val="23"/>
              </w:rPr>
            </w:pPr>
            <w:r w:rsidRPr="008C1565">
              <w:rPr>
                <w:iCs/>
                <w:sz w:val="23"/>
                <w:szCs w:val="23"/>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524F507" w14:textId="77777777" w:rsidR="00372F53" w:rsidRPr="0098026F" w:rsidRDefault="00372F53" w:rsidP="00B95D1C">
            <w:pPr>
              <w:rPr>
                <w:iCs/>
              </w:rPr>
            </w:pPr>
            <w:r w:rsidRPr="0098026F">
              <w:rPr>
                <w:iCs/>
              </w:rPr>
              <w:t>Nav.</w:t>
            </w:r>
          </w:p>
        </w:tc>
      </w:tr>
    </w:tbl>
    <w:p w14:paraId="6F36D4FE" w14:textId="77777777" w:rsidR="00372F53" w:rsidRPr="008C1565" w:rsidRDefault="00372F53" w:rsidP="00372F53">
      <w:pPr>
        <w:rPr>
          <w:iCs/>
          <w:sz w:val="23"/>
          <w:szCs w:val="23"/>
        </w:rPr>
      </w:pPr>
      <w:r w:rsidRPr="008C1565">
        <w:rPr>
          <w:iCs/>
          <w:sz w:val="23"/>
          <w:szCs w:val="23"/>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F22DF" w:rsidRPr="008C1565" w14:paraId="079CB517" w14:textId="77777777" w:rsidTr="00B95D1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960724" w14:textId="77777777" w:rsidR="00372F53" w:rsidRPr="008C1565" w:rsidRDefault="00372F53" w:rsidP="00B95D1C">
            <w:pPr>
              <w:rPr>
                <w:b/>
                <w:bCs/>
                <w:iCs/>
                <w:sz w:val="23"/>
                <w:szCs w:val="23"/>
              </w:rPr>
            </w:pPr>
            <w:r w:rsidRPr="008C1565">
              <w:rPr>
                <w:b/>
                <w:bCs/>
                <w:iCs/>
                <w:sz w:val="23"/>
                <w:szCs w:val="23"/>
              </w:rPr>
              <w:t>VII. Tiesību akta projekta izpildes nodrošināšana un tās ietekme uz institūcijām</w:t>
            </w:r>
          </w:p>
        </w:tc>
      </w:tr>
      <w:tr w:rsidR="00DF22DF" w:rsidRPr="008C1565" w14:paraId="74C8D3F8" w14:textId="77777777" w:rsidTr="00B95D1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DBF1FF" w14:textId="77777777" w:rsidR="00372F53" w:rsidRPr="008C1565" w:rsidRDefault="00372F53" w:rsidP="00B95D1C">
            <w:pPr>
              <w:rPr>
                <w:iCs/>
                <w:sz w:val="23"/>
                <w:szCs w:val="23"/>
              </w:rPr>
            </w:pPr>
            <w:r w:rsidRPr="008C1565">
              <w:rPr>
                <w:iCs/>
                <w:sz w:val="23"/>
                <w:szCs w:val="23"/>
              </w:rPr>
              <w:t>1.</w:t>
            </w:r>
          </w:p>
        </w:tc>
        <w:tc>
          <w:tcPr>
            <w:tcW w:w="1700" w:type="pct"/>
            <w:tcBorders>
              <w:top w:val="outset" w:sz="6" w:space="0" w:color="auto"/>
              <w:left w:val="outset" w:sz="6" w:space="0" w:color="auto"/>
              <w:bottom w:val="outset" w:sz="6" w:space="0" w:color="auto"/>
              <w:right w:val="outset" w:sz="6" w:space="0" w:color="auto"/>
            </w:tcBorders>
            <w:hideMark/>
          </w:tcPr>
          <w:p w14:paraId="0DDF97C9" w14:textId="77777777" w:rsidR="00372F53" w:rsidRPr="008C1565" w:rsidRDefault="00372F53" w:rsidP="00B95D1C">
            <w:pPr>
              <w:rPr>
                <w:iCs/>
                <w:sz w:val="23"/>
                <w:szCs w:val="23"/>
              </w:rPr>
            </w:pPr>
            <w:r w:rsidRPr="008C1565">
              <w:rPr>
                <w:iCs/>
                <w:sz w:val="23"/>
                <w:szCs w:val="23"/>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55CEACD2" w14:textId="26B50A04" w:rsidR="00372F53" w:rsidRPr="008C1565" w:rsidRDefault="00372F53" w:rsidP="00B95D1C">
            <w:pPr>
              <w:rPr>
                <w:iCs/>
                <w:sz w:val="23"/>
                <w:szCs w:val="23"/>
              </w:rPr>
            </w:pPr>
            <w:r w:rsidRPr="008C1565">
              <w:rPr>
                <w:sz w:val="23"/>
                <w:szCs w:val="23"/>
              </w:rPr>
              <w:t>Satiksmes ministrija (VSIA </w:t>
            </w:r>
            <w:r w:rsidR="00D31F07" w:rsidRPr="008C1565">
              <w:rPr>
                <w:sz w:val="23"/>
                <w:szCs w:val="23"/>
              </w:rPr>
              <w:t>“</w:t>
            </w:r>
            <w:r w:rsidRPr="008C1565">
              <w:rPr>
                <w:sz w:val="23"/>
                <w:szCs w:val="23"/>
              </w:rPr>
              <w:t>Autotransporta direkcija</w:t>
            </w:r>
            <w:r w:rsidR="00D31F07" w:rsidRPr="008C1565">
              <w:rPr>
                <w:sz w:val="23"/>
                <w:szCs w:val="23"/>
              </w:rPr>
              <w:t>”</w:t>
            </w:r>
            <w:r w:rsidRPr="008C1565">
              <w:rPr>
                <w:sz w:val="23"/>
                <w:szCs w:val="23"/>
              </w:rPr>
              <w:t>)</w:t>
            </w:r>
            <w:r w:rsidR="00D31F07" w:rsidRPr="008C1565">
              <w:rPr>
                <w:sz w:val="23"/>
                <w:szCs w:val="23"/>
              </w:rPr>
              <w:t xml:space="preserve">, </w:t>
            </w:r>
            <w:r w:rsidR="00E21EE3" w:rsidRPr="008C1565">
              <w:rPr>
                <w:sz w:val="23"/>
                <w:szCs w:val="23"/>
              </w:rPr>
              <w:t>r</w:t>
            </w:r>
            <w:r w:rsidR="00D31F07" w:rsidRPr="008C1565">
              <w:rPr>
                <w:sz w:val="23"/>
                <w:szCs w:val="23"/>
              </w:rPr>
              <w:t>epublikas pilsētu pašvaldības</w:t>
            </w:r>
            <w:r w:rsidR="00607C7D" w:rsidRPr="008C1565">
              <w:rPr>
                <w:sz w:val="23"/>
                <w:szCs w:val="23"/>
              </w:rPr>
              <w:t>.</w:t>
            </w:r>
          </w:p>
        </w:tc>
      </w:tr>
      <w:tr w:rsidR="00DF22DF" w:rsidRPr="008C1565" w14:paraId="34D57D6C" w14:textId="77777777" w:rsidTr="00B95D1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78CF92" w14:textId="77777777" w:rsidR="00372F53" w:rsidRPr="008C1565" w:rsidRDefault="00372F53" w:rsidP="00B95D1C">
            <w:pPr>
              <w:rPr>
                <w:iCs/>
                <w:sz w:val="23"/>
                <w:szCs w:val="23"/>
              </w:rPr>
            </w:pPr>
            <w:r w:rsidRPr="008C1565">
              <w:rPr>
                <w:iCs/>
                <w:sz w:val="23"/>
                <w:szCs w:val="23"/>
              </w:rPr>
              <w:t>2.</w:t>
            </w:r>
          </w:p>
        </w:tc>
        <w:tc>
          <w:tcPr>
            <w:tcW w:w="1700" w:type="pct"/>
            <w:tcBorders>
              <w:top w:val="outset" w:sz="6" w:space="0" w:color="auto"/>
              <w:left w:val="outset" w:sz="6" w:space="0" w:color="auto"/>
              <w:bottom w:val="outset" w:sz="6" w:space="0" w:color="auto"/>
              <w:right w:val="outset" w:sz="6" w:space="0" w:color="auto"/>
            </w:tcBorders>
            <w:hideMark/>
          </w:tcPr>
          <w:p w14:paraId="50C00541" w14:textId="77777777" w:rsidR="00372F53" w:rsidRPr="008C1565" w:rsidRDefault="00372F53" w:rsidP="00B95D1C">
            <w:pPr>
              <w:rPr>
                <w:iCs/>
                <w:sz w:val="23"/>
                <w:szCs w:val="23"/>
              </w:rPr>
            </w:pPr>
            <w:r w:rsidRPr="008C1565">
              <w:rPr>
                <w:iCs/>
                <w:sz w:val="23"/>
                <w:szCs w:val="23"/>
              </w:rPr>
              <w:t>Projekta izpildes ietekme uz pārvaldes funkcijām un institucionālo struktūru.</w:t>
            </w:r>
            <w:r w:rsidRPr="008C1565">
              <w:rPr>
                <w:iCs/>
                <w:sz w:val="23"/>
                <w:szCs w:val="23"/>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71967A0F" w14:textId="56341276" w:rsidR="00372F53" w:rsidRPr="008C1565" w:rsidRDefault="00372F53" w:rsidP="00830E4A">
            <w:pPr>
              <w:jc w:val="both"/>
              <w:rPr>
                <w:iCs/>
                <w:sz w:val="23"/>
                <w:szCs w:val="23"/>
              </w:rPr>
            </w:pPr>
            <w:r w:rsidRPr="008C1565">
              <w:rPr>
                <w:sz w:val="23"/>
                <w:szCs w:val="23"/>
              </w:rPr>
              <w:t>Projekta izpilde tiks veikta institūciju esošo funkciju ietvaros</w:t>
            </w:r>
            <w:r w:rsidR="00607C7D" w:rsidRPr="008C1565">
              <w:rPr>
                <w:sz w:val="23"/>
                <w:szCs w:val="23"/>
              </w:rPr>
              <w:t>.</w:t>
            </w:r>
            <w:bookmarkStart w:id="4" w:name="_GoBack"/>
            <w:bookmarkEnd w:id="4"/>
          </w:p>
        </w:tc>
      </w:tr>
      <w:tr w:rsidR="00372F53" w:rsidRPr="008C1565" w14:paraId="6653939C" w14:textId="77777777" w:rsidTr="00B95D1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396854" w14:textId="77777777" w:rsidR="00372F53" w:rsidRPr="008C1565" w:rsidRDefault="00372F53" w:rsidP="00B95D1C">
            <w:pPr>
              <w:rPr>
                <w:iCs/>
                <w:sz w:val="23"/>
                <w:szCs w:val="23"/>
              </w:rPr>
            </w:pPr>
            <w:r w:rsidRPr="008C1565">
              <w:rPr>
                <w:iCs/>
                <w:sz w:val="23"/>
                <w:szCs w:val="23"/>
              </w:rPr>
              <w:t>3.</w:t>
            </w:r>
          </w:p>
        </w:tc>
        <w:tc>
          <w:tcPr>
            <w:tcW w:w="1700" w:type="pct"/>
            <w:tcBorders>
              <w:top w:val="outset" w:sz="6" w:space="0" w:color="auto"/>
              <w:left w:val="outset" w:sz="6" w:space="0" w:color="auto"/>
              <w:bottom w:val="outset" w:sz="6" w:space="0" w:color="auto"/>
              <w:right w:val="outset" w:sz="6" w:space="0" w:color="auto"/>
            </w:tcBorders>
            <w:hideMark/>
          </w:tcPr>
          <w:p w14:paraId="1E646564" w14:textId="77777777" w:rsidR="00372F53" w:rsidRPr="008C1565" w:rsidRDefault="00372F53" w:rsidP="00B95D1C">
            <w:pPr>
              <w:rPr>
                <w:iCs/>
                <w:sz w:val="23"/>
                <w:szCs w:val="23"/>
              </w:rPr>
            </w:pPr>
            <w:r w:rsidRPr="008C1565">
              <w:rPr>
                <w:iCs/>
                <w:sz w:val="23"/>
                <w:szCs w:val="23"/>
              </w:rPr>
              <w:t>Cita informācija</w:t>
            </w:r>
          </w:p>
        </w:tc>
        <w:tc>
          <w:tcPr>
            <w:tcW w:w="3000" w:type="pct"/>
            <w:tcBorders>
              <w:top w:val="outset" w:sz="6" w:space="0" w:color="auto"/>
              <w:left w:val="outset" w:sz="6" w:space="0" w:color="auto"/>
              <w:bottom w:val="outset" w:sz="6" w:space="0" w:color="auto"/>
              <w:right w:val="outset" w:sz="6" w:space="0" w:color="auto"/>
            </w:tcBorders>
          </w:tcPr>
          <w:p w14:paraId="0C925F02" w14:textId="77777777" w:rsidR="00372F53" w:rsidRPr="008C1565" w:rsidRDefault="00372F53" w:rsidP="00B95D1C">
            <w:pPr>
              <w:rPr>
                <w:iCs/>
                <w:sz w:val="23"/>
                <w:szCs w:val="23"/>
              </w:rPr>
            </w:pPr>
            <w:r w:rsidRPr="008C1565">
              <w:rPr>
                <w:iCs/>
                <w:sz w:val="23"/>
                <w:szCs w:val="23"/>
              </w:rPr>
              <w:t>Nav.</w:t>
            </w:r>
          </w:p>
        </w:tc>
      </w:tr>
    </w:tbl>
    <w:p w14:paraId="2F52B73E" w14:textId="77777777" w:rsidR="00372F53" w:rsidRPr="008C1565" w:rsidRDefault="00372F53" w:rsidP="00372F53">
      <w:pPr>
        <w:pStyle w:val="naisf"/>
        <w:spacing w:before="0" w:after="0"/>
        <w:ind w:firstLine="0"/>
        <w:rPr>
          <w:sz w:val="23"/>
          <w:szCs w:val="23"/>
        </w:rPr>
      </w:pPr>
    </w:p>
    <w:p w14:paraId="58D215AB" w14:textId="3FEF0769" w:rsidR="00E21EE3" w:rsidRPr="008C1565" w:rsidRDefault="00E21EE3" w:rsidP="00E21EE3">
      <w:pPr>
        <w:jc w:val="both"/>
      </w:pPr>
      <w:r w:rsidRPr="008C1565">
        <w:t>Satiksmes ministrs</w:t>
      </w:r>
      <w:r w:rsidRPr="008C1565">
        <w:tab/>
      </w:r>
      <w:r w:rsidRPr="008C1565">
        <w:tab/>
      </w:r>
      <w:r w:rsidRPr="008C1565">
        <w:tab/>
      </w:r>
      <w:r w:rsidRPr="008C1565">
        <w:tab/>
      </w:r>
      <w:r w:rsidRPr="008C1565">
        <w:tab/>
      </w:r>
      <w:r w:rsidRPr="008C1565">
        <w:tab/>
      </w:r>
      <w:r w:rsidRPr="008C1565">
        <w:tab/>
      </w:r>
      <w:r w:rsidRPr="008C1565">
        <w:tab/>
        <w:t>U.</w:t>
      </w:r>
      <w:r w:rsidR="008C1565" w:rsidRPr="008C1565">
        <w:t> </w:t>
      </w:r>
      <w:r w:rsidRPr="008C1565">
        <w:t>Augulis</w:t>
      </w:r>
    </w:p>
    <w:p w14:paraId="70ECC0D7" w14:textId="77777777" w:rsidR="00E21EE3" w:rsidRPr="008C1565" w:rsidRDefault="00E21EE3" w:rsidP="00E21EE3">
      <w:pPr>
        <w:jc w:val="both"/>
      </w:pPr>
    </w:p>
    <w:p w14:paraId="132E44EE" w14:textId="77777777" w:rsidR="007A511E" w:rsidRDefault="00E21EE3" w:rsidP="00CD5B1B">
      <w:pPr>
        <w:jc w:val="both"/>
        <w:rPr>
          <w:bCs/>
        </w:rPr>
      </w:pPr>
      <w:r w:rsidRPr="008C1565">
        <w:rPr>
          <w:bCs/>
        </w:rPr>
        <w:t xml:space="preserve">Vīza: </w:t>
      </w:r>
      <w:r w:rsidRPr="008C1565">
        <w:rPr>
          <w:bCs/>
        </w:rPr>
        <w:tab/>
      </w:r>
    </w:p>
    <w:p w14:paraId="4BFEE79F" w14:textId="71170AE4" w:rsidR="00D334AD" w:rsidRPr="008C1565" w:rsidRDefault="00D334AD" w:rsidP="00CD5B1B">
      <w:pPr>
        <w:jc w:val="both"/>
      </w:pPr>
      <w:r w:rsidRPr="008C1565">
        <w:t>Valsts sekretār</w:t>
      </w:r>
      <w:r w:rsidR="00CD5B1B">
        <w:t>s</w:t>
      </w:r>
      <w:r w:rsidRPr="008C1565">
        <w:t xml:space="preserve"> </w:t>
      </w:r>
      <w:r w:rsidR="00CD5B1B">
        <w:tab/>
      </w:r>
      <w:r w:rsidR="00CD5B1B">
        <w:tab/>
      </w:r>
      <w:r w:rsidR="00CD5B1B">
        <w:tab/>
      </w:r>
      <w:r w:rsidR="00CD5B1B">
        <w:tab/>
      </w:r>
      <w:r w:rsidR="00CD5B1B">
        <w:tab/>
      </w:r>
      <w:r w:rsidR="007A511E">
        <w:tab/>
      </w:r>
      <w:r w:rsidR="00CD5B1B">
        <w:tab/>
      </w:r>
      <w:r w:rsidR="00CD5B1B">
        <w:tab/>
      </w:r>
      <w:proofErr w:type="spellStart"/>
      <w:r w:rsidR="00CD5B1B">
        <w:t>K.Ozoliņš</w:t>
      </w:r>
      <w:proofErr w:type="spellEnd"/>
    </w:p>
    <w:p w14:paraId="44B6A0E0" w14:textId="77777777" w:rsidR="00327DE3" w:rsidRPr="008C1565" w:rsidRDefault="00327DE3" w:rsidP="00953DA6">
      <w:pPr>
        <w:jc w:val="both"/>
        <w:rPr>
          <w:sz w:val="18"/>
          <w:szCs w:val="18"/>
        </w:rPr>
      </w:pPr>
    </w:p>
    <w:p w14:paraId="13691B5D" w14:textId="2EF31EBD" w:rsidR="00953DA6" w:rsidRDefault="00953DA6" w:rsidP="00953DA6">
      <w:pPr>
        <w:jc w:val="both"/>
        <w:rPr>
          <w:sz w:val="18"/>
          <w:szCs w:val="18"/>
        </w:rPr>
      </w:pPr>
      <w:r w:rsidRPr="008C1565">
        <w:rPr>
          <w:sz w:val="18"/>
          <w:szCs w:val="18"/>
        </w:rPr>
        <w:t>Ziemele-Adricka 67028036</w:t>
      </w:r>
    </w:p>
    <w:p w14:paraId="2CF4B1BD" w14:textId="3FF51E5C" w:rsidR="00000481" w:rsidRDefault="00000481" w:rsidP="00953DA6">
      <w:pPr>
        <w:jc w:val="both"/>
        <w:rPr>
          <w:sz w:val="18"/>
          <w:szCs w:val="18"/>
        </w:rPr>
      </w:pPr>
      <w:r>
        <w:rPr>
          <w:sz w:val="18"/>
          <w:szCs w:val="18"/>
        </w:rPr>
        <w:t>Dana.Ziemele-Adricka@sam.gov.lv</w:t>
      </w:r>
    </w:p>
    <w:p w14:paraId="666AC37B" w14:textId="277120D8" w:rsidR="00953DA6" w:rsidRPr="008C1565" w:rsidRDefault="00953DA6" w:rsidP="00953DA6">
      <w:pPr>
        <w:jc w:val="both"/>
        <w:rPr>
          <w:sz w:val="18"/>
          <w:szCs w:val="18"/>
        </w:rPr>
      </w:pPr>
      <w:r w:rsidRPr="008C1565">
        <w:rPr>
          <w:sz w:val="18"/>
          <w:szCs w:val="18"/>
        </w:rPr>
        <w:t xml:space="preserve"> </w:t>
      </w:r>
    </w:p>
    <w:p w14:paraId="28DA2B4A" w14:textId="2D3B1E4F" w:rsidR="00953DA6" w:rsidRDefault="00953DA6" w:rsidP="00953DA6">
      <w:pPr>
        <w:jc w:val="both"/>
        <w:rPr>
          <w:sz w:val="18"/>
          <w:szCs w:val="18"/>
        </w:rPr>
      </w:pPr>
      <w:r w:rsidRPr="008C1565">
        <w:rPr>
          <w:sz w:val="18"/>
          <w:szCs w:val="18"/>
        </w:rPr>
        <w:t>Grīviņa 67356130</w:t>
      </w:r>
    </w:p>
    <w:p w14:paraId="17C1C25C" w14:textId="0C314CEB" w:rsidR="00372F53" w:rsidRPr="008C1565" w:rsidRDefault="00000481" w:rsidP="00D334AD">
      <w:pPr>
        <w:jc w:val="both"/>
        <w:rPr>
          <w:sz w:val="23"/>
          <w:szCs w:val="23"/>
        </w:rPr>
      </w:pPr>
      <w:r>
        <w:rPr>
          <w:sz w:val="18"/>
          <w:szCs w:val="18"/>
        </w:rPr>
        <w:t>Kristine.Grivina@atd.lv</w:t>
      </w:r>
    </w:p>
    <w:sectPr w:rsidR="00372F53" w:rsidRPr="008C1565" w:rsidSect="008222AE">
      <w:headerReference w:type="even" r:id="rId7"/>
      <w:headerReference w:type="default" r:id="rId8"/>
      <w:footerReference w:type="default" r:id="rId9"/>
      <w:footerReference w:type="first" r:id="rId10"/>
      <w:pgSz w:w="11906" w:h="16838" w:code="9"/>
      <w:pgMar w:top="1134" w:right="1134" w:bottom="993" w:left="1701" w:header="709"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70EBA" w14:textId="77777777" w:rsidR="00404BD6" w:rsidRDefault="00404BD6">
      <w:r>
        <w:separator/>
      </w:r>
    </w:p>
  </w:endnote>
  <w:endnote w:type="continuationSeparator" w:id="0">
    <w:p w14:paraId="77B06F84" w14:textId="77777777" w:rsidR="00404BD6" w:rsidRDefault="0040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F69AF" w14:textId="3B13BA38" w:rsidR="00372634" w:rsidRPr="00D91432" w:rsidRDefault="00372634" w:rsidP="00B95D1C">
    <w:pPr>
      <w:pStyle w:val="naiskr"/>
      <w:tabs>
        <w:tab w:val="left" w:pos="283"/>
      </w:tabs>
      <w:spacing w:before="0" w:after="0"/>
      <w:ind w:right="-427"/>
      <w:jc w:val="both"/>
      <w:rPr>
        <w:sz w:val="20"/>
        <w:szCs w:val="20"/>
      </w:rPr>
    </w:pPr>
    <w:r w:rsidRPr="00D91432">
      <w:rPr>
        <w:sz w:val="20"/>
        <w:szCs w:val="20"/>
      </w:rPr>
      <w:t>SM</w:t>
    </w:r>
    <w:r>
      <w:rPr>
        <w:sz w:val="20"/>
        <w:szCs w:val="20"/>
      </w:rPr>
      <w:t>a</w:t>
    </w:r>
    <w:r w:rsidRPr="00D91432">
      <w:rPr>
        <w:sz w:val="20"/>
        <w:szCs w:val="20"/>
      </w:rPr>
      <w:t>not_</w:t>
    </w:r>
    <w:r w:rsidR="00611044">
      <w:rPr>
        <w:sz w:val="20"/>
        <w:szCs w:val="20"/>
      </w:rPr>
      <w:t>2</w:t>
    </w:r>
    <w:r w:rsidR="004C38CF">
      <w:rPr>
        <w:sz w:val="20"/>
        <w:szCs w:val="20"/>
      </w:rPr>
      <w:t>8</w:t>
    </w:r>
    <w:r>
      <w:rPr>
        <w:sz w:val="20"/>
        <w:szCs w:val="20"/>
      </w:rPr>
      <w:t>0818</w:t>
    </w:r>
    <w:r>
      <w:rPr>
        <w:sz w:val="20"/>
        <w:szCs w:val="20"/>
      </w:rPr>
      <w:softHyphen/>
      <w:t>_435</w:t>
    </w:r>
  </w:p>
  <w:p w14:paraId="76166538" w14:textId="77777777" w:rsidR="00372634" w:rsidRPr="00D805F0" w:rsidRDefault="00372634" w:rsidP="00B95D1C">
    <w:pPr>
      <w:widowControl w:val="0"/>
      <w:jc w:val="both"/>
      <w:outlineLv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2CCC3" w14:textId="03D74E1D" w:rsidR="00372634" w:rsidRPr="00D91432" w:rsidRDefault="00372634" w:rsidP="00607C7D">
    <w:pPr>
      <w:pStyle w:val="naiskr"/>
      <w:tabs>
        <w:tab w:val="left" w:pos="283"/>
      </w:tabs>
      <w:spacing w:before="0" w:after="0"/>
      <w:ind w:right="-427"/>
      <w:jc w:val="both"/>
      <w:rPr>
        <w:sz w:val="20"/>
        <w:szCs w:val="20"/>
      </w:rPr>
    </w:pPr>
    <w:r w:rsidRPr="00D91432">
      <w:rPr>
        <w:sz w:val="20"/>
        <w:szCs w:val="20"/>
      </w:rPr>
      <w:t>SM</w:t>
    </w:r>
    <w:r>
      <w:rPr>
        <w:sz w:val="20"/>
        <w:szCs w:val="20"/>
      </w:rPr>
      <w:t>a</w:t>
    </w:r>
    <w:r w:rsidRPr="00D91432">
      <w:rPr>
        <w:sz w:val="20"/>
        <w:szCs w:val="20"/>
      </w:rPr>
      <w:t>not_</w:t>
    </w:r>
    <w:r w:rsidR="00E34ABD">
      <w:rPr>
        <w:sz w:val="20"/>
        <w:szCs w:val="20"/>
      </w:rPr>
      <w:t>2</w:t>
    </w:r>
    <w:r w:rsidR="004C38CF">
      <w:rPr>
        <w:sz w:val="20"/>
        <w:szCs w:val="20"/>
      </w:rPr>
      <w:t>8</w:t>
    </w:r>
    <w:r>
      <w:rPr>
        <w:sz w:val="20"/>
        <w:szCs w:val="20"/>
      </w:rPr>
      <w:t>0</w:t>
    </w:r>
    <w:r w:rsidR="00F65726">
      <w:rPr>
        <w:sz w:val="20"/>
        <w:szCs w:val="20"/>
      </w:rPr>
      <w:t>8</w:t>
    </w:r>
    <w:r>
      <w:rPr>
        <w:sz w:val="20"/>
        <w:szCs w:val="20"/>
      </w:rPr>
      <w:t>18</w:t>
    </w:r>
    <w:r>
      <w:rPr>
        <w:sz w:val="20"/>
        <w:szCs w:val="20"/>
      </w:rPr>
      <w:softHyphen/>
      <w:t>_435</w:t>
    </w:r>
  </w:p>
  <w:p w14:paraId="70F57BD8" w14:textId="77777777" w:rsidR="00372634" w:rsidRPr="00432D5B" w:rsidRDefault="00372634" w:rsidP="00B95D1C">
    <w:pPr>
      <w:pStyle w:val="naiskr"/>
      <w:tabs>
        <w:tab w:val="left" w:pos="0"/>
      </w:tabs>
      <w:spacing w:before="0" w:after="0"/>
      <w:ind w:right="-427"/>
      <w:jc w:val="both"/>
      <w:rPr>
        <w:sz w:val="20"/>
        <w:szCs w:val="20"/>
      </w:rPr>
    </w:pPr>
  </w:p>
  <w:p w14:paraId="149D1338" w14:textId="77777777" w:rsidR="00372634" w:rsidRPr="00A24259" w:rsidRDefault="00372634" w:rsidP="00B95D1C">
    <w:pPr>
      <w:widowControl w:val="0"/>
      <w:jc w:val="both"/>
      <w:outlineLvl w:val="0"/>
    </w:pPr>
  </w:p>
  <w:p w14:paraId="68F707A9" w14:textId="77777777" w:rsidR="00372634" w:rsidRPr="00363EF3" w:rsidRDefault="00372634" w:rsidP="00B95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CF20C" w14:textId="77777777" w:rsidR="00404BD6" w:rsidRDefault="00404BD6">
      <w:r>
        <w:separator/>
      </w:r>
    </w:p>
  </w:footnote>
  <w:footnote w:type="continuationSeparator" w:id="0">
    <w:p w14:paraId="0564D8B7" w14:textId="77777777" w:rsidR="00404BD6" w:rsidRDefault="00404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93A6A" w14:textId="77777777" w:rsidR="00372634" w:rsidRDefault="00372634" w:rsidP="00B95D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2EBA6" w14:textId="77777777" w:rsidR="00372634" w:rsidRDefault="00372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982382"/>
      <w:docPartObj>
        <w:docPartGallery w:val="Page Numbers (Top of Page)"/>
        <w:docPartUnique/>
      </w:docPartObj>
    </w:sdtPr>
    <w:sdtEndPr>
      <w:rPr>
        <w:noProof/>
      </w:rPr>
    </w:sdtEndPr>
    <w:sdtContent>
      <w:p w14:paraId="76730100" w14:textId="77777777" w:rsidR="00372634" w:rsidRDefault="00372634">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14:paraId="34FA4A9F" w14:textId="77777777" w:rsidR="00372634" w:rsidRDefault="00372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6C87"/>
    <w:multiLevelType w:val="hybridMultilevel"/>
    <w:tmpl w:val="AA760322"/>
    <w:lvl w:ilvl="0" w:tplc="5C267A8C">
      <w:start w:val="4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805D2A"/>
    <w:multiLevelType w:val="hybridMultilevel"/>
    <w:tmpl w:val="8CB801BA"/>
    <w:lvl w:ilvl="0" w:tplc="7D3CFE04">
      <w:start w:val="1"/>
      <w:numFmt w:val="decimal"/>
      <w:lvlText w:val="%1)"/>
      <w:lvlJc w:val="left"/>
      <w:pPr>
        <w:ind w:left="705" w:hanging="360"/>
      </w:pPr>
      <w:rPr>
        <w:rFonts w:hint="default"/>
      </w:rPr>
    </w:lvl>
    <w:lvl w:ilvl="1" w:tplc="04260019" w:tentative="1">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abstractNum w:abstractNumId="2" w15:restartNumberingAfterBreak="0">
    <w:nsid w:val="322B4A83"/>
    <w:multiLevelType w:val="hybridMultilevel"/>
    <w:tmpl w:val="47E22584"/>
    <w:lvl w:ilvl="0" w:tplc="10E0E54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E920F55"/>
    <w:multiLevelType w:val="hybridMultilevel"/>
    <w:tmpl w:val="ACBC567E"/>
    <w:lvl w:ilvl="0" w:tplc="D59450B6">
      <w:start w:val="37"/>
      <w:numFmt w:val="decimal"/>
      <w:lvlText w:val="%1"/>
      <w:lvlJc w:val="left"/>
      <w:pPr>
        <w:ind w:left="720" w:hanging="360"/>
      </w:pPr>
      <w:rPr>
        <w:rFonts w:hint="default"/>
        <w:sz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2B169D3"/>
    <w:multiLevelType w:val="hybridMultilevel"/>
    <w:tmpl w:val="2FBA779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043046D"/>
    <w:multiLevelType w:val="hybridMultilevel"/>
    <w:tmpl w:val="7FB8495A"/>
    <w:lvl w:ilvl="0" w:tplc="483C7A4A">
      <w:start w:val="1"/>
      <w:numFmt w:val="decimal"/>
      <w:lvlText w:val="%1."/>
      <w:lvlJc w:val="left"/>
      <w:pPr>
        <w:ind w:left="1069" w:hanging="360"/>
      </w:pPr>
      <w:rPr>
        <w:rFonts w:hint="default"/>
      </w:rPr>
    </w:lvl>
    <w:lvl w:ilvl="1" w:tplc="5EC06D88">
      <w:start w:val="1"/>
      <w:numFmt w:val="decimal"/>
      <w:lvlText w:val="%2)"/>
      <w:lvlJc w:val="left"/>
      <w:pPr>
        <w:ind w:left="1789" w:hanging="360"/>
      </w:pPr>
      <w:rPr>
        <w:rFonts w:eastAsiaTheme="minorHAnsi"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74565385"/>
    <w:multiLevelType w:val="hybridMultilevel"/>
    <w:tmpl w:val="5184A144"/>
    <w:lvl w:ilvl="0" w:tplc="1BAC02D8">
      <w:start w:val="3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88D066F"/>
    <w:multiLevelType w:val="hybridMultilevel"/>
    <w:tmpl w:val="47560E0C"/>
    <w:lvl w:ilvl="0" w:tplc="9A6A4256">
      <w:start w:val="1"/>
      <w:numFmt w:val="decimal"/>
      <w:lvlText w:val="%1)"/>
      <w:lvlJc w:val="left"/>
      <w:pPr>
        <w:ind w:left="705" w:hanging="360"/>
      </w:pPr>
      <w:rPr>
        <w:rFonts w:hint="default"/>
      </w:rPr>
    </w:lvl>
    <w:lvl w:ilvl="1" w:tplc="04260019" w:tentative="1">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NzU0MDcyNjI2NjFX0lEKTi0uzszPAykwrgUAyCoedCwAAAA="/>
  </w:docVars>
  <w:rsids>
    <w:rsidRoot w:val="00372F53"/>
    <w:rsid w:val="00000481"/>
    <w:rsid w:val="00010DA8"/>
    <w:rsid w:val="00013009"/>
    <w:rsid w:val="0001713F"/>
    <w:rsid w:val="00025DD2"/>
    <w:rsid w:val="00026430"/>
    <w:rsid w:val="000378C9"/>
    <w:rsid w:val="000A143E"/>
    <w:rsid w:val="00190627"/>
    <w:rsid w:val="001C0645"/>
    <w:rsid w:val="001C5366"/>
    <w:rsid w:val="0021695B"/>
    <w:rsid w:val="0022206B"/>
    <w:rsid w:val="00237ADA"/>
    <w:rsid w:val="00280308"/>
    <w:rsid w:val="002B3BFF"/>
    <w:rsid w:val="002B6B43"/>
    <w:rsid w:val="002D673C"/>
    <w:rsid w:val="00322498"/>
    <w:rsid w:val="00327DE3"/>
    <w:rsid w:val="00372634"/>
    <w:rsid w:val="00372F53"/>
    <w:rsid w:val="0037755B"/>
    <w:rsid w:val="003B3033"/>
    <w:rsid w:val="003C61F4"/>
    <w:rsid w:val="00404BD6"/>
    <w:rsid w:val="004075B9"/>
    <w:rsid w:val="0043198B"/>
    <w:rsid w:val="004524E0"/>
    <w:rsid w:val="004660D0"/>
    <w:rsid w:val="0049421D"/>
    <w:rsid w:val="004B5233"/>
    <w:rsid w:val="004C1FB8"/>
    <w:rsid w:val="004C38CF"/>
    <w:rsid w:val="004E4E92"/>
    <w:rsid w:val="00563A53"/>
    <w:rsid w:val="00592C79"/>
    <w:rsid w:val="005B1D20"/>
    <w:rsid w:val="005B5411"/>
    <w:rsid w:val="005E0632"/>
    <w:rsid w:val="00607C7D"/>
    <w:rsid w:val="00611044"/>
    <w:rsid w:val="00611678"/>
    <w:rsid w:val="006223C1"/>
    <w:rsid w:val="00631048"/>
    <w:rsid w:val="0063548E"/>
    <w:rsid w:val="00641F26"/>
    <w:rsid w:val="006726A4"/>
    <w:rsid w:val="00684D58"/>
    <w:rsid w:val="006860BB"/>
    <w:rsid w:val="006B2D58"/>
    <w:rsid w:val="006E5BA3"/>
    <w:rsid w:val="006E6FF5"/>
    <w:rsid w:val="00762D55"/>
    <w:rsid w:val="007A383C"/>
    <w:rsid w:val="007A511E"/>
    <w:rsid w:val="007B0564"/>
    <w:rsid w:val="007E4289"/>
    <w:rsid w:val="00817B91"/>
    <w:rsid w:val="008222AE"/>
    <w:rsid w:val="00830E4A"/>
    <w:rsid w:val="008671C5"/>
    <w:rsid w:val="0087745A"/>
    <w:rsid w:val="0089178E"/>
    <w:rsid w:val="008C01D4"/>
    <w:rsid w:val="008C1565"/>
    <w:rsid w:val="008D398B"/>
    <w:rsid w:val="009159C8"/>
    <w:rsid w:val="00953DA6"/>
    <w:rsid w:val="0096374E"/>
    <w:rsid w:val="0098026F"/>
    <w:rsid w:val="009C4F45"/>
    <w:rsid w:val="009F045A"/>
    <w:rsid w:val="00A605AA"/>
    <w:rsid w:val="00A7284C"/>
    <w:rsid w:val="00A97D3E"/>
    <w:rsid w:val="00AA118F"/>
    <w:rsid w:val="00AC5009"/>
    <w:rsid w:val="00AF78B0"/>
    <w:rsid w:val="00B73A09"/>
    <w:rsid w:val="00B95D1C"/>
    <w:rsid w:val="00BB59B9"/>
    <w:rsid w:val="00BE54DB"/>
    <w:rsid w:val="00BF27B1"/>
    <w:rsid w:val="00BF448B"/>
    <w:rsid w:val="00BF786D"/>
    <w:rsid w:val="00C35D77"/>
    <w:rsid w:val="00C52614"/>
    <w:rsid w:val="00C963AB"/>
    <w:rsid w:val="00CA6B30"/>
    <w:rsid w:val="00CD5B1B"/>
    <w:rsid w:val="00CD5E62"/>
    <w:rsid w:val="00CF032A"/>
    <w:rsid w:val="00D31F07"/>
    <w:rsid w:val="00D321C7"/>
    <w:rsid w:val="00D334AD"/>
    <w:rsid w:val="00D548F4"/>
    <w:rsid w:val="00D81832"/>
    <w:rsid w:val="00DF22DF"/>
    <w:rsid w:val="00DF33C4"/>
    <w:rsid w:val="00DF3F66"/>
    <w:rsid w:val="00E21EE3"/>
    <w:rsid w:val="00E34ABD"/>
    <w:rsid w:val="00E71A3D"/>
    <w:rsid w:val="00E9576A"/>
    <w:rsid w:val="00EA1341"/>
    <w:rsid w:val="00EF5B88"/>
    <w:rsid w:val="00F175D4"/>
    <w:rsid w:val="00F35139"/>
    <w:rsid w:val="00F4368A"/>
    <w:rsid w:val="00F65726"/>
    <w:rsid w:val="00F81FF7"/>
    <w:rsid w:val="00F90A04"/>
    <w:rsid w:val="00F942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978F"/>
  <w15:chartTrackingRefBased/>
  <w15:docId w15:val="{5ADA5207-E3EC-451F-B635-0B533CAF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F53"/>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nhideWhenUsed/>
    <w:qFormat/>
    <w:rsid w:val="00E21EE3"/>
    <w:pPr>
      <w:keepNext/>
      <w:ind w:firstLine="709"/>
      <w:outlineLvl w:val="1"/>
    </w:pPr>
    <w:rPr>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2F53"/>
    <w:pPr>
      <w:tabs>
        <w:tab w:val="center" w:pos="4153"/>
        <w:tab w:val="right" w:pos="8306"/>
      </w:tabs>
    </w:pPr>
  </w:style>
  <w:style w:type="character" w:customStyle="1" w:styleId="HeaderChar">
    <w:name w:val="Header Char"/>
    <w:basedOn w:val="DefaultParagraphFont"/>
    <w:link w:val="Header"/>
    <w:uiPriority w:val="99"/>
    <w:rsid w:val="00372F53"/>
    <w:rPr>
      <w:rFonts w:ascii="Times New Roman" w:eastAsia="Times New Roman" w:hAnsi="Times New Roman" w:cs="Times New Roman"/>
      <w:sz w:val="24"/>
      <w:szCs w:val="24"/>
      <w:lang w:eastAsia="lv-LV"/>
    </w:rPr>
  </w:style>
  <w:style w:type="character" w:styleId="PageNumber">
    <w:name w:val="page number"/>
    <w:basedOn w:val="DefaultParagraphFont"/>
    <w:rsid w:val="00372F53"/>
  </w:style>
  <w:style w:type="paragraph" w:customStyle="1" w:styleId="naisf">
    <w:name w:val="naisf"/>
    <w:basedOn w:val="Normal"/>
    <w:rsid w:val="00372F53"/>
    <w:pPr>
      <w:spacing w:before="75" w:after="75"/>
      <w:ind w:firstLine="375"/>
      <w:jc w:val="both"/>
    </w:pPr>
  </w:style>
  <w:style w:type="paragraph" w:customStyle="1" w:styleId="naiskr">
    <w:name w:val="naiskr"/>
    <w:basedOn w:val="Normal"/>
    <w:rsid w:val="00372F53"/>
    <w:pPr>
      <w:spacing w:before="75" w:after="75"/>
    </w:pPr>
  </w:style>
  <w:style w:type="character" w:styleId="CommentReference">
    <w:name w:val="annotation reference"/>
    <w:rsid w:val="00372F53"/>
    <w:rPr>
      <w:sz w:val="16"/>
      <w:szCs w:val="16"/>
    </w:rPr>
  </w:style>
  <w:style w:type="paragraph" w:styleId="CommentText">
    <w:name w:val="annotation text"/>
    <w:basedOn w:val="Normal"/>
    <w:link w:val="CommentTextChar"/>
    <w:semiHidden/>
    <w:rsid w:val="00372F53"/>
    <w:rPr>
      <w:sz w:val="20"/>
      <w:szCs w:val="20"/>
    </w:rPr>
  </w:style>
  <w:style w:type="character" w:customStyle="1" w:styleId="CommentTextChar">
    <w:name w:val="Comment Text Char"/>
    <w:basedOn w:val="DefaultParagraphFont"/>
    <w:link w:val="CommentText"/>
    <w:semiHidden/>
    <w:rsid w:val="00372F53"/>
    <w:rPr>
      <w:rFonts w:ascii="Times New Roman" w:eastAsia="Times New Roman" w:hAnsi="Times New Roman" w:cs="Times New Roman"/>
      <w:sz w:val="20"/>
      <w:szCs w:val="20"/>
      <w:lang w:eastAsia="lv-LV"/>
    </w:rPr>
  </w:style>
  <w:style w:type="paragraph" w:styleId="Footer">
    <w:name w:val="footer"/>
    <w:basedOn w:val="Normal"/>
    <w:link w:val="FooterChar"/>
    <w:rsid w:val="00372F53"/>
    <w:pPr>
      <w:tabs>
        <w:tab w:val="center" w:pos="4153"/>
        <w:tab w:val="right" w:pos="8306"/>
      </w:tabs>
    </w:pPr>
  </w:style>
  <w:style w:type="character" w:customStyle="1" w:styleId="FooterChar">
    <w:name w:val="Footer Char"/>
    <w:basedOn w:val="DefaultParagraphFont"/>
    <w:link w:val="Footer"/>
    <w:rsid w:val="00372F53"/>
    <w:rPr>
      <w:rFonts w:ascii="Times New Roman" w:eastAsia="Times New Roman" w:hAnsi="Times New Roman" w:cs="Times New Roman"/>
      <w:sz w:val="24"/>
      <w:szCs w:val="24"/>
      <w:lang w:eastAsia="lv-LV"/>
    </w:rPr>
  </w:style>
  <w:style w:type="paragraph" w:styleId="NormalWeb">
    <w:name w:val="Normal (Web)"/>
    <w:basedOn w:val="Normal"/>
    <w:uiPriority w:val="99"/>
    <w:rsid w:val="00372F53"/>
    <w:pPr>
      <w:spacing w:before="100" w:beforeAutospacing="1" w:after="100" w:afterAutospacing="1"/>
    </w:pPr>
    <w:rPr>
      <w:rFonts w:ascii="Arial Unicode MS" w:eastAsia="Arial Unicode MS" w:hAnsi="Arial Unicode MS" w:cs="Arial Unicode MS"/>
      <w:lang w:val="en-GB" w:eastAsia="en-US"/>
    </w:rPr>
  </w:style>
  <w:style w:type="paragraph" w:styleId="BalloonText">
    <w:name w:val="Balloon Text"/>
    <w:basedOn w:val="Normal"/>
    <w:link w:val="BalloonTextChar"/>
    <w:uiPriority w:val="99"/>
    <w:semiHidden/>
    <w:unhideWhenUsed/>
    <w:rsid w:val="00372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F53"/>
    <w:rPr>
      <w:rFonts w:ascii="Segoe UI" w:eastAsia="Times New Roman" w:hAnsi="Segoe UI" w:cs="Segoe UI"/>
      <w:sz w:val="18"/>
      <w:szCs w:val="18"/>
      <w:lang w:eastAsia="lv-LV"/>
    </w:rPr>
  </w:style>
  <w:style w:type="character" w:customStyle="1" w:styleId="Heading2Char">
    <w:name w:val="Heading 2 Char"/>
    <w:basedOn w:val="DefaultParagraphFont"/>
    <w:link w:val="Heading2"/>
    <w:rsid w:val="00E21EE3"/>
    <w:rPr>
      <w:rFonts w:ascii="Times New Roman" w:eastAsia="Times New Roman" w:hAnsi="Times New Roman" w:cs="Times New Roman"/>
      <w:b/>
      <w:bCs/>
      <w:sz w:val="32"/>
      <w:szCs w:val="24"/>
    </w:rPr>
  </w:style>
  <w:style w:type="character" w:styleId="Hyperlink">
    <w:name w:val="Hyperlink"/>
    <w:basedOn w:val="DefaultParagraphFont"/>
    <w:uiPriority w:val="99"/>
    <w:unhideWhenUsed/>
    <w:rsid w:val="00E21EE3"/>
    <w:rPr>
      <w:color w:val="0563C1" w:themeColor="hyperlink"/>
      <w:u w:val="single"/>
    </w:rPr>
  </w:style>
  <w:style w:type="character" w:styleId="UnresolvedMention">
    <w:name w:val="Unresolved Mention"/>
    <w:basedOn w:val="DefaultParagraphFont"/>
    <w:uiPriority w:val="99"/>
    <w:semiHidden/>
    <w:unhideWhenUsed/>
    <w:rsid w:val="00E21EE3"/>
    <w:rPr>
      <w:color w:val="605E5C"/>
      <w:shd w:val="clear" w:color="auto" w:fill="E1DFDD"/>
    </w:rPr>
  </w:style>
  <w:style w:type="paragraph" w:styleId="FootnoteText">
    <w:name w:val="footnote text"/>
    <w:basedOn w:val="Normal"/>
    <w:link w:val="FootnoteTextChar"/>
    <w:uiPriority w:val="99"/>
    <w:semiHidden/>
    <w:unhideWhenUsed/>
    <w:rsid w:val="00607C7D"/>
    <w:rPr>
      <w:sz w:val="20"/>
      <w:szCs w:val="20"/>
    </w:rPr>
  </w:style>
  <w:style w:type="character" w:customStyle="1" w:styleId="FootnoteTextChar">
    <w:name w:val="Footnote Text Char"/>
    <w:basedOn w:val="DefaultParagraphFont"/>
    <w:link w:val="FootnoteText"/>
    <w:uiPriority w:val="99"/>
    <w:semiHidden/>
    <w:rsid w:val="00607C7D"/>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607C7D"/>
    <w:rPr>
      <w:vertAlign w:val="superscript"/>
    </w:rPr>
  </w:style>
  <w:style w:type="paragraph" w:styleId="ListParagraph">
    <w:name w:val="List Paragraph"/>
    <w:basedOn w:val="Normal"/>
    <w:uiPriority w:val="34"/>
    <w:qFormat/>
    <w:rsid w:val="00607C7D"/>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622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E4289"/>
    <w:rPr>
      <w:b/>
      <w:bCs/>
    </w:rPr>
  </w:style>
  <w:style w:type="character" w:customStyle="1" w:styleId="CommentSubjectChar">
    <w:name w:val="Comment Subject Char"/>
    <w:basedOn w:val="CommentTextChar"/>
    <w:link w:val="CommentSubject"/>
    <w:uiPriority w:val="99"/>
    <w:semiHidden/>
    <w:rsid w:val="007E4289"/>
    <w:rPr>
      <w:rFonts w:ascii="Times New Roman" w:eastAsia="Times New Roman" w:hAnsi="Times New Roman" w:cs="Times New Roman"/>
      <w:b/>
      <w:bCs/>
      <w:sz w:val="20"/>
      <w:szCs w:val="20"/>
      <w:lang w:eastAsia="lv-LV"/>
    </w:rPr>
  </w:style>
  <w:style w:type="paragraph" w:customStyle="1" w:styleId="Textbody">
    <w:name w:val="Text body"/>
    <w:basedOn w:val="Normal"/>
    <w:rsid w:val="00A7284C"/>
    <w:pPr>
      <w:widowControl w:val="0"/>
      <w:suppressAutoHyphens/>
      <w:autoSpaceDN w:val="0"/>
      <w:spacing w:after="120"/>
    </w:pPr>
    <w:rPr>
      <w:rFonts w:eastAsia="Lucida Sans Unicode" w:cs="Tahoma"/>
      <w:kern w:val="3"/>
    </w:rPr>
  </w:style>
  <w:style w:type="paragraph" w:customStyle="1" w:styleId="Standard">
    <w:name w:val="Standard"/>
    <w:rsid w:val="006726A4"/>
    <w:pPr>
      <w:widowControl w:val="0"/>
      <w:suppressAutoHyphens/>
      <w:autoSpaceDN w:val="0"/>
      <w:spacing w:after="0" w:line="240" w:lineRule="auto"/>
    </w:pPr>
    <w:rPr>
      <w:rFonts w:ascii="Times New Roman" w:eastAsia="Lucida Sans Unicode" w:hAnsi="Times New Roman" w:cs="Tahoma"/>
      <w:kern w:val="3"/>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98176">
      <w:bodyDiv w:val="1"/>
      <w:marLeft w:val="0"/>
      <w:marRight w:val="0"/>
      <w:marTop w:val="0"/>
      <w:marBottom w:val="0"/>
      <w:divBdr>
        <w:top w:val="none" w:sz="0" w:space="0" w:color="auto"/>
        <w:left w:val="none" w:sz="0" w:space="0" w:color="auto"/>
        <w:bottom w:val="none" w:sz="0" w:space="0" w:color="auto"/>
        <w:right w:val="none" w:sz="0" w:space="0" w:color="auto"/>
      </w:divBdr>
    </w:div>
    <w:div w:id="374618208">
      <w:bodyDiv w:val="1"/>
      <w:marLeft w:val="0"/>
      <w:marRight w:val="0"/>
      <w:marTop w:val="0"/>
      <w:marBottom w:val="0"/>
      <w:divBdr>
        <w:top w:val="none" w:sz="0" w:space="0" w:color="auto"/>
        <w:left w:val="none" w:sz="0" w:space="0" w:color="auto"/>
        <w:bottom w:val="none" w:sz="0" w:space="0" w:color="auto"/>
        <w:right w:val="none" w:sz="0" w:space="0" w:color="auto"/>
      </w:divBdr>
    </w:div>
    <w:div w:id="537276841">
      <w:bodyDiv w:val="1"/>
      <w:marLeft w:val="0"/>
      <w:marRight w:val="0"/>
      <w:marTop w:val="0"/>
      <w:marBottom w:val="0"/>
      <w:divBdr>
        <w:top w:val="none" w:sz="0" w:space="0" w:color="auto"/>
        <w:left w:val="none" w:sz="0" w:space="0" w:color="auto"/>
        <w:bottom w:val="none" w:sz="0" w:space="0" w:color="auto"/>
        <w:right w:val="none" w:sz="0" w:space="0" w:color="auto"/>
      </w:divBdr>
    </w:div>
    <w:div w:id="763695523">
      <w:bodyDiv w:val="1"/>
      <w:marLeft w:val="0"/>
      <w:marRight w:val="0"/>
      <w:marTop w:val="0"/>
      <w:marBottom w:val="0"/>
      <w:divBdr>
        <w:top w:val="none" w:sz="0" w:space="0" w:color="auto"/>
        <w:left w:val="none" w:sz="0" w:space="0" w:color="auto"/>
        <w:bottom w:val="none" w:sz="0" w:space="0" w:color="auto"/>
        <w:right w:val="none" w:sz="0" w:space="0" w:color="auto"/>
      </w:divBdr>
    </w:div>
    <w:div w:id="17648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2176</Words>
  <Characters>16088</Characters>
  <Application>Microsoft Office Word</Application>
  <DocSecurity>0</DocSecurity>
  <Lines>446</Lines>
  <Paragraphs>149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 gada 28.jūlija noteikumos Nr.435 “Kārtība, kādā nosaka un kompensē ar sabiedriskā transporta pakalpojumu sniegšanu saistītos zaudējumus un izdevumus un nosaka sabiedriskā transporta pa</vt:lpstr>
    </vt:vector>
  </TitlesOfParts>
  <Company>Satiksmes ministrija</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28.jūlija noteikumos Nr.435 “Kārtība, kādā nosaka un kompensē ar sabiedriskā transporta pakalpojumu sniegšanu saistītos zaudējumus un izdevumus un nosaka sabiedriskā transporta pakalpojuma tarifu” sākotnējās ietekmes novērtējuma ziņojums (anotācija)</dc:title>
  <dc:subject>Anotācija</dc:subject>
  <dc:creator>Dana Ziemele-Adricka</dc:creator>
  <cp:keywords>Anotācija</cp:keywords>
  <dc:description/>
  <cp:lastModifiedBy>Dana Ziemele Adricka</cp:lastModifiedBy>
  <cp:revision>27</cp:revision>
  <cp:lastPrinted>2018-08-29T07:19:00Z</cp:lastPrinted>
  <dcterms:created xsi:type="dcterms:W3CDTF">2018-08-16T05:35:00Z</dcterms:created>
  <dcterms:modified xsi:type="dcterms:W3CDTF">2018-08-29T07:19:00Z</dcterms:modified>
</cp:coreProperties>
</file>