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DF08E6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D66F1D" w:rsidRDefault="00255074" w:rsidP="00255074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D66F1D" w:rsidRDefault="00046B1D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F1D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742507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D66F1D" w:rsidRDefault="00255074" w:rsidP="00255074">
            <w:pPr>
              <w:jc w:val="center"/>
              <w:rPr>
                <w:szCs w:val="28"/>
              </w:rPr>
            </w:pPr>
          </w:p>
        </w:tc>
      </w:tr>
      <w:tr w:rsidR="00DF08E6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RPr="00D66F1D" w:rsidRDefault="00046B1D" w:rsidP="00255074">
            <w:pPr>
              <w:jc w:val="center"/>
              <w:rPr>
                <w:szCs w:val="28"/>
              </w:rPr>
            </w:pPr>
            <w:r w:rsidRPr="00D66F1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DF08E6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5074" w:rsidRPr="00D66F1D" w:rsidRDefault="00046B1D" w:rsidP="00255074">
            <w:pPr>
              <w:jc w:val="center"/>
              <w:rPr>
                <w:szCs w:val="28"/>
              </w:rPr>
            </w:pPr>
            <w:r w:rsidRPr="00D66F1D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6541D3" w:rsidRPr="00D66F1D" w:rsidRDefault="006541D3" w:rsidP="006541D3">
      <w:pPr>
        <w:spacing w:after="0"/>
        <w:rPr>
          <w:rFonts w:ascii="Times New Roman" w:hAnsi="Times New Roman"/>
          <w:sz w:val="20"/>
          <w:szCs w:val="20"/>
        </w:rPr>
      </w:pPr>
    </w:p>
    <w:p w:rsidR="00F1498A" w:rsidRDefault="00046B1D" w:rsidP="00F1498A">
      <w:pPr>
        <w:pStyle w:val="pamattekststabul"/>
        <w:spacing w:after="480" w:afterAutospacing="0"/>
        <w:rPr>
          <w:sz w:val="28"/>
          <w:szCs w:val="28"/>
          <w:lang w:val="lv-LV"/>
        </w:rPr>
      </w:pPr>
      <w:r w:rsidRPr="00046B1D">
        <w:rPr>
          <w:sz w:val="28"/>
          <w:szCs w:val="28"/>
          <w:lang w:val="lv-LV"/>
        </w:rPr>
        <w:t>18.09.2018.</w:t>
      </w:r>
      <w:r w:rsidRPr="00046B1D">
        <w:rPr>
          <w:sz w:val="28"/>
          <w:szCs w:val="28"/>
          <w:lang w:val="lv-LV"/>
        </w:rPr>
        <w:tab/>
      </w:r>
      <w:r w:rsidR="004F0730" w:rsidRPr="0056008D">
        <w:rPr>
          <w:sz w:val="28"/>
          <w:szCs w:val="28"/>
          <w:lang w:val="lv-LV"/>
        </w:rPr>
        <w:t xml:space="preserve">Nr. </w:t>
      </w:r>
      <w:r w:rsidR="004F0730" w:rsidRPr="0056008D">
        <w:rPr>
          <w:noProof/>
          <w:sz w:val="28"/>
          <w:szCs w:val="28"/>
          <w:lang w:val="lv-LV"/>
        </w:rPr>
        <w:t>68/TA-VM</w:t>
      </w:r>
      <w:bookmarkStart w:id="0" w:name="_GoBack"/>
      <w:bookmarkEnd w:id="0"/>
    </w:p>
    <w:p w:rsidR="00EB0B5E" w:rsidRPr="003C41F6" w:rsidRDefault="00046B1D" w:rsidP="00EB0B5E">
      <w:pPr>
        <w:spacing w:after="0" w:line="240" w:lineRule="auto"/>
        <w:jc w:val="right"/>
        <w:rPr>
          <w:rStyle w:val="body1"/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Valsts kancelejai</w:t>
      </w:r>
    </w:p>
    <w:p w:rsidR="00EB0B5E" w:rsidRPr="003C41F6" w:rsidRDefault="00EB0B5E" w:rsidP="00EB0B5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4AE8" w:rsidRPr="008D799A" w:rsidRDefault="00046B1D" w:rsidP="00F9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523483058"/>
      <w:r w:rsidRPr="003C41F6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Pr="008D799A">
        <w:rPr>
          <w:rFonts w:ascii="Times New Roman" w:hAnsi="Times New Roman"/>
          <w:sz w:val="28"/>
          <w:szCs w:val="28"/>
        </w:rPr>
        <w:t xml:space="preserve">Ministru kabineta sēdes </w:t>
      </w:r>
    </w:p>
    <w:p w:rsidR="00EB0B5E" w:rsidRPr="003C41F6" w:rsidRDefault="00046B1D" w:rsidP="00F94AE8">
      <w:pPr>
        <w:spacing w:after="0" w:line="240" w:lineRule="auto"/>
        <w:ind w:right="454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 w:rsidR="00F94AE8" w:rsidRPr="008D799A">
        <w:rPr>
          <w:rFonts w:ascii="Times New Roman" w:hAnsi="Times New Roman"/>
          <w:sz w:val="28"/>
          <w:szCs w:val="28"/>
        </w:rPr>
        <w:t>rotokollēmum</w:t>
      </w:r>
      <w:r w:rsidR="00F85561">
        <w:rPr>
          <w:rFonts w:ascii="Times New Roman" w:hAnsi="Times New Roman"/>
          <w:sz w:val="28"/>
          <w:szCs w:val="28"/>
        </w:rPr>
        <w:t>a</w:t>
      </w:r>
      <w:proofErr w:type="spellEnd"/>
      <w:r w:rsidR="00F85561">
        <w:rPr>
          <w:rFonts w:ascii="Times New Roman" w:hAnsi="Times New Roman"/>
          <w:sz w:val="28"/>
          <w:szCs w:val="28"/>
        </w:rPr>
        <w:t xml:space="preserve"> projektu</w:t>
      </w:r>
      <w:r w:rsidR="00F94AE8" w:rsidRPr="008D799A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EB0B5E" w:rsidRPr="003C41F6" w:rsidRDefault="00EB0B5E" w:rsidP="00EB0B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94AE8" w:rsidRPr="008D799A" w:rsidRDefault="00046B1D" w:rsidP="00F94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99A">
        <w:rPr>
          <w:rFonts w:ascii="Times New Roman" w:eastAsia="Times New Roman" w:hAnsi="Times New Roman"/>
          <w:sz w:val="28"/>
          <w:szCs w:val="28"/>
          <w:lang w:eastAsia="lv-LV"/>
        </w:rPr>
        <w:t xml:space="preserve">Pamatojoties uz Ministru kabineta 2009.gada 7.aprīļa noteikumu Nr.300 „Ministru kabineta kārtības rullis” </w:t>
      </w:r>
      <w:r w:rsidRPr="008D799A">
        <w:rPr>
          <w:rFonts w:ascii="Times New Roman" w:hAnsi="Times New Roman"/>
          <w:sz w:val="28"/>
          <w:szCs w:val="28"/>
          <w:lang w:eastAsia="lv-LV"/>
        </w:rPr>
        <w:t xml:space="preserve">164.4. apakšpunktu, </w:t>
      </w:r>
      <w:r w:rsidRPr="008D799A">
        <w:rPr>
          <w:rFonts w:ascii="Times New Roman" w:eastAsia="Times New Roman" w:hAnsi="Times New Roman"/>
          <w:sz w:val="28"/>
          <w:szCs w:val="28"/>
        </w:rPr>
        <w:t>izskatīšanai Ministru kabineta</w:t>
      </w:r>
      <w:r w:rsidRPr="008D799A">
        <w:rPr>
          <w:rFonts w:ascii="Times New Roman" w:hAnsi="Times New Roman"/>
          <w:sz w:val="28"/>
          <w:szCs w:val="28"/>
        </w:rPr>
        <w:t xml:space="preserve"> </w:t>
      </w:r>
      <w:r w:rsidRPr="008D799A">
        <w:rPr>
          <w:rFonts w:ascii="Times New Roman" w:eastAsia="Times New Roman" w:hAnsi="Times New Roman"/>
          <w:sz w:val="28"/>
          <w:szCs w:val="28"/>
        </w:rPr>
        <w:t>sēdē</w:t>
      </w:r>
      <w:r w:rsidRPr="008D799A">
        <w:rPr>
          <w:rFonts w:ascii="Times New Roman" w:hAnsi="Times New Roman"/>
          <w:sz w:val="28"/>
          <w:szCs w:val="28"/>
        </w:rPr>
        <w:t xml:space="preserve"> </w:t>
      </w:r>
      <w:r w:rsidRPr="008D799A">
        <w:rPr>
          <w:rFonts w:ascii="Times New Roman" w:eastAsia="Times New Roman" w:hAnsi="Times New Roman"/>
          <w:sz w:val="28"/>
          <w:szCs w:val="28"/>
          <w:lang w:eastAsia="lv-LV"/>
        </w:rPr>
        <w:t>iesniedzu</w:t>
      </w:r>
      <w:r w:rsidRPr="008D799A">
        <w:rPr>
          <w:rFonts w:ascii="Times New Roman" w:hAnsi="Times New Roman"/>
          <w:sz w:val="28"/>
          <w:szCs w:val="28"/>
        </w:rPr>
        <w:t xml:space="preserve"> Ministru kabineta sēdes </w:t>
      </w:r>
      <w:proofErr w:type="spellStart"/>
      <w:r w:rsidRPr="008D799A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8D799A">
        <w:rPr>
          <w:rFonts w:ascii="Times New Roman" w:hAnsi="Times New Roman"/>
          <w:sz w:val="28"/>
          <w:szCs w:val="28"/>
        </w:rPr>
        <w:t xml:space="preserve"> </w:t>
      </w:r>
      <w:bookmarkStart w:id="2" w:name="OLE_LINK5"/>
      <w:r w:rsidRPr="008D799A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Pr="008D799A">
        <w:rPr>
          <w:rFonts w:ascii="Times New Roman" w:hAnsi="Times New Roman"/>
          <w:bCs/>
          <w:iCs/>
          <w:sz w:val="28"/>
          <w:szCs w:val="28"/>
        </w:rPr>
        <w:t xml:space="preserve">Par </w:t>
      </w:r>
      <w:bookmarkEnd w:id="2"/>
      <w:r w:rsidRPr="008D799A">
        <w:rPr>
          <w:rFonts w:ascii="Times New Roman" w:hAnsi="Times New Roman"/>
          <w:bCs/>
          <w:iCs/>
          <w:sz w:val="28"/>
          <w:szCs w:val="28"/>
        </w:rPr>
        <w:t>Ministru kabineta 2017. gada 31. janvāra</w:t>
      </w:r>
      <w:r w:rsidRPr="008D799A">
        <w:rPr>
          <w:rFonts w:ascii="Times New Roman" w:hAnsi="Times New Roman"/>
          <w:bCs/>
          <w:iCs/>
          <w:sz w:val="28"/>
          <w:szCs w:val="28"/>
        </w:rPr>
        <w:t xml:space="preserve"> sēdes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protokollēmuma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prot.Nr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 5 22.</w:t>
      </w:r>
      <w:r w:rsidRPr="008D799A">
        <w:rPr>
          <w:rFonts w:ascii="Times New Roman" w:hAnsi="Times New Roman"/>
          <w:bCs/>
          <w:iCs/>
          <w:sz w:val="28"/>
          <w:szCs w:val="28"/>
        </w:rPr>
        <w:t>§) “Noteikumu projekts „Papildu prasību ārvalstīs iegūtas profesionālās kvalifikācijas atzīšanai Latvijas Republikā reglamentētās profesijās noteikšanas kārtība”” 2. punktā dotā uzdevuma izpildi”</w:t>
      </w:r>
      <w:r w:rsidRPr="008D799A">
        <w:rPr>
          <w:rFonts w:ascii="Times New Roman" w:hAnsi="Times New Roman"/>
          <w:sz w:val="28"/>
          <w:szCs w:val="28"/>
        </w:rPr>
        <w:t xml:space="preserve"> </w:t>
      </w:r>
      <w:r w:rsidRPr="008D799A">
        <w:rPr>
          <w:rFonts w:ascii="Times New Roman" w:eastAsia="Times New Roman" w:hAnsi="Times New Roman"/>
          <w:sz w:val="28"/>
          <w:szCs w:val="28"/>
        </w:rPr>
        <w:t>projektu</w:t>
      </w:r>
      <w:r w:rsidRPr="008D799A">
        <w:rPr>
          <w:rFonts w:ascii="Times New Roman" w:hAnsi="Times New Roman"/>
          <w:sz w:val="28"/>
          <w:szCs w:val="28"/>
        </w:rPr>
        <w:t>.</w:t>
      </w:r>
    </w:p>
    <w:p w:rsidR="00EB0B5E" w:rsidRPr="006A54D6" w:rsidRDefault="00EB0B5E" w:rsidP="00EB0B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1F6">
              <w:rPr>
                <w:rFonts w:ascii="Times New Roman" w:hAnsi="Times New Roman"/>
                <w:color w:val="000000"/>
                <w:sz w:val="24"/>
                <w:szCs w:val="24"/>
              </w:rPr>
              <w:t>Iesniegšanas</w:t>
            </w:r>
            <w:r w:rsidRPr="003C4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pamatojums</w:t>
            </w:r>
          </w:p>
        </w:tc>
        <w:tc>
          <w:tcPr>
            <w:tcW w:w="6089" w:type="dxa"/>
          </w:tcPr>
          <w:p w:rsidR="00EB0B5E" w:rsidRDefault="00046B1D" w:rsidP="00EF07B8">
            <w:pPr>
              <w:spacing w:after="0" w:line="240" w:lineRule="auto"/>
              <w:ind w:left="34" w:right="57" w:firstLine="27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752C">
              <w:rPr>
                <w:rFonts w:ascii="Times New Roman" w:hAnsi="Times New Roman"/>
                <w:sz w:val="24"/>
                <w:szCs w:val="28"/>
              </w:rPr>
              <w:t xml:space="preserve">Ar Ministru kabineta 2017. gada 31. janvāra sēdes </w:t>
            </w:r>
            <w:proofErr w:type="spellStart"/>
            <w:r w:rsidRPr="001E752C">
              <w:rPr>
                <w:rFonts w:ascii="Times New Roman" w:hAnsi="Times New Roman"/>
                <w:sz w:val="24"/>
                <w:szCs w:val="28"/>
              </w:rPr>
              <w:t>protokollēmuma</w:t>
            </w:r>
            <w:proofErr w:type="spellEnd"/>
            <w:r w:rsidRPr="001E752C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1E752C">
              <w:rPr>
                <w:rFonts w:ascii="Times New Roman" w:hAnsi="Times New Roman"/>
                <w:sz w:val="24"/>
                <w:szCs w:val="28"/>
              </w:rPr>
              <w:t>prot.Nr</w:t>
            </w:r>
            <w:proofErr w:type="spellEnd"/>
            <w:r w:rsidRPr="001E752C">
              <w:rPr>
                <w:rFonts w:ascii="Times New Roman" w:hAnsi="Times New Roman"/>
                <w:sz w:val="24"/>
                <w:szCs w:val="28"/>
              </w:rPr>
              <w:t>. 5 22.§) „Noteikumu projekts „Papildu prasību ārvalstīs iegūtas profesionālās kvalifikācijas atzīšanai Latvijas Republikā reglamentētās profesijās noteikšanas kārtība” (t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 xml:space="preserve">urpmāk – </w:t>
            </w:r>
            <w:proofErr w:type="spellStart"/>
            <w:r w:rsidRPr="001E752C">
              <w:rPr>
                <w:rFonts w:ascii="Times New Roman" w:hAnsi="Times New Roman"/>
                <w:sz w:val="24"/>
                <w:szCs w:val="28"/>
              </w:rPr>
              <w:t>protokollēmums</w:t>
            </w:r>
            <w:proofErr w:type="spellEnd"/>
            <w:r w:rsidRPr="001E752C">
              <w:rPr>
                <w:rFonts w:ascii="Times New Roman" w:hAnsi="Times New Roman"/>
                <w:sz w:val="24"/>
                <w:szCs w:val="28"/>
              </w:rPr>
              <w:t xml:space="preserve">) 2.punktu tika uzdots Izglītības un zinātnes ministrijai un Veselības ministrijai atbilstoši kompetencei izvērtēt un nepieciešamības gadījumā līdz 2017.gada 31.maijam (ar Ministru kabineta 2018.gada 23.janvāra sēdes </w:t>
            </w:r>
            <w:proofErr w:type="spellStart"/>
            <w:r w:rsidRPr="001E752C">
              <w:rPr>
                <w:rFonts w:ascii="Times New Roman" w:hAnsi="Times New Roman"/>
                <w:sz w:val="24"/>
                <w:szCs w:val="28"/>
              </w:rPr>
              <w:t>protokollēmumu</w:t>
            </w:r>
            <w:proofErr w:type="spellEnd"/>
            <w:r w:rsidRPr="001E752C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>prot. Nr.5 23.§) termiņš pagarināts līdz 2018.gada 31.maijam) noteiktā kārtībā iesniegt izskatīšanai Ministru kabinetā priekšlikumus grozījumiem normatīvajos aktos, nosakot adaptācijas perioda piemērošanas kārtību reglamentētās profesijās veselības aprūpes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 xml:space="preserve"> jomā.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>Saskaņā ar likumu „Par reglamentētajām profesijām un profesionālās kvalifikācijas atzīšanu” adaptācijas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>periods ir periods, kurā profesionālo kvalifikāciju ārvalstīs ieguvusi persona reglamentētajā profesijā Latvijas Republikā darbojas kvalificēta a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 xml:space="preserve">ttiecīgās profesijas pārstāvja uzraudzībā. Līdz šim Latvijā nevienā profesionālās kvalifikācijas atzīšanas </w:t>
            </w:r>
            <w:r w:rsidRPr="001E752C">
              <w:rPr>
                <w:rFonts w:ascii="Times New Roman" w:hAnsi="Times New Roman"/>
                <w:sz w:val="24"/>
                <w:szCs w:val="28"/>
              </w:rPr>
              <w:lastRenderedPageBreak/>
              <w:t>gadījumā nav noteikts adaptācijas periods, nav izveidojusies prakse adaptācijas perioda nodrošināšanai, veselības aprūpes jomas normatīvajos aktos na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>v tiesību normu par adaptācijas perioda piemērošanu. Ņemot vērā, ka profesionālās kvalifikācijas atzīšanā saistoša ir Eiropas Parlamenta un Padomes 2005.gada 7.septembra direktīva 2005/36/EK par profesionālo kvalifikāciju atzīšanu (turpmāk direktīva 2005/3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>6/EK), vienoti principi adaptācijas perioda piemērošanā ir visās Eiropas Savienības un Eiropas Ekonomiskās zonas dalībvalstīs.  Lai apzinātu adaptācijas perioda piemērošanas pieredzi veselības aprūpes jomas reglamentētajās profesijās Lietuvā un Igaunijā, k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>ā arī citās Eiropas valstīs, Izglītības un zinātnes ministrija 2018.gada 26.janvārī organizēja starptautisku semināru, kurā piedalījās Eiropas Komisijas, Lietuvas, Igaunijas un Latvijas eksperti profesionālās kvalifikācijas atzīšanas jomā.</w:t>
            </w:r>
          </w:p>
          <w:p w:rsidR="001E752C" w:rsidRPr="001E752C" w:rsidRDefault="00046B1D" w:rsidP="001E7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E752C">
              <w:rPr>
                <w:rFonts w:ascii="Times New Roman" w:hAnsi="Times New Roman"/>
                <w:sz w:val="24"/>
                <w:szCs w:val="28"/>
              </w:rPr>
              <w:t>Gan seminārā gūt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 xml:space="preserve">ā pieredze, gan apkopotā informācija no Eiropas Savienības dalībvalstīm, ļauj secināt, ka </w:t>
            </w:r>
            <w:r w:rsidRPr="001E752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Eiropas Savienības un Eiropas Ekonomiskās zonas dalībvalstīs adaptācijas perioda piemērošanā izveidojusies katrā valstī atšķirīga prakse. </w:t>
            </w:r>
          </w:p>
          <w:p w:rsidR="001E752C" w:rsidRPr="001E752C" w:rsidRDefault="00046B1D" w:rsidP="001E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E752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Izglītības un zinātnes mini</w:t>
            </w:r>
            <w:r w:rsidRPr="001E752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strija sadarbībā ar Veselības ministriju atbilstoši </w:t>
            </w:r>
            <w:r w:rsidRPr="001E752C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Ministru kabineta 2017.gada 31.janvāra sēdes </w:t>
            </w:r>
            <w:proofErr w:type="spellStart"/>
            <w:r w:rsidRPr="001E752C">
              <w:rPr>
                <w:rFonts w:ascii="Times New Roman" w:hAnsi="Times New Roman"/>
                <w:bCs/>
                <w:iCs/>
                <w:sz w:val="24"/>
                <w:szCs w:val="28"/>
              </w:rPr>
              <w:t>protokollēmuma</w:t>
            </w:r>
            <w:proofErr w:type="spellEnd"/>
            <w:r w:rsidRPr="001E752C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(</w:t>
            </w:r>
            <w:proofErr w:type="spellStart"/>
            <w:r w:rsidRPr="001E752C">
              <w:rPr>
                <w:rFonts w:ascii="Times New Roman" w:hAnsi="Times New Roman"/>
                <w:bCs/>
                <w:iCs/>
                <w:sz w:val="24"/>
                <w:szCs w:val="28"/>
              </w:rPr>
              <w:t>prot.Nr</w:t>
            </w:r>
            <w:proofErr w:type="spellEnd"/>
            <w:r w:rsidRPr="001E752C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. 5 22.§) </w:t>
            </w:r>
            <w:r w:rsidRPr="001E752C">
              <w:rPr>
                <w:rFonts w:ascii="Times New Roman" w:eastAsia="Times New Roman" w:hAnsi="Times New Roman"/>
                <w:sz w:val="24"/>
                <w:szCs w:val="28"/>
              </w:rPr>
              <w:t>2.punktā</w:t>
            </w:r>
            <w:r w:rsidRPr="001E752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dotajam uzdevumam ir izvērtējusi iespēju </w:t>
            </w:r>
            <w:r w:rsidRPr="001E752C">
              <w:rPr>
                <w:rFonts w:ascii="Times New Roman" w:eastAsia="Times New Roman" w:hAnsi="Times New Roman"/>
                <w:sz w:val="24"/>
                <w:szCs w:val="28"/>
              </w:rPr>
              <w:t xml:space="preserve">adaptācijas perioda piemērošanai Latvijā reglamentētās profesijās veselības </w:t>
            </w:r>
            <w:r w:rsidRPr="001E752C">
              <w:rPr>
                <w:rFonts w:ascii="Times New Roman" w:eastAsia="Times New Roman" w:hAnsi="Times New Roman"/>
                <w:sz w:val="24"/>
                <w:szCs w:val="28"/>
              </w:rPr>
              <w:t xml:space="preserve">aprūpes jomā, rezultātā panākot konceptuālu vienošanos šādos jautājumos: </w:t>
            </w:r>
          </w:p>
          <w:p w:rsidR="001E752C" w:rsidRPr="001E752C" w:rsidRDefault="00046B1D" w:rsidP="001E7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752C">
              <w:rPr>
                <w:rFonts w:ascii="Times New Roman" w:hAnsi="Times New Roman"/>
                <w:sz w:val="24"/>
                <w:szCs w:val="28"/>
              </w:rPr>
              <w:t>Atbilstoši Ārstniecības likuma 26.panta pirmajai daļai patstāvīgi nodarboties ar ārstniecību attiecīgajā profesijā atbilstoši Ministru kabineta noteiktajai kompetencei atļauts ārstni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 xml:space="preserve">ecības personām, kuras ir reģistrētas Ārstniecības personu un ārstniecības atbalsta personu reģistrā (turpmāk – ārstniecības personu reģistrs). </w:t>
            </w:r>
          </w:p>
          <w:p w:rsidR="00BE4C98" w:rsidRDefault="00046B1D" w:rsidP="001E7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752C">
              <w:rPr>
                <w:rFonts w:ascii="Times New Roman" w:hAnsi="Times New Roman"/>
                <w:sz w:val="24"/>
                <w:szCs w:val="28"/>
              </w:rPr>
              <w:t>Atbilstoši Farmācijas  likuma  38.panta otrai daļai patstāvīgi nodarboties ar farmaceitisko aprūpi  attiecīgajā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 xml:space="preserve"> profesijā atbilstoši Ministru kabineta noteiktajai kompetencei atļauts farmaceitam un farmaceita asistentam, kurš ir reģistrēts Latvijas farmaceitu biedrības uzturētajā Farmaceitu un farmaceita asistentu  reģistrā.</w:t>
            </w:r>
          </w:p>
          <w:p w:rsidR="001E752C" w:rsidRPr="00BE4C98" w:rsidRDefault="00046B1D" w:rsidP="00BE4C98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ind w:left="313" w:hanging="313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4C98">
              <w:rPr>
                <w:rFonts w:ascii="Times New Roman" w:hAnsi="Times New Roman"/>
                <w:sz w:val="24"/>
                <w:szCs w:val="28"/>
              </w:rPr>
              <w:t xml:space="preserve">Saskaņā ar direktīvas </w:t>
            </w:r>
            <w:hyperlink r:id="rId9" w:tgtFrame="_blank" w:history="1">
              <w:r w:rsidRPr="00BE4C98">
                <w:rPr>
                  <w:rFonts w:ascii="Times New Roman" w:hAnsi="Times New Roman"/>
                  <w:sz w:val="24"/>
                  <w:szCs w:val="28"/>
                </w:rPr>
                <w:t>2005/36/EK</w:t>
              </w:r>
            </w:hyperlink>
            <w:r w:rsidRPr="00BE4C98">
              <w:rPr>
                <w:rFonts w:ascii="Times New Roman" w:hAnsi="Times New Roman"/>
                <w:sz w:val="24"/>
                <w:szCs w:val="28"/>
              </w:rPr>
              <w:t xml:space="preserve"> 1.pantu, kas nosaka, ka šī direktīva attiecas uz to, kā dalībvalstis atzīst kādā citā dalībvalstī iegūtas profesionālās kvalifikācijas, </w:t>
            </w:r>
            <w:r w:rsidRPr="00BE4C98">
              <w:rPr>
                <w:rFonts w:ascii="Times New Roman" w:hAnsi="Times New Roman"/>
                <w:bCs/>
                <w:sz w:val="24"/>
                <w:szCs w:val="28"/>
              </w:rPr>
              <w:t>adaptācijas periodu nepiemēr</w:t>
            </w:r>
            <w:r w:rsidRPr="00BE4C98">
              <w:rPr>
                <w:rFonts w:ascii="Times New Roman" w:hAnsi="Times New Roman"/>
                <w:bCs/>
                <w:sz w:val="24"/>
                <w:szCs w:val="28"/>
              </w:rPr>
              <w:t>o trešajās valstīs iegūtu profesionālo kvalifikāciju atzīšanā</w:t>
            </w:r>
            <w:r w:rsidRPr="00BE4C9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E4C98" w:rsidRPr="001E752C" w:rsidRDefault="00046B1D" w:rsidP="00BE4C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V</w:t>
            </w:r>
            <w:r w:rsidRPr="00BE4C98">
              <w:rPr>
                <w:rFonts w:ascii="Times New Roman" w:hAnsi="Times New Roman"/>
                <w:sz w:val="24"/>
                <w:szCs w:val="28"/>
              </w:rPr>
              <w:t>eselības aprūpes jomas normatīvajos aktos noteiktās tiesību normas ārstniecības personas piekļuvei darbam ārstniecības iestādē (darba tiesiskās attiecības vai izglītības programmas (rezidentūr</w:t>
            </w:r>
            <w:r w:rsidRPr="00BE4C98">
              <w:rPr>
                <w:rFonts w:ascii="Times New Roman" w:hAnsi="Times New Roman"/>
                <w:sz w:val="24"/>
                <w:szCs w:val="28"/>
              </w:rPr>
              <w:t xml:space="preserve">as) ietvaros) nevar tikt attiecinātas uz adaptācijas perioda piemērošanu, līdz ar to </w:t>
            </w:r>
            <w:r w:rsidRPr="00BE4C9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nepieciešams noteikt Ārstniecības likumā  brīvas izvēles ārstniecības personas vai studējošas personas prakses tiesības ārstniecības iestādē, piemēram iespēja </w:t>
            </w:r>
            <w:proofErr w:type="spellStart"/>
            <w:r w:rsidRPr="00BE4C98">
              <w:rPr>
                <w:rFonts w:ascii="Times New Roman" w:hAnsi="Times New Roman"/>
                <w:sz w:val="24"/>
                <w:szCs w:val="28"/>
              </w:rPr>
              <w:t>volontēt</w:t>
            </w:r>
            <w:proofErr w:type="spellEnd"/>
            <w:r w:rsidRPr="00BE4C98">
              <w:rPr>
                <w:rFonts w:ascii="Times New Roman" w:hAnsi="Times New Roman"/>
                <w:sz w:val="24"/>
                <w:szCs w:val="28"/>
              </w:rPr>
              <w:t>, ka</w:t>
            </w:r>
            <w:r w:rsidRPr="00BE4C98">
              <w:rPr>
                <w:rFonts w:ascii="Times New Roman" w:hAnsi="Times New Roman"/>
                <w:sz w:val="24"/>
                <w:szCs w:val="28"/>
              </w:rPr>
              <w:t>s būtu piemērojamas arī adaptācijas perioda īstenošanai Latvijā.</w:t>
            </w:r>
            <w:r w:rsidRPr="001E752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E752C" w:rsidRPr="003C41F6" w:rsidRDefault="00046B1D" w:rsidP="001E752C">
            <w:pPr>
              <w:spacing w:after="0" w:line="240" w:lineRule="auto"/>
              <w:ind w:left="34" w:right="57" w:firstLine="2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C98">
              <w:rPr>
                <w:rFonts w:ascii="Times New Roman" w:eastAsia="Times New Roman" w:hAnsi="Times New Roman"/>
                <w:sz w:val="24"/>
                <w:szCs w:val="28"/>
              </w:rPr>
              <w:t xml:space="preserve">Ņemot vērā to, ka priekšlikumi grozījumiem normatīvajos aktos, nosakot adaptācijas perioda piemērošanas kārtību reglamentētās profesijās veselības aprūpes jomā Latvijā ir saistīti ar grozījumiem Ārstniecības likumā, </w:t>
            </w:r>
            <w:r w:rsidRPr="00BE4C98">
              <w:rPr>
                <w:rFonts w:ascii="Times New Roman" w:hAnsi="Times New Roman"/>
                <w:bCs/>
                <w:iCs/>
                <w:sz w:val="24"/>
                <w:szCs w:val="28"/>
              </w:rPr>
              <w:t>Ministru kabineta 2017.gada 31.janvāra s</w:t>
            </w:r>
            <w:r w:rsidRPr="00BE4C98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ēdes </w:t>
            </w:r>
            <w:proofErr w:type="spellStart"/>
            <w:r w:rsidRPr="00BE4C98">
              <w:rPr>
                <w:rFonts w:ascii="Times New Roman" w:hAnsi="Times New Roman"/>
                <w:bCs/>
                <w:iCs/>
                <w:sz w:val="24"/>
                <w:szCs w:val="28"/>
              </w:rPr>
              <w:t>protokollēmuma</w:t>
            </w:r>
            <w:proofErr w:type="spellEnd"/>
            <w:r w:rsidRPr="00BE4C98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(prot. Nr. 5 22.§) </w:t>
            </w:r>
            <w:r w:rsidRPr="00BE4C98">
              <w:rPr>
                <w:rFonts w:ascii="Times New Roman" w:eastAsia="Times New Roman" w:hAnsi="Times New Roman"/>
                <w:sz w:val="24"/>
                <w:szCs w:val="28"/>
              </w:rPr>
              <w:t>2.punktā</w:t>
            </w:r>
            <w:r w:rsidRP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dotā uzdevuma izpildes termiņu nepieciešams pagarināt līdz 20</w:t>
            </w:r>
            <w:r w:rsid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  <w:r w:rsidRP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.gada 30.jūnijam.</w:t>
            </w:r>
          </w:p>
        </w:tc>
      </w:tr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Valsts sekretāru sanāksmes datums un numurs</w:t>
            </w:r>
          </w:p>
        </w:tc>
        <w:tc>
          <w:tcPr>
            <w:tcW w:w="6089" w:type="dxa"/>
          </w:tcPr>
          <w:p w:rsidR="00EB0B5E" w:rsidRPr="003C41F6" w:rsidRDefault="00046B1D" w:rsidP="00BE4C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Nav attiecināms.</w:t>
            </w:r>
          </w:p>
        </w:tc>
      </w:tr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saskaņojumiem</w:t>
            </w:r>
          </w:p>
        </w:tc>
        <w:tc>
          <w:tcPr>
            <w:tcW w:w="6089" w:type="dxa"/>
          </w:tcPr>
          <w:p w:rsidR="00EB0B5E" w:rsidRPr="00FF0130" w:rsidRDefault="00046B1D" w:rsidP="00BE4C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0130">
              <w:rPr>
                <w:rFonts w:ascii="Times New Roman" w:hAnsi="Times New Roman"/>
                <w:sz w:val="24"/>
                <w:szCs w:val="28"/>
              </w:rPr>
              <w:t xml:space="preserve">Projekts saskaņots ar Izglītības </w:t>
            </w:r>
            <w:r w:rsidRPr="00FF0130">
              <w:rPr>
                <w:rFonts w:ascii="Times New Roman" w:hAnsi="Times New Roman"/>
                <w:sz w:val="24"/>
                <w:szCs w:val="28"/>
              </w:rPr>
              <w:t>un zinātnes ministriju.</w:t>
            </w:r>
          </w:p>
        </w:tc>
      </w:tr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6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saskaņojumu ar Eiropas Savienības institūcijām</w:t>
            </w:r>
          </w:p>
        </w:tc>
        <w:tc>
          <w:tcPr>
            <w:tcW w:w="6089" w:type="dxa"/>
          </w:tcPr>
          <w:p w:rsidR="00EB0B5E" w:rsidRPr="00BE4C98" w:rsidRDefault="00046B1D" w:rsidP="00BE4C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Nav attiecināms.</w:t>
            </w:r>
          </w:p>
        </w:tc>
      </w:tr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Politikas joma</w:t>
            </w:r>
          </w:p>
        </w:tc>
        <w:tc>
          <w:tcPr>
            <w:tcW w:w="6089" w:type="dxa"/>
          </w:tcPr>
          <w:p w:rsidR="001E752C" w:rsidRPr="00BE4C98" w:rsidRDefault="00046B1D" w:rsidP="00BE4C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Veselības politikas joma</w:t>
            </w:r>
          </w:p>
          <w:p w:rsidR="00EB0B5E" w:rsidRPr="003C41F6" w:rsidRDefault="00046B1D" w:rsidP="00BE4C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Industrijas un pakalpojumu politikas joma</w:t>
            </w:r>
          </w:p>
        </w:tc>
      </w:tr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46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6089" w:type="dxa"/>
          </w:tcPr>
          <w:p w:rsidR="00EB0B5E" w:rsidRPr="003C41F6" w:rsidRDefault="00046B1D" w:rsidP="00BE4C98">
            <w:pPr>
              <w:spacing w:after="0" w:line="240" w:lineRule="auto"/>
              <w:ind w:left="34"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250">
              <w:rPr>
                <w:rFonts w:ascii="Times New Roman" w:hAnsi="Times New Roman"/>
                <w:sz w:val="24"/>
                <w:szCs w:val="28"/>
              </w:rPr>
              <w:t xml:space="preserve">Dace Roga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Nozares cilvēkresursu attīstības </w:t>
            </w:r>
            <w:r>
              <w:rPr>
                <w:rFonts w:ascii="Times New Roman" w:hAnsi="Times New Roman"/>
                <w:sz w:val="24"/>
                <w:szCs w:val="28"/>
              </w:rPr>
              <w:t>nodaļas vecākā eksperte</w:t>
            </w:r>
          </w:p>
        </w:tc>
      </w:tr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Uzaicināmās personas</w:t>
            </w:r>
          </w:p>
        </w:tc>
        <w:tc>
          <w:tcPr>
            <w:tcW w:w="6089" w:type="dxa"/>
          </w:tcPr>
          <w:p w:rsidR="00EB0B5E" w:rsidRPr="003C41F6" w:rsidRDefault="00EB0B5E" w:rsidP="00EF07B8">
            <w:pPr>
              <w:spacing w:after="0" w:line="240" w:lineRule="auto"/>
              <w:ind w:left="34" w:firstLine="2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46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ierobežotas pieejamības statuss</w:t>
            </w:r>
          </w:p>
        </w:tc>
        <w:tc>
          <w:tcPr>
            <w:tcW w:w="6089" w:type="dxa"/>
          </w:tcPr>
          <w:p w:rsidR="00EB0B5E" w:rsidRPr="003C41F6" w:rsidRDefault="00046B1D" w:rsidP="00BE4C98">
            <w:pPr>
              <w:widowControl/>
              <w:shd w:val="clear" w:color="auto" w:fill="FFFFFF"/>
              <w:spacing w:after="0" w:line="240" w:lineRule="auto"/>
              <w:ind w:left="34" w:hanging="4"/>
              <w:rPr>
                <w:rFonts w:ascii="Times New Roman" w:hAnsi="Times New Roman"/>
                <w:sz w:val="28"/>
                <w:szCs w:val="28"/>
              </w:rPr>
            </w:pPr>
            <w:r w:rsidRP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Nav attiecināms.</w:t>
            </w:r>
          </w:p>
        </w:tc>
      </w:tr>
      <w:tr w:rsidR="00DF08E6" w:rsidTr="00EB0B5E">
        <w:tc>
          <w:tcPr>
            <w:tcW w:w="2972" w:type="dxa"/>
          </w:tcPr>
          <w:p w:rsidR="00EB0B5E" w:rsidRPr="003C41F6" w:rsidRDefault="00046B1D" w:rsidP="00EF0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89" w:type="dxa"/>
          </w:tcPr>
          <w:p w:rsidR="00EB0B5E" w:rsidRPr="003C41F6" w:rsidRDefault="00046B1D" w:rsidP="00BE4C98">
            <w:pPr>
              <w:widowControl/>
              <w:shd w:val="clear" w:color="auto" w:fill="FFFFFF"/>
              <w:spacing w:after="0" w:line="240" w:lineRule="auto"/>
              <w:ind w:left="34" w:hanging="4"/>
              <w:rPr>
                <w:rFonts w:ascii="Times New Roman" w:hAnsi="Times New Roman"/>
                <w:sz w:val="28"/>
                <w:szCs w:val="28"/>
              </w:rPr>
            </w:pPr>
            <w:r w:rsidRPr="00BE4C9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Nav attiecināms.</w:t>
            </w:r>
          </w:p>
        </w:tc>
      </w:tr>
    </w:tbl>
    <w:p w:rsidR="00EB0B5E" w:rsidRPr="003C41F6" w:rsidRDefault="00EB0B5E" w:rsidP="00EB0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B5E" w:rsidRDefault="00046B1D" w:rsidP="00FF0130">
      <w:pPr>
        <w:spacing w:after="0" w:line="240" w:lineRule="auto"/>
        <w:ind w:left="840" w:hanging="840"/>
        <w:jc w:val="both"/>
        <w:rPr>
          <w:rFonts w:ascii="Times New Roman" w:hAnsi="Times New Roman"/>
          <w:sz w:val="28"/>
          <w:szCs w:val="28"/>
        </w:rPr>
      </w:pPr>
      <w:r w:rsidRPr="003C41F6">
        <w:rPr>
          <w:rFonts w:ascii="Times New Roman" w:hAnsi="Times New Roman"/>
          <w:sz w:val="28"/>
          <w:szCs w:val="28"/>
        </w:rPr>
        <w:t>Pielikumā:</w:t>
      </w:r>
      <w:r w:rsidRPr="003C41F6">
        <w:rPr>
          <w:rFonts w:ascii="Times New Roman" w:hAnsi="Times New Roman"/>
          <w:sz w:val="28"/>
          <w:szCs w:val="28"/>
        </w:rPr>
        <w:tab/>
      </w:r>
    </w:p>
    <w:p w:rsidR="001E752C" w:rsidRPr="00FF0130" w:rsidRDefault="00046B1D" w:rsidP="00FF01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" w:name="_Hlk523483364"/>
      <w:r w:rsidRPr="00FF0130">
        <w:rPr>
          <w:rFonts w:ascii="Times New Roman" w:hAnsi="Times New Roman"/>
          <w:sz w:val="28"/>
          <w:szCs w:val="28"/>
        </w:rPr>
        <w:t xml:space="preserve">Ministru kabineta sēdes </w:t>
      </w:r>
      <w:proofErr w:type="spellStart"/>
      <w:r w:rsidRPr="00FF0130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FF0130">
        <w:rPr>
          <w:rFonts w:ascii="Times New Roman" w:hAnsi="Times New Roman"/>
          <w:sz w:val="28"/>
          <w:szCs w:val="28"/>
        </w:rPr>
        <w:t xml:space="preserve"> </w:t>
      </w:r>
      <w:r w:rsidRPr="00FF0130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Pr="00FF0130">
        <w:rPr>
          <w:rFonts w:ascii="Times New Roman" w:hAnsi="Times New Roman"/>
          <w:bCs/>
          <w:iCs/>
          <w:sz w:val="28"/>
          <w:szCs w:val="28"/>
        </w:rPr>
        <w:t xml:space="preserve">Par Ministru kabineta 2017. gada 31. janvāra sēdes </w:t>
      </w:r>
      <w:proofErr w:type="spellStart"/>
      <w:r w:rsidRPr="00FF0130">
        <w:rPr>
          <w:rFonts w:ascii="Times New Roman" w:hAnsi="Times New Roman"/>
          <w:bCs/>
          <w:iCs/>
          <w:sz w:val="28"/>
          <w:szCs w:val="28"/>
        </w:rPr>
        <w:t>protokollēmuma</w:t>
      </w:r>
      <w:proofErr w:type="spellEnd"/>
      <w:r w:rsidRPr="00FF0130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FF0130">
        <w:rPr>
          <w:rFonts w:ascii="Times New Roman" w:hAnsi="Times New Roman"/>
          <w:bCs/>
          <w:iCs/>
          <w:sz w:val="28"/>
          <w:szCs w:val="28"/>
        </w:rPr>
        <w:t>prot.Nr</w:t>
      </w:r>
      <w:proofErr w:type="spellEnd"/>
      <w:r w:rsidRPr="00FF0130">
        <w:rPr>
          <w:rFonts w:ascii="Times New Roman" w:hAnsi="Times New Roman"/>
          <w:bCs/>
          <w:iCs/>
          <w:sz w:val="28"/>
          <w:szCs w:val="28"/>
        </w:rPr>
        <w:t>. 5 22. §) “Noteikumu projekts „Papildu prasību ārvalstīs iegūtas profesionālās kvalifikācijas atzīšanai Latvijas Republikā reglamentētās profesijās noteikšanas kārtība”” 2. punktā dotā uzdevuma izpildi”</w:t>
      </w:r>
      <w:r w:rsidRPr="00FF0130">
        <w:rPr>
          <w:rFonts w:ascii="Times New Roman" w:hAnsi="Times New Roman"/>
          <w:sz w:val="28"/>
          <w:szCs w:val="28"/>
        </w:rPr>
        <w:t xml:space="preserve"> </w:t>
      </w:r>
      <w:r w:rsidRPr="00FF0130">
        <w:rPr>
          <w:rFonts w:ascii="Times New Roman" w:eastAsia="Times New Roman" w:hAnsi="Times New Roman"/>
          <w:sz w:val="28"/>
          <w:szCs w:val="28"/>
        </w:rPr>
        <w:t>projekts</w:t>
      </w:r>
      <w:r w:rsidRPr="00FF013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F0130">
        <w:rPr>
          <w:rFonts w:ascii="Times New Roman" w:hAnsi="Times New Roman"/>
          <w:bCs/>
          <w:sz w:val="28"/>
          <w:szCs w:val="28"/>
        </w:rPr>
        <w:t xml:space="preserve"> </w:t>
      </w:r>
      <w:r w:rsidR="00494952" w:rsidRPr="00FF0130">
        <w:rPr>
          <w:rFonts w:ascii="Times New Roman" w:eastAsia="Times New Roman" w:hAnsi="Times New Roman"/>
          <w:sz w:val="28"/>
          <w:szCs w:val="28"/>
          <w:lang w:eastAsia="lv-LV"/>
        </w:rPr>
        <w:t>(datne:</w:t>
      </w:r>
      <w:r w:rsidR="006E00A8" w:rsidRPr="006E00A8">
        <w:t xml:space="preserve"> </w:t>
      </w:r>
      <w:r w:rsidR="006E00A8" w:rsidRPr="00FF0130">
        <w:rPr>
          <w:rFonts w:ascii="Times New Roman" w:eastAsia="Times New Roman" w:hAnsi="Times New Roman"/>
          <w:sz w:val="28"/>
          <w:szCs w:val="28"/>
          <w:lang w:eastAsia="lv-LV"/>
        </w:rPr>
        <w:t>VMprot_170818_adapt</w:t>
      </w:r>
      <w:r w:rsidR="00494952" w:rsidRPr="00FF0130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FF013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F0130" w:rsidRPr="00FF0130">
        <w:rPr>
          <w:rFonts w:ascii="Times New Roman" w:hAnsi="Times New Roman"/>
          <w:bCs/>
          <w:sz w:val="28"/>
          <w:szCs w:val="28"/>
        </w:rPr>
        <w:t>uz 1 l</w:t>
      </w:r>
      <w:r w:rsidR="00FF0130">
        <w:rPr>
          <w:rFonts w:ascii="Times New Roman" w:hAnsi="Times New Roman"/>
          <w:bCs/>
          <w:sz w:val="28"/>
          <w:szCs w:val="28"/>
        </w:rPr>
        <w:t>a</w:t>
      </w:r>
      <w:r w:rsidR="00FF0130" w:rsidRPr="00FF0130">
        <w:rPr>
          <w:rFonts w:ascii="Times New Roman" w:hAnsi="Times New Roman"/>
          <w:bCs/>
          <w:sz w:val="28"/>
          <w:szCs w:val="28"/>
        </w:rPr>
        <w:t>p</w:t>
      </w:r>
      <w:r w:rsidR="00FF0130">
        <w:rPr>
          <w:rFonts w:ascii="Times New Roman" w:hAnsi="Times New Roman"/>
          <w:bCs/>
          <w:sz w:val="28"/>
          <w:szCs w:val="28"/>
        </w:rPr>
        <w:t>as;</w:t>
      </w:r>
    </w:p>
    <w:p w:rsidR="00FF0130" w:rsidRPr="00FF0130" w:rsidRDefault="00046B1D" w:rsidP="004F07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ministrijas 2018. gada 12.septembra atzinums Nr. </w:t>
      </w:r>
      <w:r w:rsidRPr="00FF0130">
        <w:rPr>
          <w:rFonts w:ascii="Times New Roman" w:eastAsia="Times New Roman" w:hAnsi="Times New Roman"/>
          <w:sz w:val="28"/>
          <w:szCs w:val="28"/>
          <w:lang w:eastAsia="lv-LV"/>
        </w:rPr>
        <w:t>4-4.1e/2018/3064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(datne:</w:t>
      </w:r>
      <w:r w:rsidR="004F0730" w:rsidRPr="004F0730">
        <w:t xml:space="preserve"> </w:t>
      </w:r>
      <w:r w:rsidR="004F0730" w:rsidRPr="004F0730">
        <w:rPr>
          <w:rFonts w:ascii="Times New Roman" w:eastAsia="Times New Roman" w:hAnsi="Times New Roman"/>
          <w:sz w:val="28"/>
          <w:szCs w:val="28"/>
          <w:lang w:eastAsia="lv-LV"/>
        </w:rPr>
        <w:t xml:space="preserve">12.09.2018 - 4-4.1e_2018_3064 - Par Ministru kabineta </w:t>
      </w:r>
      <w:proofErr w:type="spellStart"/>
      <w:r w:rsidR="004F0730" w:rsidRPr="004F0730">
        <w:rPr>
          <w:rFonts w:ascii="Times New Roman" w:eastAsia="Times New Roman" w:hAnsi="Times New Roman"/>
          <w:sz w:val="28"/>
          <w:szCs w:val="28"/>
          <w:lang w:eastAsia="lv-LV"/>
        </w:rPr>
        <w:t>protokollēmuma</w:t>
      </w:r>
      <w:proofErr w:type="spellEnd"/>
      <w:r w:rsidR="004F0730" w:rsidRPr="004F0730">
        <w:rPr>
          <w:rFonts w:ascii="Times New Roman" w:eastAsia="Times New Roman" w:hAnsi="Times New Roman"/>
          <w:sz w:val="28"/>
          <w:szCs w:val="28"/>
          <w:lang w:eastAsia="lv-LV"/>
        </w:rPr>
        <w:t xml:space="preserve"> projekta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) uz 1 lapas.</w:t>
      </w:r>
    </w:p>
    <w:bookmarkEnd w:id="3"/>
    <w:p w:rsidR="00EB0B5E" w:rsidRPr="003C41F6" w:rsidRDefault="00EB0B5E" w:rsidP="00EB0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952" w:rsidRDefault="00494952" w:rsidP="00A8347C">
      <w:pPr>
        <w:pStyle w:val="pamattekststabul"/>
        <w:tabs>
          <w:tab w:val="left" w:pos="3119"/>
          <w:tab w:val="left" w:pos="5812"/>
        </w:tabs>
        <w:spacing w:before="0" w:beforeAutospacing="0" w:after="240" w:afterAutospacing="0"/>
        <w:jc w:val="both"/>
        <w:rPr>
          <w:sz w:val="28"/>
          <w:szCs w:val="28"/>
          <w:lang w:val="lv-LV"/>
        </w:rPr>
      </w:pPr>
    </w:p>
    <w:p w:rsidR="00314056" w:rsidRDefault="00046B1D" w:rsidP="00A8347C">
      <w:pPr>
        <w:pStyle w:val="pamattekststabul"/>
        <w:tabs>
          <w:tab w:val="left" w:pos="3119"/>
          <w:tab w:val="left" w:pos="5812"/>
        </w:tabs>
        <w:spacing w:before="0" w:beforeAutospacing="0" w:after="24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EB0B5E">
        <w:rPr>
          <w:sz w:val="28"/>
          <w:szCs w:val="28"/>
          <w:lang w:val="lv-LV"/>
        </w:rPr>
        <w:t>eselības ministre</w:t>
      </w:r>
      <w:r w:rsidRPr="0056008D">
        <w:rPr>
          <w:lang w:val="lv-LV"/>
        </w:rPr>
        <w:tab/>
      </w:r>
      <w:r w:rsidR="00D5061B">
        <w:rPr>
          <w:lang w:val="lv-LV"/>
        </w:rPr>
        <w:t xml:space="preserve">                  </w:t>
      </w:r>
      <w:r w:rsidRPr="0056008D">
        <w:rPr>
          <w:lang w:val="lv-LV"/>
        </w:rPr>
        <w:t>(paraksts*)</w:t>
      </w:r>
      <w:r w:rsidRPr="0056008D">
        <w:rPr>
          <w:lang w:val="lv-LV"/>
        </w:rPr>
        <w:tab/>
      </w:r>
      <w:r>
        <w:rPr>
          <w:lang w:val="lv-LV"/>
        </w:rPr>
        <w:t xml:space="preserve">                             </w:t>
      </w:r>
      <w:r w:rsidR="00D767D3">
        <w:rPr>
          <w:lang w:val="lv-LV"/>
        </w:rPr>
        <w:t xml:space="preserve">    </w:t>
      </w:r>
      <w:r w:rsidR="00EB0B5E">
        <w:rPr>
          <w:lang w:val="lv-LV"/>
        </w:rPr>
        <w:t xml:space="preserve">   </w:t>
      </w:r>
      <w:proofErr w:type="spellStart"/>
      <w:r w:rsidR="00EB0B5E">
        <w:rPr>
          <w:sz w:val="28"/>
          <w:szCs w:val="28"/>
          <w:lang w:val="lv-LV"/>
        </w:rPr>
        <w:t>A.Čakša</w:t>
      </w:r>
      <w:proofErr w:type="spellEnd"/>
    </w:p>
    <w:p w:rsidR="00F1498A" w:rsidRDefault="00F1498A" w:rsidP="00F1498A">
      <w:pPr>
        <w:pStyle w:val="pamattekststabul"/>
        <w:tabs>
          <w:tab w:val="left" w:pos="3119"/>
          <w:tab w:val="left" w:pos="5812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494952" w:rsidRDefault="00494952" w:rsidP="00F1498A">
      <w:pPr>
        <w:pStyle w:val="pamattekststabul"/>
        <w:spacing w:before="0" w:beforeAutospacing="0" w:after="0" w:afterAutospacing="0"/>
        <w:rPr>
          <w:lang w:val="lv-LV"/>
        </w:rPr>
      </w:pPr>
    </w:p>
    <w:p w:rsidR="00FF0130" w:rsidRDefault="00FF0130" w:rsidP="00F1498A">
      <w:pPr>
        <w:pStyle w:val="pamattekststabul"/>
        <w:spacing w:before="0" w:beforeAutospacing="0" w:after="0" w:afterAutospacing="0"/>
        <w:rPr>
          <w:sz w:val="22"/>
          <w:lang w:val="lv-LV"/>
        </w:rPr>
      </w:pPr>
    </w:p>
    <w:p w:rsidR="00F1498A" w:rsidRPr="00FF0130" w:rsidRDefault="00046B1D" w:rsidP="00F1498A">
      <w:pPr>
        <w:pStyle w:val="pamattekststabul"/>
        <w:spacing w:before="0" w:beforeAutospacing="0" w:after="0" w:afterAutospacing="0"/>
        <w:rPr>
          <w:rFonts w:ascii="Verdana" w:hAnsi="Verdana"/>
          <w:sz w:val="22"/>
          <w:lang w:val="lv-LV"/>
        </w:rPr>
      </w:pPr>
      <w:r w:rsidRPr="00FF0130">
        <w:rPr>
          <w:sz w:val="22"/>
          <w:lang w:val="lv-LV"/>
        </w:rPr>
        <w:t>Roga  67876093</w:t>
      </w:r>
    </w:p>
    <w:p w:rsidR="00F1498A" w:rsidRDefault="00046B1D" w:rsidP="004F0730">
      <w:pPr>
        <w:tabs>
          <w:tab w:val="right" w:pos="9356"/>
        </w:tabs>
        <w:spacing w:after="0"/>
        <w:rPr>
          <w:sz w:val="28"/>
          <w:szCs w:val="28"/>
        </w:rPr>
      </w:pPr>
      <w:hyperlink r:id="rId10" w:history="1">
        <w:r w:rsidR="00C45A58" w:rsidRPr="00FF0130">
          <w:rPr>
            <w:rStyle w:val="Hyperlink"/>
            <w:rFonts w:ascii="Times New Roman" w:hAnsi="Times New Roman"/>
            <w:szCs w:val="24"/>
          </w:rPr>
          <w:t>dace.roga@vm.gov.lv</w:t>
        </w:r>
      </w:hyperlink>
    </w:p>
    <w:sectPr w:rsidR="00F1498A" w:rsidSect="00A8347C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6B1D">
      <w:pPr>
        <w:spacing w:after="0" w:line="240" w:lineRule="auto"/>
      </w:pPr>
      <w:r>
        <w:separator/>
      </w:r>
    </w:p>
  </w:endnote>
  <w:endnote w:type="continuationSeparator" w:id="0">
    <w:p w:rsidR="00000000" w:rsidRDefault="0004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4" w:rsidRDefault="00046B1D" w:rsidP="00705758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  <w:p w:rsidR="00F1498A" w:rsidRDefault="00F1498A">
    <w:pPr>
      <w:pStyle w:val="Footer"/>
      <w:rPr>
        <w:rFonts w:ascii="Times New Roman" w:hAnsi="Times New Roman"/>
      </w:rPr>
    </w:pPr>
  </w:p>
  <w:p w:rsidR="001E752C" w:rsidRPr="000D67AF" w:rsidRDefault="00046B1D" w:rsidP="001E752C">
    <w:pPr>
      <w:pStyle w:val="Footer"/>
      <w:rPr>
        <w:rFonts w:ascii="Times New Roman" w:hAnsi="Times New Roman"/>
        <w:sz w:val="20"/>
        <w:szCs w:val="20"/>
      </w:rPr>
    </w:pPr>
    <w:r w:rsidRPr="000D67AF">
      <w:rPr>
        <w:rFonts w:ascii="Times New Roman" w:hAnsi="Times New Roman"/>
        <w:sz w:val="20"/>
        <w:szCs w:val="20"/>
      </w:rPr>
      <w:t>VMpav_</w:t>
    </w:r>
    <w:r w:rsidR="00FF0130">
      <w:rPr>
        <w:rFonts w:ascii="Times New Roman" w:hAnsi="Times New Roman"/>
        <w:sz w:val="20"/>
        <w:szCs w:val="20"/>
      </w:rPr>
      <w:t>1409</w:t>
    </w:r>
    <w:r>
      <w:rPr>
        <w:rFonts w:ascii="Times New Roman" w:hAnsi="Times New Roman"/>
        <w:sz w:val="20"/>
        <w:szCs w:val="20"/>
      </w:rPr>
      <w:t>18</w:t>
    </w:r>
    <w:r w:rsidRPr="000D67AF">
      <w:rPr>
        <w:rFonts w:ascii="Times New Roman" w:hAnsi="Times New Roman"/>
        <w:sz w:val="20"/>
        <w:szCs w:val="20"/>
      </w:rPr>
      <w:t>_</w:t>
    </w:r>
    <w:r w:rsidRPr="001E752C">
      <w:rPr>
        <w:rFonts w:ascii="Times New Roman" w:eastAsia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adapt</w:t>
    </w:r>
    <w:proofErr w:type="spellEnd"/>
    <w:r w:rsidRPr="00AD0BBE">
      <w:rPr>
        <w:rFonts w:ascii="Times New Roman" w:hAnsi="Times New Roman"/>
        <w:sz w:val="20"/>
        <w:szCs w:val="20"/>
      </w:rPr>
      <w:t xml:space="preserve">; Par Ministru kabineta sēdes </w:t>
    </w:r>
    <w:proofErr w:type="spellStart"/>
    <w:r w:rsidRPr="00AD0BBE">
      <w:rPr>
        <w:rFonts w:ascii="Times New Roman" w:hAnsi="Times New Roman"/>
        <w:sz w:val="20"/>
        <w:szCs w:val="20"/>
      </w:rPr>
      <w:t>protokollēmumā</w:t>
    </w:r>
    <w:proofErr w:type="spellEnd"/>
    <w:r w:rsidRPr="00AD0BBE">
      <w:rPr>
        <w:rFonts w:ascii="Times New Roman" w:hAnsi="Times New Roman"/>
        <w:sz w:val="20"/>
        <w:szCs w:val="20"/>
      </w:rPr>
      <w:t xml:space="preserve"> dotā uzdevuma izpildi</w:t>
    </w:r>
  </w:p>
  <w:p w:rsidR="00F1498A" w:rsidRPr="009D36CB" w:rsidRDefault="00F1498A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4" w:rsidRDefault="00046B1D" w:rsidP="003F3DFB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:rsidR="000D67AF" w:rsidRDefault="000D67AF" w:rsidP="00F1498A">
    <w:pPr>
      <w:pStyle w:val="Footer"/>
      <w:jc w:val="right"/>
      <w:rPr>
        <w:rFonts w:ascii="Times New Roman" w:hAnsi="Times New Roman"/>
      </w:rPr>
    </w:pPr>
  </w:p>
  <w:p w:rsidR="000D67AF" w:rsidRPr="000D67AF" w:rsidRDefault="00046B1D" w:rsidP="000D67AF">
    <w:pPr>
      <w:pStyle w:val="Footer"/>
      <w:rPr>
        <w:rFonts w:ascii="Times New Roman" w:hAnsi="Times New Roman"/>
        <w:sz w:val="20"/>
        <w:szCs w:val="20"/>
      </w:rPr>
    </w:pPr>
    <w:r w:rsidRPr="000D67AF">
      <w:rPr>
        <w:rFonts w:ascii="Times New Roman" w:hAnsi="Times New Roman"/>
        <w:sz w:val="20"/>
        <w:szCs w:val="20"/>
      </w:rPr>
      <w:t>VMpav_</w:t>
    </w:r>
    <w:r w:rsidR="00FF0130">
      <w:rPr>
        <w:rFonts w:ascii="Times New Roman" w:hAnsi="Times New Roman"/>
        <w:sz w:val="20"/>
        <w:szCs w:val="20"/>
      </w:rPr>
      <w:t>1409</w:t>
    </w:r>
    <w:r w:rsidR="001E752C">
      <w:rPr>
        <w:rFonts w:ascii="Times New Roman" w:hAnsi="Times New Roman"/>
        <w:sz w:val="20"/>
        <w:szCs w:val="20"/>
      </w:rPr>
      <w:t>18</w:t>
    </w:r>
    <w:r w:rsidRPr="000D67AF">
      <w:rPr>
        <w:rFonts w:ascii="Times New Roman" w:hAnsi="Times New Roman"/>
        <w:sz w:val="20"/>
        <w:szCs w:val="20"/>
      </w:rPr>
      <w:t>_</w:t>
    </w:r>
    <w:r w:rsidR="001E752C" w:rsidRPr="001E752C">
      <w:rPr>
        <w:rFonts w:ascii="Times New Roman" w:eastAsia="Times New Roman" w:hAnsi="Times New Roman"/>
        <w:sz w:val="20"/>
        <w:szCs w:val="20"/>
      </w:rPr>
      <w:t xml:space="preserve"> </w:t>
    </w:r>
    <w:proofErr w:type="spellStart"/>
    <w:r w:rsidR="001E752C">
      <w:rPr>
        <w:rFonts w:ascii="Times New Roman" w:hAnsi="Times New Roman"/>
        <w:sz w:val="20"/>
        <w:szCs w:val="20"/>
      </w:rPr>
      <w:t>adapt</w:t>
    </w:r>
    <w:proofErr w:type="spellEnd"/>
    <w:r w:rsidR="001E752C" w:rsidRPr="00AD0BBE">
      <w:rPr>
        <w:rFonts w:ascii="Times New Roman" w:hAnsi="Times New Roman"/>
        <w:sz w:val="20"/>
        <w:szCs w:val="20"/>
      </w:rPr>
      <w:t xml:space="preserve">; Par Ministru kabineta sēdes </w:t>
    </w:r>
    <w:proofErr w:type="spellStart"/>
    <w:r w:rsidR="001E752C" w:rsidRPr="00AD0BBE">
      <w:rPr>
        <w:rFonts w:ascii="Times New Roman" w:hAnsi="Times New Roman"/>
        <w:sz w:val="20"/>
        <w:szCs w:val="20"/>
      </w:rPr>
      <w:t>protokollēmumā</w:t>
    </w:r>
    <w:proofErr w:type="spellEnd"/>
    <w:r w:rsidR="001E752C" w:rsidRPr="00AD0BBE">
      <w:rPr>
        <w:rFonts w:ascii="Times New Roman" w:hAnsi="Times New Roman"/>
        <w:sz w:val="20"/>
        <w:szCs w:val="20"/>
      </w:rPr>
      <w:t xml:space="preserve"> dotā uzdevuma izpildi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6B1D">
      <w:pPr>
        <w:spacing w:after="0" w:line="240" w:lineRule="auto"/>
      </w:pPr>
      <w:r>
        <w:separator/>
      </w:r>
    </w:p>
  </w:footnote>
  <w:footnote w:type="continuationSeparator" w:id="0">
    <w:p w:rsidR="00000000" w:rsidRDefault="0004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103469832"/>
      <w:docPartObj>
        <w:docPartGallery w:val="Page Numbers (Top of Page)"/>
        <w:docPartUnique/>
      </w:docPartObj>
    </w:sdtPr>
    <w:sdtEndPr/>
    <w:sdtContent>
      <w:p w:rsidR="005E06C4" w:rsidRPr="00126258" w:rsidRDefault="00046B1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705758">
          <w:rPr>
            <w:rFonts w:ascii="Times New Roman" w:hAnsi="Times New Roman"/>
            <w:noProof/>
            <w:sz w:val="24"/>
            <w:szCs w:val="24"/>
          </w:rPr>
          <w:t>3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:rsidRDefault="005E0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617707"/>
    <w:multiLevelType w:val="hybridMultilevel"/>
    <w:tmpl w:val="F86C11E6"/>
    <w:lvl w:ilvl="0" w:tplc="DBD624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499C3EAE" w:tentative="1">
      <w:start w:val="1"/>
      <w:numFmt w:val="lowerLetter"/>
      <w:lvlText w:val="%2."/>
      <w:lvlJc w:val="left"/>
      <w:pPr>
        <w:ind w:left="1440" w:hanging="360"/>
      </w:pPr>
    </w:lvl>
    <w:lvl w:ilvl="2" w:tplc="0336A3E0" w:tentative="1">
      <w:start w:val="1"/>
      <w:numFmt w:val="lowerRoman"/>
      <w:lvlText w:val="%3."/>
      <w:lvlJc w:val="right"/>
      <w:pPr>
        <w:ind w:left="2160" w:hanging="180"/>
      </w:pPr>
    </w:lvl>
    <w:lvl w:ilvl="3" w:tplc="30BE3EA6" w:tentative="1">
      <w:start w:val="1"/>
      <w:numFmt w:val="decimal"/>
      <w:lvlText w:val="%4."/>
      <w:lvlJc w:val="left"/>
      <w:pPr>
        <w:ind w:left="2880" w:hanging="360"/>
      </w:pPr>
    </w:lvl>
    <w:lvl w:ilvl="4" w:tplc="E1088060" w:tentative="1">
      <w:start w:val="1"/>
      <w:numFmt w:val="lowerLetter"/>
      <w:lvlText w:val="%5."/>
      <w:lvlJc w:val="left"/>
      <w:pPr>
        <w:ind w:left="3600" w:hanging="360"/>
      </w:pPr>
    </w:lvl>
    <w:lvl w:ilvl="5" w:tplc="441AE6F4" w:tentative="1">
      <w:start w:val="1"/>
      <w:numFmt w:val="lowerRoman"/>
      <w:lvlText w:val="%6."/>
      <w:lvlJc w:val="right"/>
      <w:pPr>
        <w:ind w:left="4320" w:hanging="180"/>
      </w:pPr>
    </w:lvl>
    <w:lvl w:ilvl="6" w:tplc="BBB24BBA" w:tentative="1">
      <w:start w:val="1"/>
      <w:numFmt w:val="decimal"/>
      <w:lvlText w:val="%7."/>
      <w:lvlJc w:val="left"/>
      <w:pPr>
        <w:ind w:left="5040" w:hanging="360"/>
      </w:pPr>
    </w:lvl>
    <w:lvl w:ilvl="7" w:tplc="B0FAEB6E" w:tentative="1">
      <w:start w:val="1"/>
      <w:numFmt w:val="lowerLetter"/>
      <w:lvlText w:val="%8."/>
      <w:lvlJc w:val="left"/>
      <w:pPr>
        <w:ind w:left="5760" w:hanging="360"/>
      </w:pPr>
    </w:lvl>
    <w:lvl w:ilvl="8" w:tplc="9DFE8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0D765ED"/>
    <w:multiLevelType w:val="hybridMultilevel"/>
    <w:tmpl w:val="F5C88096"/>
    <w:lvl w:ilvl="0" w:tplc="DC34409A">
      <w:start w:val="1"/>
      <w:numFmt w:val="decimal"/>
      <w:lvlText w:val="%1)"/>
      <w:lvlJc w:val="left"/>
      <w:pPr>
        <w:ind w:left="360" w:hanging="360"/>
      </w:pPr>
    </w:lvl>
    <w:lvl w:ilvl="1" w:tplc="B6FEB11A" w:tentative="1">
      <w:start w:val="1"/>
      <w:numFmt w:val="lowerLetter"/>
      <w:lvlText w:val="%2."/>
      <w:lvlJc w:val="left"/>
      <w:pPr>
        <w:ind w:left="1080" w:hanging="360"/>
      </w:pPr>
    </w:lvl>
    <w:lvl w:ilvl="2" w:tplc="A0FC8A48" w:tentative="1">
      <w:start w:val="1"/>
      <w:numFmt w:val="lowerRoman"/>
      <w:lvlText w:val="%3."/>
      <w:lvlJc w:val="right"/>
      <w:pPr>
        <w:ind w:left="1800" w:hanging="180"/>
      </w:pPr>
    </w:lvl>
    <w:lvl w:ilvl="3" w:tplc="5AF2554C" w:tentative="1">
      <w:start w:val="1"/>
      <w:numFmt w:val="decimal"/>
      <w:lvlText w:val="%4."/>
      <w:lvlJc w:val="left"/>
      <w:pPr>
        <w:ind w:left="2520" w:hanging="360"/>
      </w:pPr>
    </w:lvl>
    <w:lvl w:ilvl="4" w:tplc="BCD85A9C" w:tentative="1">
      <w:start w:val="1"/>
      <w:numFmt w:val="lowerLetter"/>
      <w:lvlText w:val="%5."/>
      <w:lvlJc w:val="left"/>
      <w:pPr>
        <w:ind w:left="3240" w:hanging="360"/>
      </w:pPr>
    </w:lvl>
    <w:lvl w:ilvl="5" w:tplc="9AA2D850" w:tentative="1">
      <w:start w:val="1"/>
      <w:numFmt w:val="lowerRoman"/>
      <w:lvlText w:val="%6."/>
      <w:lvlJc w:val="right"/>
      <w:pPr>
        <w:ind w:left="3960" w:hanging="180"/>
      </w:pPr>
    </w:lvl>
    <w:lvl w:ilvl="6" w:tplc="3278A25E" w:tentative="1">
      <w:start w:val="1"/>
      <w:numFmt w:val="decimal"/>
      <w:lvlText w:val="%7."/>
      <w:lvlJc w:val="left"/>
      <w:pPr>
        <w:ind w:left="4680" w:hanging="360"/>
      </w:pPr>
    </w:lvl>
    <w:lvl w:ilvl="7" w:tplc="6096C60E" w:tentative="1">
      <w:start w:val="1"/>
      <w:numFmt w:val="lowerLetter"/>
      <w:lvlText w:val="%8."/>
      <w:lvlJc w:val="left"/>
      <w:pPr>
        <w:ind w:left="5400" w:hanging="360"/>
      </w:pPr>
    </w:lvl>
    <w:lvl w:ilvl="8" w:tplc="78E2E8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794B7686"/>
    <w:multiLevelType w:val="hybridMultilevel"/>
    <w:tmpl w:val="A6C44CDC"/>
    <w:lvl w:ilvl="0" w:tplc="60AC2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DA1250" w:tentative="1">
      <w:start w:val="1"/>
      <w:numFmt w:val="lowerLetter"/>
      <w:lvlText w:val="%2."/>
      <w:lvlJc w:val="left"/>
      <w:pPr>
        <w:ind w:left="1800" w:hanging="360"/>
      </w:pPr>
    </w:lvl>
    <w:lvl w:ilvl="2" w:tplc="0518C4E4" w:tentative="1">
      <w:start w:val="1"/>
      <w:numFmt w:val="lowerRoman"/>
      <w:lvlText w:val="%3."/>
      <w:lvlJc w:val="right"/>
      <w:pPr>
        <w:ind w:left="2520" w:hanging="180"/>
      </w:pPr>
    </w:lvl>
    <w:lvl w:ilvl="3" w:tplc="0B121FD4" w:tentative="1">
      <w:start w:val="1"/>
      <w:numFmt w:val="decimal"/>
      <w:lvlText w:val="%4."/>
      <w:lvlJc w:val="left"/>
      <w:pPr>
        <w:ind w:left="3240" w:hanging="360"/>
      </w:pPr>
    </w:lvl>
    <w:lvl w:ilvl="4" w:tplc="72DCE9F4" w:tentative="1">
      <w:start w:val="1"/>
      <w:numFmt w:val="lowerLetter"/>
      <w:lvlText w:val="%5."/>
      <w:lvlJc w:val="left"/>
      <w:pPr>
        <w:ind w:left="3960" w:hanging="360"/>
      </w:pPr>
    </w:lvl>
    <w:lvl w:ilvl="5" w:tplc="C7D281D4" w:tentative="1">
      <w:start w:val="1"/>
      <w:numFmt w:val="lowerRoman"/>
      <w:lvlText w:val="%6."/>
      <w:lvlJc w:val="right"/>
      <w:pPr>
        <w:ind w:left="4680" w:hanging="180"/>
      </w:pPr>
    </w:lvl>
    <w:lvl w:ilvl="6" w:tplc="3EBE8386" w:tentative="1">
      <w:start w:val="1"/>
      <w:numFmt w:val="decimal"/>
      <w:lvlText w:val="%7."/>
      <w:lvlJc w:val="left"/>
      <w:pPr>
        <w:ind w:left="5400" w:hanging="360"/>
      </w:pPr>
    </w:lvl>
    <w:lvl w:ilvl="7" w:tplc="457C3C92" w:tentative="1">
      <w:start w:val="1"/>
      <w:numFmt w:val="lowerLetter"/>
      <w:lvlText w:val="%8."/>
      <w:lvlJc w:val="left"/>
      <w:pPr>
        <w:ind w:left="6120" w:hanging="360"/>
      </w:pPr>
    </w:lvl>
    <w:lvl w:ilvl="8" w:tplc="3CA264F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F6"/>
    <w:rsid w:val="0000527F"/>
    <w:rsid w:val="000115D2"/>
    <w:rsid w:val="000256CA"/>
    <w:rsid w:val="00026358"/>
    <w:rsid w:val="00026646"/>
    <w:rsid w:val="00032602"/>
    <w:rsid w:val="00036408"/>
    <w:rsid w:val="0004599D"/>
    <w:rsid w:val="00046B1D"/>
    <w:rsid w:val="00050A7F"/>
    <w:rsid w:val="00056D94"/>
    <w:rsid w:val="00071EA6"/>
    <w:rsid w:val="00076969"/>
    <w:rsid w:val="00076AA3"/>
    <w:rsid w:val="00084361"/>
    <w:rsid w:val="00091DD9"/>
    <w:rsid w:val="00097F9D"/>
    <w:rsid w:val="000A1011"/>
    <w:rsid w:val="000A61F3"/>
    <w:rsid w:val="000A6431"/>
    <w:rsid w:val="000B12AC"/>
    <w:rsid w:val="000B7899"/>
    <w:rsid w:val="000D2AB9"/>
    <w:rsid w:val="000D3DF7"/>
    <w:rsid w:val="000D49B5"/>
    <w:rsid w:val="000D67AF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E752C"/>
    <w:rsid w:val="0020352E"/>
    <w:rsid w:val="002057F9"/>
    <w:rsid w:val="00212DB7"/>
    <w:rsid w:val="00225057"/>
    <w:rsid w:val="00225EB8"/>
    <w:rsid w:val="002332D1"/>
    <w:rsid w:val="00233A18"/>
    <w:rsid w:val="002409C9"/>
    <w:rsid w:val="002505F6"/>
    <w:rsid w:val="0025235E"/>
    <w:rsid w:val="00253641"/>
    <w:rsid w:val="00255074"/>
    <w:rsid w:val="00256676"/>
    <w:rsid w:val="002659D1"/>
    <w:rsid w:val="002778B0"/>
    <w:rsid w:val="002930BF"/>
    <w:rsid w:val="00293BD5"/>
    <w:rsid w:val="002A3540"/>
    <w:rsid w:val="002A4619"/>
    <w:rsid w:val="002A661C"/>
    <w:rsid w:val="002B6E80"/>
    <w:rsid w:val="002E23D6"/>
    <w:rsid w:val="002E2C6F"/>
    <w:rsid w:val="002F0CCC"/>
    <w:rsid w:val="00303965"/>
    <w:rsid w:val="00306C0B"/>
    <w:rsid w:val="00307E7B"/>
    <w:rsid w:val="00314056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68FB"/>
    <w:rsid w:val="00377916"/>
    <w:rsid w:val="00380B22"/>
    <w:rsid w:val="00383773"/>
    <w:rsid w:val="00384250"/>
    <w:rsid w:val="0038672B"/>
    <w:rsid w:val="00392DA3"/>
    <w:rsid w:val="003966CF"/>
    <w:rsid w:val="003A335B"/>
    <w:rsid w:val="003A5A3B"/>
    <w:rsid w:val="003B5DA1"/>
    <w:rsid w:val="003C1784"/>
    <w:rsid w:val="003C41F6"/>
    <w:rsid w:val="003C5F22"/>
    <w:rsid w:val="003D7430"/>
    <w:rsid w:val="003E29F0"/>
    <w:rsid w:val="003E6052"/>
    <w:rsid w:val="003E733B"/>
    <w:rsid w:val="003F169F"/>
    <w:rsid w:val="003F3DFB"/>
    <w:rsid w:val="004022F1"/>
    <w:rsid w:val="00415AAA"/>
    <w:rsid w:val="00424025"/>
    <w:rsid w:val="0043271F"/>
    <w:rsid w:val="004458A7"/>
    <w:rsid w:val="00445D62"/>
    <w:rsid w:val="00453587"/>
    <w:rsid w:val="00466BEC"/>
    <w:rsid w:val="004818CE"/>
    <w:rsid w:val="00485F41"/>
    <w:rsid w:val="004918FE"/>
    <w:rsid w:val="0049466B"/>
    <w:rsid w:val="00494952"/>
    <w:rsid w:val="0049705D"/>
    <w:rsid w:val="004A0A94"/>
    <w:rsid w:val="004A4D7F"/>
    <w:rsid w:val="004A6461"/>
    <w:rsid w:val="004A6D08"/>
    <w:rsid w:val="004A7518"/>
    <w:rsid w:val="004C2657"/>
    <w:rsid w:val="004C2BA4"/>
    <w:rsid w:val="004C2BEA"/>
    <w:rsid w:val="004C6F24"/>
    <w:rsid w:val="004C7FBA"/>
    <w:rsid w:val="004D6F51"/>
    <w:rsid w:val="004E0D7A"/>
    <w:rsid w:val="004E4165"/>
    <w:rsid w:val="004E77A8"/>
    <w:rsid w:val="004F0730"/>
    <w:rsid w:val="004F4416"/>
    <w:rsid w:val="004F4A94"/>
    <w:rsid w:val="00501CD6"/>
    <w:rsid w:val="005071F0"/>
    <w:rsid w:val="005072B3"/>
    <w:rsid w:val="00511A94"/>
    <w:rsid w:val="00512AD5"/>
    <w:rsid w:val="005135F3"/>
    <w:rsid w:val="005145DF"/>
    <w:rsid w:val="00514AC2"/>
    <w:rsid w:val="00517361"/>
    <w:rsid w:val="00520536"/>
    <w:rsid w:val="005220EB"/>
    <w:rsid w:val="005237B9"/>
    <w:rsid w:val="00530A31"/>
    <w:rsid w:val="00530ADA"/>
    <w:rsid w:val="00536C2A"/>
    <w:rsid w:val="00544557"/>
    <w:rsid w:val="00546AE2"/>
    <w:rsid w:val="005521B6"/>
    <w:rsid w:val="0055335A"/>
    <w:rsid w:val="0056008D"/>
    <w:rsid w:val="00564153"/>
    <w:rsid w:val="0056510C"/>
    <w:rsid w:val="005746A5"/>
    <w:rsid w:val="00580FC9"/>
    <w:rsid w:val="00583B09"/>
    <w:rsid w:val="005862AD"/>
    <w:rsid w:val="005A2340"/>
    <w:rsid w:val="005A3DE9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1A31"/>
    <w:rsid w:val="006151E9"/>
    <w:rsid w:val="006160EE"/>
    <w:rsid w:val="0063099E"/>
    <w:rsid w:val="00631F9E"/>
    <w:rsid w:val="00633C31"/>
    <w:rsid w:val="00636432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A298A"/>
    <w:rsid w:val="006A54D6"/>
    <w:rsid w:val="006B30C2"/>
    <w:rsid w:val="006C1779"/>
    <w:rsid w:val="006E00A8"/>
    <w:rsid w:val="006E1E5C"/>
    <w:rsid w:val="006E53D9"/>
    <w:rsid w:val="006F20DF"/>
    <w:rsid w:val="006F2206"/>
    <w:rsid w:val="006F49E4"/>
    <w:rsid w:val="006F5C7C"/>
    <w:rsid w:val="006F7FAF"/>
    <w:rsid w:val="00701264"/>
    <w:rsid w:val="00705758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2708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D6DCB"/>
    <w:rsid w:val="007E0116"/>
    <w:rsid w:val="007E0F58"/>
    <w:rsid w:val="007E35F2"/>
    <w:rsid w:val="007E457B"/>
    <w:rsid w:val="007E4EFC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06E87"/>
    <w:rsid w:val="008140DE"/>
    <w:rsid w:val="00821385"/>
    <w:rsid w:val="0082465B"/>
    <w:rsid w:val="008321A4"/>
    <w:rsid w:val="0084694B"/>
    <w:rsid w:val="008471C1"/>
    <w:rsid w:val="00851B24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6F9"/>
    <w:rsid w:val="008B47BA"/>
    <w:rsid w:val="008B53DC"/>
    <w:rsid w:val="008C5F6C"/>
    <w:rsid w:val="008C7292"/>
    <w:rsid w:val="008D0193"/>
    <w:rsid w:val="008D799A"/>
    <w:rsid w:val="008E3A8E"/>
    <w:rsid w:val="008F3E94"/>
    <w:rsid w:val="008F70C3"/>
    <w:rsid w:val="00902CA9"/>
    <w:rsid w:val="009064C2"/>
    <w:rsid w:val="0091364A"/>
    <w:rsid w:val="009202C1"/>
    <w:rsid w:val="00923055"/>
    <w:rsid w:val="00925A9A"/>
    <w:rsid w:val="00926F46"/>
    <w:rsid w:val="00927820"/>
    <w:rsid w:val="00944DE5"/>
    <w:rsid w:val="0095437C"/>
    <w:rsid w:val="00960B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5A2"/>
    <w:rsid w:val="009D5CA0"/>
    <w:rsid w:val="009D73E0"/>
    <w:rsid w:val="009E0041"/>
    <w:rsid w:val="009F02C5"/>
    <w:rsid w:val="009F194F"/>
    <w:rsid w:val="00A04A07"/>
    <w:rsid w:val="00A06E6A"/>
    <w:rsid w:val="00A11284"/>
    <w:rsid w:val="00A20BAF"/>
    <w:rsid w:val="00A35B7B"/>
    <w:rsid w:val="00A36317"/>
    <w:rsid w:val="00A4385C"/>
    <w:rsid w:val="00A47AB2"/>
    <w:rsid w:val="00A64F41"/>
    <w:rsid w:val="00A673E6"/>
    <w:rsid w:val="00A72C84"/>
    <w:rsid w:val="00A74B06"/>
    <w:rsid w:val="00A756E7"/>
    <w:rsid w:val="00A757DC"/>
    <w:rsid w:val="00A8347C"/>
    <w:rsid w:val="00A9636F"/>
    <w:rsid w:val="00A9639A"/>
    <w:rsid w:val="00AA389D"/>
    <w:rsid w:val="00AA4C3C"/>
    <w:rsid w:val="00AB124F"/>
    <w:rsid w:val="00AB350C"/>
    <w:rsid w:val="00AB7C19"/>
    <w:rsid w:val="00AC0627"/>
    <w:rsid w:val="00AD0BBE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65239"/>
    <w:rsid w:val="00B67CDC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72C4"/>
    <w:rsid w:val="00BB120E"/>
    <w:rsid w:val="00BB16EA"/>
    <w:rsid w:val="00BB18EA"/>
    <w:rsid w:val="00BB2022"/>
    <w:rsid w:val="00BD73D9"/>
    <w:rsid w:val="00BE3EB8"/>
    <w:rsid w:val="00BE4C98"/>
    <w:rsid w:val="00BE5647"/>
    <w:rsid w:val="00C01B12"/>
    <w:rsid w:val="00C03EE4"/>
    <w:rsid w:val="00C05679"/>
    <w:rsid w:val="00C36C93"/>
    <w:rsid w:val="00C40E72"/>
    <w:rsid w:val="00C43A00"/>
    <w:rsid w:val="00C45A58"/>
    <w:rsid w:val="00C65D99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CF5343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061B"/>
    <w:rsid w:val="00D54D31"/>
    <w:rsid w:val="00D63A87"/>
    <w:rsid w:val="00D63CBB"/>
    <w:rsid w:val="00D63D80"/>
    <w:rsid w:val="00D658A2"/>
    <w:rsid w:val="00D66F1D"/>
    <w:rsid w:val="00D677D1"/>
    <w:rsid w:val="00D74FD3"/>
    <w:rsid w:val="00D767D3"/>
    <w:rsid w:val="00D86BA7"/>
    <w:rsid w:val="00D92B69"/>
    <w:rsid w:val="00D93B6A"/>
    <w:rsid w:val="00D94A5D"/>
    <w:rsid w:val="00D96676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E6DEE"/>
    <w:rsid w:val="00DF08E6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5D29"/>
    <w:rsid w:val="00E8323E"/>
    <w:rsid w:val="00E861B9"/>
    <w:rsid w:val="00E90EB5"/>
    <w:rsid w:val="00E93E37"/>
    <w:rsid w:val="00E9757D"/>
    <w:rsid w:val="00EA15BA"/>
    <w:rsid w:val="00EA2882"/>
    <w:rsid w:val="00EA364B"/>
    <w:rsid w:val="00EA4B3C"/>
    <w:rsid w:val="00EA65E2"/>
    <w:rsid w:val="00EA6699"/>
    <w:rsid w:val="00EB061B"/>
    <w:rsid w:val="00EB0B5E"/>
    <w:rsid w:val="00EB16B9"/>
    <w:rsid w:val="00EB2F06"/>
    <w:rsid w:val="00EB30CE"/>
    <w:rsid w:val="00EC1FE8"/>
    <w:rsid w:val="00EC7B25"/>
    <w:rsid w:val="00EE7C3A"/>
    <w:rsid w:val="00EF07B8"/>
    <w:rsid w:val="00EF48C5"/>
    <w:rsid w:val="00EF5D93"/>
    <w:rsid w:val="00F03BB7"/>
    <w:rsid w:val="00F06569"/>
    <w:rsid w:val="00F1498A"/>
    <w:rsid w:val="00F14F1B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70880"/>
    <w:rsid w:val="00F76CC5"/>
    <w:rsid w:val="00F82D03"/>
    <w:rsid w:val="00F85561"/>
    <w:rsid w:val="00F85938"/>
    <w:rsid w:val="00F94AE8"/>
    <w:rsid w:val="00FB10D0"/>
    <w:rsid w:val="00FB355D"/>
    <w:rsid w:val="00FB4F1A"/>
    <w:rsid w:val="00FB50D3"/>
    <w:rsid w:val="00FC0EFF"/>
    <w:rsid w:val="00FC24BD"/>
    <w:rsid w:val="00FD465D"/>
    <w:rsid w:val="00FD6B28"/>
    <w:rsid w:val="00FD7FAD"/>
    <w:rsid w:val="00FE2FC8"/>
    <w:rsid w:val="00FE697D"/>
    <w:rsid w:val="00FF0130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A88F"/>
  <w15:docId w15:val="{0F29E32D-106C-49AD-9BEC-BC5798B4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5D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4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F4416"/>
    <w:rPr>
      <w:color w:val="0000FF"/>
      <w:u w:val="single"/>
    </w:rPr>
  </w:style>
  <w:style w:type="character" w:customStyle="1" w:styleId="body1">
    <w:name w:val="body1"/>
    <w:rsid w:val="00F1498A"/>
    <w:rPr>
      <w:rFonts w:ascii="Verdana" w:hAnsi="Verdana" w:hint="default"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E7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2C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A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ce.roga@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05/36/oj/?locale=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F2F8-B280-4DF1-849F-4DEDE42C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sēdes protokollēmumā dotā uzdevuma izpildi</vt:lpstr>
    </vt:vector>
  </TitlesOfParts>
  <Company>Veselības ministrija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protokollēmumā dotā uzdevuma izpildi</dc:title>
  <dc:subject>Pavadvēstule</dc:subject>
  <dc:creator>Dace Roga</dc:creator>
  <dc:description>Roga  67876093_x000d_
dace.roga@vm.gov.lv</dc:description>
  <cp:lastModifiedBy>Zaiga Šulca</cp:lastModifiedBy>
  <cp:revision>2</cp:revision>
  <cp:lastPrinted>2015-07-10T08:13:00Z</cp:lastPrinted>
  <dcterms:created xsi:type="dcterms:W3CDTF">2018-09-18T13:35:00Z</dcterms:created>
  <dcterms:modified xsi:type="dcterms:W3CDTF">2018-09-18T13:35:00Z</dcterms:modified>
</cp:coreProperties>
</file>