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7E" w:rsidRPr="00C51E05" w:rsidRDefault="00FC777E" w:rsidP="00FC777E">
      <w:pPr>
        <w:pStyle w:val="Paraststmeklis"/>
        <w:spacing w:after="0"/>
        <w:jc w:val="center"/>
        <w:rPr>
          <w:b/>
          <w:bCs/>
          <w:sz w:val="28"/>
          <w:szCs w:val="28"/>
        </w:rPr>
      </w:pPr>
      <w:r w:rsidRPr="00DF0FB3">
        <w:rPr>
          <w:b/>
          <w:sz w:val="28"/>
          <w:szCs w:val="28"/>
        </w:rPr>
        <w:t xml:space="preserve">Ministru kabineta noteikumu projekta „Grozījumi Ministru kabineta 2012. gada </w:t>
      </w:r>
      <w:proofErr w:type="gramStart"/>
      <w:r w:rsidRPr="00DF0FB3">
        <w:rPr>
          <w:b/>
          <w:sz w:val="28"/>
          <w:szCs w:val="28"/>
        </w:rPr>
        <w:t>24</w:t>
      </w:r>
      <w:r w:rsidR="00735309" w:rsidRPr="00DF0FB3">
        <w:rPr>
          <w:b/>
          <w:sz w:val="28"/>
          <w:szCs w:val="28"/>
        </w:rPr>
        <w:t>.</w:t>
      </w:r>
      <w:r w:rsidRPr="00DF0FB3">
        <w:rPr>
          <w:b/>
          <w:sz w:val="28"/>
          <w:szCs w:val="28"/>
        </w:rPr>
        <w:t>jūlija</w:t>
      </w:r>
      <w:proofErr w:type="gramEnd"/>
      <w:r w:rsidRPr="00DF0FB3" w:rsidDel="000B0EF5">
        <w:rPr>
          <w:b/>
          <w:sz w:val="28"/>
          <w:szCs w:val="28"/>
        </w:rPr>
        <w:t xml:space="preserve"> </w:t>
      </w:r>
      <w:r w:rsidRPr="00DF0FB3">
        <w:rPr>
          <w:b/>
          <w:sz w:val="28"/>
          <w:szCs w:val="28"/>
        </w:rPr>
        <w:t xml:space="preserve">noteikumos Nr. 518 </w:t>
      </w:r>
      <w:r w:rsidRPr="00DF0FB3">
        <w:rPr>
          <w:b/>
          <w:bCs/>
          <w:sz w:val="28"/>
          <w:szCs w:val="28"/>
        </w:rPr>
        <w:t>"</w:t>
      </w:r>
      <w:r w:rsidRPr="00DF0FB3">
        <w:rPr>
          <w:b/>
          <w:sz w:val="28"/>
          <w:szCs w:val="28"/>
        </w:rPr>
        <w:t>Augu šķirņu saimniecisko īpašību novērtēšanas noteikumi</w:t>
      </w:r>
      <w:r w:rsidRPr="00DF0FB3">
        <w:rPr>
          <w:b/>
          <w:bCs/>
          <w:sz w:val="28"/>
          <w:szCs w:val="28"/>
        </w:rPr>
        <w:t>"</w:t>
      </w:r>
      <w:r w:rsidRPr="00DF0FB3">
        <w:rPr>
          <w:rFonts w:eastAsia="Times New Roman"/>
          <w:b/>
          <w:bCs/>
          <w:sz w:val="28"/>
          <w:szCs w:val="28"/>
          <w:lang w:eastAsia="lv-LV"/>
        </w:rPr>
        <w:t>”</w:t>
      </w:r>
      <w:r w:rsidRPr="00DF0FB3">
        <w:rPr>
          <w:b/>
          <w:sz w:val="28"/>
          <w:szCs w:val="28"/>
        </w:rPr>
        <w:t xml:space="preserve"> sākotnējās ietekmes novērtējuma ziņojums (anotācija</w:t>
      </w:r>
      <w:r w:rsidRPr="00665DF5">
        <w:rPr>
          <w:b/>
        </w:rPr>
        <w:t>)</w:t>
      </w:r>
    </w:p>
    <w:p w:rsidR="00427D0A" w:rsidRDefault="00427D0A" w:rsidP="008A27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5279" w:type="pct"/>
        <w:tblInd w:w="-25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9"/>
        <w:gridCol w:w="6051"/>
      </w:tblGrid>
      <w:tr w:rsidR="005B30E0" w:rsidRPr="00427D0A" w:rsidTr="00172305">
        <w:trPr>
          <w:trHeight w:val="4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30E0" w:rsidRPr="00427D0A" w:rsidRDefault="005B30E0" w:rsidP="0017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2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B30E0" w:rsidRPr="00427D0A" w:rsidTr="00172305">
        <w:trPr>
          <w:trHeight w:val="405"/>
        </w:trPr>
        <w:tc>
          <w:tcPr>
            <w:tcW w:w="18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30E0" w:rsidRPr="005C6F42" w:rsidRDefault="005B30E0" w:rsidP="00172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C6F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2318" w:rsidRDefault="005B30E0" w:rsidP="00B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C6F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Ministru kabineta noteikumu projekta mērķis ir </w:t>
            </w:r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ietver</w:t>
            </w:r>
            <w:r w:rsidR="0058134B">
              <w:rPr>
                <w:rFonts w:ascii="Times New Roman" w:hAnsi="Times New Roman"/>
                <w:sz w:val="24"/>
                <w:szCs w:val="24"/>
                <w:lang w:eastAsia="lv-LV"/>
              </w:rPr>
              <w:t>t</w:t>
            </w:r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normas</w:t>
            </w:r>
            <w:proofErr w:type="gramStart"/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sojas </w:t>
            </w:r>
            <w:r w:rsidRPr="005C6F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5C6F42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Glycine</w:t>
            </w:r>
            <w:proofErr w:type="spellEnd"/>
            <w:r w:rsidRPr="005C6F42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C6F42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max</w:t>
            </w:r>
            <w:proofErr w:type="spellEnd"/>
            <w:r w:rsidRPr="005C6F42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(L.) </w:t>
            </w:r>
            <w:proofErr w:type="spellStart"/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Merr</w:t>
            </w:r>
            <w:proofErr w:type="spellEnd"/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.) šķirņu saimniecisko īpašību novērt</w:t>
            </w:r>
            <w:r w:rsidR="005C6F42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ē</w:t>
            </w:r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šan</w:t>
            </w:r>
            <w:r w:rsidR="00B859AB">
              <w:rPr>
                <w:rFonts w:ascii="Times New Roman" w:hAnsi="Times New Roman"/>
                <w:sz w:val="24"/>
                <w:szCs w:val="24"/>
                <w:lang w:eastAsia="lv-LV"/>
              </w:rPr>
              <w:t>ai</w:t>
            </w:r>
            <w:r w:rsidR="006E773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 w:rsidR="009101A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kā arī </w:t>
            </w:r>
            <w:r w:rsidR="005C6F42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papildināt un</w:t>
            </w:r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preciz</w:t>
            </w:r>
            <w:r w:rsidR="005C6F42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ēt</w:t>
            </w:r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859AB">
              <w:rPr>
                <w:rFonts w:ascii="Times New Roman" w:hAnsi="Times New Roman"/>
                <w:sz w:val="24"/>
                <w:szCs w:val="24"/>
                <w:lang w:eastAsia="lv-LV"/>
              </w:rPr>
              <w:t>noteikumos iekļauto sugu</w:t>
            </w:r>
            <w:r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esošo</w:t>
            </w:r>
            <w:r w:rsidR="005C6F42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s rādītājus</w:t>
            </w:r>
            <w:r w:rsidR="00F06BE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101A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="005C6F42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noteikšanas metodikas</w:t>
            </w:r>
            <w:r w:rsidR="006E773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5C6F42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E77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Projektā </w:t>
            </w:r>
            <w:r w:rsidR="005618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</w:t>
            </w:r>
            <w:r w:rsidR="006E77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teiktas</w:t>
            </w:r>
            <w:r w:rsidR="005618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sojas </w:t>
            </w:r>
            <w:r w:rsidR="006E773C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izmēģinājumu vietas, </w:t>
            </w:r>
            <w:r w:rsidR="006E773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šķirņu </w:t>
            </w:r>
            <w:r w:rsidR="006E773C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novērtēšanas izcenojum</w:t>
            </w:r>
            <w:r w:rsidR="006E773C"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="006E773C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, izsējas normas, novērtēšanas kritērij</w:t>
            </w:r>
            <w:r w:rsidR="006E773C"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="006E773C" w:rsidRPr="005C6F42">
              <w:rPr>
                <w:rFonts w:ascii="Times New Roman" w:hAnsi="Times New Roman"/>
                <w:sz w:val="24"/>
                <w:szCs w:val="24"/>
                <w:lang w:eastAsia="lv-LV"/>
              </w:rPr>
              <w:t>, metodikas un standart</w:t>
            </w:r>
            <w:r w:rsidR="006E773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i. </w:t>
            </w:r>
            <w:r w:rsidR="005813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Tāpat p</w:t>
            </w:r>
            <w:r w:rsidR="005618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recizēti citu sugu novērtēšanas rādītāji</w:t>
            </w:r>
            <w:r w:rsidR="006E77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metodikas, uzlabota </w:t>
            </w:r>
            <w:r w:rsidR="005618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</w:t>
            </w:r>
            <w:r w:rsidR="006E77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satura</w:t>
            </w:r>
            <w:r w:rsidR="005618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uztveramība</w:t>
            </w:r>
            <w:r w:rsidR="006E77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saprotamība</w:t>
            </w:r>
            <w:r w:rsidR="005618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B22318" w:rsidRPr="00B22318" w:rsidRDefault="00B22318" w:rsidP="001A6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Ministru kabineta n</w:t>
            </w:r>
            <w:r w:rsidRPr="00B22318">
              <w:rPr>
                <w:rFonts w:ascii="Times New Roman" w:hAnsi="Times New Roman"/>
                <w:sz w:val="24"/>
                <w:szCs w:val="24"/>
              </w:rPr>
              <w:t xml:space="preserve">oteikumu projekts stāsies spēkā </w:t>
            </w:r>
            <w:r w:rsidR="001A6230">
              <w:rPr>
                <w:rFonts w:ascii="Times New Roman" w:hAnsi="Times New Roman"/>
                <w:sz w:val="24"/>
                <w:szCs w:val="24"/>
              </w:rPr>
              <w:t>nākamajā dienā pēc</w:t>
            </w:r>
            <w:r w:rsidR="001A6230" w:rsidRPr="00B22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318">
              <w:rPr>
                <w:rFonts w:ascii="Times New Roman" w:hAnsi="Times New Roman"/>
                <w:sz w:val="24"/>
                <w:szCs w:val="24"/>
              </w:rPr>
              <w:t>tā izsludināšanas</w:t>
            </w:r>
            <w:r w:rsidR="001A6230">
              <w:rPr>
                <w:rFonts w:ascii="Times New Roman" w:hAnsi="Times New Roman"/>
                <w:sz w:val="24"/>
                <w:szCs w:val="24"/>
              </w:rPr>
              <w:t xml:space="preserve"> oficiālajā izdevumā “Latvijas Vēstnesis”. </w:t>
            </w:r>
          </w:p>
        </w:tc>
      </w:tr>
    </w:tbl>
    <w:p w:rsidR="005B30E0" w:rsidRDefault="005B30E0" w:rsidP="008A27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5B30E0" w:rsidRPr="00665DF5" w:rsidRDefault="005B30E0" w:rsidP="008A27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410"/>
        <w:gridCol w:w="6378"/>
      </w:tblGrid>
      <w:tr w:rsidR="00580FF7" w:rsidRPr="00F551D6" w:rsidTr="002F04AF">
        <w:trPr>
          <w:trHeight w:val="383"/>
        </w:trPr>
        <w:tc>
          <w:tcPr>
            <w:tcW w:w="9214" w:type="dxa"/>
            <w:gridSpan w:val="3"/>
          </w:tcPr>
          <w:p w:rsidR="00E52AAB" w:rsidRPr="00F551D6" w:rsidRDefault="00E52AAB" w:rsidP="00EE11D3">
            <w:pPr>
              <w:pStyle w:val="Bezatstarpm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580FF7" w:rsidRPr="00F551D6" w:rsidTr="00E418F4">
        <w:trPr>
          <w:trHeight w:val="261"/>
        </w:trPr>
        <w:tc>
          <w:tcPr>
            <w:tcW w:w="426" w:type="dxa"/>
          </w:tcPr>
          <w:p w:rsidR="00E52AAB" w:rsidRPr="00CA4761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52AAB" w:rsidRPr="00CA4761" w:rsidRDefault="00E52AAB" w:rsidP="00637AB9">
            <w:pPr>
              <w:pStyle w:val="Bezatstarp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6378" w:type="dxa"/>
          </w:tcPr>
          <w:p w:rsidR="00A76449" w:rsidRPr="001A6649" w:rsidRDefault="00FC777E" w:rsidP="00A9493B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E868BA">
              <w:t>Ministru kabineta noteikumu projekts sagatavots saskaņā</w:t>
            </w:r>
            <w:r w:rsidRPr="00E868BA">
              <w:rPr>
                <w:b/>
              </w:rPr>
              <w:t xml:space="preserve"> </w:t>
            </w:r>
            <w:r w:rsidRPr="00E868BA">
              <w:t>ar Sēklu un šķirņu aprites likuma 11.</w:t>
            </w:r>
            <w:r w:rsidRPr="00E868BA">
              <w:rPr>
                <w:vertAlign w:val="superscript"/>
              </w:rPr>
              <w:t>1</w:t>
            </w:r>
            <w:r w:rsidRPr="00E868BA">
              <w:t xml:space="preserve"> panta pirmās daļas 3.punktu.</w:t>
            </w:r>
          </w:p>
        </w:tc>
      </w:tr>
      <w:tr w:rsidR="00580FF7" w:rsidRPr="00F551D6" w:rsidTr="00E418F4">
        <w:trPr>
          <w:trHeight w:val="274"/>
        </w:trPr>
        <w:tc>
          <w:tcPr>
            <w:tcW w:w="426" w:type="dxa"/>
          </w:tcPr>
          <w:p w:rsidR="00E52AAB" w:rsidRPr="00CA4761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669A3" w:rsidRDefault="00E52AAB" w:rsidP="009573AC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Pr="000669A3" w:rsidRDefault="000669A3" w:rsidP="000669A3"/>
          <w:p w:rsidR="000669A3" w:rsidRDefault="000669A3" w:rsidP="000669A3"/>
          <w:p w:rsidR="00E52AAB" w:rsidRPr="000669A3" w:rsidRDefault="00E52AAB" w:rsidP="000669A3">
            <w:pPr>
              <w:ind w:firstLine="720"/>
            </w:pPr>
          </w:p>
        </w:tc>
        <w:tc>
          <w:tcPr>
            <w:tcW w:w="6378" w:type="dxa"/>
          </w:tcPr>
          <w:p w:rsidR="00B83C93" w:rsidRPr="00E868BA" w:rsidRDefault="00B83C93" w:rsidP="00427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sz w:val="24"/>
                <w:szCs w:val="24"/>
              </w:rPr>
              <w:lastRenderedPageBreak/>
              <w:t>Paš</w:t>
            </w:r>
            <w:r>
              <w:rPr>
                <w:rFonts w:ascii="Times New Roman" w:hAnsi="Times New Roman"/>
                <w:sz w:val="24"/>
                <w:szCs w:val="24"/>
              </w:rPr>
              <w:t>laik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 xml:space="preserve"> ir spēkā Ministru kabineta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68BA">
              <w:rPr>
                <w:rFonts w:ascii="Times New Roman" w:hAnsi="Times New Roman"/>
                <w:sz w:val="24"/>
                <w:szCs w:val="24"/>
              </w:rPr>
              <w:t>2012.</w:t>
            </w:r>
            <w:r>
              <w:rPr>
                <w:rFonts w:ascii="Times New Roman" w:hAnsi="Times New Roman"/>
                <w:sz w:val="24"/>
                <w:szCs w:val="24"/>
              </w:rPr>
              <w:t>gada</w:t>
            </w:r>
            <w:proofErr w:type="gramEnd"/>
            <w:r w:rsidRPr="00E868BA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jūlija 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 xml:space="preserve">noteikumi Nr.518 „Augu šķirnes saimniecisko īpašību novērtēšanas noteikumi” (turpmāk – noteikumi Nr.518). </w:t>
            </w:r>
          </w:p>
          <w:p w:rsidR="00B83C93" w:rsidRPr="00735309" w:rsidRDefault="00B83C93" w:rsidP="0066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868BA">
              <w:rPr>
                <w:rFonts w:ascii="Times New Roman" w:hAnsi="Times New Roman"/>
                <w:sz w:val="24"/>
                <w:szCs w:val="24"/>
              </w:rPr>
              <w:t xml:space="preserve">Normatīvajos aktos par sēklu un šķirņu apriti noteiktajām sugām pirms to iekļaušanas Latvijas augu šķirņu katalogā tiek novērtētas šķirnes saimnieciskās īpašības saskaņā ar noteikumiem Nr.518. </w:t>
            </w:r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Augu šķirņu saimniecisko īpašību novērtēšanas (turpmāk – SĪN) mērķis ir noskaidrot šķirnes ražības, bioloģisko īpatnību, iegūtās produkcijas kvalitātes, ķīmisko un tehnoloģisko īpašību atšķirības no </w:t>
            </w:r>
            <w:proofErr w:type="spellStart"/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standartšķirnes</w:t>
            </w:r>
            <w:proofErr w:type="spellEnd"/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šķirņu izturību pret slimībām un kaitēkļiem, kā arī citas saimnieciski nozīmīgas īpašības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piemērotību audzēšanai Latvijas </w:t>
            </w:r>
            <w:proofErr w:type="spellStart"/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agroklimatiskajos</w:t>
            </w:r>
            <w:proofErr w:type="spellEnd"/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apstākļos.</w:t>
            </w:r>
          </w:p>
          <w:p w:rsidR="009573AC" w:rsidRDefault="00B83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83C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 kā </w:t>
            </w:r>
            <w:r w:rsidR="007353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šķirņu selekcionāri</w:t>
            </w:r>
            <w:r w:rsidR="00944A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to</w:t>
            </w:r>
            <w:r w:rsidR="00A43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pārstāvji</w:t>
            </w:r>
            <w:r w:rsidRPr="00B83C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izrādījuši vēlmi Latvij</w:t>
            </w:r>
            <w:r w:rsidR="00BE36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as </w:t>
            </w:r>
            <w:proofErr w:type="spellStart"/>
            <w:r w:rsidR="00BE36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agroklimatiskajos</w:t>
            </w:r>
            <w:proofErr w:type="spellEnd"/>
            <w:r w:rsidR="00BE36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apstākļos</w:t>
            </w:r>
            <w:r w:rsidRPr="00B83C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pārbaudīt sojas (</w:t>
            </w:r>
            <w:proofErr w:type="spellStart"/>
            <w:r w:rsidRPr="00B83C9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Glycine</w:t>
            </w:r>
            <w:proofErr w:type="spellEnd"/>
            <w:r w:rsidRPr="00B83C9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83C9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max</w:t>
            </w:r>
            <w:proofErr w:type="spellEnd"/>
            <w:r w:rsidRPr="00B83C9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B83C9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(L.) 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eastAsia="lv-LV"/>
              </w:rPr>
              <w:t>Merr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eastAsia="lv-LV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šķirņu </w:t>
            </w:r>
            <w:r w:rsidR="00D915A3">
              <w:rPr>
                <w:rFonts w:ascii="Times New Roman" w:hAnsi="Times New Roman"/>
                <w:sz w:val="24"/>
                <w:szCs w:val="24"/>
                <w:lang w:eastAsia="lv-LV"/>
              </w:rPr>
              <w:t>saimnieciskās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īpašības un šīs sugas šķirņu piemērotību iekļaušanai Latvijas augu šķirņu katalogā, </w:t>
            </w:r>
            <w:r w:rsidR="007B5D7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noteikumos </w:t>
            </w:r>
            <w:r w:rsidR="00D915A3">
              <w:rPr>
                <w:rFonts w:ascii="Times New Roman" w:hAnsi="Times New Roman"/>
                <w:sz w:val="24"/>
                <w:szCs w:val="24"/>
                <w:lang w:eastAsia="lv-LV"/>
              </w:rPr>
              <w:t>Nr.518</w:t>
            </w:r>
            <w:r w:rsidR="0004588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jāietver</w:t>
            </w:r>
            <w:r w:rsidR="00D915A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norm</w:t>
            </w:r>
            <w:r w:rsidR="0004588D">
              <w:rPr>
                <w:rFonts w:ascii="Times New Roman" w:hAnsi="Times New Roman"/>
                <w:sz w:val="24"/>
                <w:szCs w:val="24"/>
                <w:lang w:eastAsia="lv-LV"/>
              </w:rPr>
              <w:t>as</w:t>
            </w:r>
            <w:r w:rsidR="00D915A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4588D">
              <w:rPr>
                <w:rFonts w:ascii="Times New Roman" w:hAnsi="Times New Roman"/>
                <w:sz w:val="24"/>
                <w:szCs w:val="24"/>
                <w:lang w:eastAsia="lv-LV"/>
              </w:rPr>
              <w:t>par</w:t>
            </w:r>
            <w:r w:rsidR="00D915A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soj</w:t>
            </w:r>
            <w:r w:rsidR="00001835">
              <w:rPr>
                <w:rFonts w:ascii="Times New Roman" w:hAnsi="Times New Roman"/>
                <w:sz w:val="24"/>
                <w:szCs w:val="24"/>
                <w:lang w:eastAsia="lv-LV"/>
              </w:rPr>
              <w:t>as</w:t>
            </w:r>
            <w:r w:rsidR="00D915A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pārbaudi</w:t>
            </w:r>
            <w:r w:rsidR="00915A92">
              <w:rPr>
                <w:rFonts w:ascii="Times New Roman" w:hAnsi="Times New Roman"/>
                <w:sz w:val="24"/>
                <w:szCs w:val="24"/>
                <w:lang w:eastAsia="lv-LV"/>
              </w:rPr>
              <w:t>. Noteikumos Nr.518 ir jā</w:t>
            </w:r>
            <w:r w:rsidR="00D915A3">
              <w:rPr>
                <w:rFonts w:ascii="Times New Roman" w:hAnsi="Times New Roman"/>
                <w:sz w:val="24"/>
                <w:szCs w:val="24"/>
                <w:lang w:eastAsia="lv-LV"/>
              </w:rPr>
              <w:t>nosak</w:t>
            </w:r>
            <w:r w:rsidR="00915A92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D915A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izmēģinājumu vietas</w:t>
            </w:r>
            <w:r w:rsidR="00915A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sojai</w:t>
            </w:r>
            <w:r w:rsidR="00D915A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novērtēšanas izcenojumu izmaksas, </w:t>
            </w:r>
            <w:r w:rsidR="00A431B5">
              <w:rPr>
                <w:rFonts w:ascii="Times New Roman" w:hAnsi="Times New Roman"/>
                <w:sz w:val="24"/>
                <w:szCs w:val="24"/>
                <w:lang w:eastAsia="lv-LV"/>
              </w:rPr>
              <w:t>izsējas normas, novērtēšanas kritērij</w:t>
            </w:r>
            <w:r w:rsidR="00915A92"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="00841DEB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A431B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to metodikas </w:t>
            </w:r>
            <w:r w:rsidR="00841DE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="00A431B5">
              <w:rPr>
                <w:rFonts w:ascii="Times New Roman" w:hAnsi="Times New Roman"/>
                <w:sz w:val="24"/>
                <w:szCs w:val="24"/>
                <w:lang w:eastAsia="lv-LV"/>
              </w:rPr>
              <w:t>standart</w:t>
            </w:r>
            <w:r w:rsidR="00915A92">
              <w:rPr>
                <w:rFonts w:ascii="Times New Roman" w:hAnsi="Times New Roman"/>
                <w:sz w:val="24"/>
                <w:szCs w:val="24"/>
                <w:lang w:eastAsia="lv-LV"/>
              </w:rPr>
              <w:t>i.</w:t>
            </w:r>
          </w:p>
          <w:p w:rsidR="00841DEB" w:rsidRDefault="00841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projektā </w:t>
            </w:r>
            <w:r w:rsidR="003A64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precizēta norma par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šķirnes novērtē</w:t>
            </w:r>
            <w:r w:rsidR="009C31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šanas ilgumu, 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kā arī </w:t>
            </w:r>
            <w:r w:rsidR="009C31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 nosaukums, kurā jāiesniedz iesniegumi šķirnes iekļaušanai Latvijas augu šķirņu katalogā.</w:t>
            </w:r>
          </w:p>
          <w:p w:rsidR="00E050D8" w:rsidRDefault="00CF5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Noteikum</w:t>
            </w:r>
            <w:r w:rsidR="000018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Nr.518 ir norād</w:t>
            </w:r>
            <w:r w:rsidR="001B10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īts, </w:t>
            </w:r>
            <w:r w:rsidR="00FC77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</w:t>
            </w:r>
            <w:r w:rsidR="008811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1B10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aprēķinot kopējās nepieciešamās mēslošanas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devas</w:t>
            </w:r>
            <w:r w:rsidR="00915A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ņem vērā augšņ</w:t>
            </w:r>
            <w:r w:rsidR="00FB0E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 agroķīmiskās izpētes rezultātus, kas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nav vecāki par termiņiem, kuri minēti normatīvajos aktos par ūdens un augsnes aizsardzību no lauksaimnieciskās darbības izraisīta piesārņojuma ar nitrātiem</w:t>
            </w:r>
            <w:r w:rsidR="00915A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 kā minēt</w:t>
            </w:r>
            <w:r w:rsidR="00A45B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jos normatīvajos aktos termiņi ir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noteikti attiecībā uz īpaši jutīgajām teritorijām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bet </w:t>
            </w:r>
            <w:r w:rsidR="0004588D" w:rsidRPr="00153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 w:rsidR="0004588D" w:rsidRPr="00153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Nr.518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noteiktās </w:t>
            </w:r>
            <w:r w:rsidRPr="00153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izmēģinājumu vietas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atrodas</w:t>
            </w:r>
            <w:r w:rsidRPr="00153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arī </w:t>
            </w:r>
            <w:r w:rsidR="00A45B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pārējā </w:t>
            </w:r>
            <w:r w:rsidRPr="00153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Latvijas teritorijā, </w:t>
            </w:r>
            <w:r w:rsidR="00A45B5B">
              <w:rPr>
                <w:rFonts w:ascii="Times New Roman" w:hAnsi="Times New Roman"/>
                <w:sz w:val="24"/>
                <w:szCs w:val="24"/>
              </w:rPr>
              <w:t>ir nepiecie</w:t>
            </w:r>
            <w:r w:rsidR="003A64C4">
              <w:rPr>
                <w:rFonts w:ascii="Times New Roman" w:hAnsi="Times New Roman"/>
                <w:sz w:val="24"/>
                <w:szCs w:val="24"/>
              </w:rPr>
              <w:t>šams noteikt</w:t>
            </w:r>
            <w:r w:rsidR="00153158" w:rsidRPr="0015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158" w:rsidRPr="00153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agroķīmiskās izpētes rezultāt</w:t>
            </w:r>
            <w:r w:rsidR="00A45B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153158" w:rsidRPr="00153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53158" w:rsidRPr="00153158">
              <w:rPr>
                <w:rFonts w:ascii="Times New Roman" w:hAnsi="Times New Roman"/>
                <w:sz w:val="24"/>
                <w:szCs w:val="24"/>
              </w:rPr>
              <w:t>termiņu visām izmēģinājumu vietām</w:t>
            </w:r>
            <w:r w:rsidR="00153158" w:rsidRPr="00153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53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Latvijas teritorijā</w:t>
            </w:r>
            <w:r w:rsidR="000721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lai dati būtu salīdzināmi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  <w:p w:rsidR="00E050D8" w:rsidRDefault="003A6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projektā</w:t>
            </w:r>
            <w:r w:rsidR="00E050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precizēti rādītāji, kas </w:t>
            </w:r>
            <w:r w:rsidR="00957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turpmāk </w:t>
            </w:r>
            <w:r w:rsidR="00E050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tiks</w:t>
            </w:r>
            <w:r w:rsidR="008811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noteikti informatīvi</w:t>
            </w:r>
            <w:r w:rsidR="00817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</w:t>
            </w:r>
            <w:r w:rsidR="008811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iemēram,</w:t>
            </w:r>
            <w:r w:rsidR="00E050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sējas zirņiem, lauku pupām un citām lopbarības augu sugām 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tiek </w:t>
            </w:r>
            <w:r w:rsidR="00E050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vērtēta sēklu raža</w:t>
            </w:r>
            <w:r w:rsidR="00817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110E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</w:t>
            </w:r>
            <w:r w:rsidR="00817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īm sugām </w:t>
            </w:r>
            <w:r w:rsidR="00E050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1000 sēklu masu novērtē kā informatīvu rādītāju, jo šis rādītājs ir atkarīgs no šķirnes ģenētikas, 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tāpēc</w:t>
            </w:r>
            <w:r w:rsidR="00E050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nebūtu korekti 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to </w:t>
            </w:r>
            <w:r w:rsidR="00E050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vērtēt ar ballēm. 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projekts papildināts arī ar jauniem informatīvajiem rādītājiem zālājiem (stiebrzālēm un </w:t>
            </w:r>
            <w:r w:rsidR="005813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vairāk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ām tauriņziežu sugām) </w:t>
            </w:r>
            <w:r w:rsidR="005813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neitrāli skalotā kokšķiedras frakciju sausnā NDF un skābi skalotā kokšķiedras frakciju sausnā (ADF), </w:t>
            </w:r>
            <w:r w:rsidR="005813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jo tas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lauksaimniekiem ļaus novērtēt šķirnes kvalitāti lopbarības gatavošanai.</w:t>
            </w:r>
          </w:p>
          <w:p w:rsidR="00E050D8" w:rsidRDefault="00E0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projektā</w:t>
            </w:r>
            <w:r w:rsidR="003A64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precizēti sugu nosaukumi s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ējas liniem, sējas un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milts 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vīķiem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atbilstoši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normatīvajiem aktiem 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sēklaudzēšan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sēklu tirdzniec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ību.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6B7741" w:rsidRPr="0000372B" w:rsidRDefault="006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37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projektā 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izdarī</w:t>
            </w:r>
            <w:r w:rsidRPr="000037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 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arī </w:t>
            </w:r>
            <w:r w:rsidRPr="000037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redakcionāli uzlabojumi un precizējumi. 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7. </w:t>
            </w:r>
            <w:r w:rsidR="007B5D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037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ielikums “Šķirņu novērtēšanas metodes” sadalīts vairākos atsevišķos pielikumos: </w:t>
            </w:r>
            <w:r w:rsidRPr="0000372B">
              <w:rPr>
                <w:rFonts w:ascii="Times New Roman" w:hAnsi="Times New Roman"/>
                <w:sz w:val="24"/>
                <w:szCs w:val="24"/>
              </w:rPr>
              <w:t xml:space="preserve">lauka izmēģinājumu rādītāju </w:t>
            </w:r>
            <w:r w:rsidRPr="0000372B">
              <w:rPr>
                <w:rFonts w:ascii="Times New Roman" w:hAnsi="Times New Roman"/>
                <w:bCs/>
                <w:sz w:val="24"/>
                <w:szCs w:val="24"/>
              </w:rPr>
              <w:t xml:space="preserve">noteikšanas metodes, ražas novākšana un uzskaite (sadalot pa produkcijas novākšanas veidiem – sēkla, zaļmasa, šķiedra, kartupeļi) un šķirņu novērtēšanas kvalitātes rādītāju noteikšana, tā </w:t>
            </w:r>
            <w:r w:rsidRPr="000037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uzlabojot noteikumu satura uztveramību un saprotamību.</w:t>
            </w:r>
          </w:p>
          <w:p w:rsidR="00DC0781" w:rsidRDefault="00DC0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Precizēta</w:t>
            </w:r>
            <w:r w:rsidR="008811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metodika un izmaksas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iesala kvalitātes miežu saimniecisko īpašību novērtēšan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ievērojot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laboratorijas izmaks</w:t>
            </w:r>
            <w:r w:rsidR="000458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ekstraktivitātes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noteikšanai. </w:t>
            </w:r>
          </w:p>
          <w:p w:rsidR="00CF51ED" w:rsidRDefault="00045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 kā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valstī </w:t>
            </w:r>
            <w:r w:rsidR="0007222D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kopš 2012. gada nav pārskatītas augu šķirņu saimniecisko īpašību novērtēšana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izmaksas</w:t>
            </w:r>
            <w:r w:rsidR="007B5D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bet </w:t>
            </w:r>
            <w:r w:rsidR="0007222D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palielinājušās 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izmaksas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izejvielām (degviel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minerālmēsli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em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augu aizsardzības līdzekļi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em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), kas nepieciešam</w:t>
            </w:r>
            <w:r w:rsidR="00014D88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izmēģinājumu ierīkošanai, to kopšanai un uzturēšanai, kā arī valstī vērojama darba algas pa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liel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ināšanās</w:t>
            </w:r>
            <w:r w:rsidR="00014D88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noteikumu projektā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ietverti grozījumi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kas attiecas uz saimniecisko īpašību novērtēšanas izmaksām. Vērtējot situāciju tuvākajās kaimiņvalstīs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tika secināts, ka Igaunijā šīs izmaksas</w:t>
            </w:r>
            <w:r w:rsidR="00DE3C55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noteiktām sugām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par </w:t>
            </w:r>
            <w:r w:rsidR="00DE3C55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% augstākas,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tāpēc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Latvijā 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minētās izmaksas </w:t>
            </w:r>
            <w:r w:rsidR="00DE3C55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atkarībā no sugas 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tiek palielināt</w:t>
            </w:r>
            <w:r w:rsidR="00E31F07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</w:t>
            </w:r>
            <w:r w:rsidR="00DE3C55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DE3C55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%,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tās 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proporcionāli sadal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ot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starp lauka izmēģinājuma veic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ēju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izmaksām</w:t>
            </w:r>
            <w:r w:rsidR="007B5D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B5D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izmaksu grupu, kas paredzētas 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analī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žu </w:t>
            </w:r>
            <w:r w:rsidR="00A9493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veikšanai</w:t>
            </w:r>
            <w:r w:rsidR="0000372B" w:rsidRPr="00DE3C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administratīvajiem izdevumiem.</w:t>
            </w:r>
            <w:r w:rsidR="000037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Pēc ekspertu ieteikuma precizētas izsējas normas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sējas kaņepēm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A453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pļavas timotiņam, sējas un hibrīdajai lucernai,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sarkanajam, baltajam</w:t>
            </w:r>
            <w:r w:rsidR="00611D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bastarda āboliņam</w:t>
            </w:r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6A65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 ka izmēģinājumos tiek pieteiktas hibrīdās </w:t>
            </w:r>
            <w:r w:rsidR="00611D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ziemas 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kviešu šķirnes</w:t>
            </w:r>
            <w:r w:rsidR="00611D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projekts tiek papildināts </w:t>
            </w:r>
            <w:r w:rsidR="00611D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</w:t>
            </w:r>
            <w:r w:rsidR="00A453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ējas normu</w:t>
            </w:r>
            <w:r w:rsidR="00A30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11D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</w:t>
            </w:r>
            <w:r w:rsidR="00A453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ētajām šķirnēm.</w:t>
            </w:r>
            <w:r w:rsidR="00611D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610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projektā precizēt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302F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vērtējamie rādītāji, </w:t>
            </w:r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parauga noņemšanas kārtība un paraugu apjoms. </w:t>
            </w:r>
            <w:r w:rsidR="00817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817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</w:t>
            </w:r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apildināt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prasību, ja </w:t>
            </w:r>
            <w:r w:rsidR="003B57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kvalitātes </w:t>
            </w:r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analīzes tiek noteiktas ar </w:t>
            </w:r>
            <w:proofErr w:type="spellStart"/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ekspresiekārtām</w:t>
            </w:r>
            <w:proofErr w:type="spellEnd"/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0E5C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analizējamo </w:t>
            </w:r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atkārtojumu skaitam jābūt lielākam, lai palielinātu</w:t>
            </w:r>
            <w:r w:rsidR="000E5C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rezultātu</w:t>
            </w:r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ticamību. </w:t>
            </w:r>
            <w:r w:rsidR="000E5C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DC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recizētas </w:t>
            </w:r>
            <w:r w:rsidR="00302F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metodik</w:t>
            </w:r>
            <w:r w:rsidR="003112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 dažādu rādītāju novērtēšanā</w:t>
            </w:r>
            <w:r w:rsidR="008978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8B6F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</w:t>
            </w:r>
            <w:r w:rsidR="00817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ēram</w:t>
            </w:r>
            <w:r w:rsidR="008B6F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8610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zaļmasas augu parauga lielums, kāds nepieciešams mitruma noteikšanai</w:t>
            </w:r>
            <w:r w:rsidR="007E60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kā arī </w:t>
            </w:r>
            <w:r w:rsidR="007E60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apvienoto paraugu lielums labību, eļļas augu un lopbarības augu sugām</w:t>
            </w:r>
            <w:r w:rsidR="00D110E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Tāpat </w:t>
            </w:r>
            <w:r w:rsidR="007E60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precizēts kvalitātes analīzēm paredzēto parauga iesaiņojums un </w:t>
            </w:r>
            <w:r w:rsidR="006E67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tam </w:t>
            </w:r>
            <w:r w:rsidR="007E60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norādāmā informācija, metodika </w:t>
            </w:r>
            <w:proofErr w:type="spellStart"/>
            <w:r w:rsidR="007E60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kailgraudu</w:t>
            </w:r>
            <w:proofErr w:type="spellEnd"/>
            <w:r w:rsidR="007E60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auzu </w:t>
            </w:r>
            <w:proofErr w:type="spellStart"/>
            <w:r w:rsidR="007E60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kuļamības</w:t>
            </w:r>
            <w:proofErr w:type="spellEnd"/>
            <w:r w:rsidR="007E60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noteikšanai, metodika kartupeļu preču bumbuļu vidējās masas noteikšanai, kā arī kartupeļu bumbuļu izmērs iedalījumam frakcijās</w:t>
            </w:r>
            <w:r w:rsidR="008610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FB0E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C77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Turklāt noteikumi </w:t>
            </w:r>
            <w:r w:rsidR="008610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papildināti ar metodiku stiklainības noteikšanai</w:t>
            </w:r>
            <w:r w:rsidR="00FC77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cietajiem kviešiem.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</w:t>
            </w:r>
            <w:r w:rsidR="001F4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  <w:r w:rsidR="001F4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svītrots</w:t>
            </w:r>
            <w:r w:rsidR="001F4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graudu analizatora </w:t>
            </w:r>
            <w:proofErr w:type="spellStart"/>
            <w:r w:rsidR="001F4EF0" w:rsidRPr="001F4EF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Infretec</w:t>
            </w:r>
            <w:proofErr w:type="spellEnd"/>
            <w:r w:rsidR="001F4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konkrēts modeļa numurs (</w:t>
            </w:r>
            <w:r w:rsidR="001F4EF0" w:rsidRPr="001F4EF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1241</w:t>
            </w:r>
            <w:r w:rsidR="001F4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), tā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dodot iespēju </w:t>
            </w:r>
            <w:r w:rsidR="001F4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kvalitātes analīzes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veikt</w:t>
            </w:r>
            <w:r w:rsidR="001F4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r w:rsidR="001F4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citiem graudu analizatora </w:t>
            </w:r>
            <w:proofErr w:type="spellStart"/>
            <w:r w:rsidR="001F4EF0" w:rsidRPr="001F4EF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Infratec</w:t>
            </w:r>
            <w:proofErr w:type="spellEnd"/>
            <w:r w:rsidR="001F4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modeļiem. </w:t>
            </w:r>
          </w:p>
          <w:p w:rsidR="00836D19" w:rsidRPr="001F4EF0" w:rsidRDefault="00225A2F" w:rsidP="0037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2E">
              <w:rPr>
                <w:rFonts w:ascii="Times New Roman" w:hAnsi="Times New Roman"/>
                <w:sz w:val="24"/>
                <w:szCs w:val="24"/>
              </w:rPr>
              <w:t xml:space="preserve">Noteikumu projekts </w:t>
            </w:r>
            <w:r w:rsidR="0004588D" w:rsidRPr="00FB0E2E">
              <w:rPr>
                <w:rFonts w:ascii="Times New Roman" w:hAnsi="Times New Roman"/>
                <w:sz w:val="24"/>
                <w:szCs w:val="24"/>
              </w:rPr>
              <w:t xml:space="preserve">atrisinās </w:t>
            </w:r>
            <w:r w:rsidR="00ED5E49" w:rsidRPr="00FB0E2E">
              <w:rPr>
                <w:rFonts w:ascii="Times New Roman" w:hAnsi="Times New Roman"/>
                <w:sz w:val="24"/>
                <w:szCs w:val="24"/>
              </w:rPr>
              <w:t>minēt</w:t>
            </w:r>
            <w:r w:rsidR="0004588D">
              <w:rPr>
                <w:rFonts w:ascii="Times New Roman" w:hAnsi="Times New Roman"/>
                <w:sz w:val="24"/>
                <w:szCs w:val="24"/>
              </w:rPr>
              <w:t>o</w:t>
            </w:r>
            <w:r w:rsidR="00FB0E2E" w:rsidRPr="00FB0E2E">
              <w:rPr>
                <w:rFonts w:ascii="Times New Roman" w:hAnsi="Times New Roman"/>
                <w:sz w:val="24"/>
                <w:szCs w:val="24"/>
              </w:rPr>
              <w:t>s</w:t>
            </w:r>
            <w:r w:rsidR="00ED5E49" w:rsidRPr="00FB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8D">
              <w:rPr>
                <w:rFonts w:ascii="Times New Roman" w:hAnsi="Times New Roman"/>
                <w:sz w:val="24"/>
                <w:szCs w:val="24"/>
              </w:rPr>
              <w:t>jautājumus</w:t>
            </w:r>
            <w:r w:rsidR="00FB0E2E" w:rsidRPr="00FB0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2AAB" w:rsidRPr="00ED7D0D" w:rsidTr="00E418F4">
        <w:trPr>
          <w:trHeight w:val="435"/>
        </w:trPr>
        <w:tc>
          <w:tcPr>
            <w:tcW w:w="426" w:type="dxa"/>
          </w:tcPr>
          <w:p w:rsidR="00E52AAB" w:rsidRPr="00ED7D0D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E52AAB" w:rsidRPr="00ED7D0D" w:rsidRDefault="006677B3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B3"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378" w:type="dxa"/>
          </w:tcPr>
          <w:p w:rsidR="000301CA" w:rsidRPr="00FC777E" w:rsidRDefault="00FC777E" w:rsidP="009A5D5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77E">
              <w:rPr>
                <w:rFonts w:ascii="Times New Roman" w:hAnsi="Times New Roman"/>
                <w:sz w:val="24"/>
                <w:szCs w:val="24"/>
              </w:rPr>
              <w:t xml:space="preserve">Noteikumu projekta izstrādē ir iesaistīts </w:t>
            </w:r>
            <w:r w:rsidR="009A5D5C" w:rsidRPr="00FC777E">
              <w:rPr>
                <w:rFonts w:ascii="Times New Roman" w:hAnsi="Times New Roman"/>
                <w:sz w:val="24"/>
                <w:szCs w:val="24"/>
              </w:rPr>
              <w:t>V</w:t>
            </w:r>
            <w:r w:rsidR="009A5D5C">
              <w:rPr>
                <w:rFonts w:ascii="Times New Roman" w:hAnsi="Times New Roman"/>
                <w:sz w:val="24"/>
                <w:szCs w:val="24"/>
              </w:rPr>
              <w:t>alsts augu aizsardzības dienests</w:t>
            </w:r>
            <w:r w:rsidRPr="00FC77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5D5C" w:rsidRPr="00FC777E">
              <w:rPr>
                <w:rFonts w:ascii="Times New Roman" w:hAnsi="Times New Roman"/>
                <w:sz w:val="24"/>
                <w:szCs w:val="24"/>
              </w:rPr>
              <w:t>L</w:t>
            </w:r>
            <w:r w:rsidR="009A5D5C">
              <w:rPr>
                <w:rFonts w:ascii="Times New Roman" w:hAnsi="Times New Roman"/>
                <w:sz w:val="24"/>
                <w:szCs w:val="24"/>
              </w:rPr>
              <w:t>atvijas Lauksaimniecības universitāte</w:t>
            </w:r>
            <w:r w:rsidR="0058134B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F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zinātniskā institūta “</w:t>
            </w:r>
            <w:proofErr w:type="spellStart"/>
            <w:r w:rsidRPr="00FC777E">
              <w:rPr>
                <w:rFonts w:ascii="Times New Roman" w:hAnsi="Times New Roman"/>
                <w:color w:val="000000"/>
                <w:sz w:val="24"/>
                <w:szCs w:val="24"/>
              </w:rPr>
              <w:t>Agroresursu</w:t>
            </w:r>
            <w:proofErr w:type="spellEnd"/>
            <w:r w:rsidRPr="00F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ekonomikas institūts” (turpmāk – AREI)</w:t>
            </w:r>
            <w:r w:rsidRPr="00FC777E">
              <w:rPr>
                <w:rStyle w:val="Izteiksmg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Stendes </w:t>
            </w:r>
            <w:r w:rsidR="00F36BA0">
              <w:rPr>
                <w:rStyle w:val="Izteiksmg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un Priekuļu pētniecības centrs. </w:t>
            </w:r>
          </w:p>
        </w:tc>
      </w:tr>
      <w:tr w:rsidR="00E52AAB" w:rsidRPr="00ED7D0D" w:rsidTr="00E418F4">
        <w:trPr>
          <w:trHeight w:val="349"/>
        </w:trPr>
        <w:tc>
          <w:tcPr>
            <w:tcW w:w="426" w:type="dxa"/>
          </w:tcPr>
          <w:p w:rsidR="00E52AAB" w:rsidRPr="00ED7D0D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52AAB" w:rsidRPr="00ED7D0D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378" w:type="dxa"/>
          </w:tcPr>
          <w:p w:rsidR="00E52AAB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Nav</w:t>
            </w:r>
            <w:r w:rsidR="000458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1CA" w:rsidRPr="00ED7D0D" w:rsidRDefault="000301CA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5D9" w:rsidRPr="00ED7D0D" w:rsidRDefault="00D715D9" w:rsidP="00EE11D3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410"/>
        <w:gridCol w:w="6237"/>
      </w:tblGrid>
      <w:tr w:rsidR="00E52AAB" w:rsidRPr="00ED7D0D" w:rsidTr="006406C0">
        <w:trPr>
          <w:trHeight w:val="570"/>
        </w:trPr>
        <w:tc>
          <w:tcPr>
            <w:tcW w:w="9073" w:type="dxa"/>
            <w:gridSpan w:val="3"/>
          </w:tcPr>
          <w:p w:rsidR="00E52AAB" w:rsidRPr="00ED7D0D" w:rsidRDefault="00E52AAB" w:rsidP="00EE11D3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D0D">
              <w:rPr>
                <w:rFonts w:ascii="Times New Roman" w:hAnsi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171FC6" w:rsidRPr="00CB7509" w:rsidTr="006406C0">
        <w:trPr>
          <w:trHeight w:val="570"/>
        </w:trPr>
        <w:tc>
          <w:tcPr>
            <w:tcW w:w="426" w:type="dxa"/>
          </w:tcPr>
          <w:p w:rsidR="00171FC6" w:rsidRPr="00CB7509" w:rsidRDefault="00171FC6" w:rsidP="00171FC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71FC6" w:rsidRPr="00CB7509" w:rsidRDefault="00171FC6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6237" w:type="dxa"/>
          </w:tcPr>
          <w:p w:rsidR="00171FC6" w:rsidRPr="00CB7509" w:rsidRDefault="00171FC6" w:rsidP="00B346F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iCs/>
                <w:sz w:val="24"/>
                <w:szCs w:val="24"/>
              </w:rPr>
              <w:t xml:space="preserve">Noteikumu projekts attiecas uz selekcionāriem, selekcionāra tiesību īpašniekiem, šķirnes uzturētājiem vai to pārstāvjiem, kas vēlas veikt </w:t>
            </w:r>
            <w:r w:rsidR="00FB0E2E">
              <w:rPr>
                <w:rFonts w:ascii="Times New Roman" w:hAnsi="Times New Roman"/>
                <w:iCs/>
                <w:sz w:val="24"/>
                <w:szCs w:val="24"/>
              </w:rPr>
              <w:t>SĪN Latvijā un SĪN veicējiem, kas nodro</w:t>
            </w:r>
            <w:r w:rsidR="00213308">
              <w:rPr>
                <w:rFonts w:ascii="Times New Roman" w:hAnsi="Times New Roman"/>
                <w:iCs/>
                <w:sz w:val="24"/>
                <w:szCs w:val="24"/>
              </w:rPr>
              <w:t>šina SĪN</w:t>
            </w:r>
            <w:r w:rsidR="00FB0E2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868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71FC6" w:rsidRPr="00CB7509" w:rsidTr="006406C0">
        <w:trPr>
          <w:trHeight w:val="570"/>
        </w:trPr>
        <w:tc>
          <w:tcPr>
            <w:tcW w:w="426" w:type="dxa"/>
          </w:tcPr>
          <w:p w:rsidR="00171FC6" w:rsidRPr="00CB7509" w:rsidRDefault="00171FC6" w:rsidP="00171FC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71FC6" w:rsidRPr="00CB7509" w:rsidRDefault="00171FC6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237" w:type="dxa"/>
          </w:tcPr>
          <w:p w:rsidR="00171FC6" w:rsidRPr="00536C1B" w:rsidRDefault="00171FC6" w:rsidP="00667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sz w:val="24"/>
                <w:szCs w:val="24"/>
              </w:rPr>
              <w:t>Noteikumu projekta tiesiskais regulējums nemaina līdzšinējo administratīvo procedūru šķirnes SĪN.</w:t>
            </w:r>
            <w:r w:rsidRPr="00E868BA">
              <w:rPr>
                <w:rFonts w:ascii="Times New Roman" w:hAnsi="Times New Roman"/>
                <w:iCs/>
                <w:sz w:val="24"/>
                <w:szCs w:val="24"/>
              </w:rPr>
              <w:t xml:space="preserve"> Noteikumu projekts neuzliek papildu 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>administratīvo slogu</w:t>
            </w:r>
            <w:r w:rsidRPr="00E868BA">
              <w:rPr>
                <w:rFonts w:ascii="Times New Roman" w:hAnsi="Times New Roman"/>
                <w:iCs/>
                <w:sz w:val="24"/>
                <w:szCs w:val="24"/>
              </w:rPr>
              <w:t xml:space="preserve"> selekcionāriem, selekcionāra tiesību īpašniekiem, šķirnes uzturētājiem vai to pārstāvjiem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>, jo neparedz papildu informācijas sniegšanas vai uzglabāšanas pienākumus.</w:t>
            </w:r>
          </w:p>
        </w:tc>
      </w:tr>
      <w:tr w:rsidR="00171FC6" w:rsidRPr="00CB7509" w:rsidTr="006406C0">
        <w:trPr>
          <w:trHeight w:val="570"/>
        </w:trPr>
        <w:tc>
          <w:tcPr>
            <w:tcW w:w="426" w:type="dxa"/>
          </w:tcPr>
          <w:p w:rsidR="00171FC6" w:rsidRPr="00CB7509" w:rsidRDefault="00171FC6" w:rsidP="00171FC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71FC6" w:rsidRPr="00CB7509" w:rsidRDefault="00171FC6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237" w:type="dxa"/>
          </w:tcPr>
          <w:p w:rsidR="00171FC6" w:rsidRPr="00CB7509" w:rsidRDefault="00171FC6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8B0AF0" w:rsidRPr="00CB7509" w:rsidTr="006406C0">
        <w:trPr>
          <w:trHeight w:val="570"/>
        </w:trPr>
        <w:tc>
          <w:tcPr>
            <w:tcW w:w="426" w:type="dxa"/>
          </w:tcPr>
          <w:p w:rsidR="008B0AF0" w:rsidRPr="00CB7509" w:rsidRDefault="008B0AF0" w:rsidP="008B0AF0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11E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B0AF0" w:rsidRPr="00CB7509" w:rsidRDefault="008B0AF0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88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6237" w:type="dxa"/>
          </w:tcPr>
          <w:p w:rsidR="008B0AF0" w:rsidRDefault="008B0AF0" w:rsidP="0058134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6">
              <w:rPr>
                <w:rFonts w:ascii="Times New Roman" w:hAnsi="Times New Roman"/>
                <w:sz w:val="24"/>
                <w:szCs w:val="24"/>
              </w:rPr>
              <w:t xml:space="preserve">Projekts </w:t>
            </w:r>
            <w:r w:rsidR="0058134B">
              <w:rPr>
                <w:rFonts w:ascii="Times New Roman" w:hAnsi="Times New Roman"/>
                <w:sz w:val="24"/>
                <w:szCs w:val="24"/>
              </w:rPr>
              <w:t xml:space="preserve">vairākām sugām </w:t>
            </w:r>
            <w:r w:rsidR="00E66262">
              <w:rPr>
                <w:rFonts w:ascii="Times New Roman" w:hAnsi="Times New Roman"/>
                <w:sz w:val="24"/>
                <w:szCs w:val="24"/>
              </w:rPr>
              <w:t xml:space="preserve">SĪN izmaksas </w:t>
            </w:r>
            <w:r w:rsidR="0058134B">
              <w:rPr>
                <w:rFonts w:ascii="Times New Roman" w:hAnsi="Times New Roman"/>
                <w:sz w:val="24"/>
                <w:szCs w:val="24"/>
              </w:rPr>
              <w:t>palielina</w:t>
            </w:r>
            <w:r w:rsidR="0058134B" w:rsidDel="0058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262">
              <w:rPr>
                <w:rFonts w:ascii="Times New Roman" w:hAnsi="Times New Roman"/>
                <w:sz w:val="24"/>
                <w:szCs w:val="24"/>
              </w:rPr>
              <w:t xml:space="preserve">no 10 </w:t>
            </w:r>
            <w:r w:rsidR="0004588D">
              <w:rPr>
                <w:rFonts w:ascii="Times New Roman" w:hAnsi="Times New Roman"/>
                <w:sz w:val="24"/>
                <w:szCs w:val="24"/>
              </w:rPr>
              <w:t>līdz</w:t>
            </w:r>
            <w:r w:rsidR="00E6626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945F1D">
              <w:rPr>
                <w:rFonts w:ascii="Times New Roman" w:hAnsi="Times New Roman"/>
                <w:sz w:val="24"/>
                <w:szCs w:val="24"/>
              </w:rPr>
              <w:t>%, skar</w:t>
            </w:r>
            <w:r w:rsidR="0004588D">
              <w:rPr>
                <w:rFonts w:ascii="Times New Roman" w:hAnsi="Times New Roman"/>
                <w:sz w:val="24"/>
                <w:szCs w:val="24"/>
              </w:rPr>
              <w:t>ot</w:t>
            </w:r>
            <w:r w:rsidR="00945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F1D" w:rsidRPr="00E868BA">
              <w:rPr>
                <w:rFonts w:ascii="Times New Roman" w:hAnsi="Times New Roman"/>
                <w:iCs/>
                <w:sz w:val="24"/>
                <w:szCs w:val="24"/>
              </w:rPr>
              <w:t>selekcionār</w:t>
            </w:r>
            <w:r w:rsidR="00945F1D">
              <w:rPr>
                <w:rFonts w:ascii="Times New Roman" w:hAnsi="Times New Roman"/>
                <w:iCs/>
                <w:sz w:val="24"/>
                <w:szCs w:val="24"/>
              </w:rPr>
              <w:t>us</w:t>
            </w:r>
            <w:r w:rsidR="00945F1D" w:rsidRPr="00E868BA">
              <w:rPr>
                <w:rFonts w:ascii="Times New Roman" w:hAnsi="Times New Roman"/>
                <w:iCs/>
                <w:sz w:val="24"/>
                <w:szCs w:val="24"/>
              </w:rPr>
              <w:t>, selekcionāra tiesību īpašniek</w:t>
            </w:r>
            <w:r w:rsidR="00945F1D">
              <w:rPr>
                <w:rFonts w:ascii="Times New Roman" w:hAnsi="Times New Roman"/>
                <w:iCs/>
                <w:sz w:val="24"/>
                <w:szCs w:val="24"/>
              </w:rPr>
              <w:t>us</w:t>
            </w:r>
            <w:r w:rsidR="00945F1D" w:rsidRPr="00E868BA">
              <w:rPr>
                <w:rFonts w:ascii="Times New Roman" w:hAnsi="Times New Roman"/>
                <w:iCs/>
                <w:sz w:val="24"/>
                <w:szCs w:val="24"/>
              </w:rPr>
              <w:t>, šķirnes uzturētāj</w:t>
            </w:r>
            <w:r w:rsidR="00945F1D">
              <w:rPr>
                <w:rFonts w:ascii="Times New Roman" w:hAnsi="Times New Roman"/>
                <w:iCs/>
                <w:sz w:val="24"/>
                <w:szCs w:val="24"/>
              </w:rPr>
              <w:t>us</w:t>
            </w:r>
            <w:r w:rsidR="00945F1D" w:rsidRPr="00E868BA">
              <w:rPr>
                <w:rFonts w:ascii="Times New Roman" w:hAnsi="Times New Roman"/>
                <w:iCs/>
                <w:sz w:val="24"/>
                <w:szCs w:val="24"/>
              </w:rPr>
              <w:t xml:space="preserve"> vai to pārstāvj</w:t>
            </w:r>
            <w:r w:rsidR="00945F1D">
              <w:rPr>
                <w:rFonts w:ascii="Times New Roman" w:hAnsi="Times New Roman"/>
                <w:iCs/>
                <w:sz w:val="24"/>
                <w:szCs w:val="24"/>
              </w:rPr>
              <w:t>us</w:t>
            </w:r>
            <w:r w:rsidR="000458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1D2" w:rsidRPr="00E868BA" w:rsidRDefault="00B971D2" w:rsidP="0058134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AF0" w:rsidRPr="00CB7509" w:rsidTr="006406C0">
        <w:trPr>
          <w:trHeight w:val="132"/>
        </w:trPr>
        <w:tc>
          <w:tcPr>
            <w:tcW w:w="426" w:type="dxa"/>
          </w:tcPr>
          <w:p w:rsidR="008B0AF0" w:rsidRPr="00CB7509" w:rsidRDefault="008B0AF0" w:rsidP="008B0AF0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7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B0AF0" w:rsidRPr="00CB7509" w:rsidRDefault="008B0AF0" w:rsidP="008B0AF0">
            <w:pPr>
              <w:pStyle w:val="Bezatstarpm"/>
              <w:spacing w:line="340" w:lineRule="atLeast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237" w:type="dxa"/>
          </w:tcPr>
          <w:p w:rsidR="008B0AF0" w:rsidRDefault="008B0AF0" w:rsidP="008B0AF0">
            <w:pPr>
              <w:pStyle w:val="Bezatstarpm"/>
              <w:spacing w:line="34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868BA">
              <w:rPr>
                <w:rFonts w:ascii="Times New Roman" w:hAnsi="Times New Roman"/>
                <w:sz w:val="24"/>
                <w:szCs w:val="24"/>
                <w:lang w:eastAsia="lv-LV"/>
              </w:rPr>
              <w:t>Nav.</w:t>
            </w:r>
          </w:p>
          <w:p w:rsidR="00B971D2" w:rsidRPr="00CB7509" w:rsidRDefault="00B971D2" w:rsidP="008B0AF0">
            <w:pPr>
              <w:pStyle w:val="Bezatstarpm"/>
              <w:spacing w:line="3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1CA" w:rsidRDefault="000301CA" w:rsidP="00AA53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3809E4" w:rsidRPr="00E1650F" w:rsidTr="00AE19F6">
        <w:trPr>
          <w:trHeight w:val="570"/>
        </w:trPr>
        <w:tc>
          <w:tcPr>
            <w:tcW w:w="9073" w:type="dxa"/>
          </w:tcPr>
          <w:p w:rsidR="003809E4" w:rsidRPr="00E1650F" w:rsidRDefault="003809E4" w:rsidP="00AE19F6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  <w:r w:rsidRPr="00E165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09E4" w:rsidRPr="00E1650F" w:rsidTr="00AE19F6">
        <w:trPr>
          <w:trHeight w:val="570"/>
        </w:trPr>
        <w:tc>
          <w:tcPr>
            <w:tcW w:w="9073" w:type="dxa"/>
          </w:tcPr>
          <w:p w:rsidR="003809E4" w:rsidRPr="00E1650F" w:rsidRDefault="003809E4" w:rsidP="00AE19F6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809E4" w:rsidRPr="00E1650F" w:rsidRDefault="003809E4" w:rsidP="003809E4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3809E4" w:rsidRPr="00E1650F" w:rsidTr="00AE19F6">
        <w:trPr>
          <w:trHeight w:val="570"/>
        </w:trPr>
        <w:tc>
          <w:tcPr>
            <w:tcW w:w="9073" w:type="dxa"/>
          </w:tcPr>
          <w:p w:rsidR="003809E4" w:rsidRPr="00E1650F" w:rsidRDefault="003809E4" w:rsidP="00AE19F6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809E4" w:rsidRPr="00E1650F" w:rsidTr="00AE19F6">
        <w:trPr>
          <w:trHeight w:val="570"/>
        </w:trPr>
        <w:tc>
          <w:tcPr>
            <w:tcW w:w="9073" w:type="dxa"/>
          </w:tcPr>
          <w:p w:rsidR="003809E4" w:rsidRPr="00E1650F" w:rsidRDefault="003809E4" w:rsidP="00AE19F6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809E4" w:rsidRPr="00E1650F" w:rsidRDefault="003809E4" w:rsidP="003809E4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3809E4" w:rsidRPr="00E1650F" w:rsidTr="00AE19F6">
        <w:trPr>
          <w:trHeight w:val="570"/>
        </w:trPr>
        <w:tc>
          <w:tcPr>
            <w:tcW w:w="9073" w:type="dxa"/>
            <w:vAlign w:val="center"/>
          </w:tcPr>
          <w:p w:rsidR="003809E4" w:rsidRPr="00E1650F" w:rsidRDefault="003809E4" w:rsidP="00AE19F6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809E4" w:rsidRPr="00E1650F" w:rsidTr="00AE19F6">
        <w:trPr>
          <w:trHeight w:val="570"/>
        </w:trPr>
        <w:tc>
          <w:tcPr>
            <w:tcW w:w="9073" w:type="dxa"/>
          </w:tcPr>
          <w:p w:rsidR="003809E4" w:rsidRPr="00E1650F" w:rsidRDefault="003809E4" w:rsidP="00AE19F6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0301CA" w:rsidRPr="00CB7509" w:rsidRDefault="000301CA" w:rsidP="00AA535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02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4"/>
        <w:gridCol w:w="3109"/>
        <w:gridCol w:w="5412"/>
      </w:tblGrid>
      <w:tr w:rsidR="00E52AAB" w:rsidRPr="000D51A1" w:rsidTr="00283C31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8A274A" w:rsidRDefault="00E52AAB" w:rsidP="008A274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VI. Sabiedrības līdzdalība un komunikācijas </w:t>
            </w:r>
          </w:p>
          <w:p w:rsidR="00E52AAB" w:rsidRPr="006A3891" w:rsidRDefault="00E52AAB" w:rsidP="008A274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aktivitātes</w:t>
            </w:r>
          </w:p>
        </w:tc>
      </w:tr>
      <w:tr w:rsidR="00E52AAB" w:rsidRPr="000D51A1" w:rsidTr="00283C31">
        <w:trPr>
          <w:trHeight w:val="540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6A3891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EA4635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A4635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346FC" w:rsidRDefault="00B346FC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346FC">
              <w:rPr>
                <w:rFonts w:ascii="Times New Roman" w:hAnsi="Times New Roman"/>
                <w:sz w:val="24"/>
                <w:szCs w:val="24"/>
                <w:lang w:eastAsia="lv-LV"/>
              </w:rPr>
              <w:t>Atbilstoši Ministru kabineta 2009. gada 25. augusta noteikumu Nr.970 „Sabiedrības līdzdalības kārtība attīstības plānošanas procesā” 7.4.</w:t>
            </w:r>
            <w:r w:rsidRPr="00B346FC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B346FC">
              <w:rPr>
                <w:rFonts w:ascii="Times New Roman" w:hAnsi="Times New Roman"/>
                <w:sz w:val="24"/>
                <w:szCs w:val="24"/>
                <w:lang w:eastAsia="lv-LV"/>
              </w:rPr>
              <w:t>apakšpunktam, sabiedrībai tika dota iespēja rakstiski sniegt viedokli par noteikumu projektu tā izstrādes stadijā.</w:t>
            </w:r>
          </w:p>
          <w:p w:rsidR="00D46FFF" w:rsidRPr="00EA4635" w:rsidRDefault="00D46FFF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E52AAB" w:rsidRPr="000D51A1" w:rsidTr="00283C31">
        <w:trPr>
          <w:trHeight w:val="330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6A3891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6A3891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0742BB" w:rsidRDefault="00B346FC" w:rsidP="00DD7802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C1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Informācija par noteikumu projektu tika </w:t>
            </w:r>
            <w:proofErr w:type="gramStart"/>
            <w:r w:rsidRPr="000D2C1C">
              <w:rPr>
                <w:rFonts w:ascii="Times New Roman" w:hAnsi="Times New Roman"/>
                <w:sz w:val="24"/>
                <w:szCs w:val="24"/>
                <w:lang w:eastAsia="lv-LV"/>
              </w:rPr>
              <w:t>ievietota Zemkopības ministrijas tīmekļvietnes</w:t>
            </w:r>
            <w:proofErr w:type="gramEnd"/>
            <w:r w:rsidRPr="000D2C1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Pr="000D2C1C">
                <w:rPr>
                  <w:rStyle w:val="Hipersaite"/>
                  <w:rFonts w:ascii="Times New Roman" w:hAnsi="Times New Roman"/>
                  <w:sz w:val="24"/>
                  <w:szCs w:val="24"/>
                  <w:lang w:eastAsia="lv-LV"/>
                </w:rPr>
                <w:t>www.zm.gov.lv</w:t>
              </w:r>
            </w:hyperlink>
            <w:r w:rsidRPr="000D2C1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sadaļā „Sabiedriskā apspriešana”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346FC">
              <w:rPr>
                <w:rFonts w:ascii="Times New Roman" w:hAnsi="Times New Roman"/>
                <w:sz w:val="24"/>
                <w:szCs w:val="24"/>
                <w:lang w:eastAsia="lv-LV"/>
              </w:rPr>
              <w:t>(04.04.2018.</w:t>
            </w:r>
            <w:r w:rsidR="0058134B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Pr="00B346F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13.04.2018.). </w:t>
            </w:r>
            <w:r w:rsidRPr="00B346FC">
              <w:rPr>
                <w:rFonts w:ascii="Times New Roman" w:hAnsi="Times New Roman"/>
                <w:sz w:val="24"/>
                <w:szCs w:val="24"/>
              </w:rPr>
              <w:t>Noteikumu projekts ir</w:t>
            </w:r>
            <w:r w:rsidRPr="00542240">
              <w:rPr>
                <w:rFonts w:ascii="Times New Roman" w:hAnsi="Times New Roman"/>
                <w:sz w:val="24"/>
                <w:szCs w:val="24"/>
              </w:rPr>
              <w:t xml:space="preserve"> saskaņots ar </w:t>
            </w:r>
            <w:r w:rsidRPr="00B346FC">
              <w:rPr>
                <w:rStyle w:val="Izclums"/>
                <w:rFonts w:ascii="Times New Roman" w:hAnsi="Times New Roman"/>
                <w:b w:val="0"/>
                <w:sz w:val="24"/>
                <w:szCs w:val="24"/>
              </w:rPr>
              <w:t>Lauksaimnieku organizāciju sadarbības padomi</w:t>
            </w:r>
            <w:r w:rsidRPr="00E60D69">
              <w:rPr>
                <w:rFonts w:ascii="Times New Roman" w:hAnsi="Times New Roman"/>
                <w:sz w:val="24"/>
                <w:szCs w:val="24"/>
              </w:rPr>
              <w:t xml:space="preserve"> un Zemnieku saeimu.</w:t>
            </w:r>
          </w:p>
          <w:p w:rsidR="00B971D2" w:rsidRPr="002A7078" w:rsidRDefault="00B971D2" w:rsidP="00DD7802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2AAB" w:rsidRPr="000D51A1" w:rsidTr="00283C31">
        <w:trPr>
          <w:trHeight w:val="465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6A3891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6A3891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E52AAB" w:rsidRDefault="006677B3" w:rsidP="006677B3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B2E">
              <w:rPr>
                <w:rFonts w:ascii="Times New Roman" w:hAnsi="Times New Roman"/>
                <w:sz w:val="24"/>
                <w:szCs w:val="24"/>
              </w:rPr>
              <w:t xml:space="preserve">Par tīmekļvietnē </w:t>
            </w:r>
            <w:proofErr w:type="spellStart"/>
            <w:r w:rsidRPr="00825B2E">
              <w:rPr>
                <w:rFonts w:ascii="Times New Roman" w:hAnsi="Times New Roman"/>
                <w:sz w:val="24"/>
                <w:szCs w:val="24"/>
              </w:rPr>
              <w:t>www.zm.gov.lv</w:t>
            </w:r>
            <w:proofErr w:type="spellEnd"/>
            <w:r w:rsidRPr="00825B2E">
              <w:rPr>
                <w:rFonts w:ascii="Times New Roman" w:hAnsi="Times New Roman"/>
                <w:sz w:val="24"/>
                <w:szCs w:val="24"/>
              </w:rPr>
              <w:t xml:space="preserve"> ievietoto noteikumu projektu iebildumi un priekšlikumi no sabiedrības netika saņemti.</w:t>
            </w:r>
          </w:p>
          <w:p w:rsidR="00B971D2" w:rsidRPr="003F0D3B" w:rsidRDefault="00B971D2" w:rsidP="006677B3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AAB" w:rsidRPr="000D51A1" w:rsidTr="00283C31">
        <w:trPr>
          <w:trHeight w:val="152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6A3891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6A3891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E52AAB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04588D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B971D2" w:rsidRPr="006A3891" w:rsidRDefault="00B971D2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8B0AF0" w:rsidRDefault="008B0AF0" w:rsidP="008A2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2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4"/>
        <w:gridCol w:w="3109"/>
        <w:gridCol w:w="5412"/>
      </w:tblGrid>
      <w:tr w:rsidR="008B0AF0" w:rsidRPr="006A3891" w:rsidTr="00E321CF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8B0AF0" w:rsidRDefault="008B0AF0" w:rsidP="00E321C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VII. Tiesību akta projekta izpildes nodrošināšana </w:t>
            </w:r>
          </w:p>
          <w:p w:rsidR="008B0AF0" w:rsidRPr="006A3891" w:rsidRDefault="008B0AF0" w:rsidP="00E321C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un tās ietekme uz institūcijām</w:t>
            </w:r>
          </w:p>
        </w:tc>
      </w:tr>
      <w:tr w:rsidR="008B0AF0" w:rsidRPr="006A3891" w:rsidTr="00E321CF">
        <w:trPr>
          <w:trHeight w:val="420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B0AF0" w:rsidRPr="006A3891" w:rsidRDefault="008B0AF0" w:rsidP="00E3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B0AF0" w:rsidRPr="006A3891" w:rsidRDefault="008B0AF0" w:rsidP="00E321C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B0AF0" w:rsidRDefault="008B0AF0" w:rsidP="008B0AF0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sz w:val="24"/>
                <w:szCs w:val="24"/>
              </w:rPr>
              <w:t>Noteikumu projekta izpildi nodrošinās L</w:t>
            </w:r>
            <w:r>
              <w:rPr>
                <w:rFonts w:ascii="Times New Roman" w:hAnsi="Times New Roman"/>
                <w:sz w:val="24"/>
                <w:szCs w:val="24"/>
              </w:rPr>
              <w:t>atvijas Lauksaimniecības universitāte un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alsts augu aizsardzības dienests.</w:t>
            </w:r>
          </w:p>
          <w:p w:rsidR="00B971D2" w:rsidRPr="006A3891" w:rsidRDefault="00B971D2" w:rsidP="008B0AF0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8B0AF0" w:rsidRPr="006A3891" w:rsidTr="00E321CF">
        <w:trPr>
          <w:trHeight w:val="450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B0AF0" w:rsidRPr="006A3891" w:rsidRDefault="008B0AF0" w:rsidP="00E3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B0AF0" w:rsidRPr="006A3891" w:rsidRDefault="008B0AF0" w:rsidP="00E321C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8B0AF0" w:rsidRPr="000D51A1" w:rsidRDefault="008B0AF0" w:rsidP="00E321CF">
            <w:pPr>
              <w:pStyle w:val="Bezatstarpm"/>
              <w:spacing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D51A1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B0AF0" w:rsidRPr="006A3891" w:rsidRDefault="008B0AF0" w:rsidP="00E321CF">
            <w:pPr>
              <w:pStyle w:val="Bezatstarpm"/>
              <w:spacing w:line="300" w:lineRule="atLeast"/>
              <w:jc w:val="both"/>
              <w:rPr>
                <w:lang w:eastAsia="lv-LV"/>
              </w:rPr>
            </w:pPr>
            <w:r w:rsidRPr="00E868BA">
              <w:rPr>
                <w:rFonts w:ascii="Times New Roman" w:hAnsi="Times New Roman"/>
                <w:color w:val="000000"/>
                <w:sz w:val="24"/>
                <w:szCs w:val="24"/>
              </w:rPr>
              <w:t>Noteikumu projekta izpilde tiks nodrošināta, pamatojoties uz esošo institūciju funkcijām.</w:t>
            </w:r>
          </w:p>
        </w:tc>
      </w:tr>
      <w:tr w:rsidR="008B0AF0" w:rsidRPr="006A3891" w:rsidTr="00E321CF">
        <w:trPr>
          <w:trHeight w:val="168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B0AF0" w:rsidRPr="006A3891" w:rsidRDefault="008B0AF0" w:rsidP="00E3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B0AF0" w:rsidRPr="006A3891" w:rsidRDefault="008B0AF0" w:rsidP="00E321C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B0AF0" w:rsidRPr="006A3891" w:rsidRDefault="008B0AF0" w:rsidP="00E321C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:rsidR="008A274A" w:rsidRDefault="008A274A" w:rsidP="008A2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D51" w:rsidRDefault="009F2D51" w:rsidP="008A2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1CA" w:rsidRDefault="000301CA" w:rsidP="008A2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FDA" w:rsidRPr="009F2D51" w:rsidRDefault="009F2D51" w:rsidP="009F2D5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Zemkopības ministrs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2AAB" w:rsidRPr="009F2D51">
        <w:rPr>
          <w:rFonts w:ascii="Times New Roman" w:hAnsi="Times New Roman"/>
          <w:sz w:val="28"/>
          <w:szCs w:val="28"/>
        </w:rPr>
        <w:t>J</w:t>
      </w:r>
      <w:r w:rsidR="006A6205" w:rsidRPr="009F2D51">
        <w:rPr>
          <w:rFonts w:ascii="Times New Roman" w:hAnsi="Times New Roman"/>
          <w:sz w:val="28"/>
          <w:szCs w:val="28"/>
        </w:rPr>
        <w:t xml:space="preserve">ānis </w:t>
      </w:r>
      <w:r w:rsidR="00E52AAB" w:rsidRPr="009F2D51">
        <w:rPr>
          <w:rFonts w:ascii="Times New Roman" w:hAnsi="Times New Roman"/>
          <w:sz w:val="28"/>
          <w:szCs w:val="28"/>
        </w:rPr>
        <w:t>Dūklavs</w:t>
      </w:r>
    </w:p>
    <w:p w:rsidR="008A274A" w:rsidRDefault="008A274A" w:rsidP="00760C77">
      <w:pPr>
        <w:pStyle w:val="Bezatstarpm"/>
        <w:rPr>
          <w:rFonts w:ascii="Times New Roman" w:hAnsi="Times New Roman"/>
          <w:sz w:val="18"/>
          <w:szCs w:val="18"/>
        </w:rPr>
      </w:pPr>
    </w:p>
    <w:p w:rsidR="008A274A" w:rsidRDefault="008A274A" w:rsidP="00760C77">
      <w:pPr>
        <w:pStyle w:val="Bezatstarpm"/>
        <w:rPr>
          <w:rFonts w:ascii="Times New Roman" w:hAnsi="Times New Roman"/>
          <w:sz w:val="18"/>
          <w:szCs w:val="18"/>
        </w:rPr>
      </w:pPr>
    </w:p>
    <w:p w:rsidR="00130430" w:rsidRDefault="00130430" w:rsidP="00760C77">
      <w:pPr>
        <w:pStyle w:val="Bezatstarpm"/>
        <w:rPr>
          <w:rFonts w:ascii="Times New Roman" w:hAnsi="Times New Roman"/>
          <w:sz w:val="18"/>
          <w:szCs w:val="18"/>
        </w:rPr>
      </w:pPr>
    </w:p>
    <w:p w:rsidR="00130430" w:rsidRDefault="00130430" w:rsidP="00760C77">
      <w:pPr>
        <w:pStyle w:val="Bezatstarpm"/>
        <w:rPr>
          <w:rFonts w:ascii="Times New Roman" w:hAnsi="Times New Roman"/>
          <w:sz w:val="18"/>
          <w:szCs w:val="18"/>
        </w:rPr>
      </w:pPr>
    </w:p>
    <w:p w:rsidR="00130430" w:rsidRDefault="00130430" w:rsidP="00760C77">
      <w:pPr>
        <w:pStyle w:val="Bezatstarpm"/>
        <w:rPr>
          <w:rFonts w:ascii="Times New Roman" w:hAnsi="Times New Roman"/>
          <w:sz w:val="18"/>
          <w:szCs w:val="18"/>
        </w:rPr>
      </w:pPr>
    </w:p>
    <w:p w:rsidR="00130430" w:rsidRDefault="00130430" w:rsidP="00760C77">
      <w:pPr>
        <w:pStyle w:val="Bezatstarpm"/>
        <w:rPr>
          <w:rFonts w:ascii="Times New Roman" w:hAnsi="Times New Roman"/>
          <w:sz w:val="18"/>
          <w:szCs w:val="18"/>
        </w:rPr>
      </w:pPr>
    </w:p>
    <w:p w:rsidR="008A274A" w:rsidRPr="009F2D51" w:rsidRDefault="008A274A" w:rsidP="00760C77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071989" w:rsidRDefault="00071989" w:rsidP="00D86D4D">
      <w:pPr>
        <w:pStyle w:val="Bezatstarpm"/>
        <w:rPr>
          <w:rFonts w:ascii="Times New Roman" w:hAnsi="Times New Roman"/>
          <w:sz w:val="24"/>
          <w:szCs w:val="24"/>
        </w:rPr>
      </w:pPr>
    </w:p>
    <w:p w:rsidR="00573D46" w:rsidRPr="009F2D51" w:rsidRDefault="00171FC6" w:rsidP="00D86D4D">
      <w:pPr>
        <w:pStyle w:val="Bezatstarpm"/>
        <w:rPr>
          <w:rFonts w:ascii="Times New Roman" w:hAnsi="Times New Roman"/>
          <w:sz w:val="24"/>
          <w:szCs w:val="24"/>
        </w:rPr>
      </w:pPr>
      <w:r w:rsidRPr="009F2D51">
        <w:rPr>
          <w:rFonts w:ascii="Times New Roman" w:hAnsi="Times New Roman"/>
          <w:sz w:val="24"/>
          <w:szCs w:val="24"/>
        </w:rPr>
        <w:t>Bajale</w:t>
      </w:r>
      <w:r w:rsidR="00573D46" w:rsidRPr="009F2D51">
        <w:rPr>
          <w:rFonts w:ascii="Times New Roman" w:hAnsi="Times New Roman"/>
          <w:sz w:val="24"/>
          <w:szCs w:val="24"/>
        </w:rPr>
        <w:t xml:space="preserve"> 670273</w:t>
      </w:r>
      <w:r w:rsidR="00213308" w:rsidRPr="009F2D51">
        <w:rPr>
          <w:rFonts w:ascii="Times New Roman" w:hAnsi="Times New Roman"/>
          <w:sz w:val="24"/>
          <w:szCs w:val="24"/>
        </w:rPr>
        <w:t>13</w:t>
      </w:r>
    </w:p>
    <w:p w:rsidR="00AF2BB4" w:rsidRPr="009F2D51" w:rsidRDefault="00B971D2" w:rsidP="00D86D4D">
      <w:pPr>
        <w:pStyle w:val="Bezatstarpm"/>
        <w:rPr>
          <w:rFonts w:ascii="Times New Roman" w:hAnsi="Times New Roman"/>
          <w:sz w:val="24"/>
          <w:szCs w:val="24"/>
        </w:rPr>
      </w:pPr>
      <w:hyperlink r:id="rId9" w:history="1">
        <w:r w:rsidR="00213308" w:rsidRPr="009F2D51">
          <w:rPr>
            <w:rStyle w:val="Hipersaite"/>
            <w:rFonts w:ascii="Times New Roman" w:hAnsi="Times New Roman"/>
            <w:sz w:val="24"/>
            <w:szCs w:val="24"/>
          </w:rPr>
          <w:t>daiga.bajale@zm.gov.lv</w:t>
        </w:r>
      </w:hyperlink>
    </w:p>
    <w:sectPr w:rsidR="00AF2BB4" w:rsidRPr="009F2D51" w:rsidSect="00071989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94" w:rsidRDefault="00696A94" w:rsidP="00EE11D3">
      <w:pPr>
        <w:spacing w:after="0" w:line="240" w:lineRule="auto"/>
      </w:pPr>
      <w:r>
        <w:separator/>
      </w:r>
    </w:p>
  </w:endnote>
  <w:endnote w:type="continuationSeparator" w:id="0">
    <w:p w:rsidR="00696A94" w:rsidRDefault="00696A94" w:rsidP="00E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49" w:rsidRDefault="00133A49" w:rsidP="00133A49">
    <w:pPr>
      <w:pStyle w:val="Kjene"/>
      <w:jc w:val="both"/>
      <w:rPr>
        <w:rFonts w:ascii="Times New Roman" w:hAnsi="Times New Roman"/>
        <w:sz w:val="20"/>
        <w:szCs w:val="20"/>
      </w:rPr>
    </w:pPr>
  </w:p>
  <w:p w:rsidR="0093364C" w:rsidRPr="008A274A" w:rsidRDefault="00071989" w:rsidP="00B425D7">
    <w:pPr>
      <w:pStyle w:val="Kjene"/>
      <w:jc w:val="both"/>
      <w:rPr>
        <w:rFonts w:ascii="Times New Roman" w:hAnsi="Times New Roman"/>
        <w:sz w:val="20"/>
        <w:szCs w:val="20"/>
      </w:rPr>
    </w:pPr>
    <w:r w:rsidRPr="00071989">
      <w:rPr>
        <w:rFonts w:ascii="Times New Roman" w:hAnsi="Times New Roman"/>
        <w:sz w:val="20"/>
        <w:szCs w:val="20"/>
      </w:rPr>
      <w:t>ZManot_011018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C3" w:rsidRPr="00071989" w:rsidRDefault="00071989" w:rsidP="00071989">
    <w:pPr>
      <w:pStyle w:val="Kjene"/>
    </w:pPr>
    <w:r w:rsidRPr="00071989">
      <w:rPr>
        <w:rFonts w:ascii="Times New Roman" w:hAnsi="Times New Roman"/>
        <w:sz w:val="20"/>
        <w:szCs w:val="20"/>
      </w:rPr>
      <w:t>ZManot_011018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94" w:rsidRDefault="00696A94" w:rsidP="00EE11D3">
      <w:pPr>
        <w:spacing w:after="0" w:line="240" w:lineRule="auto"/>
      </w:pPr>
      <w:r>
        <w:separator/>
      </w:r>
    </w:p>
  </w:footnote>
  <w:footnote w:type="continuationSeparator" w:id="0">
    <w:p w:rsidR="00696A94" w:rsidRDefault="00696A94" w:rsidP="00EE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AB" w:rsidRPr="008A274A" w:rsidRDefault="00E52AAB" w:rsidP="008A274A">
    <w:pPr>
      <w:pStyle w:val="Galvene"/>
      <w:jc w:val="center"/>
      <w:rPr>
        <w:rFonts w:ascii="Times New Roman" w:hAnsi="Times New Roman"/>
        <w:sz w:val="24"/>
        <w:szCs w:val="24"/>
      </w:rPr>
    </w:pPr>
    <w:r w:rsidRPr="0054754F">
      <w:rPr>
        <w:rFonts w:ascii="Times New Roman" w:hAnsi="Times New Roman"/>
        <w:sz w:val="24"/>
        <w:szCs w:val="24"/>
      </w:rPr>
      <w:fldChar w:fldCharType="begin"/>
    </w:r>
    <w:r w:rsidRPr="0054754F">
      <w:rPr>
        <w:rFonts w:ascii="Times New Roman" w:hAnsi="Times New Roman"/>
        <w:sz w:val="24"/>
        <w:szCs w:val="24"/>
      </w:rPr>
      <w:instrText>PAGE   \* MERGEFORMAT</w:instrText>
    </w:r>
    <w:r w:rsidRPr="0054754F">
      <w:rPr>
        <w:rFonts w:ascii="Times New Roman" w:hAnsi="Times New Roman"/>
        <w:sz w:val="24"/>
        <w:szCs w:val="24"/>
      </w:rPr>
      <w:fldChar w:fldCharType="separate"/>
    </w:r>
    <w:r w:rsidR="00B971D2">
      <w:rPr>
        <w:rFonts w:ascii="Times New Roman" w:hAnsi="Times New Roman"/>
        <w:noProof/>
        <w:sz w:val="24"/>
        <w:szCs w:val="24"/>
      </w:rPr>
      <w:t>4</w:t>
    </w:r>
    <w:r w:rsidRPr="0054754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115E"/>
    <w:multiLevelType w:val="hybridMultilevel"/>
    <w:tmpl w:val="CC486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E3A16"/>
    <w:multiLevelType w:val="hybridMultilevel"/>
    <w:tmpl w:val="10D647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05"/>
    <w:rsid w:val="0000062A"/>
    <w:rsid w:val="00001835"/>
    <w:rsid w:val="0000272B"/>
    <w:rsid w:val="0000372B"/>
    <w:rsid w:val="0000522E"/>
    <w:rsid w:val="00010392"/>
    <w:rsid w:val="00011CF2"/>
    <w:rsid w:val="00014D88"/>
    <w:rsid w:val="00015579"/>
    <w:rsid w:val="00016CEC"/>
    <w:rsid w:val="00016CF9"/>
    <w:rsid w:val="000174B6"/>
    <w:rsid w:val="00017DA2"/>
    <w:rsid w:val="00020785"/>
    <w:rsid w:val="00024111"/>
    <w:rsid w:val="00026DDD"/>
    <w:rsid w:val="000301CA"/>
    <w:rsid w:val="0003167B"/>
    <w:rsid w:val="00033C1C"/>
    <w:rsid w:val="00034718"/>
    <w:rsid w:val="00040852"/>
    <w:rsid w:val="0004588D"/>
    <w:rsid w:val="000463E5"/>
    <w:rsid w:val="00050CC4"/>
    <w:rsid w:val="000512E5"/>
    <w:rsid w:val="00055D53"/>
    <w:rsid w:val="0006121C"/>
    <w:rsid w:val="000669A3"/>
    <w:rsid w:val="00066BE7"/>
    <w:rsid w:val="00066E1A"/>
    <w:rsid w:val="00067E02"/>
    <w:rsid w:val="00071989"/>
    <w:rsid w:val="000721B3"/>
    <w:rsid w:val="0007222D"/>
    <w:rsid w:val="000732A4"/>
    <w:rsid w:val="000742BB"/>
    <w:rsid w:val="0007495B"/>
    <w:rsid w:val="000813E6"/>
    <w:rsid w:val="000815E6"/>
    <w:rsid w:val="000823E2"/>
    <w:rsid w:val="00084DAB"/>
    <w:rsid w:val="0008694A"/>
    <w:rsid w:val="0008770F"/>
    <w:rsid w:val="00091C07"/>
    <w:rsid w:val="00097C26"/>
    <w:rsid w:val="000A5345"/>
    <w:rsid w:val="000A59C3"/>
    <w:rsid w:val="000A6BDB"/>
    <w:rsid w:val="000A6C44"/>
    <w:rsid w:val="000B1FB6"/>
    <w:rsid w:val="000B32D5"/>
    <w:rsid w:val="000B3951"/>
    <w:rsid w:val="000B3E1D"/>
    <w:rsid w:val="000C55F3"/>
    <w:rsid w:val="000C60EC"/>
    <w:rsid w:val="000D306C"/>
    <w:rsid w:val="000D5162"/>
    <w:rsid w:val="000D51A1"/>
    <w:rsid w:val="000E4DAC"/>
    <w:rsid w:val="000E5CB8"/>
    <w:rsid w:val="000E7EAF"/>
    <w:rsid w:val="000F07FE"/>
    <w:rsid w:val="000F0CA1"/>
    <w:rsid w:val="000F491D"/>
    <w:rsid w:val="000F57BF"/>
    <w:rsid w:val="000F5E5F"/>
    <w:rsid w:val="001007F6"/>
    <w:rsid w:val="001012A6"/>
    <w:rsid w:val="00104241"/>
    <w:rsid w:val="001053E6"/>
    <w:rsid w:val="00107EB8"/>
    <w:rsid w:val="00110664"/>
    <w:rsid w:val="00110BE7"/>
    <w:rsid w:val="00112280"/>
    <w:rsid w:val="00120DA1"/>
    <w:rsid w:val="00122D6E"/>
    <w:rsid w:val="00123511"/>
    <w:rsid w:val="00124537"/>
    <w:rsid w:val="00124C4D"/>
    <w:rsid w:val="001251FB"/>
    <w:rsid w:val="001270B4"/>
    <w:rsid w:val="00130430"/>
    <w:rsid w:val="00130EFE"/>
    <w:rsid w:val="00132D77"/>
    <w:rsid w:val="00133A49"/>
    <w:rsid w:val="00136C43"/>
    <w:rsid w:val="001428C6"/>
    <w:rsid w:val="00146858"/>
    <w:rsid w:val="0014741D"/>
    <w:rsid w:val="0014794B"/>
    <w:rsid w:val="00150A00"/>
    <w:rsid w:val="00152CB0"/>
    <w:rsid w:val="00153158"/>
    <w:rsid w:val="0015415A"/>
    <w:rsid w:val="00157719"/>
    <w:rsid w:val="001618E1"/>
    <w:rsid w:val="0016208A"/>
    <w:rsid w:val="0016509D"/>
    <w:rsid w:val="00165858"/>
    <w:rsid w:val="00167423"/>
    <w:rsid w:val="00171519"/>
    <w:rsid w:val="001719F6"/>
    <w:rsid w:val="00171FC6"/>
    <w:rsid w:val="00176F47"/>
    <w:rsid w:val="00180892"/>
    <w:rsid w:val="0018090A"/>
    <w:rsid w:val="00180ADF"/>
    <w:rsid w:val="00180E2E"/>
    <w:rsid w:val="00180F33"/>
    <w:rsid w:val="001841F4"/>
    <w:rsid w:val="001946CA"/>
    <w:rsid w:val="001A1F06"/>
    <w:rsid w:val="001A6230"/>
    <w:rsid w:val="001A6649"/>
    <w:rsid w:val="001A69CB"/>
    <w:rsid w:val="001B10A5"/>
    <w:rsid w:val="001B1839"/>
    <w:rsid w:val="001B4AF1"/>
    <w:rsid w:val="001B6BE8"/>
    <w:rsid w:val="001C0363"/>
    <w:rsid w:val="001C2E8D"/>
    <w:rsid w:val="001C3534"/>
    <w:rsid w:val="001C3C3D"/>
    <w:rsid w:val="001C3CC4"/>
    <w:rsid w:val="001C43BD"/>
    <w:rsid w:val="001C7378"/>
    <w:rsid w:val="001D00BF"/>
    <w:rsid w:val="001D32EF"/>
    <w:rsid w:val="001D6889"/>
    <w:rsid w:val="001D7C16"/>
    <w:rsid w:val="001E4E47"/>
    <w:rsid w:val="001F2A56"/>
    <w:rsid w:val="001F4A37"/>
    <w:rsid w:val="001F4EF0"/>
    <w:rsid w:val="001F5007"/>
    <w:rsid w:val="001F51C8"/>
    <w:rsid w:val="001F6597"/>
    <w:rsid w:val="002002E1"/>
    <w:rsid w:val="00203E57"/>
    <w:rsid w:val="002041C8"/>
    <w:rsid w:val="002041D3"/>
    <w:rsid w:val="00205E99"/>
    <w:rsid w:val="00213308"/>
    <w:rsid w:val="00213873"/>
    <w:rsid w:val="002149AB"/>
    <w:rsid w:val="0022005A"/>
    <w:rsid w:val="002205B8"/>
    <w:rsid w:val="00225A2F"/>
    <w:rsid w:val="00232B75"/>
    <w:rsid w:val="00232EBD"/>
    <w:rsid w:val="00233386"/>
    <w:rsid w:val="00233A86"/>
    <w:rsid w:val="002346B3"/>
    <w:rsid w:val="0023762B"/>
    <w:rsid w:val="00237B9E"/>
    <w:rsid w:val="00237DEB"/>
    <w:rsid w:val="0024497B"/>
    <w:rsid w:val="002500C9"/>
    <w:rsid w:val="00251968"/>
    <w:rsid w:val="00254A1F"/>
    <w:rsid w:val="00256126"/>
    <w:rsid w:val="00256178"/>
    <w:rsid w:val="00260A08"/>
    <w:rsid w:val="00263B6B"/>
    <w:rsid w:val="00264428"/>
    <w:rsid w:val="002663DB"/>
    <w:rsid w:val="002706DA"/>
    <w:rsid w:val="00270772"/>
    <w:rsid w:val="00272B56"/>
    <w:rsid w:val="00274D69"/>
    <w:rsid w:val="00275072"/>
    <w:rsid w:val="0027557E"/>
    <w:rsid w:val="00276323"/>
    <w:rsid w:val="00283C31"/>
    <w:rsid w:val="00284014"/>
    <w:rsid w:val="002853B0"/>
    <w:rsid w:val="00292327"/>
    <w:rsid w:val="00293DB8"/>
    <w:rsid w:val="00294FD9"/>
    <w:rsid w:val="00297664"/>
    <w:rsid w:val="002A1310"/>
    <w:rsid w:val="002A3222"/>
    <w:rsid w:val="002A32F1"/>
    <w:rsid w:val="002A57C1"/>
    <w:rsid w:val="002A7078"/>
    <w:rsid w:val="002B0C98"/>
    <w:rsid w:val="002B3503"/>
    <w:rsid w:val="002B4344"/>
    <w:rsid w:val="002B4D14"/>
    <w:rsid w:val="002B6443"/>
    <w:rsid w:val="002C0139"/>
    <w:rsid w:val="002C1446"/>
    <w:rsid w:val="002C5FC0"/>
    <w:rsid w:val="002C7A37"/>
    <w:rsid w:val="002C7AB6"/>
    <w:rsid w:val="002D12B9"/>
    <w:rsid w:val="002D3236"/>
    <w:rsid w:val="002D4019"/>
    <w:rsid w:val="002D63AA"/>
    <w:rsid w:val="002D680D"/>
    <w:rsid w:val="002D7956"/>
    <w:rsid w:val="002E5206"/>
    <w:rsid w:val="002E5E2F"/>
    <w:rsid w:val="002F04AF"/>
    <w:rsid w:val="002F2F9B"/>
    <w:rsid w:val="002F5050"/>
    <w:rsid w:val="002F6974"/>
    <w:rsid w:val="002F714E"/>
    <w:rsid w:val="00302F43"/>
    <w:rsid w:val="003057F8"/>
    <w:rsid w:val="003112CF"/>
    <w:rsid w:val="00313252"/>
    <w:rsid w:val="00314043"/>
    <w:rsid w:val="00316A42"/>
    <w:rsid w:val="003205B4"/>
    <w:rsid w:val="003241EC"/>
    <w:rsid w:val="003257FE"/>
    <w:rsid w:val="00347A8E"/>
    <w:rsid w:val="00351312"/>
    <w:rsid w:val="003635A1"/>
    <w:rsid w:val="00370C7B"/>
    <w:rsid w:val="00371C50"/>
    <w:rsid w:val="00374E5E"/>
    <w:rsid w:val="003757DB"/>
    <w:rsid w:val="00375CF0"/>
    <w:rsid w:val="003809E4"/>
    <w:rsid w:val="00390028"/>
    <w:rsid w:val="0039405D"/>
    <w:rsid w:val="00394CD2"/>
    <w:rsid w:val="003961C0"/>
    <w:rsid w:val="003A0AEC"/>
    <w:rsid w:val="003A5DDE"/>
    <w:rsid w:val="003A64C4"/>
    <w:rsid w:val="003B0AAE"/>
    <w:rsid w:val="003B284D"/>
    <w:rsid w:val="003B2D5D"/>
    <w:rsid w:val="003B57EE"/>
    <w:rsid w:val="003B5806"/>
    <w:rsid w:val="003B5964"/>
    <w:rsid w:val="003B7105"/>
    <w:rsid w:val="003C0AE3"/>
    <w:rsid w:val="003C51E2"/>
    <w:rsid w:val="003C608A"/>
    <w:rsid w:val="003C65D8"/>
    <w:rsid w:val="003D43E8"/>
    <w:rsid w:val="003D679F"/>
    <w:rsid w:val="003E02C5"/>
    <w:rsid w:val="003E052A"/>
    <w:rsid w:val="003E059A"/>
    <w:rsid w:val="003E0EB3"/>
    <w:rsid w:val="003E1727"/>
    <w:rsid w:val="003E3A74"/>
    <w:rsid w:val="003F0D3B"/>
    <w:rsid w:val="003F789F"/>
    <w:rsid w:val="004000C3"/>
    <w:rsid w:val="00406E78"/>
    <w:rsid w:val="00412C44"/>
    <w:rsid w:val="004208E8"/>
    <w:rsid w:val="00424254"/>
    <w:rsid w:val="00426EF9"/>
    <w:rsid w:val="00427D0A"/>
    <w:rsid w:val="0043149D"/>
    <w:rsid w:val="004377E4"/>
    <w:rsid w:val="004378E1"/>
    <w:rsid w:val="00442FEC"/>
    <w:rsid w:val="00443ADA"/>
    <w:rsid w:val="004464C6"/>
    <w:rsid w:val="00447BBF"/>
    <w:rsid w:val="004539B9"/>
    <w:rsid w:val="00463865"/>
    <w:rsid w:val="00466C1E"/>
    <w:rsid w:val="004675CA"/>
    <w:rsid w:val="004723DF"/>
    <w:rsid w:val="0047242C"/>
    <w:rsid w:val="00482664"/>
    <w:rsid w:val="004832E9"/>
    <w:rsid w:val="00484D68"/>
    <w:rsid w:val="00486749"/>
    <w:rsid w:val="00491479"/>
    <w:rsid w:val="00492664"/>
    <w:rsid w:val="004A18A6"/>
    <w:rsid w:val="004A40E7"/>
    <w:rsid w:val="004A4603"/>
    <w:rsid w:val="004B08D5"/>
    <w:rsid w:val="004B1637"/>
    <w:rsid w:val="004B28CB"/>
    <w:rsid w:val="004B43B0"/>
    <w:rsid w:val="004B75F8"/>
    <w:rsid w:val="004C2705"/>
    <w:rsid w:val="004C3FB5"/>
    <w:rsid w:val="004C4858"/>
    <w:rsid w:val="004C5232"/>
    <w:rsid w:val="004D09A6"/>
    <w:rsid w:val="004D2208"/>
    <w:rsid w:val="004D3F14"/>
    <w:rsid w:val="004D3FA1"/>
    <w:rsid w:val="004D7FD3"/>
    <w:rsid w:val="004E3DC0"/>
    <w:rsid w:val="004E6CDF"/>
    <w:rsid w:val="004E75CE"/>
    <w:rsid w:val="004F096D"/>
    <w:rsid w:val="004F43AE"/>
    <w:rsid w:val="004F5C12"/>
    <w:rsid w:val="005034F8"/>
    <w:rsid w:val="00504AA6"/>
    <w:rsid w:val="0050538B"/>
    <w:rsid w:val="005071EC"/>
    <w:rsid w:val="00512A9E"/>
    <w:rsid w:val="005131B2"/>
    <w:rsid w:val="00516B79"/>
    <w:rsid w:val="00517421"/>
    <w:rsid w:val="005177AB"/>
    <w:rsid w:val="00521E66"/>
    <w:rsid w:val="005233CC"/>
    <w:rsid w:val="005239B9"/>
    <w:rsid w:val="00524566"/>
    <w:rsid w:val="00532344"/>
    <w:rsid w:val="00536C1B"/>
    <w:rsid w:val="005425C9"/>
    <w:rsid w:val="00542B29"/>
    <w:rsid w:val="00543F71"/>
    <w:rsid w:val="00544864"/>
    <w:rsid w:val="00545CCB"/>
    <w:rsid w:val="00545FE3"/>
    <w:rsid w:val="0054754F"/>
    <w:rsid w:val="00552ECD"/>
    <w:rsid w:val="00553332"/>
    <w:rsid w:val="00553628"/>
    <w:rsid w:val="00553905"/>
    <w:rsid w:val="00553E3C"/>
    <w:rsid w:val="00560674"/>
    <w:rsid w:val="005618DE"/>
    <w:rsid w:val="00570BF6"/>
    <w:rsid w:val="00573D46"/>
    <w:rsid w:val="00577334"/>
    <w:rsid w:val="00577954"/>
    <w:rsid w:val="00580FF7"/>
    <w:rsid w:val="0058134B"/>
    <w:rsid w:val="00585730"/>
    <w:rsid w:val="0059757B"/>
    <w:rsid w:val="005A59C9"/>
    <w:rsid w:val="005A7B38"/>
    <w:rsid w:val="005B0EA6"/>
    <w:rsid w:val="005B30E0"/>
    <w:rsid w:val="005B3DE1"/>
    <w:rsid w:val="005B6FA9"/>
    <w:rsid w:val="005B7A43"/>
    <w:rsid w:val="005B7CC3"/>
    <w:rsid w:val="005C26F7"/>
    <w:rsid w:val="005C2754"/>
    <w:rsid w:val="005C2DDC"/>
    <w:rsid w:val="005C6F42"/>
    <w:rsid w:val="005E574C"/>
    <w:rsid w:val="005F065A"/>
    <w:rsid w:val="005F0E66"/>
    <w:rsid w:val="005F2B6B"/>
    <w:rsid w:val="0060107E"/>
    <w:rsid w:val="0060497C"/>
    <w:rsid w:val="00605F08"/>
    <w:rsid w:val="00611DDA"/>
    <w:rsid w:val="00612269"/>
    <w:rsid w:val="00613A14"/>
    <w:rsid w:val="006160F7"/>
    <w:rsid w:val="0061619C"/>
    <w:rsid w:val="00616D5E"/>
    <w:rsid w:val="00621764"/>
    <w:rsid w:val="006258BE"/>
    <w:rsid w:val="00626E87"/>
    <w:rsid w:val="006273DB"/>
    <w:rsid w:val="00627AAE"/>
    <w:rsid w:val="00637AB9"/>
    <w:rsid w:val="006406C0"/>
    <w:rsid w:val="0064098F"/>
    <w:rsid w:val="006432DF"/>
    <w:rsid w:val="0065081B"/>
    <w:rsid w:val="00650C4D"/>
    <w:rsid w:val="006510BB"/>
    <w:rsid w:val="006515F3"/>
    <w:rsid w:val="0065218B"/>
    <w:rsid w:val="0065414B"/>
    <w:rsid w:val="006558A6"/>
    <w:rsid w:val="00663C44"/>
    <w:rsid w:val="00663CFE"/>
    <w:rsid w:val="00665DF5"/>
    <w:rsid w:val="006677B3"/>
    <w:rsid w:val="00667D9E"/>
    <w:rsid w:val="0067547E"/>
    <w:rsid w:val="0067671E"/>
    <w:rsid w:val="00680D3B"/>
    <w:rsid w:val="00690D2E"/>
    <w:rsid w:val="00690F98"/>
    <w:rsid w:val="00691E3B"/>
    <w:rsid w:val="0069254C"/>
    <w:rsid w:val="00696A94"/>
    <w:rsid w:val="006A07B1"/>
    <w:rsid w:val="006A2745"/>
    <w:rsid w:val="006A3891"/>
    <w:rsid w:val="006A396F"/>
    <w:rsid w:val="006A5ED1"/>
    <w:rsid w:val="006A6205"/>
    <w:rsid w:val="006A6546"/>
    <w:rsid w:val="006B2140"/>
    <w:rsid w:val="006B2276"/>
    <w:rsid w:val="006B37C2"/>
    <w:rsid w:val="006B3DDB"/>
    <w:rsid w:val="006B42F5"/>
    <w:rsid w:val="006B7741"/>
    <w:rsid w:val="006D668C"/>
    <w:rsid w:val="006E1D1F"/>
    <w:rsid w:val="006E2B86"/>
    <w:rsid w:val="006E3B87"/>
    <w:rsid w:val="006E3DA2"/>
    <w:rsid w:val="006E511E"/>
    <w:rsid w:val="006E663C"/>
    <w:rsid w:val="006E670C"/>
    <w:rsid w:val="006E773C"/>
    <w:rsid w:val="006E7817"/>
    <w:rsid w:val="006F2F6F"/>
    <w:rsid w:val="006F5DAF"/>
    <w:rsid w:val="006F605F"/>
    <w:rsid w:val="0070068F"/>
    <w:rsid w:val="00700AB0"/>
    <w:rsid w:val="007010FE"/>
    <w:rsid w:val="0070231B"/>
    <w:rsid w:val="00702377"/>
    <w:rsid w:val="007034B4"/>
    <w:rsid w:val="007057A0"/>
    <w:rsid w:val="007069A9"/>
    <w:rsid w:val="00713DB0"/>
    <w:rsid w:val="0071576A"/>
    <w:rsid w:val="007219CF"/>
    <w:rsid w:val="00731F6B"/>
    <w:rsid w:val="00734C62"/>
    <w:rsid w:val="00734E92"/>
    <w:rsid w:val="00735309"/>
    <w:rsid w:val="00735585"/>
    <w:rsid w:val="00740168"/>
    <w:rsid w:val="00740B81"/>
    <w:rsid w:val="00743F87"/>
    <w:rsid w:val="0074533F"/>
    <w:rsid w:val="00755182"/>
    <w:rsid w:val="00760C77"/>
    <w:rsid w:val="0076348D"/>
    <w:rsid w:val="0076389F"/>
    <w:rsid w:val="00765723"/>
    <w:rsid w:val="007723A2"/>
    <w:rsid w:val="0077344E"/>
    <w:rsid w:val="00773583"/>
    <w:rsid w:val="0077593D"/>
    <w:rsid w:val="00776668"/>
    <w:rsid w:val="00782791"/>
    <w:rsid w:val="00784B25"/>
    <w:rsid w:val="007856A0"/>
    <w:rsid w:val="00795DBE"/>
    <w:rsid w:val="007B08D0"/>
    <w:rsid w:val="007B5D7B"/>
    <w:rsid w:val="007C1EC3"/>
    <w:rsid w:val="007C7061"/>
    <w:rsid w:val="007D146C"/>
    <w:rsid w:val="007D63DF"/>
    <w:rsid w:val="007D6445"/>
    <w:rsid w:val="007D759E"/>
    <w:rsid w:val="007D7782"/>
    <w:rsid w:val="007E1632"/>
    <w:rsid w:val="007E4A44"/>
    <w:rsid w:val="007E5BB3"/>
    <w:rsid w:val="007E6065"/>
    <w:rsid w:val="007E6A2D"/>
    <w:rsid w:val="007F049A"/>
    <w:rsid w:val="007F09E4"/>
    <w:rsid w:val="007F2C7F"/>
    <w:rsid w:val="007F4DEE"/>
    <w:rsid w:val="007F505C"/>
    <w:rsid w:val="007F77E8"/>
    <w:rsid w:val="00801143"/>
    <w:rsid w:val="00801738"/>
    <w:rsid w:val="00806825"/>
    <w:rsid w:val="00813CA7"/>
    <w:rsid w:val="008172C5"/>
    <w:rsid w:val="0082175C"/>
    <w:rsid w:val="00825B2E"/>
    <w:rsid w:val="00827022"/>
    <w:rsid w:val="00830852"/>
    <w:rsid w:val="0083359D"/>
    <w:rsid w:val="00834C65"/>
    <w:rsid w:val="00836D19"/>
    <w:rsid w:val="00841DEB"/>
    <w:rsid w:val="00845AC2"/>
    <w:rsid w:val="00845B22"/>
    <w:rsid w:val="00850CC8"/>
    <w:rsid w:val="00850D98"/>
    <w:rsid w:val="0085318A"/>
    <w:rsid w:val="00853F40"/>
    <w:rsid w:val="0085483E"/>
    <w:rsid w:val="00857F46"/>
    <w:rsid w:val="0086105B"/>
    <w:rsid w:val="0086221D"/>
    <w:rsid w:val="0086371E"/>
    <w:rsid w:val="00864B4A"/>
    <w:rsid w:val="00866DC4"/>
    <w:rsid w:val="00872EC6"/>
    <w:rsid w:val="00880EBF"/>
    <w:rsid w:val="0088118B"/>
    <w:rsid w:val="00884924"/>
    <w:rsid w:val="008978F4"/>
    <w:rsid w:val="008A274A"/>
    <w:rsid w:val="008A4FB4"/>
    <w:rsid w:val="008A7F39"/>
    <w:rsid w:val="008B0AF0"/>
    <w:rsid w:val="008B4541"/>
    <w:rsid w:val="008B6EA8"/>
    <w:rsid w:val="008B6F6E"/>
    <w:rsid w:val="008C53F8"/>
    <w:rsid w:val="008C6800"/>
    <w:rsid w:val="008C6812"/>
    <w:rsid w:val="008C7C01"/>
    <w:rsid w:val="008C7D02"/>
    <w:rsid w:val="008D2192"/>
    <w:rsid w:val="008D253B"/>
    <w:rsid w:val="008D6EEF"/>
    <w:rsid w:val="008E028E"/>
    <w:rsid w:val="008E0CB4"/>
    <w:rsid w:val="008E153C"/>
    <w:rsid w:val="008E5283"/>
    <w:rsid w:val="008E5382"/>
    <w:rsid w:val="008E6608"/>
    <w:rsid w:val="008F48AC"/>
    <w:rsid w:val="008F5682"/>
    <w:rsid w:val="009001DA"/>
    <w:rsid w:val="00905D80"/>
    <w:rsid w:val="00907673"/>
    <w:rsid w:val="00907970"/>
    <w:rsid w:val="00907A16"/>
    <w:rsid w:val="009101A2"/>
    <w:rsid w:val="00913F0D"/>
    <w:rsid w:val="00915A92"/>
    <w:rsid w:val="00917C7F"/>
    <w:rsid w:val="00923BF2"/>
    <w:rsid w:val="00923E94"/>
    <w:rsid w:val="0092617B"/>
    <w:rsid w:val="00931D8D"/>
    <w:rsid w:val="00931ECA"/>
    <w:rsid w:val="0093364C"/>
    <w:rsid w:val="00941754"/>
    <w:rsid w:val="00941996"/>
    <w:rsid w:val="00941AEB"/>
    <w:rsid w:val="009432B7"/>
    <w:rsid w:val="00944AF4"/>
    <w:rsid w:val="00945F1D"/>
    <w:rsid w:val="009541A8"/>
    <w:rsid w:val="009566BC"/>
    <w:rsid w:val="009573AC"/>
    <w:rsid w:val="009622DB"/>
    <w:rsid w:val="00962D9F"/>
    <w:rsid w:val="00963454"/>
    <w:rsid w:val="0096483A"/>
    <w:rsid w:val="00974185"/>
    <w:rsid w:val="00975F55"/>
    <w:rsid w:val="00981A7A"/>
    <w:rsid w:val="009827C6"/>
    <w:rsid w:val="00985512"/>
    <w:rsid w:val="00986F8C"/>
    <w:rsid w:val="009873BA"/>
    <w:rsid w:val="00987EC9"/>
    <w:rsid w:val="00995297"/>
    <w:rsid w:val="00996F73"/>
    <w:rsid w:val="009A17DB"/>
    <w:rsid w:val="009A1F6C"/>
    <w:rsid w:val="009A2237"/>
    <w:rsid w:val="009A364D"/>
    <w:rsid w:val="009A3CA8"/>
    <w:rsid w:val="009A4F43"/>
    <w:rsid w:val="009A5D5C"/>
    <w:rsid w:val="009A7D86"/>
    <w:rsid w:val="009B2121"/>
    <w:rsid w:val="009B34D5"/>
    <w:rsid w:val="009B5631"/>
    <w:rsid w:val="009B6350"/>
    <w:rsid w:val="009B751C"/>
    <w:rsid w:val="009C3189"/>
    <w:rsid w:val="009C4085"/>
    <w:rsid w:val="009D399D"/>
    <w:rsid w:val="009D79F6"/>
    <w:rsid w:val="009E0A96"/>
    <w:rsid w:val="009F0642"/>
    <w:rsid w:val="009F2D51"/>
    <w:rsid w:val="009F6FD8"/>
    <w:rsid w:val="009F74D5"/>
    <w:rsid w:val="00A01BE5"/>
    <w:rsid w:val="00A04B8A"/>
    <w:rsid w:val="00A12A07"/>
    <w:rsid w:val="00A17B8D"/>
    <w:rsid w:val="00A20D01"/>
    <w:rsid w:val="00A22B3F"/>
    <w:rsid w:val="00A22D0A"/>
    <w:rsid w:val="00A304C0"/>
    <w:rsid w:val="00A30F27"/>
    <w:rsid w:val="00A320DD"/>
    <w:rsid w:val="00A33CE7"/>
    <w:rsid w:val="00A358B8"/>
    <w:rsid w:val="00A376DD"/>
    <w:rsid w:val="00A41086"/>
    <w:rsid w:val="00A431B5"/>
    <w:rsid w:val="00A4501C"/>
    <w:rsid w:val="00A45289"/>
    <w:rsid w:val="00A453CC"/>
    <w:rsid w:val="00A45B5B"/>
    <w:rsid w:val="00A46515"/>
    <w:rsid w:val="00A51194"/>
    <w:rsid w:val="00A51E42"/>
    <w:rsid w:val="00A5442D"/>
    <w:rsid w:val="00A544E8"/>
    <w:rsid w:val="00A556A4"/>
    <w:rsid w:val="00A57151"/>
    <w:rsid w:val="00A62A03"/>
    <w:rsid w:val="00A67E5F"/>
    <w:rsid w:val="00A721AB"/>
    <w:rsid w:val="00A729A9"/>
    <w:rsid w:val="00A74489"/>
    <w:rsid w:val="00A76449"/>
    <w:rsid w:val="00A777AC"/>
    <w:rsid w:val="00A80370"/>
    <w:rsid w:val="00A82550"/>
    <w:rsid w:val="00A82594"/>
    <w:rsid w:val="00A85EE4"/>
    <w:rsid w:val="00A91F05"/>
    <w:rsid w:val="00A939F1"/>
    <w:rsid w:val="00A9493B"/>
    <w:rsid w:val="00A964AB"/>
    <w:rsid w:val="00A96F65"/>
    <w:rsid w:val="00AA0CB9"/>
    <w:rsid w:val="00AA32C2"/>
    <w:rsid w:val="00AA5351"/>
    <w:rsid w:val="00AA63A2"/>
    <w:rsid w:val="00AA7110"/>
    <w:rsid w:val="00AA7E1E"/>
    <w:rsid w:val="00AB44D5"/>
    <w:rsid w:val="00AB5CBE"/>
    <w:rsid w:val="00AB60BF"/>
    <w:rsid w:val="00AC382A"/>
    <w:rsid w:val="00AC543D"/>
    <w:rsid w:val="00AD7F02"/>
    <w:rsid w:val="00AE128A"/>
    <w:rsid w:val="00AE1CF0"/>
    <w:rsid w:val="00AE23A6"/>
    <w:rsid w:val="00AE444D"/>
    <w:rsid w:val="00AE617B"/>
    <w:rsid w:val="00AE68AA"/>
    <w:rsid w:val="00AE7909"/>
    <w:rsid w:val="00AF2BB4"/>
    <w:rsid w:val="00AF68B6"/>
    <w:rsid w:val="00B032C9"/>
    <w:rsid w:val="00B13DCF"/>
    <w:rsid w:val="00B204E2"/>
    <w:rsid w:val="00B22218"/>
    <w:rsid w:val="00B22318"/>
    <w:rsid w:val="00B22601"/>
    <w:rsid w:val="00B228DA"/>
    <w:rsid w:val="00B23334"/>
    <w:rsid w:val="00B23AA0"/>
    <w:rsid w:val="00B24D65"/>
    <w:rsid w:val="00B26C42"/>
    <w:rsid w:val="00B30065"/>
    <w:rsid w:val="00B3123E"/>
    <w:rsid w:val="00B32393"/>
    <w:rsid w:val="00B346FC"/>
    <w:rsid w:val="00B37038"/>
    <w:rsid w:val="00B425D7"/>
    <w:rsid w:val="00B42D5A"/>
    <w:rsid w:val="00B5270C"/>
    <w:rsid w:val="00B54002"/>
    <w:rsid w:val="00B64252"/>
    <w:rsid w:val="00B653A4"/>
    <w:rsid w:val="00B67478"/>
    <w:rsid w:val="00B677C3"/>
    <w:rsid w:val="00B67BA2"/>
    <w:rsid w:val="00B72337"/>
    <w:rsid w:val="00B808EE"/>
    <w:rsid w:val="00B8240C"/>
    <w:rsid w:val="00B82FFE"/>
    <w:rsid w:val="00B83C93"/>
    <w:rsid w:val="00B83F4C"/>
    <w:rsid w:val="00B84CA9"/>
    <w:rsid w:val="00B859AB"/>
    <w:rsid w:val="00B8679A"/>
    <w:rsid w:val="00B86B61"/>
    <w:rsid w:val="00B8787F"/>
    <w:rsid w:val="00B91915"/>
    <w:rsid w:val="00B92683"/>
    <w:rsid w:val="00B92DAB"/>
    <w:rsid w:val="00B942F7"/>
    <w:rsid w:val="00B9529F"/>
    <w:rsid w:val="00B971D2"/>
    <w:rsid w:val="00B978B8"/>
    <w:rsid w:val="00BA1F84"/>
    <w:rsid w:val="00BA7A0C"/>
    <w:rsid w:val="00BB1043"/>
    <w:rsid w:val="00BC1C8D"/>
    <w:rsid w:val="00BC1FDD"/>
    <w:rsid w:val="00BC38E9"/>
    <w:rsid w:val="00BC38FE"/>
    <w:rsid w:val="00BC4374"/>
    <w:rsid w:val="00BC6D43"/>
    <w:rsid w:val="00BD1CC3"/>
    <w:rsid w:val="00BD2BCB"/>
    <w:rsid w:val="00BD3C1D"/>
    <w:rsid w:val="00BD6EFE"/>
    <w:rsid w:val="00BE36AE"/>
    <w:rsid w:val="00BE48EF"/>
    <w:rsid w:val="00BE6B5D"/>
    <w:rsid w:val="00BE7C0C"/>
    <w:rsid w:val="00BF54B6"/>
    <w:rsid w:val="00BF7BB6"/>
    <w:rsid w:val="00C021B8"/>
    <w:rsid w:val="00C02333"/>
    <w:rsid w:val="00C02A58"/>
    <w:rsid w:val="00C07023"/>
    <w:rsid w:val="00C074F6"/>
    <w:rsid w:val="00C10918"/>
    <w:rsid w:val="00C11877"/>
    <w:rsid w:val="00C1368E"/>
    <w:rsid w:val="00C15BAA"/>
    <w:rsid w:val="00C17230"/>
    <w:rsid w:val="00C20E4F"/>
    <w:rsid w:val="00C22684"/>
    <w:rsid w:val="00C23F36"/>
    <w:rsid w:val="00C2417D"/>
    <w:rsid w:val="00C26556"/>
    <w:rsid w:val="00C26BE4"/>
    <w:rsid w:val="00C27558"/>
    <w:rsid w:val="00C31AAB"/>
    <w:rsid w:val="00C351DA"/>
    <w:rsid w:val="00C40E43"/>
    <w:rsid w:val="00C40FD4"/>
    <w:rsid w:val="00C42A2C"/>
    <w:rsid w:val="00C43AD8"/>
    <w:rsid w:val="00C462EA"/>
    <w:rsid w:val="00C50A01"/>
    <w:rsid w:val="00C56DE9"/>
    <w:rsid w:val="00C57045"/>
    <w:rsid w:val="00C57825"/>
    <w:rsid w:val="00C60225"/>
    <w:rsid w:val="00C65901"/>
    <w:rsid w:val="00C72F64"/>
    <w:rsid w:val="00C75283"/>
    <w:rsid w:val="00C77F59"/>
    <w:rsid w:val="00C81973"/>
    <w:rsid w:val="00C81A0F"/>
    <w:rsid w:val="00C83131"/>
    <w:rsid w:val="00CA37D0"/>
    <w:rsid w:val="00CA4761"/>
    <w:rsid w:val="00CB006E"/>
    <w:rsid w:val="00CB5313"/>
    <w:rsid w:val="00CB7509"/>
    <w:rsid w:val="00CB7E68"/>
    <w:rsid w:val="00CC2DC5"/>
    <w:rsid w:val="00CC788E"/>
    <w:rsid w:val="00CD2005"/>
    <w:rsid w:val="00CD5203"/>
    <w:rsid w:val="00CD799C"/>
    <w:rsid w:val="00CE0516"/>
    <w:rsid w:val="00CE2C17"/>
    <w:rsid w:val="00CE3784"/>
    <w:rsid w:val="00CE58BD"/>
    <w:rsid w:val="00CE67CA"/>
    <w:rsid w:val="00CF1EAD"/>
    <w:rsid w:val="00CF2F8D"/>
    <w:rsid w:val="00CF39AA"/>
    <w:rsid w:val="00CF49D8"/>
    <w:rsid w:val="00CF51ED"/>
    <w:rsid w:val="00D005BA"/>
    <w:rsid w:val="00D0275B"/>
    <w:rsid w:val="00D02B52"/>
    <w:rsid w:val="00D03D1A"/>
    <w:rsid w:val="00D110E4"/>
    <w:rsid w:val="00D11CE2"/>
    <w:rsid w:val="00D12FA3"/>
    <w:rsid w:val="00D1619D"/>
    <w:rsid w:val="00D1703E"/>
    <w:rsid w:val="00D20948"/>
    <w:rsid w:val="00D2588B"/>
    <w:rsid w:val="00D27CC6"/>
    <w:rsid w:val="00D30BF6"/>
    <w:rsid w:val="00D3111B"/>
    <w:rsid w:val="00D34BFB"/>
    <w:rsid w:val="00D43306"/>
    <w:rsid w:val="00D43A48"/>
    <w:rsid w:val="00D44AD3"/>
    <w:rsid w:val="00D46FFF"/>
    <w:rsid w:val="00D50142"/>
    <w:rsid w:val="00D51970"/>
    <w:rsid w:val="00D52698"/>
    <w:rsid w:val="00D546EE"/>
    <w:rsid w:val="00D55572"/>
    <w:rsid w:val="00D56602"/>
    <w:rsid w:val="00D608C5"/>
    <w:rsid w:val="00D62D4C"/>
    <w:rsid w:val="00D65224"/>
    <w:rsid w:val="00D65FDC"/>
    <w:rsid w:val="00D715D9"/>
    <w:rsid w:val="00D73305"/>
    <w:rsid w:val="00D77036"/>
    <w:rsid w:val="00D8056E"/>
    <w:rsid w:val="00D86D4D"/>
    <w:rsid w:val="00D915A3"/>
    <w:rsid w:val="00D92501"/>
    <w:rsid w:val="00D92A0D"/>
    <w:rsid w:val="00D9450A"/>
    <w:rsid w:val="00D95147"/>
    <w:rsid w:val="00D96983"/>
    <w:rsid w:val="00DA1C87"/>
    <w:rsid w:val="00DA5545"/>
    <w:rsid w:val="00DA5973"/>
    <w:rsid w:val="00DA6AC5"/>
    <w:rsid w:val="00DB3F91"/>
    <w:rsid w:val="00DB421D"/>
    <w:rsid w:val="00DB59C0"/>
    <w:rsid w:val="00DC0593"/>
    <w:rsid w:val="00DC0781"/>
    <w:rsid w:val="00DC43B1"/>
    <w:rsid w:val="00DC5DCD"/>
    <w:rsid w:val="00DC689E"/>
    <w:rsid w:val="00DD5CED"/>
    <w:rsid w:val="00DD7802"/>
    <w:rsid w:val="00DD78BD"/>
    <w:rsid w:val="00DD7CCB"/>
    <w:rsid w:val="00DE1678"/>
    <w:rsid w:val="00DE3C55"/>
    <w:rsid w:val="00DE44CF"/>
    <w:rsid w:val="00DE671F"/>
    <w:rsid w:val="00DE69F6"/>
    <w:rsid w:val="00DE70DB"/>
    <w:rsid w:val="00DF0094"/>
    <w:rsid w:val="00DF0958"/>
    <w:rsid w:val="00DF0FB3"/>
    <w:rsid w:val="00DF519C"/>
    <w:rsid w:val="00DF548E"/>
    <w:rsid w:val="00DF66E6"/>
    <w:rsid w:val="00DF7931"/>
    <w:rsid w:val="00DF7ADF"/>
    <w:rsid w:val="00E03DC0"/>
    <w:rsid w:val="00E04C8E"/>
    <w:rsid w:val="00E050D8"/>
    <w:rsid w:val="00E131EA"/>
    <w:rsid w:val="00E1399E"/>
    <w:rsid w:val="00E16A02"/>
    <w:rsid w:val="00E21248"/>
    <w:rsid w:val="00E21B8D"/>
    <w:rsid w:val="00E25265"/>
    <w:rsid w:val="00E27F96"/>
    <w:rsid w:val="00E31F07"/>
    <w:rsid w:val="00E34AF5"/>
    <w:rsid w:val="00E35240"/>
    <w:rsid w:val="00E3599A"/>
    <w:rsid w:val="00E418F4"/>
    <w:rsid w:val="00E52AAB"/>
    <w:rsid w:val="00E541FD"/>
    <w:rsid w:val="00E55FDA"/>
    <w:rsid w:val="00E56B1A"/>
    <w:rsid w:val="00E63F2A"/>
    <w:rsid w:val="00E66262"/>
    <w:rsid w:val="00E71242"/>
    <w:rsid w:val="00E71AB8"/>
    <w:rsid w:val="00E723C0"/>
    <w:rsid w:val="00E73C09"/>
    <w:rsid w:val="00E7464F"/>
    <w:rsid w:val="00E77DBD"/>
    <w:rsid w:val="00E804C7"/>
    <w:rsid w:val="00E82A97"/>
    <w:rsid w:val="00E91255"/>
    <w:rsid w:val="00EA4635"/>
    <w:rsid w:val="00EA70D3"/>
    <w:rsid w:val="00EB2656"/>
    <w:rsid w:val="00EB2791"/>
    <w:rsid w:val="00ED37BB"/>
    <w:rsid w:val="00ED4A91"/>
    <w:rsid w:val="00ED52F7"/>
    <w:rsid w:val="00ED5E49"/>
    <w:rsid w:val="00ED7D0D"/>
    <w:rsid w:val="00EE04DE"/>
    <w:rsid w:val="00EE07C8"/>
    <w:rsid w:val="00EE080A"/>
    <w:rsid w:val="00EE11D3"/>
    <w:rsid w:val="00EE317D"/>
    <w:rsid w:val="00EE4B60"/>
    <w:rsid w:val="00EF2859"/>
    <w:rsid w:val="00EF3389"/>
    <w:rsid w:val="00EF495E"/>
    <w:rsid w:val="00F03D64"/>
    <w:rsid w:val="00F04CC5"/>
    <w:rsid w:val="00F05BD1"/>
    <w:rsid w:val="00F06847"/>
    <w:rsid w:val="00F06B39"/>
    <w:rsid w:val="00F06BEB"/>
    <w:rsid w:val="00F07882"/>
    <w:rsid w:val="00F14996"/>
    <w:rsid w:val="00F1540A"/>
    <w:rsid w:val="00F205A7"/>
    <w:rsid w:val="00F226A5"/>
    <w:rsid w:val="00F228AA"/>
    <w:rsid w:val="00F268D0"/>
    <w:rsid w:val="00F26CC9"/>
    <w:rsid w:val="00F27846"/>
    <w:rsid w:val="00F328D4"/>
    <w:rsid w:val="00F347B8"/>
    <w:rsid w:val="00F36092"/>
    <w:rsid w:val="00F364EC"/>
    <w:rsid w:val="00F36BA0"/>
    <w:rsid w:val="00F434D7"/>
    <w:rsid w:val="00F45727"/>
    <w:rsid w:val="00F47330"/>
    <w:rsid w:val="00F4733E"/>
    <w:rsid w:val="00F52ABC"/>
    <w:rsid w:val="00F547E6"/>
    <w:rsid w:val="00F551D6"/>
    <w:rsid w:val="00F56770"/>
    <w:rsid w:val="00F56FB4"/>
    <w:rsid w:val="00F60443"/>
    <w:rsid w:val="00F604AE"/>
    <w:rsid w:val="00F60964"/>
    <w:rsid w:val="00F63C6B"/>
    <w:rsid w:val="00F65501"/>
    <w:rsid w:val="00F7057B"/>
    <w:rsid w:val="00F70D92"/>
    <w:rsid w:val="00F73ADE"/>
    <w:rsid w:val="00F77A00"/>
    <w:rsid w:val="00F836E2"/>
    <w:rsid w:val="00F8492A"/>
    <w:rsid w:val="00F854B4"/>
    <w:rsid w:val="00F91EB5"/>
    <w:rsid w:val="00F93936"/>
    <w:rsid w:val="00FA001C"/>
    <w:rsid w:val="00FA0E4A"/>
    <w:rsid w:val="00FA1065"/>
    <w:rsid w:val="00FA3546"/>
    <w:rsid w:val="00FA509B"/>
    <w:rsid w:val="00FA57FD"/>
    <w:rsid w:val="00FB0E2E"/>
    <w:rsid w:val="00FB0FB0"/>
    <w:rsid w:val="00FB4C35"/>
    <w:rsid w:val="00FB54D5"/>
    <w:rsid w:val="00FB671F"/>
    <w:rsid w:val="00FC40BC"/>
    <w:rsid w:val="00FC4705"/>
    <w:rsid w:val="00FC6E1D"/>
    <w:rsid w:val="00FC71E1"/>
    <w:rsid w:val="00FC777E"/>
    <w:rsid w:val="00FC7CDC"/>
    <w:rsid w:val="00FD2ECC"/>
    <w:rsid w:val="00FD3740"/>
    <w:rsid w:val="00FD3F82"/>
    <w:rsid w:val="00FD6E02"/>
    <w:rsid w:val="00FE27B0"/>
    <w:rsid w:val="00FE455B"/>
    <w:rsid w:val="00FF197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982E845-971C-4615-BF5F-F4A171D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0142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link w:val="Virsraksts3Rakstz"/>
    <w:uiPriority w:val="9"/>
    <w:qFormat/>
    <w:locked/>
    <w:rsid w:val="00D608C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EE11D3"/>
    <w:rPr>
      <w:lang w:eastAsia="en-US"/>
    </w:rPr>
  </w:style>
  <w:style w:type="paragraph" w:styleId="Galvene">
    <w:name w:val="header"/>
    <w:basedOn w:val="Parasts"/>
    <w:link w:val="Galv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E11D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E11D3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1251FB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1251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1251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1251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saite">
    <w:name w:val="Hyperlink"/>
    <w:basedOn w:val="Noklusjumarindkopasfonts"/>
    <w:uiPriority w:val="99"/>
    <w:unhideWhenUsed/>
    <w:rsid w:val="00D46FFF"/>
    <w:rPr>
      <w:color w:val="0000FF" w:themeColor="hyperlink"/>
      <w:u w:val="single"/>
    </w:rPr>
  </w:style>
  <w:style w:type="paragraph" w:styleId="Paraststmeklis">
    <w:name w:val="Normal (Web)"/>
    <w:basedOn w:val="Parasts"/>
    <w:unhideWhenUsed/>
    <w:rsid w:val="00443AD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1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131B2"/>
    <w:pPr>
      <w:ind w:left="720"/>
      <w:contextualSpacing/>
    </w:pPr>
  </w:style>
  <w:style w:type="paragraph" w:customStyle="1" w:styleId="naislab">
    <w:name w:val="naislab"/>
    <w:basedOn w:val="Parasts"/>
    <w:rsid w:val="001A6649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608C5"/>
    <w:rPr>
      <w:rFonts w:ascii="Times New Roman" w:eastAsia="Times New Roman" w:hAnsi="Times New Roman"/>
      <w:b/>
      <w:bCs/>
      <w:color w:val="414142"/>
      <w:sz w:val="35"/>
      <w:szCs w:val="35"/>
    </w:rPr>
  </w:style>
  <w:style w:type="paragraph" w:customStyle="1" w:styleId="liknoteik1">
    <w:name w:val="lik_noteik1"/>
    <w:basedOn w:val="Parasts"/>
    <w:rsid w:val="00D608C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Parasts"/>
    <w:rsid w:val="00D608C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locked/>
    <w:rsid w:val="00FC777E"/>
    <w:rPr>
      <w:b/>
      <w:bCs/>
    </w:rPr>
  </w:style>
  <w:style w:type="numbering" w:customStyle="1" w:styleId="Bezsaraksta1">
    <w:name w:val="Bez saraksta1"/>
    <w:next w:val="Bezsaraksta"/>
    <w:uiPriority w:val="99"/>
    <w:semiHidden/>
    <w:unhideWhenUsed/>
    <w:rsid w:val="00171FC6"/>
  </w:style>
  <w:style w:type="paragraph" w:styleId="Prskatjums">
    <w:name w:val="Revision"/>
    <w:hidden/>
    <w:uiPriority w:val="99"/>
    <w:semiHidden/>
    <w:rsid w:val="000A6C44"/>
    <w:rPr>
      <w:lang w:eastAsia="en-US"/>
    </w:rPr>
  </w:style>
  <w:style w:type="character" w:styleId="Izclums">
    <w:name w:val="Emphasis"/>
    <w:basedOn w:val="Noklusjumarindkopasfonts"/>
    <w:uiPriority w:val="20"/>
    <w:qFormat/>
    <w:locked/>
    <w:rsid w:val="00B346F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722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420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ga.bajale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4615-0EF5-4DDC-AE54-827F56FB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1200</Words>
  <Characters>8981</Characters>
  <Application>Microsoft Office Word</Application>
  <DocSecurity>0</DocSecurity>
  <Lines>74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2012. gada 24.jūlija noteikumos Nr. 518 "Augu šķirņu saimniecisko īpašību novērtēšanas noteikumi"” sākotnējās ietekmes novērtējuma ziņojums (anotācija)</vt:lpstr>
      <vt:lpstr/>
    </vt:vector>
  </TitlesOfParts>
  <Company>Zemkopības Ministrija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2012. gada 24.jūlija noteikumos Nr. 518 "Augu šķirņu saimniecisko īpašību novērtēšanas noteikumi"” sākotnējās ietekmes novērtējuma ziņojums (anotācija)</dc:title>
  <dc:subject>Anotācija</dc:subject>
  <dc:creator>Daiga Bajale</dc:creator>
  <dc:description>Bajale 67027313_x000d_
daiga.bajale@zm.gov.lv</dc:description>
  <cp:lastModifiedBy>Sanita Žagare</cp:lastModifiedBy>
  <cp:revision>5</cp:revision>
  <cp:lastPrinted>2018-08-15T07:24:00Z</cp:lastPrinted>
  <dcterms:created xsi:type="dcterms:W3CDTF">2018-10-01T07:31:00Z</dcterms:created>
  <dcterms:modified xsi:type="dcterms:W3CDTF">2018-10-01T12:48:00Z</dcterms:modified>
</cp:coreProperties>
</file>