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CD135A" w:rsidRPr="006C2785" w:rsidP="00CD135A" w14:paraId="1DA43901" w14:textId="77777777">
      <w:pPr>
        <w:jc w:val="center"/>
        <w:rPr>
          <w:rFonts w:cs="Times New Roman"/>
          <w:b/>
          <w:sz w:val="24"/>
          <w:szCs w:val="24"/>
          <w:lang w:eastAsia="lv-LV" w:bidi="ar-SA"/>
        </w:rPr>
      </w:pPr>
      <w:bookmarkStart w:id="0" w:name="468683"/>
      <w:bookmarkEnd w:id="0"/>
      <w:r w:rsidRPr="006C2785">
        <w:rPr>
          <w:rFonts w:cs="Times New Roman"/>
          <w:b/>
          <w:sz w:val="24"/>
          <w:szCs w:val="24"/>
          <w:lang w:eastAsia="lv-LV" w:bidi="ar-SA"/>
        </w:rPr>
        <w:t>Ministru kabineta noteikumu</w:t>
      </w:r>
      <w:r w:rsidRPr="006C2785">
        <w:rPr>
          <w:rFonts w:cs="Times New Roman"/>
          <w:b/>
          <w:bCs/>
          <w:sz w:val="24"/>
          <w:szCs w:val="24"/>
        </w:rPr>
        <w:t xml:space="preserve"> projekta</w:t>
      </w:r>
    </w:p>
    <w:p w:rsidR="00226001" w:rsidRPr="006C2785" w:rsidP="00CD135A" w14:paraId="1DA43902" w14:textId="77777777">
      <w:pPr>
        <w:jc w:val="center"/>
        <w:rPr>
          <w:rFonts w:cs="Times New Roman"/>
          <w:b/>
          <w:bCs/>
          <w:sz w:val="24"/>
          <w:szCs w:val="24"/>
        </w:rPr>
      </w:pPr>
      <w:r w:rsidRPr="006C2785">
        <w:rPr>
          <w:rFonts w:cs="Times New Roman"/>
          <w:b/>
          <w:sz w:val="24"/>
          <w:szCs w:val="24"/>
          <w:lang w:eastAsia="lv-LV" w:bidi="ar-SA"/>
        </w:rPr>
        <w:t>„</w:t>
      </w:r>
      <w:r w:rsidRPr="006C2785" w:rsidR="00B712E2">
        <w:rPr>
          <w:rFonts w:cs="Times New Roman"/>
          <w:b/>
          <w:sz w:val="24"/>
          <w:szCs w:val="24"/>
          <w:lang w:eastAsia="lv-LV" w:bidi="ar-SA"/>
        </w:rPr>
        <w:t>Grozījum</w:t>
      </w:r>
      <w:r w:rsidRPr="006C2785" w:rsidR="00A63E5E">
        <w:rPr>
          <w:rFonts w:cs="Times New Roman"/>
          <w:b/>
          <w:sz w:val="24"/>
          <w:szCs w:val="24"/>
          <w:lang w:eastAsia="lv-LV" w:bidi="ar-SA"/>
        </w:rPr>
        <w:t>i</w:t>
      </w:r>
      <w:r w:rsidRPr="006C2785" w:rsidR="005F5249">
        <w:rPr>
          <w:rFonts w:cs="Times New Roman"/>
          <w:b/>
          <w:sz w:val="24"/>
          <w:szCs w:val="24"/>
          <w:lang w:eastAsia="lv-LV" w:bidi="ar-SA"/>
        </w:rPr>
        <w:t xml:space="preserve"> Ministru kabineta 2014.</w:t>
      </w:r>
      <w:r w:rsidRPr="006C2785" w:rsidR="00230186">
        <w:rPr>
          <w:rFonts w:cs="Times New Roman"/>
          <w:b/>
          <w:sz w:val="24"/>
          <w:szCs w:val="24"/>
          <w:lang w:eastAsia="lv-LV" w:bidi="ar-SA"/>
        </w:rPr>
        <w:t> </w:t>
      </w:r>
      <w:r w:rsidRPr="006C2785" w:rsidR="005F5249">
        <w:rPr>
          <w:rFonts w:cs="Times New Roman"/>
          <w:b/>
          <w:sz w:val="24"/>
          <w:szCs w:val="24"/>
          <w:lang w:eastAsia="lv-LV" w:bidi="ar-SA"/>
        </w:rPr>
        <w:t>gada 26.</w:t>
      </w:r>
      <w:r w:rsidRPr="006C2785" w:rsidR="00230186">
        <w:rPr>
          <w:rFonts w:cs="Times New Roman"/>
          <w:b/>
          <w:sz w:val="24"/>
          <w:szCs w:val="24"/>
          <w:lang w:eastAsia="lv-LV" w:bidi="ar-SA"/>
        </w:rPr>
        <w:t> </w:t>
      </w:r>
      <w:r w:rsidRPr="006C2785" w:rsidR="005F5249">
        <w:rPr>
          <w:rFonts w:cs="Times New Roman"/>
          <w:b/>
          <w:sz w:val="24"/>
          <w:szCs w:val="24"/>
          <w:lang w:eastAsia="lv-LV" w:bidi="ar-SA"/>
        </w:rPr>
        <w:t>augusta noteikumos Nr.</w:t>
      </w:r>
      <w:r w:rsidRPr="006C2785" w:rsidR="00230186">
        <w:rPr>
          <w:rFonts w:cs="Times New Roman"/>
          <w:b/>
          <w:sz w:val="24"/>
          <w:szCs w:val="24"/>
          <w:lang w:eastAsia="lv-LV" w:bidi="ar-SA"/>
        </w:rPr>
        <w:t> </w:t>
      </w:r>
      <w:r w:rsidRPr="006C2785" w:rsidR="005F5249">
        <w:rPr>
          <w:rFonts w:cs="Times New Roman"/>
          <w:b/>
          <w:sz w:val="24"/>
          <w:szCs w:val="24"/>
          <w:lang w:eastAsia="lv-LV" w:bidi="ar-SA"/>
        </w:rPr>
        <w:t>509 „Noteikumi par karavīra mēnešalgas un speciālo piemaksu noteikšanas kārtību un to apmēru”</w:t>
      </w:r>
      <w:r w:rsidRPr="006C2785">
        <w:rPr>
          <w:rFonts w:cs="Times New Roman"/>
          <w:b/>
          <w:bCs/>
          <w:sz w:val="24"/>
          <w:szCs w:val="24"/>
        </w:rPr>
        <w:t xml:space="preserve"> sākotnējās ietekmes novērtējuma ziņojums (anotācija)</w:t>
      </w:r>
    </w:p>
    <w:p w:rsidR="006C2785" w:rsidRPr="006C2785" w:rsidP="00CD135A" w14:paraId="1DA43903" w14:textId="77777777">
      <w:pPr>
        <w:jc w:val="center"/>
        <w:rPr>
          <w:rFonts w:cs="Times New Roman"/>
          <w:b/>
          <w:bCs/>
          <w:sz w:val="24"/>
          <w:szCs w:val="24"/>
        </w:rPr>
      </w:pPr>
    </w:p>
    <w:tbl>
      <w:tblPr>
        <w:tblStyle w:val="TableGrid"/>
        <w:tblW w:w="5469" w:type="pct"/>
        <w:tblInd w:w="-431" w:type="dxa"/>
        <w:tblLook w:val="04A0"/>
      </w:tblPr>
      <w:tblGrid>
        <w:gridCol w:w="2973"/>
        <w:gridCol w:w="6348"/>
      </w:tblGrid>
      <w:tr w14:paraId="1DA43905" w14:textId="77777777" w:rsidTr="006C2785">
        <w:tblPrEx>
          <w:tblW w:w="5469" w:type="pct"/>
          <w:tblInd w:w="-431" w:type="dxa"/>
          <w:tblLook w:val="04A0"/>
        </w:tblPrEx>
        <w:tc>
          <w:tcPr>
            <w:tcW w:w="5000" w:type="pct"/>
            <w:gridSpan w:val="2"/>
            <w:hideMark/>
          </w:tcPr>
          <w:p w:rsidR="006C2785" w:rsidRPr="006C2785" w:rsidP="00050C7E" w14:paraId="1DA43904" w14:textId="77777777">
            <w:pPr>
              <w:spacing w:before="100" w:beforeAutospacing="1" w:after="100" w:afterAutospacing="1" w:line="360" w:lineRule="auto"/>
              <w:ind w:firstLine="300"/>
              <w:jc w:val="center"/>
              <w:rPr>
                <w:rFonts w:cs="Times New Roman"/>
                <w:b/>
                <w:bCs/>
                <w:sz w:val="24"/>
                <w:szCs w:val="24"/>
              </w:rPr>
            </w:pPr>
            <w:r w:rsidRPr="006C2785">
              <w:rPr>
                <w:rFonts w:cs="Times New Roman"/>
                <w:b/>
                <w:bCs/>
                <w:sz w:val="24"/>
                <w:szCs w:val="24"/>
              </w:rPr>
              <w:t>Tiesību akta projekta anotācijas kopsavilkums</w:t>
            </w:r>
          </w:p>
        </w:tc>
      </w:tr>
      <w:tr w14:paraId="1DA43908" w14:textId="77777777" w:rsidTr="006C2785">
        <w:tblPrEx>
          <w:tblW w:w="5469" w:type="pct"/>
          <w:tblInd w:w="-431" w:type="dxa"/>
          <w:tblLook w:val="04A0"/>
        </w:tblPrEx>
        <w:tc>
          <w:tcPr>
            <w:tcW w:w="1595" w:type="pct"/>
            <w:hideMark/>
          </w:tcPr>
          <w:p w:rsidR="006C2785" w:rsidRPr="006C2785" w:rsidP="00050C7E" w14:paraId="1DA43906" w14:textId="77777777">
            <w:pPr>
              <w:rPr>
                <w:rFonts w:cs="Times New Roman"/>
                <w:sz w:val="24"/>
                <w:szCs w:val="24"/>
              </w:rPr>
            </w:pPr>
            <w:r w:rsidRPr="006C2785">
              <w:rPr>
                <w:rFonts w:cs="Times New Roman"/>
                <w:sz w:val="24"/>
                <w:szCs w:val="24"/>
              </w:rPr>
              <w:t>Mērķis, risinājums un projekta spēkā stāšanās laiks</w:t>
            </w:r>
          </w:p>
        </w:tc>
        <w:tc>
          <w:tcPr>
            <w:tcW w:w="3405" w:type="pct"/>
            <w:hideMark/>
          </w:tcPr>
          <w:p w:rsidR="006C2785" w:rsidRPr="006C2785" w:rsidP="00DA3206" w14:paraId="1DA43907" w14:textId="77777777">
            <w:pPr>
              <w:ind w:left="-132" w:right="-115" w:firstLine="394"/>
              <w:jc w:val="both"/>
              <w:rPr>
                <w:rFonts w:cs="Times New Roman"/>
                <w:sz w:val="24"/>
                <w:szCs w:val="24"/>
              </w:rPr>
            </w:pPr>
            <w:r w:rsidRPr="006C2785">
              <w:rPr>
                <w:rFonts w:cs="Times New Roman"/>
                <w:iCs/>
                <w:sz w:val="24"/>
                <w:szCs w:val="24"/>
              </w:rPr>
              <w:t>Netiek aizpildīts saskaņā ar Ministru kabineta 2009. gada 15. decembra instrukcijas Nr. 19 “Tiesību akta projekta sākotnējās ietekmes izvērtēšanas kārtība” 5.</w:t>
            </w:r>
            <w:r w:rsidRPr="00DA3206">
              <w:rPr>
                <w:rFonts w:cs="Times New Roman"/>
                <w:iCs/>
                <w:sz w:val="24"/>
                <w:szCs w:val="24"/>
                <w:vertAlign w:val="superscript"/>
              </w:rPr>
              <w:t>1</w:t>
            </w:r>
            <w:r w:rsidRPr="006C2785">
              <w:rPr>
                <w:rFonts w:cs="Times New Roman"/>
                <w:iCs/>
                <w:sz w:val="24"/>
                <w:szCs w:val="24"/>
              </w:rPr>
              <w:t> punk</w:t>
            </w:r>
            <w:r w:rsidR="00DA3206">
              <w:rPr>
                <w:rFonts w:cs="Times New Roman"/>
                <w:iCs/>
                <w:sz w:val="24"/>
                <w:szCs w:val="24"/>
              </w:rPr>
              <w:t>tu.</w:t>
            </w:r>
          </w:p>
        </w:tc>
      </w:tr>
    </w:tbl>
    <w:p w:rsidR="006C2785" w:rsidRPr="006C2785" w:rsidP="006C2785" w14:paraId="1DA43909" w14:textId="77777777">
      <w:pPr>
        <w:spacing w:line="120" w:lineRule="auto"/>
        <w:rPr>
          <w:rFonts w:cs="Times New Roman"/>
          <w:b/>
          <w:bCs/>
          <w:sz w:val="24"/>
          <w:szCs w:val="24"/>
        </w:rPr>
      </w:pPr>
    </w:p>
    <w:tbl>
      <w:tblPr>
        <w:tblpPr w:leftFromText="180" w:rightFromText="180" w:vertAnchor="text" w:horzAnchor="margin" w:tblpXSpec="center" w:tblpY="165"/>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5"/>
        <w:gridCol w:w="2263"/>
        <w:gridCol w:w="6956"/>
      </w:tblGrid>
      <w:tr w14:paraId="1DA4390B" w14:textId="77777777" w:rsidTr="00C1757E">
        <w:tblPrEx>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1"/>
        </w:trPr>
        <w:tc>
          <w:tcPr>
            <w:tcW w:w="9644" w:type="dxa"/>
            <w:gridSpan w:val="3"/>
            <w:vAlign w:val="center"/>
          </w:tcPr>
          <w:p w:rsidR="006C2785" w:rsidRPr="006C2785" w:rsidP="00050C7E" w14:paraId="1DA4390A" w14:textId="77777777">
            <w:pPr>
              <w:pStyle w:val="naisnod"/>
              <w:spacing w:before="0" w:after="0"/>
              <w:ind w:left="1800"/>
              <w:jc w:val="left"/>
            </w:pPr>
            <w:r w:rsidRPr="006C2785">
              <w:t>I. Tiesību akta projekta izstrādes nepieciešamība</w:t>
            </w:r>
          </w:p>
        </w:tc>
      </w:tr>
      <w:tr w14:paraId="1DA4390F" w14:textId="77777777" w:rsidTr="00C1757E">
        <w:tblPrEx>
          <w:tblW w:w="9644" w:type="dxa"/>
          <w:tblLayout w:type="fixed"/>
          <w:tblCellMar>
            <w:left w:w="0" w:type="dxa"/>
            <w:right w:w="0" w:type="dxa"/>
          </w:tblCellMar>
          <w:tblLook w:val="0000"/>
        </w:tblPrEx>
        <w:trPr>
          <w:trHeight w:val="9"/>
        </w:trPr>
        <w:tc>
          <w:tcPr>
            <w:tcW w:w="425" w:type="dxa"/>
          </w:tcPr>
          <w:p w:rsidR="006C2785" w:rsidRPr="006C2785" w:rsidP="00050C7E" w14:paraId="1DA4390C" w14:textId="77777777">
            <w:pPr>
              <w:pStyle w:val="naiskr"/>
              <w:spacing w:before="0" w:after="0"/>
            </w:pPr>
            <w:r w:rsidRPr="006C2785">
              <w:t>1.</w:t>
            </w:r>
          </w:p>
        </w:tc>
        <w:tc>
          <w:tcPr>
            <w:tcW w:w="2263" w:type="dxa"/>
          </w:tcPr>
          <w:p w:rsidR="006C2785" w:rsidRPr="006C2785" w:rsidP="00050C7E" w14:paraId="1DA4390D" w14:textId="77777777">
            <w:pPr>
              <w:pStyle w:val="naiskr"/>
              <w:spacing w:before="0" w:after="0"/>
              <w:ind w:hanging="10"/>
            </w:pPr>
            <w:r w:rsidRPr="006C2785">
              <w:t>Pamatojums</w:t>
            </w:r>
          </w:p>
        </w:tc>
        <w:tc>
          <w:tcPr>
            <w:tcW w:w="6956" w:type="dxa"/>
          </w:tcPr>
          <w:p w:rsidR="006C2785" w:rsidRPr="006C2785" w:rsidP="00DA45B1" w14:paraId="1DA4390E" w14:textId="77777777">
            <w:pPr>
              <w:pStyle w:val="Default"/>
              <w:jc w:val="both"/>
            </w:pPr>
            <w:r w:rsidRPr="00ED20F0">
              <w:t>Ministru kabineta noteikumu projekts „Grozījum</w:t>
            </w:r>
            <w:r w:rsidR="000D4A26">
              <w:t>s</w:t>
            </w:r>
            <w:r w:rsidRPr="00ED20F0">
              <w:t xml:space="preserve"> Ministru kabineta 2014. gada 26. augusta noteikumos Nr. 509 „Noteikumi par karavīra mēnešalgas un speciālo piemaksu noteikšanas kārtību un to apmēru”</w:t>
            </w:r>
            <w:r w:rsidRPr="00ED20F0">
              <w:rPr>
                <w:bCs/>
              </w:rPr>
              <w:t xml:space="preserve"> </w:t>
            </w:r>
            <w:r>
              <w:rPr>
                <w:bCs/>
              </w:rPr>
              <w:t xml:space="preserve">(turpmāk – Noteikumu projekts) </w:t>
            </w:r>
            <w:r w:rsidRPr="00ED20F0">
              <w:t>izstrādāts</w:t>
            </w:r>
            <w:r w:rsidR="00DF71CE">
              <w:t xml:space="preserve">, </w:t>
            </w:r>
            <w:r w:rsidR="004B5CCC">
              <w:t xml:space="preserve">turpinot </w:t>
            </w:r>
            <w:r w:rsidR="00DF71CE">
              <w:t>realizēt 2016. gada 16. jūnija Saeimas sēdē apstiprinātā</w:t>
            </w:r>
            <w:r w:rsidR="00716C8E">
              <w:t>s</w:t>
            </w:r>
            <w:r w:rsidR="00DF71CE">
              <w:t xml:space="preserve"> </w:t>
            </w:r>
            <w:r w:rsidRPr="00A4759E">
              <w:t xml:space="preserve"> </w:t>
            </w:r>
            <w:r w:rsidR="000D4A26">
              <w:t>Valsts aizsardzības koncepcijas</w:t>
            </w:r>
            <w:r w:rsidR="00DF71CE">
              <w:t xml:space="preserve"> 107.</w:t>
            </w:r>
            <w:r w:rsidR="004B5CCC">
              <w:t xml:space="preserve"> </w:t>
            </w:r>
            <w:r w:rsidR="00DF71CE">
              <w:t>punktā noteikto – veicināt Nacionālo bruņoto spēku struktūras ilgtspēju</w:t>
            </w:r>
            <w:r w:rsidR="00925B7E">
              <w:t xml:space="preserve"> un kapacitāti, stiprinot kvalificētu un pieredzējušu speciālistu motivāciju un</w:t>
            </w:r>
            <w:r w:rsidR="00DF71CE">
              <w:t xml:space="preserve"> </w:t>
            </w:r>
            <w:r w:rsidR="004B5CCC">
              <w:t>saglabāšanu bruņotajos spēkos</w:t>
            </w:r>
            <w:r w:rsidR="00356E80">
              <w:t xml:space="preserve">, kā arī </w:t>
            </w:r>
            <w:r w:rsidR="00716C8E">
              <w:rPr>
                <w:sz w:val="23"/>
                <w:szCs w:val="23"/>
              </w:rPr>
              <w:t>vei</w:t>
            </w:r>
            <w:r w:rsidR="00356E80">
              <w:rPr>
                <w:sz w:val="23"/>
                <w:szCs w:val="23"/>
              </w:rPr>
              <w:t>kt</w:t>
            </w:r>
            <w:r w:rsidR="00716C8E">
              <w:rPr>
                <w:sz w:val="23"/>
                <w:szCs w:val="23"/>
              </w:rPr>
              <w:t xml:space="preserve"> karavīru sociālo garantiju sistēmas paplašināš</w:t>
            </w:r>
            <w:r w:rsidR="00356E80">
              <w:rPr>
                <w:sz w:val="23"/>
                <w:szCs w:val="23"/>
              </w:rPr>
              <w:t>anu</w:t>
            </w:r>
            <w:r w:rsidR="00716C8E">
              <w:rPr>
                <w:sz w:val="23"/>
                <w:szCs w:val="23"/>
              </w:rPr>
              <w:t>, uzlabo</w:t>
            </w:r>
            <w:r w:rsidR="00356E80">
              <w:rPr>
                <w:sz w:val="23"/>
                <w:szCs w:val="23"/>
              </w:rPr>
              <w:t>jot</w:t>
            </w:r>
            <w:r w:rsidR="00716C8E">
              <w:rPr>
                <w:sz w:val="23"/>
                <w:szCs w:val="23"/>
              </w:rPr>
              <w:t xml:space="preserve"> tā</w:t>
            </w:r>
            <w:r w:rsidR="00356E80">
              <w:rPr>
                <w:sz w:val="23"/>
                <w:szCs w:val="23"/>
              </w:rPr>
              <w:t>s sasaisti</w:t>
            </w:r>
            <w:r w:rsidR="00716C8E">
              <w:rPr>
                <w:sz w:val="23"/>
                <w:szCs w:val="23"/>
              </w:rPr>
              <w:t xml:space="preserve"> ar personāla karjeras un profesionālās izaugsmes kritērijiem, balstoties uz militārajam dienestam nepieciešamo zināšanu, operacionālās pieredzes un kvalifikācijas lī</w:t>
            </w:r>
            <w:r w:rsidR="00356E80">
              <w:rPr>
                <w:sz w:val="23"/>
                <w:szCs w:val="23"/>
              </w:rPr>
              <w:t xml:space="preserve">meni, </w:t>
            </w:r>
            <w:r w:rsidR="004B5CCC">
              <w:t>un Valsts</w:t>
            </w:r>
            <w:r w:rsidRPr="00ED20F0" w:rsidR="00EA18CB">
              <w:t xml:space="preserve"> kontroles 2017. gada </w:t>
            </w:r>
            <w:r w:rsidR="00EA18CB">
              <w:t xml:space="preserve">   </w:t>
            </w:r>
            <w:r w:rsidRPr="00ED20F0" w:rsidR="00EA18CB">
              <w:t>2</w:t>
            </w:r>
            <w:r w:rsidR="00983C9D">
              <w:t>8</w:t>
            </w:r>
            <w:r w:rsidRPr="00ED20F0" w:rsidR="00EA18CB">
              <w:t xml:space="preserve">. aprīļa </w:t>
            </w:r>
            <w:r w:rsidR="00983C9D">
              <w:t xml:space="preserve">revīzijas </w:t>
            </w:r>
            <w:r w:rsidRPr="00ED20F0" w:rsidR="00EA18CB">
              <w:t>z</w:t>
            </w:r>
            <w:r w:rsidR="00983C9D">
              <w:t>iņojumā</w:t>
            </w:r>
            <w:r w:rsidRPr="00ED20F0" w:rsidR="00EA18CB">
              <w:t xml:space="preserve"> </w:t>
            </w:r>
            <w:r w:rsidR="00DB21FE">
              <w:t xml:space="preserve">“Par Aizsardzības ministrijas </w:t>
            </w:r>
            <w:r w:rsidR="001B6F3F">
              <w:t xml:space="preserve">    </w:t>
            </w:r>
            <w:r w:rsidR="00DB21FE">
              <w:t>2016.</w:t>
            </w:r>
            <w:r w:rsidR="004B5CCC">
              <w:t xml:space="preserve"> </w:t>
            </w:r>
            <w:r w:rsidR="00DB21FE">
              <w:t>gada pārskatu”</w:t>
            </w:r>
            <w:r w:rsidR="00557AD2">
              <w:t xml:space="preserve"> sniegt</w:t>
            </w:r>
            <w:r w:rsidR="002C2611">
              <w:t>o</w:t>
            </w:r>
            <w:r w:rsidR="00557AD2">
              <w:t xml:space="preserve"> ieteikum</w:t>
            </w:r>
            <w:r w:rsidR="002C2611">
              <w:t>u karavīru atlīdzības refo</w:t>
            </w:r>
            <w:r w:rsidR="00716C8E">
              <w:t>rmai izvirzīto mērķu sasniegšanai</w:t>
            </w:r>
            <w:r w:rsidR="002C2611">
              <w:t>.</w:t>
            </w:r>
            <w:r w:rsidR="00557AD2">
              <w:t xml:space="preserve"> </w:t>
            </w:r>
            <w:r w:rsidR="002C2611">
              <w:t xml:space="preserve">Ar Noteikumu projektu tiek </w:t>
            </w:r>
            <w:r w:rsidR="001101B8">
              <w:t>turpinā</w:t>
            </w:r>
            <w:r w:rsidR="002C2611">
              <w:t>ts darbs pie ilgtspējīgu risinājumu</w:t>
            </w:r>
            <w:r w:rsidR="00DA45B1">
              <w:t xml:space="preserve"> karavīru atlīdzības sistēmas</w:t>
            </w:r>
            <w:r w:rsidR="00557AD2">
              <w:t xml:space="preserve"> pilnveidošana</w:t>
            </w:r>
            <w:r w:rsidR="002C2611">
              <w:t>i ievie</w:t>
            </w:r>
            <w:r w:rsidR="001101B8">
              <w:t>šanas</w:t>
            </w:r>
            <w:r w:rsidR="002C2611">
              <w:t>, par</w:t>
            </w:r>
            <w:r w:rsidR="004B5CCC">
              <w:t xml:space="preserve">edzot karavīru atlīdzības </w:t>
            </w:r>
            <w:r w:rsidR="002C2611">
              <w:t>p</w:t>
            </w:r>
            <w:r w:rsidR="004B5CCC">
              <w:t xml:space="preserve">ilnveidošanu </w:t>
            </w:r>
            <w:r w:rsidR="00DA45B1">
              <w:t>saskaņā ar</w:t>
            </w:r>
            <w:r w:rsidR="004B5CCC">
              <w:t xml:space="preserve"> amata pienākumu izpildei nepieciešam</w:t>
            </w:r>
            <w:r w:rsidR="00DA45B1">
              <w:t>o</w:t>
            </w:r>
            <w:r w:rsidR="004B5CCC">
              <w:t xml:space="preserve"> civil</w:t>
            </w:r>
            <w:r w:rsidR="00DA45B1">
              <w:t>o</w:t>
            </w:r>
            <w:r w:rsidR="004B5CCC">
              <w:t xml:space="preserve"> izglītīb</w:t>
            </w:r>
            <w:r w:rsidR="00DA45B1">
              <w:t>u</w:t>
            </w:r>
            <w:r w:rsidR="004B5CCC">
              <w:t>, profesionāl</w:t>
            </w:r>
            <w:r w:rsidR="00DA45B1">
              <w:t>o</w:t>
            </w:r>
            <w:r w:rsidR="004B5CCC">
              <w:t xml:space="preserve"> pieredz</w:t>
            </w:r>
            <w:r w:rsidR="00DA45B1">
              <w:t>i un apmācībām</w:t>
            </w:r>
            <w:r w:rsidR="004B5CCC">
              <w:t xml:space="preserve"> specialitātē, </w:t>
            </w:r>
            <w:r w:rsidR="00F42871">
              <w:t>amata pienākumu</w:t>
            </w:r>
            <w:r w:rsidR="004B5CCC">
              <w:t xml:space="preserve"> sarežģītīb</w:t>
            </w:r>
            <w:r w:rsidR="00DA45B1">
              <w:t>u</w:t>
            </w:r>
            <w:r w:rsidR="004B5CCC">
              <w:t>, intelektuālā ieguldījum</w:t>
            </w:r>
            <w:r w:rsidR="00DA45B1">
              <w:t>u</w:t>
            </w:r>
            <w:r w:rsidR="004B5CCC">
              <w:t>, fiziskās sagatavotības prasībām</w:t>
            </w:r>
            <w:r w:rsidR="00DA45B1">
              <w:t>, potenciālā risku un atbildību</w:t>
            </w:r>
            <w:r w:rsidR="004B5CCC">
              <w:t xml:space="preserve">, </w:t>
            </w:r>
            <w:r w:rsidR="00356E80">
              <w:t>kā arī kaujas</w:t>
            </w:r>
            <w:r w:rsidR="00DA45B1">
              <w:t xml:space="preserve"> gatavības prasību intensitāti</w:t>
            </w:r>
            <w:r w:rsidR="00AB3169">
              <w:t>. Noteikumu projekts</w:t>
            </w:r>
            <w:r w:rsidR="004B5CCC">
              <w:t xml:space="preserve"> paredz profesionālās kvalifikācijas komponentes</w:t>
            </w:r>
            <w:r w:rsidR="00356E80">
              <w:t xml:space="preserve"> </w:t>
            </w:r>
            <w:r w:rsidR="004B5CCC">
              <w:t>iekļaušanu atlīdzībā</w:t>
            </w:r>
            <w:r w:rsidR="00557AD2">
              <w:t xml:space="preserve"> profesionālāk</w:t>
            </w:r>
            <w:r w:rsidR="00A93EE6">
              <w:t>o k</w:t>
            </w:r>
            <w:r w:rsidR="00557AD2">
              <w:t>aravīr</w:t>
            </w:r>
            <w:r w:rsidR="00A93EE6">
              <w:t xml:space="preserve">u papildu motivācijai </w:t>
            </w:r>
            <w:r w:rsidR="00557AD2">
              <w:t xml:space="preserve"> un atvaļināšanās no dienesta bruņotajos spēkos samazināšan</w:t>
            </w:r>
            <w:r w:rsidR="00A93EE6">
              <w:t>ai</w:t>
            </w:r>
            <w:r w:rsidR="00557AD2">
              <w:t>.</w:t>
            </w:r>
          </w:p>
        </w:tc>
      </w:tr>
      <w:tr w14:paraId="1DA43921" w14:textId="77777777" w:rsidTr="00C1757E">
        <w:tblPrEx>
          <w:tblW w:w="9644" w:type="dxa"/>
          <w:tblLayout w:type="fixed"/>
          <w:tblCellMar>
            <w:left w:w="0" w:type="dxa"/>
            <w:right w:w="0" w:type="dxa"/>
          </w:tblCellMar>
          <w:tblLook w:val="0000"/>
        </w:tblPrEx>
        <w:trPr>
          <w:trHeight w:val="5"/>
        </w:trPr>
        <w:tc>
          <w:tcPr>
            <w:tcW w:w="425" w:type="dxa"/>
          </w:tcPr>
          <w:p w:rsidR="006C2785" w:rsidRPr="006C2785" w:rsidP="00050C7E" w14:paraId="1DA43910" w14:textId="77777777">
            <w:pPr>
              <w:pStyle w:val="naiskr"/>
              <w:spacing w:before="0" w:after="0"/>
            </w:pPr>
            <w:r w:rsidRPr="006C2785">
              <w:t>2.</w:t>
            </w:r>
          </w:p>
        </w:tc>
        <w:tc>
          <w:tcPr>
            <w:tcW w:w="2263" w:type="dxa"/>
          </w:tcPr>
          <w:p w:rsidR="006C2785" w:rsidRPr="006C2785" w:rsidP="00050C7E" w14:paraId="1DA43911" w14:textId="77777777">
            <w:pPr>
              <w:pStyle w:val="naiskr"/>
              <w:tabs>
                <w:tab w:val="left" w:pos="170"/>
              </w:tabs>
              <w:spacing w:before="0" w:after="0"/>
              <w:rPr>
                <w:color w:val="000000"/>
              </w:rPr>
            </w:pPr>
            <w:r w:rsidRPr="006C2785">
              <w:rPr>
                <w:color w:val="000000"/>
              </w:rPr>
              <w:t>Pašreizējā situācija un problēmas, kuru risināšanai tiesību akta projekts izstrādāts, tiesiskā regulējuma mērķis un būtība</w:t>
            </w:r>
          </w:p>
          <w:p w:rsidR="006C2785" w:rsidRPr="006C2785" w:rsidP="00050C7E" w14:paraId="1DA43912" w14:textId="77777777">
            <w:pPr>
              <w:ind w:firstLine="720"/>
              <w:rPr>
                <w:rFonts w:cs="Times New Roman"/>
                <w:color w:val="000000"/>
                <w:sz w:val="24"/>
                <w:szCs w:val="24"/>
              </w:rPr>
            </w:pPr>
          </w:p>
        </w:tc>
        <w:tc>
          <w:tcPr>
            <w:tcW w:w="6956" w:type="dxa"/>
          </w:tcPr>
          <w:p w:rsidR="004E1095" w:rsidRPr="00A6745D" w:rsidP="00D472D9" w14:paraId="1DA43913" w14:textId="77777777">
            <w:pPr>
              <w:ind w:firstLine="286"/>
              <w:jc w:val="both"/>
              <w:rPr>
                <w:rFonts w:cs="Times New Roman"/>
                <w:sz w:val="24"/>
                <w:szCs w:val="24"/>
              </w:rPr>
            </w:pPr>
            <w:r w:rsidRPr="00A6745D">
              <w:rPr>
                <w:rFonts w:cs="Times New Roman"/>
                <w:sz w:val="24"/>
                <w:szCs w:val="24"/>
              </w:rPr>
              <w:t xml:space="preserve">Ministru kabineta </w:t>
            </w:r>
            <w:r w:rsidRPr="00ED20F0">
              <w:rPr>
                <w:rFonts w:cs="Times New Roman"/>
                <w:sz w:val="24"/>
                <w:szCs w:val="24"/>
              </w:rPr>
              <w:t>2014. gada 26. augusta noteikum</w:t>
            </w:r>
            <w:r>
              <w:rPr>
                <w:rFonts w:cs="Times New Roman"/>
                <w:sz w:val="24"/>
                <w:szCs w:val="24"/>
              </w:rPr>
              <w:t>i</w:t>
            </w:r>
            <w:r w:rsidRPr="00ED20F0">
              <w:rPr>
                <w:rFonts w:cs="Times New Roman"/>
                <w:sz w:val="24"/>
                <w:szCs w:val="24"/>
              </w:rPr>
              <w:t xml:space="preserve"> Nr. 509 „</w:t>
            </w:r>
            <w:r w:rsidRPr="00A6745D">
              <w:rPr>
                <w:rFonts w:cs="Times New Roman"/>
                <w:sz w:val="24"/>
                <w:szCs w:val="24"/>
              </w:rPr>
              <w:t>Noteikumi par karavīra mēnešalgas un speciālo piemaksu noteikšanas kārtību un to apmēru” (turpmāk – Noteikumi) nosaka karavīra mēnešalgas un speciālo piemaksu noteikšanas kārtību un to apmēru.</w:t>
            </w:r>
            <w:r w:rsidRPr="00A6745D" w:rsidR="0041357F">
              <w:rPr>
                <w:rFonts w:cs="Times New Roman"/>
                <w:sz w:val="24"/>
                <w:szCs w:val="24"/>
              </w:rPr>
              <w:t xml:space="preserve"> Šobrīd noteikumu 1</w:t>
            </w:r>
            <w:r w:rsidRPr="00A6745D" w:rsidR="00690D8F">
              <w:rPr>
                <w:rFonts w:cs="Times New Roman"/>
                <w:sz w:val="24"/>
                <w:szCs w:val="24"/>
              </w:rPr>
              <w:t>.</w:t>
            </w:r>
            <w:r w:rsidRPr="00A6745D" w:rsidR="00515F90">
              <w:rPr>
                <w:rFonts w:cs="Times New Roman"/>
                <w:sz w:val="24"/>
                <w:szCs w:val="24"/>
              </w:rPr>
              <w:t xml:space="preserve"> </w:t>
            </w:r>
            <w:r w:rsidRPr="00A6745D" w:rsidR="00690D8F">
              <w:rPr>
                <w:rFonts w:cs="Times New Roman"/>
                <w:sz w:val="24"/>
                <w:szCs w:val="24"/>
              </w:rPr>
              <w:t xml:space="preserve">pielikumā ir </w:t>
            </w:r>
            <w:r w:rsidRPr="00A6745D" w:rsidR="0041357F">
              <w:rPr>
                <w:rFonts w:cs="Times New Roman"/>
                <w:sz w:val="24"/>
                <w:szCs w:val="24"/>
              </w:rPr>
              <w:t xml:space="preserve">noteikta karavīru </w:t>
            </w:r>
            <w:r w:rsidRPr="00A6745D" w:rsidR="00690D8F">
              <w:rPr>
                <w:rFonts w:cs="Times New Roman"/>
                <w:sz w:val="24"/>
                <w:szCs w:val="24"/>
              </w:rPr>
              <w:t xml:space="preserve"> </w:t>
            </w:r>
            <w:r w:rsidRPr="00A6745D" w:rsidR="0041357F">
              <w:rPr>
                <w:rFonts w:cs="Times New Roman"/>
                <w:sz w:val="24"/>
                <w:szCs w:val="24"/>
              </w:rPr>
              <w:t xml:space="preserve">mēnešalga atkarībā no karavīra dienesta pakāpes un izdienas (militārās sagatavotības, militārajām prasmēm un iemaņām), kā arī nosacījuma, ka karavīrs ir pabeidzis Militārā dienesta likumā paredzēto attiecīgajai dienesta pakāpei noteikto militārās izglītības kursu. Tomēr karavīru amatu pienākumu izpildei bez militārās izglītības, prasmēm un iemaņām ir nepieciešamas arī </w:t>
            </w:r>
            <w:r w:rsidRPr="00A6745D" w:rsidR="00D7325F">
              <w:rPr>
                <w:rFonts w:cs="Times New Roman"/>
                <w:sz w:val="24"/>
                <w:szCs w:val="24"/>
              </w:rPr>
              <w:t>profesionālās</w:t>
            </w:r>
            <w:r w:rsidRPr="00A6745D" w:rsidR="0041357F">
              <w:rPr>
                <w:rFonts w:cs="Times New Roman"/>
                <w:sz w:val="24"/>
                <w:szCs w:val="24"/>
              </w:rPr>
              <w:t xml:space="preserve"> zināšanas</w:t>
            </w:r>
            <w:r w:rsidRPr="00A6745D" w:rsidR="002A7FF6">
              <w:rPr>
                <w:rFonts w:cs="Times New Roman"/>
                <w:sz w:val="24"/>
                <w:szCs w:val="24"/>
              </w:rPr>
              <w:t>, pr</w:t>
            </w:r>
            <w:r w:rsidRPr="00A6745D" w:rsidR="00D7325F">
              <w:rPr>
                <w:rFonts w:cs="Times New Roman"/>
                <w:sz w:val="24"/>
                <w:szCs w:val="24"/>
              </w:rPr>
              <w:t>asmes un iemaņas</w:t>
            </w:r>
            <w:r w:rsidRPr="00A6745D" w:rsidR="00603E37">
              <w:rPr>
                <w:rFonts w:cs="Times New Roman"/>
                <w:sz w:val="24"/>
                <w:szCs w:val="24"/>
              </w:rPr>
              <w:t>, kā arī spēja īsā termiņā iesaistīties augstas kaujas gatav</w:t>
            </w:r>
            <w:r w:rsidRPr="00A6745D" w:rsidR="00757B10">
              <w:rPr>
                <w:rFonts w:cs="Times New Roman"/>
                <w:sz w:val="24"/>
                <w:szCs w:val="24"/>
              </w:rPr>
              <w:t xml:space="preserve">ības </w:t>
            </w:r>
            <w:r w:rsidRPr="00A6745D" w:rsidR="00603E37">
              <w:rPr>
                <w:rFonts w:cs="Times New Roman"/>
                <w:sz w:val="24"/>
                <w:szCs w:val="24"/>
              </w:rPr>
              <w:t>uzdevumu izpildē</w:t>
            </w:r>
            <w:r w:rsidRPr="00A6745D" w:rsidR="00D7325F">
              <w:rPr>
                <w:rFonts w:cs="Times New Roman"/>
                <w:sz w:val="24"/>
                <w:szCs w:val="24"/>
              </w:rPr>
              <w:t>. Noteiktu specialitāšu</w:t>
            </w:r>
            <w:r w:rsidRPr="00A6745D" w:rsidR="0041357F">
              <w:rPr>
                <w:rFonts w:cs="Times New Roman"/>
                <w:sz w:val="24"/>
                <w:szCs w:val="24"/>
              </w:rPr>
              <w:t xml:space="preserve"> karavīriem šo prasmju </w:t>
            </w:r>
            <w:r w:rsidRPr="00A6745D" w:rsidR="002A7FF6">
              <w:rPr>
                <w:rFonts w:cs="Times New Roman"/>
                <w:sz w:val="24"/>
                <w:szCs w:val="24"/>
              </w:rPr>
              <w:t xml:space="preserve">iegūšanai </w:t>
            </w:r>
            <w:r w:rsidRPr="00A6745D" w:rsidR="0041357F">
              <w:rPr>
                <w:rFonts w:cs="Times New Roman"/>
                <w:sz w:val="24"/>
                <w:szCs w:val="24"/>
              </w:rPr>
              <w:t xml:space="preserve">un iemaņu uzturēšanai </w:t>
            </w:r>
            <w:r w:rsidRPr="00A6745D" w:rsidR="002A7FF6">
              <w:rPr>
                <w:rFonts w:cs="Times New Roman"/>
                <w:sz w:val="24"/>
                <w:szCs w:val="24"/>
              </w:rPr>
              <w:t>nepieciešama</w:t>
            </w:r>
            <w:r w:rsidRPr="00A6745D" w:rsidR="0041357F">
              <w:rPr>
                <w:rFonts w:cs="Times New Roman"/>
                <w:sz w:val="24"/>
                <w:szCs w:val="24"/>
              </w:rPr>
              <w:t xml:space="preserve"> </w:t>
            </w:r>
            <w:r w:rsidRPr="00A6745D" w:rsidR="002A7FF6">
              <w:rPr>
                <w:rFonts w:cs="Times New Roman"/>
                <w:sz w:val="24"/>
                <w:szCs w:val="24"/>
              </w:rPr>
              <w:t xml:space="preserve">dalība paaugstināta riska nodarbībās (speciālo uzdevumu vienības karavīri, nesprāgušas munīcijas un improvizēto </w:t>
            </w:r>
            <w:r w:rsidRPr="00A6745D" w:rsidR="002A7FF6">
              <w:rPr>
                <w:rFonts w:cs="Times New Roman"/>
                <w:sz w:val="24"/>
                <w:szCs w:val="24"/>
              </w:rPr>
              <w:t xml:space="preserve">spridzināšanas ierīču netralizēšanas speciālisti u.c.) vai īpaši dārga apmācība (gaisa atbalsta </w:t>
            </w:r>
            <w:r w:rsidRPr="00A6745D" w:rsidR="00603E37">
              <w:rPr>
                <w:rFonts w:cs="Times New Roman"/>
                <w:sz w:val="24"/>
                <w:szCs w:val="24"/>
              </w:rPr>
              <w:t>kontroles speciālisti u.c.)</w:t>
            </w:r>
            <w:r w:rsidRPr="00A6745D" w:rsidR="000A284B">
              <w:rPr>
                <w:rFonts w:cs="Times New Roman"/>
                <w:sz w:val="24"/>
                <w:szCs w:val="24"/>
              </w:rPr>
              <w:t xml:space="preserve">. </w:t>
            </w:r>
            <w:r w:rsidRPr="00A6745D" w:rsidR="00603E37">
              <w:rPr>
                <w:rFonts w:cs="Times New Roman"/>
                <w:sz w:val="24"/>
                <w:szCs w:val="24"/>
              </w:rPr>
              <w:t>Ir arī karavīru amatu grupas</w:t>
            </w:r>
            <w:r w:rsidRPr="00A6745D" w:rsidR="000A284B">
              <w:rPr>
                <w:rFonts w:cs="Times New Roman"/>
                <w:sz w:val="24"/>
                <w:szCs w:val="24"/>
              </w:rPr>
              <w:t>, kuru pienākumu izpilde nosaka nepieciešamību atrasties paaugstinātā kaujas gatavībā (</w:t>
            </w:r>
            <w:r w:rsidRPr="00A6745D" w:rsidR="001B6F3F">
              <w:rPr>
                <w:rFonts w:cs="Times New Roman"/>
                <w:sz w:val="24"/>
                <w:szCs w:val="24"/>
              </w:rPr>
              <w:t xml:space="preserve">speciālo uzdevumu </w:t>
            </w:r>
            <w:r w:rsidRPr="00A6745D" w:rsidR="000A284B">
              <w:rPr>
                <w:rFonts w:cs="Times New Roman"/>
                <w:sz w:val="24"/>
                <w:szCs w:val="24"/>
              </w:rPr>
              <w:t>kaujinieku kom</w:t>
            </w:r>
            <w:r w:rsidRPr="00A6745D" w:rsidR="001B6F3F">
              <w:rPr>
                <w:rFonts w:cs="Times New Roman"/>
                <w:sz w:val="24"/>
                <w:szCs w:val="24"/>
              </w:rPr>
              <w:t>andu</w:t>
            </w:r>
            <w:r w:rsidRPr="00A6745D" w:rsidR="000A284B">
              <w:rPr>
                <w:rFonts w:cs="Times New Roman"/>
                <w:sz w:val="24"/>
                <w:szCs w:val="24"/>
              </w:rPr>
              <w:t xml:space="preserve"> karavīri, sapieri, snaiperi, ūdenslīd</w:t>
            </w:r>
            <w:r w:rsidRPr="00A6745D" w:rsidR="001B6F3F">
              <w:rPr>
                <w:rFonts w:cs="Times New Roman"/>
                <w:sz w:val="24"/>
                <w:szCs w:val="24"/>
              </w:rPr>
              <w:t>ēji</w:t>
            </w:r>
            <w:r w:rsidRPr="00A6745D" w:rsidR="000A284B">
              <w:rPr>
                <w:rFonts w:cs="Times New Roman"/>
                <w:sz w:val="24"/>
                <w:szCs w:val="24"/>
              </w:rPr>
              <w:t xml:space="preserve"> u.c.)</w:t>
            </w:r>
            <w:r w:rsidRPr="00A6745D" w:rsidR="001B6F3F">
              <w:rPr>
                <w:rFonts w:cs="Times New Roman"/>
                <w:sz w:val="24"/>
                <w:szCs w:val="24"/>
              </w:rPr>
              <w:t>.</w:t>
            </w:r>
          </w:p>
          <w:p w:rsidR="00690D8F" w:rsidRPr="00A6745D" w:rsidP="00D472D9" w14:paraId="1DA43914" w14:textId="77777777">
            <w:pPr>
              <w:ind w:firstLine="286"/>
              <w:jc w:val="both"/>
              <w:rPr>
                <w:rFonts w:cs="Times New Roman"/>
                <w:sz w:val="24"/>
                <w:szCs w:val="24"/>
              </w:rPr>
            </w:pPr>
            <w:r w:rsidRPr="00A6745D">
              <w:rPr>
                <w:rFonts w:cs="Times New Roman"/>
                <w:sz w:val="24"/>
                <w:szCs w:val="24"/>
              </w:rPr>
              <w:t>Šī brīža Noteikumu regu</w:t>
            </w:r>
            <w:r w:rsidRPr="00A6745D" w:rsidR="00A97022">
              <w:rPr>
                <w:rFonts w:cs="Times New Roman"/>
                <w:sz w:val="24"/>
                <w:szCs w:val="24"/>
              </w:rPr>
              <w:t>lējums</w:t>
            </w:r>
            <w:r w:rsidRPr="00A6745D" w:rsidR="009169E2">
              <w:rPr>
                <w:rFonts w:cs="Times New Roman"/>
                <w:sz w:val="24"/>
                <w:szCs w:val="24"/>
              </w:rPr>
              <w:t xml:space="preserve"> ietver speciālās piemaksas, kas tikai daļēji kompensē dienesta specifiku, tajā esošos apgrūtinājumus un risku. </w:t>
            </w:r>
            <w:r w:rsidRPr="00A6745D" w:rsidR="00B443D7">
              <w:rPr>
                <w:rFonts w:cs="Times New Roman"/>
                <w:sz w:val="24"/>
                <w:szCs w:val="24"/>
              </w:rPr>
              <w:t xml:space="preserve">Iztrūkstot pilnvērtīgam profesionālās sagatavotības novērtējumam atlīdzības sistēmā, arvien aktīvākas kļūst iniciatīvas par </w:t>
            </w:r>
            <w:r w:rsidRPr="00A6745D" w:rsidR="009169E2">
              <w:rPr>
                <w:rFonts w:cs="Times New Roman"/>
                <w:sz w:val="24"/>
                <w:szCs w:val="24"/>
              </w:rPr>
              <w:t>jaun</w:t>
            </w:r>
            <w:r w:rsidRPr="00A6745D" w:rsidR="00B443D7">
              <w:rPr>
                <w:rFonts w:cs="Times New Roman"/>
                <w:sz w:val="24"/>
                <w:szCs w:val="24"/>
              </w:rPr>
              <w:t>u</w:t>
            </w:r>
            <w:r w:rsidRPr="00A6745D" w:rsidR="009169E2">
              <w:rPr>
                <w:rFonts w:cs="Times New Roman"/>
                <w:sz w:val="24"/>
                <w:szCs w:val="24"/>
              </w:rPr>
              <w:t xml:space="preserve"> piemaksu n</w:t>
            </w:r>
            <w:r w:rsidRPr="00A6745D" w:rsidR="00B443D7">
              <w:rPr>
                <w:rFonts w:cs="Times New Roman"/>
                <w:sz w:val="24"/>
                <w:szCs w:val="24"/>
              </w:rPr>
              <w:t>epieciešamību, kas pretnostata dažādas karavīru amatu un nodarbinātības grupas</w:t>
            </w:r>
            <w:r w:rsidRPr="00A6745D" w:rsidR="000D4A26">
              <w:rPr>
                <w:rFonts w:cs="Times New Roman"/>
                <w:sz w:val="24"/>
                <w:szCs w:val="24"/>
              </w:rPr>
              <w:t>.</w:t>
            </w:r>
          </w:p>
          <w:p w:rsidR="000D4A26" w:rsidRPr="00A6745D" w:rsidP="00D472D9" w14:paraId="1DA43915" w14:textId="77777777">
            <w:pPr>
              <w:ind w:firstLine="286"/>
              <w:jc w:val="both"/>
              <w:rPr>
                <w:rFonts w:cs="Times New Roman"/>
                <w:sz w:val="24"/>
                <w:szCs w:val="24"/>
              </w:rPr>
            </w:pPr>
            <w:r w:rsidRPr="00A6745D">
              <w:rPr>
                <w:rFonts w:cs="Times New Roman"/>
                <w:sz w:val="24"/>
                <w:szCs w:val="24"/>
              </w:rPr>
              <w:t xml:space="preserve">Lai </w:t>
            </w:r>
            <w:r w:rsidRPr="00A6745D" w:rsidR="00814CD5">
              <w:rPr>
                <w:rFonts w:cs="Times New Roman"/>
                <w:sz w:val="24"/>
                <w:szCs w:val="24"/>
              </w:rPr>
              <w:t xml:space="preserve">nodrošinātu </w:t>
            </w:r>
            <w:r w:rsidRPr="00A6745D" w:rsidR="009E0E0C">
              <w:rPr>
                <w:rFonts w:cs="Times New Roman"/>
                <w:sz w:val="24"/>
                <w:szCs w:val="24"/>
              </w:rPr>
              <w:t>visu profesionālās darbības aspektu, kā arī grūtību un risku novērt</w:t>
            </w:r>
            <w:r w:rsidRPr="00A6745D" w:rsidR="003C37B7">
              <w:rPr>
                <w:rFonts w:cs="Times New Roman"/>
                <w:sz w:val="24"/>
                <w:szCs w:val="24"/>
              </w:rPr>
              <w:t>ējuma līdzvērtīgu integrāciju karavīru atlīdzībā</w:t>
            </w:r>
            <w:r w:rsidRPr="00A6745D" w:rsidR="00814CD5">
              <w:rPr>
                <w:rFonts w:cs="Times New Roman"/>
                <w:sz w:val="24"/>
                <w:szCs w:val="24"/>
              </w:rPr>
              <w:t xml:space="preserve">, pamatojoties uz MK 22.07.2003. noteikumos Nr.403 “Noteikumi par fiziskā darba novērtēšanas un amatu kvalifikācijas kategoriju noteikšanas pamatmetodiku no valsts budžeta finansējamo institūciju darbiniekiem” un MK 23.09.2003. noteikumos Nr.533 “Noteikumi par intelektuālā darba novērtēšanas un amatu kvalifikācijas kategoriju noteikšanas pamatmetodiku no valsts budžeta finansējamo institūciju darbiniekiem”  noteikto pamatmetodiku, tika veikta visu Nacionālo bruņoto spēku karavīru amatu </w:t>
            </w:r>
            <w:r w:rsidRPr="00A6745D" w:rsidR="00E676F0">
              <w:rPr>
                <w:rFonts w:cs="Times New Roman"/>
                <w:sz w:val="24"/>
                <w:szCs w:val="24"/>
              </w:rPr>
              <w:t>novērtēšana pēc vienotiem kritērijiem:</w:t>
            </w:r>
          </w:p>
          <w:p w:rsidR="00E676F0" w:rsidRPr="00A6745D" w:rsidP="00D02DC5" w14:paraId="1DA43916" w14:textId="77777777">
            <w:pPr>
              <w:pStyle w:val="ListParagraph"/>
              <w:numPr>
                <w:ilvl w:val="0"/>
                <w:numId w:val="7"/>
              </w:numPr>
              <w:jc w:val="both"/>
              <w:rPr>
                <w:rFonts w:cs="Times New Roman"/>
                <w:sz w:val="24"/>
                <w:szCs w:val="24"/>
              </w:rPr>
            </w:pPr>
            <w:r w:rsidRPr="00A6745D">
              <w:rPr>
                <w:rFonts w:cs="Times New Roman"/>
                <w:sz w:val="24"/>
                <w:szCs w:val="24"/>
              </w:rPr>
              <w:t>izglītība un profesionālā pieredze (civilā izglītība</w:t>
            </w:r>
            <w:r w:rsidRPr="00A6745D" w:rsidR="00B443D7">
              <w:rPr>
                <w:rFonts w:cs="Times New Roman"/>
                <w:sz w:val="24"/>
                <w:szCs w:val="24"/>
              </w:rPr>
              <w:t xml:space="preserve">, </w:t>
            </w:r>
            <w:r w:rsidRPr="00A6745D">
              <w:rPr>
                <w:rFonts w:cs="Times New Roman"/>
                <w:sz w:val="24"/>
                <w:szCs w:val="24"/>
              </w:rPr>
              <w:t xml:space="preserve"> profesionālā pieredze</w:t>
            </w:r>
            <w:r w:rsidRPr="00A6745D" w:rsidR="00B443D7">
              <w:rPr>
                <w:rFonts w:cs="Times New Roman"/>
                <w:sz w:val="24"/>
                <w:szCs w:val="24"/>
              </w:rPr>
              <w:t>, kā arī</w:t>
            </w:r>
            <w:r w:rsidRPr="00A6745D">
              <w:rPr>
                <w:rFonts w:cs="Times New Roman"/>
                <w:sz w:val="24"/>
                <w:szCs w:val="24"/>
              </w:rPr>
              <w:t xml:space="preserve"> </w:t>
            </w:r>
            <w:r w:rsidRPr="00A6745D" w:rsidR="00B443D7">
              <w:rPr>
                <w:rFonts w:cs="Times New Roman"/>
                <w:sz w:val="24"/>
                <w:szCs w:val="24"/>
              </w:rPr>
              <w:t>nepieciešamā</w:t>
            </w:r>
            <w:r w:rsidRPr="00A6745D">
              <w:rPr>
                <w:rFonts w:cs="Times New Roman"/>
                <w:sz w:val="24"/>
                <w:szCs w:val="24"/>
              </w:rPr>
              <w:t xml:space="preserve"> apmācība attiecīgajā specialitātē);</w:t>
            </w:r>
          </w:p>
          <w:p w:rsidR="00E676F0" w:rsidRPr="00A6745D" w:rsidP="00D02DC5" w14:paraId="1DA43917" w14:textId="77777777">
            <w:pPr>
              <w:pStyle w:val="ListParagraph"/>
              <w:numPr>
                <w:ilvl w:val="0"/>
                <w:numId w:val="7"/>
              </w:numPr>
              <w:jc w:val="both"/>
              <w:rPr>
                <w:rFonts w:cs="Times New Roman"/>
                <w:sz w:val="24"/>
                <w:szCs w:val="24"/>
              </w:rPr>
            </w:pPr>
            <w:r w:rsidRPr="00A6745D">
              <w:rPr>
                <w:rFonts w:cs="Times New Roman"/>
                <w:sz w:val="24"/>
                <w:szCs w:val="24"/>
              </w:rPr>
              <w:t>veicamo pienākumu raksturojums (</w:t>
            </w:r>
            <w:r w:rsidRPr="00A6745D">
              <w:rPr>
                <w:rFonts w:cs="Times New Roman"/>
                <w:sz w:val="24"/>
                <w:szCs w:val="24"/>
              </w:rPr>
              <w:t xml:space="preserve">sarežģītība, intelektuālais ieguldījums, fiziskā sagatavotība, </w:t>
            </w:r>
            <w:r w:rsidRPr="00A6745D" w:rsidR="00DA45B1">
              <w:rPr>
                <w:rFonts w:cs="Times New Roman"/>
                <w:sz w:val="24"/>
                <w:szCs w:val="24"/>
              </w:rPr>
              <w:t>sadarbība, risk</w:t>
            </w:r>
            <w:r w:rsidRPr="00A6745D" w:rsidR="0014136F">
              <w:rPr>
                <w:rFonts w:cs="Times New Roman"/>
                <w:sz w:val="24"/>
                <w:szCs w:val="24"/>
              </w:rPr>
              <w:t>i</w:t>
            </w:r>
            <w:r w:rsidRPr="00A6745D">
              <w:rPr>
                <w:rFonts w:cs="Times New Roman"/>
                <w:sz w:val="24"/>
                <w:szCs w:val="24"/>
              </w:rPr>
              <w:t>);</w:t>
            </w:r>
          </w:p>
          <w:p w:rsidR="00E676F0" w:rsidRPr="00A6745D" w:rsidP="00D02DC5" w14:paraId="1DA43918" w14:textId="77777777">
            <w:pPr>
              <w:pStyle w:val="ListParagraph"/>
              <w:numPr>
                <w:ilvl w:val="0"/>
                <w:numId w:val="7"/>
              </w:numPr>
              <w:jc w:val="both"/>
              <w:rPr>
                <w:rFonts w:cs="Times New Roman"/>
                <w:sz w:val="24"/>
                <w:szCs w:val="24"/>
              </w:rPr>
            </w:pPr>
            <w:r w:rsidRPr="00A6745D">
              <w:rPr>
                <w:rFonts w:cs="Times New Roman"/>
                <w:sz w:val="24"/>
                <w:szCs w:val="24"/>
              </w:rPr>
              <w:t xml:space="preserve">atbildība (par </w:t>
            </w:r>
            <w:r w:rsidRPr="00A6745D" w:rsidR="0014136F">
              <w:rPr>
                <w:rFonts w:cs="Times New Roman"/>
                <w:sz w:val="24"/>
                <w:szCs w:val="24"/>
              </w:rPr>
              <w:t>uzticēto uzdevumu</w:t>
            </w:r>
            <w:r w:rsidRPr="00A6745D">
              <w:rPr>
                <w:rFonts w:cs="Times New Roman"/>
                <w:sz w:val="24"/>
                <w:szCs w:val="24"/>
              </w:rPr>
              <w:t xml:space="preserve"> norisi</w:t>
            </w:r>
            <w:r w:rsidRPr="00A6745D" w:rsidR="0014136F">
              <w:rPr>
                <w:rFonts w:cs="Times New Roman"/>
                <w:sz w:val="24"/>
                <w:szCs w:val="24"/>
              </w:rPr>
              <w:t>, sasniedzamajiem rezultātiem,</w:t>
            </w:r>
            <w:r w:rsidRPr="00A6745D">
              <w:rPr>
                <w:rFonts w:cs="Times New Roman"/>
                <w:sz w:val="24"/>
                <w:szCs w:val="24"/>
              </w:rPr>
              <w:t xml:space="preserve"> tuvākā tiešā pak</w:t>
            </w:r>
            <w:r w:rsidRPr="00A6745D" w:rsidR="00C3594C">
              <w:rPr>
                <w:rFonts w:cs="Times New Roman"/>
                <w:sz w:val="24"/>
                <w:szCs w:val="24"/>
              </w:rPr>
              <w:t>ļautībā esošā personāla vadību);</w:t>
            </w:r>
          </w:p>
          <w:p w:rsidR="00C3594C" w:rsidRPr="00A6745D" w:rsidP="00D02DC5" w14:paraId="1DA43919" w14:textId="77777777">
            <w:pPr>
              <w:pStyle w:val="ListParagraph"/>
              <w:numPr>
                <w:ilvl w:val="0"/>
                <w:numId w:val="7"/>
              </w:numPr>
              <w:jc w:val="both"/>
              <w:rPr>
                <w:rFonts w:cs="Times New Roman"/>
                <w:sz w:val="24"/>
                <w:szCs w:val="24"/>
              </w:rPr>
            </w:pPr>
            <w:r w:rsidRPr="00A6745D">
              <w:rPr>
                <w:rFonts w:cs="Times New Roman"/>
                <w:sz w:val="24"/>
                <w:szCs w:val="24"/>
              </w:rPr>
              <w:t>kaujas gatavības prasību intensitāte.</w:t>
            </w:r>
          </w:p>
          <w:p w:rsidR="00E676F0" w:rsidRPr="00A6745D" w:rsidP="00E676F0" w14:paraId="1DA4391A" w14:textId="77777777">
            <w:pPr>
              <w:ind w:firstLine="286"/>
              <w:jc w:val="both"/>
              <w:rPr>
                <w:rFonts w:cs="Times New Roman"/>
                <w:sz w:val="24"/>
                <w:szCs w:val="24"/>
              </w:rPr>
            </w:pPr>
            <w:r w:rsidRPr="00A6745D">
              <w:rPr>
                <w:rFonts w:cs="Times New Roman"/>
                <w:sz w:val="24"/>
                <w:szCs w:val="24"/>
              </w:rPr>
              <w:t xml:space="preserve">Kritērijos nav ietverti tie rādītāji, kas jau iekļauti karavīru atlīdzībā, </w:t>
            </w:r>
            <w:r w:rsidRPr="00A6745D" w:rsidR="00201850">
              <w:rPr>
                <w:rFonts w:cs="Times New Roman"/>
                <w:sz w:val="24"/>
                <w:szCs w:val="24"/>
              </w:rPr>
              <w:t>proti,</w:t>
            </w:r>
            <w:r w:rsidRPr="00A6745D" w:rsidR="00C3594C">
              <w:rPr>
                <w:rFonts w:cs="Times New Roman"/>
                <w:sz w:val="24"/>
                <w:szCs w:val="24"/>
              </w:rPr>
              <w:t xml:space="preserve"> </w:t>
            </w:r>
            <w:r w:rsidRPr="00A6745D">
              <w:rPr>
                <w:rFonts w:cs="Times New Roman"/>
                <w:sz w:val="24"/>
                <w:szCs w:val="24"/>
              </w:rPr>
              <w:t xml:space="preserve">militārā izglītība, izdiena, atbildība par vienību (struktūrvienību) </w:t>
            </w:r>
            <w:r w:rsidRPr="00A6745D" w:rsidR="001F2B68">
              <w:rPr>
                <w:rFonts w:cs="Times New Roman"/>
                <w:sz w:val="24"/>
                <w:szCs w:val="24"/>
              </w:rPr>
              <w:t>un personāla</w:t>
            </w:r>
            <w:r w:rsidRPr="00A6745D" w:rsidR="003C37B7">
              <w:rPr>
                <w:rFonts w:cs="Times New Roman"/>
                <w:sz w:val="24"/>
                <w:szCs w:val="24"/>
              </w:rPr>
              <w:t xml:space="preserve"> </w:t>
            </w:r>
            <w:r w:rsidRPr="00A6745D">
              <w:rPr>
                <w:rFonts w:cs="Times New Roman"/>
                <w:sz w:val="24"/>
                <w:szCs w:val="24"/>
              </w:rPr>
              <w:t>vadību</w:t>
            </w:r>
            <w:r w:rsidRPr="00A6745D" w:rsidR="003C37B7">
              <w:rPr>
                <w:rFonts w:cs="Times New Roman"/>
                <w:sz w:val="24"/>
                <w:szCs w:val="24"/>
              </w:rPr>
              <w:t xml:space="preserve"> </w:t>
            </w:r>
            <w:r w:rsidRPr="00A6745D" w:rsidR="001F2B68">
              <w:rPr>
                <w:rFonts w:cs="Times New Roman"/>
                <w:sz w:val="24"/>
                <w:szCs w:val="24"/>
              </w:rPr>
              <w:t>militārās</w:t>
            </w:r>
            <w:r w:rsidRPr="00A6745D" w:rsidR="003C37B7">
              <w:rPr>
                <w:rFonts w:cs="Times New Roman"/>
                <w:sz w:val="24"/>
                <w:szCs w:val="24"/>
              </w:rPr>
              <w:t xml:space="preserve"> komandķēdes </w:t>
            </w:r>
            <w:r w:rsidRPr="00A6745D" w:rsidR="001F2B68">
              <w:rPr>
                <w:rFonts w:cs="Times New Roman"/>
                <w:sz w:val="24"/>
                <w:szCs w:val="24"/>
              </w:rPr>
              <w:t>ietvarā</w:t>
            </w:r>
            <w:r w:rsidRPr="00A6745D" w:rsidR="00D02DC5">
              <w:rPr>
                <w:rFonts w:cs="Times New Roman"/>
                <w:sz w:val="24"/>
                <w:szCs w:val="24"/>
              </w:rPr>
              <w:t xml:space="preserve">. </w:t>
            </w:r>
          </w:p>
          <w:p w:rsidR="00BF3242" w:rsidP="00BF3242" w14:paraId="1DA4391B" w14:textId="77777777">
            <w:pPr>
              <w:ind w:firstLine="294"/>
              <w:jc w:val="both"/>
              <w:rPr>
                <w:rFonts w:cs="Times New Roman"/>
                <w:sz w:val="24"/>
                <w:szCs w:val="24"/>
              </w:rPr>
            </w:pPr>
            <w:r w:rsidRPr="00A6745D">
              <w:rPr>
                <w:rFonts w:cs="Times New Roman"/>
                <w:sz w:val="24"/>
                <w:szCs w:val="24"/>
              </w:rPr>
              <w:t xml:space="preserve">Novērtēšanas </w:t>
            </w:r>
            <w:r w:rsidRPr="00A6745D" w:rsidR="00D02DC5">
              <w:rPr>
                <w:rFonts w:cs="Times New Roman"/>
                <w:sz w:val="24"/>
                <w:szCs w:val="24"/>
              </w:rPr>
              <w:t>rezultātā amatiem tika noteikta vērtība punktos un atkarībā no punktu skaita – attiecīga kvalifikācijas kategorija, kurai atbilst konkrēts ko</w:t>
            </w:r>
            <w:r w:rsidRPr="00A6745D" w:rsidR="00515F90">
              <w:rPr>
                <w:rFonts w:cs="Times New Roman"/>
                <w:sz w:val="24"/>
                <w:szCs w:val="24"/>
              </w:rPr>
              <w:t>eficienta apmērs no 1,0 līdz 1,3</w:t>
            </w:r>
            <w:r w:rsidRPr="00A6745D" w:rsidR="00D02DC5">
              <w:rPr>
                <w:rFonts w:cs="Times New Roman"/>
                <w:sz w:val="24"/>
                <w:szCs w:val="24"/>
              </w:rPr>
              <w:t>.</w:t>
            </w:r>
            <w:r w:rsidRPr="00DD0C1C">
              <w:rPr>
                <w:rFonts w:cs="Times New Roman"/>
                <w:sz w:val="24"/>
                <w:szCs w:val="24"/>
              </w:rPr>
              <w:t xml:space="preserve"> </w:t>
            </w:r>
          </w:p>
          <w:p w:rsidR="00BF3242" w:rsidP="00BF3242" w14:paraId="1DA4391C" w14:textId="77777777">
            <w:pPr>
              <w:ind w:firstLine="294"/>
              <w:jc w:val="both"/>
              <w:rPr>
                <w:rFonts w:cs="Times New Roman"/>
                <w:sz w:val="24"/>
                <w:szCs w:val="24"/>
              </w:rPr>
            </w:pPr>
            <w:r>
              <w:rPr>
                <w:rFonts w:cs="Times New Roman"/>
                <w:sz w:val="24"/>
                <w:szCs w:val="24"/>
              </w:rPr>
              <w:t>Līdzvērtīgu amatu mēnešalgas likmes</w:t>
            </w:r>
            <w:r w:rsidRPr="00A6745D" w:rsidR="00E735E5">
              <w:rPr>
                <w:rFonts w:cs="Times New Roman"/>
                <w:sz w:val="24"/>
                <w:szCs w:val="24"/>
              </w:rPr>
              <w:t xml:space="preserve"> reizinot ar atbilstošu koeficientu tiek panākta mēnešalgas diferenciācija </w:t>
            </w:r>
            <w:r w:rsidRPr="00A6745D" w:rsidR="007A5FBE">
              <w:rPr>
                <w:rFonts w:cs="Times New Roman"/>
                <w:sz w:val="24"/>
                <w:szCs w:val="24"/>
              </w:rPr>
              <w:t>no</w:t>
            </w:r>
            <w:r w:rsidRPr="00A6745D" w:rsidR="00E735E5">
              <w:rPr>
                <w:rFonts w:cs="Times New Roman"/>
                <w:sz w:val="24"/>
                <w:szCs w:val="24"/>
              </w:rPr>
              <w:t xml:space="preserve"> 0% </w:t>
            </w:r>
            <w:r w:rsidR="00415BFF">
              <w:rPr>
                <w:rFonts w:cs="Times New Roman"/>
                <w:sz w:val="24"/>
                <w:szCs w:val="24"/>
              </w:rPr>
              <w:t>(7. </w:t>
            </w:r>
            <w:r w:rsidRPr="00A6745D" w:rsidR="007A5FBE">
              <w:rPr>
                <w:rFonts w:cs="Times New Roman"/>
                <w:sz w:val="24"/>
                <w:szCs w:val="24"/>
              </w:rPr>
              <w:t xml:space="preserve">kvalifikācijas kategorija) </w:t>
            </w:r>
            <w:r w:rsidRPr="00A6745D" w:rsidR="00E735E5">
              <w:rPr>
                <w:rFonts w:cs="Times New Roman"/>
                <w:sz w:val="24"/>
                <w:szCs w:val="24"/>
              </w:rPr>
              <w:t>līdz 30%</w:t>
            </w:r>
            <w:r w:rsidRPr="00A6745D" w:rsidR="007A5FBE">
              <w:rPr>
                <w:rFonts w:cs="Times New Roman"/>
                <w:sz w:val="24"/>
                <w:szCs w:val="24"/>
              </w:rPr>
              <w:t xml:space="preserve"> (1.kvalifikācijas kategorija)</w:t>
            </w:r>
            <w:r w:rsidRPr="00A6745D" w:rsidR="00E735E5">
              <w:rPr>
                <w:rFonts w:cs="Times New Roman"/>
                <w:sz w:val="24"/>
                <w:szCs w:val="24"/>
              </w:rPr>
              <w:t xml:space="preserve">. </w:t>
            </w:r>
          </w:p>
          <w:p w:rsidR="00BF3242" w:rsidP="00BF3242" w14:paraId="1DA4391D" w14:textId="77777777">
            <w:pPr>
              <w:ind w:firstLine="294"/>
              <w:jc w:val="both"/>
              <w:rPr>
                <w:rFonts w:cs="Times New Roman"/>
                <w:sz w:val="24"/>
                <w:szCs w:val="24"/>
              </w:rPr>
            </w:pPr>
            <w:r w:rsidRPr="00415BFF">
              <w:rPr>
                <w:rFonts w:cs="Times New Roman"/>
                <w:sz w:val="24"/>
                <w:szCs w:val="24"/>
              </w:rPr>
              <w:t>Kvalifikācijas kategoriju katram karavīra amatam, atkarībā no amata vērtēšanas rezultātiem, nosaka Nacionālo bruņoto spēku komandieris</w:t>
            </w:r>
            <w:r w:rsidRPr="00415BFF" w:rsidR="00A6745D">
              <w:rPr>
                <w:rFonts w:cs="Times New Roman"/>
                <w:sz w:val="24"/>
                <w:szCs w:val="24"/>
              </w:rPr>
              <w:t xml:space="preserve"> saskaņā ar viņa izveidotas amatu vērtēšanas darba grupas ierosinājumu.</w:t>
            </w:r>
            <w:r w:rsidRPr="00415BFF">
              <w:rPr>
                <w:rFonts w:cs="Times New Roman"/>
                <w:sz w:val="24"/>
                <w:szCs w:val="24"/>
              </w:rPr>
              <w:t xml:space="preserve"> </w:t>
            </w:r>
            <w:r w:rsidRPr="00415BFF" w:rsidR="003C192E">
              <w:rPr>
                <w:rFonts w:cs="Times New Roman"/>
                <w:sz w:val="24"/>
                <w:szCs w:val="24"/>
              </w:rPr>
              <w:t>Savukārt k</w:t>
            </w:r>
            <w:r w:rsidRPr="00415BFF" w:rsidR="00A6745D">
              <w:rPr>
                <w:rFonts w:cs="Times New Roman"/>
                <w:sz w:val="24"/>
                <w:szCs w:val="24"/>
              </w:rPr>
              <w:t>valifikācijas kategoriju amatam, kuru</w:t>
            </w:r>
            <w:r w:rsidRPr="00415BFF" w:rsidR="003C192E">
              <w:rPr>
                <w:rFonts w:cs="Times New Roman"/>
                <w:sz w:val="24"/>
                <w:szCs w:val="24"/>
              </w:rPr>
              <w:t xml:space="preserve"> pilda uz civilu valsts iestādi pārvietots karavīrs, nosaka attiecīgās </w:t>
            </w:r>
            <w:r w:rsidRPr="00415BFF" w:rsidR="00A6745D">
              <w:rPr>
                <w:rFonts w:cs="Times New Roman"/>
                <w:sz w:val="24"/>
                <w:szCs w:val="24"/>
              </w:rPr>
              <w:t xml:space="preserve">civilās iestādes vadītājs vai aizsardzības ministrs. Šādu amatu un tiem atbilstošas kvalifikācijas kategorijas izvērtēšanai aizsardzības ministrs izveido amatu vērtēšanas komisiju, kuras sastāvā iekļauj Aizsardzības ministrijas un </w:t>
            </w:r>
            <w:r w:rsidRPr="00415BFF" w:rsidR="002E489C">
              <w:rPr>
                <w:rFonts w:cs="Times New Roman"/>
                <w:sz w:val="24"/>
                <w:szCs w:val="24"/>
              </w:rPr>
              <w:t xml:space="preserve">visu </w:t>
            </w:r>
            <w:r w:rsidRPr="00415BFF" w:rsidR="00A6745D">
              <w:rPr>
                <w:rFonts w:cs="Times New Roman"/>
                <w:sz w:val="24"/>
                <w:szCs w:val="24"/>
              </w:rPr>
              <w:t xml:space="preserve">tās </w:t>
            </w:r>
            <w:r w:rsidRPr="00415BFF" w:rsidR="002E489C">
              <w:rPr>
                <w:rFonts w:cs="Times New Roman"/>
                <w:sz w:val="24"/>
                <w:szCs w:val="24"/>
              </w:rPr>
              <w:t>padotībā esošo</w:t>
            </w:r>
            <w:r w:rsidRPr="00415BFF" w:rsidR="00A6745D">
              <w:rPr>
                <w:rFonts w:cs="Times New Roman"/>
                <w:sz w:val="24"/>
                <w:szCs w:val="24"/>
              </w:rPr>
              <w:t xml:space="preserve"> iestāžu pārstāvjus.</w:t>
            </w:r>
          </w:p>
          <w:p w:rsidR="00BF3242" w:rsidRPr="00BF3242" w:rsidP="00BF3242" w14:paraId="1DA4391F" w14:textId="77777777">
            <w:pPr>
              <w:ind w:firstLine="294"/>
              <w:jc w:val="both"/>
              <w:rPr>
                <w:rFonts w:cs="Times New Roman"/>
                <w:sz w:val="24"/>
                <w:szCs w:val="24"/>
              </w:rPr>
            </w:pPr>
            <w:bookmarkStart w:id="1" w:name="_GoBack"/>
            <w:bookmarkEnd w:id="1"/>
            <w:r w:rsidRPr="00A6745D">
              <w:rPr>
                <w:rFonts w:cs="Times New Roman"/>
                <w:sz w:val="24"/>
                <w:szCs w:val="24"/>
              </w:rPr>
              <w:t xml:space="preserve">Papildus koeficientu ieviešanai, lai </w:t>
            </w:r>
            <w:r w:rsidRPr="00A6745D" w:rsidR="00A15CEE">
              <w:rPr>
                <w:rFonts w:cs="Times New Roman"/>
                <w:sz w:val="24"/>
                <w:szCs w:val="24"/>
              </w:rPr>
              <w:t>paliel</w:t>
            </w:r>
            <w:r w:rsidRPr="00A6745D">
              <w:rPr>
                <w:rFonts w:cs="Times New Roman"/>
                <w:sz w:val="24"/>
                <w:szCs w:val="24"/>
              </w:rPr>
              <w:t>inātu to ietekmes vērtību un līdzsvarotu kareivju un jaunāko instruktoru mēnešalgas, kā ar</w:t>
            </w:r>
            <w:r w:rsidRPr="00A6745D" w:rsidR="00A15CEE">
              <w:rPr>
                <w:rFonts w:cs="Times New Roman"/>
                <w:sz w:val="24"/>
                <w:szCs w:val="24"/>
              </w:rPr>
              <w:t>ī paaugstinātu</w:t>
            </w:r>
            <w:r w:rsidRPr="00A6745D" w:rsidR="0080595E">
              <w:rPr>
                <w:rFonts w:cs="Times New Roman"/>
                <w:sz w:val="24"/>
                <w:szCs w:val="24"/>
              </w:rPr>
              <w:t xml:space="preserve"> NBS </w:t>
            </w:r>
            <w:r w:rsidRPr="00A6745D" w:rsidR="00A15CEE">
              <w:rPr>
                <w:rFonts w:cs="Times New Roman"/>
                <w:sz w:val="24"/>
                <w:szCs w:val="24"/>
              </w:rPr>
              <w:t>spējas rekrutēt jaunus karavīrus no civilās vides</w:t>
            </w:r>
            <w:r w:rsidR="0080595E">
              <w:rPr>
                <w:rFonts w:cs="Times New Roman"/>
                <w:sz w:val="24"/>
                <w:szCs w:val="24"/>
              </w:rPr>
              <w:t>, karavīru mēnešalga</w:t>
            </w:r>
            <w:r w:rsidR="005260D5">
              <w:rPr>
                <w:rFonts w:cs="Times New Roman"/>
                <w:sz w:val="24"/>
                <w:szCs w:val="24"/>
              </w:rPr>
              <w:t>s likmes</w:t>
            </w:r>
            <w:r w:rsidR="0080595E">
              <w:rPr>
                <w:rFonts w:cs="Times New Roman"/>
                <w:sz w:val="24"/>
                <w:szCs w:val="24"/>
              </w:rPr>
              <w:t xml:space="preserve"> tiek palielināta</w:t>
            </w:r>
            <w:r w:rsidR="005260D5">
              <w:rPr>
                <w:rFonts w:cs="Times New Roman"/>
                <w:sz w:val="24"/>
                <w:szCs w:val="24"/>
              </w:rPr>
              <w:t>s</w:t>
            </w:r>
            <w:r w:rsidR="0080595E">
              <w:rPr>
                <w:rFonts w:cs="Times New Roman"/>
                <w:sz w:val="24"/>
                <w:szCs w:val="24"/>
              </w:rPr>
              <w:t xml:space="preserve"> par 75 </w:t>
            </w:r>
            <w:r w:rsidRPr="00A6745D" w:rsidR="0080595E">
              <w:rPr>
                <w:rFonts w:cs="Times New Roman"/>
                <w:sz w:val="24"/>
                <w:szCs w:val="24"/>
              </w:rPr>
              <w:t>euro</w:t>
            </w:r>
            <w:r w:rsidRPr="00A6745D" w:rsidR="0080595E">
              <w:rPr>
                <w:rFonts w:cs="Times New Roman"/>
                <w:sz w:val="24"/>
                <w:szCs w:val="24"/>
              </w:rPr>
              <w:t xml:space="preserve">. </w:t>
            </w:r>
          </w:p>
          <w:p w:rsidR="006C2785" w:rsidRPr="00A6745D" w:rsidP="008F5434" w14:paraId="1DA43920" w14:textId="77777777">
            <w:pPr>
              <w:ind w:firstLine="284"/>
              <w:jc w:val="both"/>
              <w:rPr>
                <w:rFonts w:cs="Times New Roman"/>
                <w:sz w:val="24"/>
                <w:szCs w:val="24"/>
              </w:rPr>
            </w:pPr>
            <w:r w:rsidRPr="00A6745D">
              <w:rPr>
                <w:rFonts w:cs="Times New Roman"/>
                <w:sz w:val="24"/>
                <w:szCs w:val="24"/>
              </w:rPr>
              <w:t xml:space="preserve">Ar Noteikumu projektu atlīdzības noteikšanā tiek samazināts </w:t>
            </w:r>
            <w:r w:rsidRPr="00A6745D">
              <w:rPr>
                <w:rFonts w:cs="Times New Roman"/>
                <w:sz w:val="24"/>
                <w:szCs w:val="24"/>
              </w:rPr>
              <w:t xml:space="preserve">mainīgās daļas īpatsvars – svītrotas speciālās piemaksas, kas noteiktas par dienestu, kas saistīts ar paaugstinātu risku karavīra veselībai/dzīvībai (5 piemaksas), un no 5 uz 3 samazināts piemaksu skaits par dienestu specifiskos (apgrūtinošos) apstākļos. Saglabājas tikai tās piemaksas (3), kas noteiktas par </w:t>
            </w:r>
            <w:r w:rsidRPr="00A6745D" w:rsidR="001F2B68">
              <w:rPr>
                <w:rFonts w:cs="Times New Roman"/>
                <w:sz w:val="24"/>
                <w:szCs w:val="24"/>
              </w:rPr>
              <w:t>dienesta pienākumu izpildi uz kuģa jūrā, nolidoto stundu skaitu, kā arī atrašano</w:t>
            </w:r>
            <w:r w:rsidRPr="00A6745D">
              <w:rPr>
                <w:rFonts w:cs="Times New Roman"/>
                <w:sz w:val="24"/>
                <w:szCs w:val="24"/>
              </w:rPr>
              <w:t xml:space="preserve">s ātrās reaģēšanas kontingenta sastāvā ārpus </w:t>
            </w:r>
            <w:r w:rsidRPr="00A6745D" w:rsidR="00DA45B1">
              <w:rPr>
                <w:rFonts w:cs="Times New Roman"/>
                <w:sz w:val="24"/>
                <w:szCs w:val="24"/>
              </w:rPr>
              <w:t>Latvijas Republikas teritorijas</w:t>
            </w:r>
            <w:r w:rsidRPr="00A6745D">
              <w:rPr>
                <w:rFonts w:cs="Times New Roman"/>
                <w:sz w:val="24"/>
                <w:szCs w:val="24"/>
              </w:rPr>
              <w:t xml:space="preserve">. </w:t>
            </w:r>
            <w:r w:rsidRPr="00A6745D" w:rsidR="001F2B68">
              <w:rPr>
                <w:rFonts w:cs="Times New Roman"/>
                <w:sz w:val="24"/>
                <w:szCs w:val="24"/>
              </w:rPr>
              <w:t>Noteikumu 2.pielikum</w:t>
            </w:r>
            <w:r w:rsidRPr="00A6745D" w:rsidR="00F378F2">
              <w:rPr>
                <w:rFonts w:cs="Times New Roman"/>
                <w:sz w:val="24"/>
                <w:szCs w:val="24"/>
              </w:rPr>
              <w:t>s</w:t>
            </w:r>
            <w:r w:rsidRPr="00A6745D" w:rsidR="001F2B68">
              <w:rPr>
                <w:rFonts w:cs="Times New Roman"/>
                <w:sz w:val="24"/>
                <w:szCs w:val="24"/>
              </w:rPr>
              <w:t xml:space="preserve"> “Piemaksas karavīram, kurš piedalās starptautiskā operācijā”</w:t>
            </w:r>
            <w:r w:rsidRPr="00A6745D" w:rsidR="00F378F2">
              <w:rPr>
                <w:rFonts w:cs="Times New Roman"/>
                <w:sz w:val="24"/>
                <w:szCs w:val="24"/>
              </w:rPr>
              <w:t xml:space="preserve"> saglabāts bez izmaiņām.</w:t>
            </w:r>
            <w:r w:rsidRPr="00A6745D" w:rsidR="001F2B68">
              <w:rPr>
                <w:rFonts w:cs="Times New Roman"/>
                <w:sz w:val="24"/>
                <w:szCs w:val="24"/>
              </w:rPr>
              <w:t xml:space="preserve"> </w:t>
            </w:r>
          </w:p>
        </w:tc>
      </w:tr>
      <w:tr w14:paraId="1DA43925" w14:textId="77777777" w:rsidTr="00C1757E">
        <w:tblPrEx>
          <w:tblW w:w="9644" w:type="dxa"/>
          <w:tblLayout w:type="fixed"/>
          <w:tblCellMar>
            <w:left w:w="0" w:type="dxa"/>
            <w:right w:w="0" w:type="dxa"/>
          </w:tblCellMar>
          <w:tblLook w:val="0000"/>
        </w:tblPrEx>
        <w:trPr>
          <w:trHeight w:val="8"/>
        </w:trPr>
        <w:tc>
          <w:tcPr>
            <w:tcW w:w="425" w:type="dxa"/>
          </w:tcPr>
          <w:p w:rsidR="006C2785" w:rsidRPr="006C2785" w:rsidP="00050C7E" w14:paraId="1DA43922" w14:textId="77777777">
            <w:pPr>
              <w:pStyle w:val="naiskr"/>
              <w:spacing w:before="0" w:after="0"/>
            </w:pPr>
            <w:r w:rsidRPr="006C2785">
              <w:t>3.</w:t>
            </w:r>
          </w:p>
        </w:tc>
        <w:tc>
          <w:tcPr>
            <w:tcW w:w="2263" w:type="dxa"/>
          </w:tcPr>
          <w:p w:rsidR="006C2785" w:rsidRPr="006C2785" w:rsidP="00050C7E" w14:paraId="1DA43923" w14:textId="77777777">
            <w:pPr>
              <w:pStyle w:val="naiskr"/>
              <w:spacing w:before="0" w:after="0"/>
            </w:pPr>
            <w:r w:rsidRPr="006C2785">
              <w:t>Projekta izstrādē iesaistītās institūcijas un publiskas personas kapitālsabiedrības</w:t>
            </w:r>
          </w:p>
        </w:tc>
        <w:tc>
          <w:tcPr>
            <w:tcW w:w="6956" w:type="dxa"/>
          </w:tcPr>
          <w:p w:rsidR="006C2785" w:rsidRPr="006C2785" w:rsidP="00050C7E" w14:paraId="1DA43924" w14:textId="77777777">
            <w:pPr>
              <w:pStyle w:val="naiskr"/>
              <w:spacing w:before="0" w:after="0"/>
              <w:jc w:val="both"/>
            </w:pPr>
            <w:r w:rsidRPr="00ED20F0">
              <w:t>Noteikumu projektu izstrādājusi Aizsardzības ministrija sadarbībā ar Nacionālajiem bruņotajiem spēkiem.</w:t>
            </w:r>
          </w:p>
        </w:tc>
      </w:tr>
      <w:tr w14:paraId="1DA43929" w14:textId="77777777" w:rsidTr="00C1757E">
        <w:tblPrEx>
          <w:tblW w:w="9644" w:type="dxa"/>
          <w:tblLayout w:type="fixed"/>
          <w:tblCellMar>
            <w:left w:w="0" w:type="dxa"/>
            <w:right w:w="0" w:type="dxa"/>
          </w:tblCellMar>
          <w:tblLook w:val="0000"/>
        </w:tblPrEx>
        <w:trPr>
          <w:trHeight w:val="246"/>
        </w:trPr>
        <w:tc>
          <w:tcPr>
            <w:tcW w:w="425" w:type="dxa"/>
          </w:tcPr>
          <w:p w:rsidR="006C2785" w:rsidRPr="006C2785" w:rsidP="00050C7E" w14:paraId="1DA43926" w14:textId="77777777">
            <w:pPr>
              <w:pStyle w:val="naiskr"/>
              <w:spacing w:before="0" w:after="0"/>
            </w:pPr>
            <w:r w:rsidRPr="006C2785">
              <w:t>4.</w:t>
            </w:r>
          </w:p>
        </w:tc>
        <w:tc>
          <w:tcPr>
            <w:tcW w:w="2263" w:type="dxa"/>
          </w:tcPr>
          <w:p w:rsidR="006C2785" w:rsidRPr="006C2785" w:rsidP="00050C7E" w14:paraId="1DA43927" w14:textId="77777777">
            <w:pPr>
              <w:pStyle w:val="naiskr"/>
              <w:spacing w:before="0" w:after="0"/>
            </w:pPr>
            <w:r w:rsidRPr="006C2785">
              <w:t>Cita informācija</w:t>
            </w:r>
          </w:p>
        </w:tc>
        <w:tc>
          <w:tcPr>
            <w:tcW w:w="6956" w:type="dxa"/>
          </w:tcPr>
          <w:p w:rsidR="006C2785" w:rsidRPr="006C2785" w:rsidP="00050C7E" w14:paraId="1DA43928" w14:textId="77777777">
            <w:pPr>
              <w:jc w:val="both"/>
              <w:rPr>
                <w:rFonts w:cs="Times New Roman"/>
                <w:sz w:val="24"/>
                <w:szCs w:val="24"/>
                <w:lang w:eastAsia="ru-RU"/>
              </w:rPr>
            </w:pPr>
            <w:r w:rsidRPr="006C2785">
              <w:rPr>
                <w:rFonts w:cs="Times New Roman"/>
                <w:sz w:val="24"/>
                <w:szCs w:val="24"/>
                <w:lang w:eastAsia="ru-RU"/>
              </w:rPr>
              <w:t>Nav.</w:t>
            </w:r>
          </w:p>
        </w:tc>
      </w:tr>
    </w:tbl>
    <w:p w:rsidR="006C2785" w:rsidRPr="006C2785" w:rsidP="006C2785" w14:paraId="1DA4392A" w14:textId="77777777">
      <w:pPr>
        <w:jc w:val="both"/>
        <w:rPr>
          <w:rFonts w:cs="Times New Roman"/>
          <w:sz w:val="24"/>
          <w:szCs w:val="24"/>
        </w:rPr>
      </w:pPr>
    </w:p>
    <w:tbl>
      <w:tblPr>
        <w:tblW w:w="9728"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728"/>
      </w:tblGrid>
      <w:tr w14:paraId="1DA4392C" w14:textId="77777777" w:rsidTr="00C1757E">
        <w:tblPrEx>
          <w:tblW w:w="9728"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421"/>
          <w:jc w:val="center"/>
        </w:trPr>
        <w:tc>
          <w:tcPr>
            <w:tcW w:w="9728" w:type="dxa"/>
            <w:tcBorders>
              <w:top w:val="single" w:sz="4" w:space="0" w:color="auto"/>
              <w:left w:val="single" w:sz="4" w:space="0" w:color="auto"/>
              <w:bottom w:val="single" w:sz="4" w:space="0" w:color="auto"/>
              <w:right w:val="single" w:sz="4" w:space="0" w:color="auto"/>
            </w:tcBorders>
            <w:vAlign w:val="center"/>
            <w:hideMark/>
          </w:tcPr>
          <w:p w:rsidR="006C2785" w:rsidRPr="006C2785" w:rsidP="00050C7E" w14:paraId="1DA4392B" w14:textId="77777777">
            <w:pPr>
              <w:pStyle w:val="naisnod"/>
              <w:spacing w:before="0" w:after="0"/>
              <w:ind w:left="57" w:right="57"/>
            </w:pPr>
            <w:r w:rsidRPr="006C2785">
              <w:t xml:space="preserve">II. </w:t>
            </w:r>
            <w:r w:rsidRPr="006C2785">
              <w:rPr>
                <w:bCs w:val="0"/>
              </w:rPr>
              <w:t>Tiesību akta projekta ietekme uz sabiedrību, tautsaimniecības attīstību un administratīvo slogu</w:t>
            </w:r>
          </w:p>
        </w:tc>
      </w:tr>
      <w:tr w14:paraId="1DA4392E" w14:textId="77777777" w:rsidTr="00C1757E">
        <w:tblPrEx>
          <w:tblW w:w="9728" w:type="dxa"/>
          <w:jc w:val="center"/>
          <w:tblInd w:w="-107" w:type="dxa"/>
          <w:tblCellMar>
            <w:left w:w="0" w:type="dxa"/>
            <w:right w:w="0" w:type="dxa"/>
          </w:tblCellMar>
          <w:tblLook w:val="04A0"/>
        </w:tblPrEx>
        <w:trPr>
          <w:trHeight w:val="395"/>
          <w:jc w:val="center"/>
        </w:trPr>
        <w:tc>
          <w:tcPr>
            <w:tcW w:w="9728" w:type="dxa"/>
            <w:tcBorders>
              <w:top w:val="single" w:sz="4" w:space="0" w:color="auto"/>
              <w:left w:val="single" w:sz="4" w:space="0" w:color="auto"/>
              <w:bottom w:val="single" w:sz="4" w:space="0" w:color="auto"/>
              <w:right w:val="single" w:sz="4" w:space="0" w:color="auto"/>
            </w:tcBorders>
            <w:vAlign w:val="center"/>
            <w:hideMark/>
          </w:tcPr>
          <w:p w:rsidR="006C2785" w:rsidRPr="006C2785" w:rsidP="00050C7E" w14:paraId="1DA4392D" w14:textId="77777777">
            <w:pPr>
              <w:ind w:left="57" w:right="57"/>
              <w:jc w:val="center"/>
              <w:rPr>
                <w:rFonts w:cs="Times New Roman"/>
                <w:bCs/>
                <w:sz w:val="24"/>
                <w:szCs w:val="24"/>
              </w:rPr>
            </w:pPr>
            <w:r w:rsidRPr="006C2785">
              <w:rPr>
                <w:rFonts w:cs="Times New Roman"/>
                <w:sz w:val="24"/>
                <w:szCs w:val="24"/>
              </w:rPr>
              <w:t>Noteikumu projekts šo jomu neskar.</w:t>
            </w:r>
          </w:p>
        </w:tc>
      </w:tr>
    </w:tbl>
    <w:p w:rsidR="006C2785" w:rsidP="006C2785" w14:paraId="1DA4392F" w14:textId="77777777">
      <w:pPr>
        <w:jc w:val="both"/>
        <w:rPr>
          <w:rFonts w:cs="Times New Roman"/>
          <w:sz w:val="24"/>
          <w:szCs w:val="24"/>
        </w:rPr>
      </w:pPr>
    </w:p>
    <w:tbl>
      <w:tblPr>
        <w:tblW w:w="5848" w:type="pct"/>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1559"/>
        <w:gridCol w:w="1276"/>
        <w:gridCol w:w="992"/>
        <w:gridCol w:w="1135"/>
        <w:gridCol w:w="1134"/>
        <w:gridCol w:w="1276"/>
        <w:gridCol w:w="1134"/>
        <w:gridCol w:w="1274"/>
      </w:tblGrid>
      <w:tr w14:paraId="1DA43931" w14:textId="77777777" w:rsidTr="00B62DC7">
        <w:tblPrEx>
          <w:tblW w:w="5848" w:type="pct"/>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Ex>
        <w:trPr>
          <w:cantSplit/>
        </w:trPr>
        <w:tc>
          <w:tcPr>
            <w:tcW w:w="9780" w:type="dxa"/>
            <w:gridSpan w:val="8"/>
            <w:shd w:val="clear" w:color="auto" w:fill="auto"/>
            <w:vAlign w:val="center"/>
            <w:hideMark/>
          </w:tcPr>
          <w:p w:rsidR="00AC075E" w:rsidRPr="00AC075E" w:rsidP="009B6902" w14:paraId="1DA43930" w14:textId="77777777">
            <w:pPr>
              <w:jc w:val="center"/>
              <w:rPr>
                <w:rFonts w:cs="Times New Roman"/>
                <w:b/>
                <w:bCs/>
                <w:sz w:val="24"/>
                <w:szCs w:val="24"/>
              </w:rPr>
            </w:pPr>
            <w:r w:rsidRPr="00AC075E">
              <w:rPr>
                <w:rFonts w:cs="Times New Roman"/>
                <w:b/>
                <w:bCs/>
                <w:sz w:val="24"/>
                <w:szCs w:val="24"/>
              </w:rPr>
              <w:t>III. Tiesību akta projekta ietekme uz valsts budžetu un pašvaldību budžetiem</w:t>
            </w:r>
          </w:p>
        </w:tc>
      </w:tr>
      <w:tr w14:paraId="1DA43935" w14:textId="77777777" w:rsidTr="00B62DC7">
        <w:tblPrEx>
          <w:tblW w:w="5848" w:type="pct"/>
          <w:tblInd w:w="-681" w:type="dxa"/>
          <w:tblLayout w:type="fixed"/>
          <w:tblCellMar>
            <w:top w:w="28" w:type="dxa"/>
            <w:left w:w="28" w:type="dxa"/>
            <w:bottom w:w="28" w:type="dxa"/>
            <w:right w:w="28" w:type="dxa"/>
          </w:tblCellMar>
          <w:tblLook w:val="04A0"/>
        </w:tblPrEx>
        <w:trPr>
          <w:cantSplit/>
        </w:trPr>
        <w:tc>
          <w:tcPr>
            <w:tcW w:w="1559" w:type="dxa"/>
            <w:vMerge w:val="restart"/>
            <w:shd w:val="clear" w:color="auto" w:fill="FFFFFF"/>
            <w:vAlign w:val="center"/>
          </w:tcPr>
          <w:p w:rsidR="00AC075E" w:rsidRPr="00AC075E" w:rsidP="009B6902" w14:paraId="1DA43932" w14:textId="77777777">
            <w:pPr>
              <w:jc w:val="center"/>
              <w:rPr>
                <w:rFonts w:cs="Times New Roman"/>
                <w:bCs/>
                <w:sz w:val="24"/>
                <w:szCs w:val="24"/>
              </w:rPr>
            </w:pPr>
            <w:r w:rsidRPr="00AC075E">
              <w:rPr>
                <w:rFonts w:cs="Times New Roman"/>
                <w:bCs/>
                <w:sz w:val="24"/>
                <w:szCs w:val="24"/>
              </w:rPr>
              <w:t>Rādītāji</w:t>
            </w:r>
          </w:p>
        </w:tc>
        <w:tc>
          <w:tcPr>
            <w:tcW w:w="2268" w:type="dxa"/>
            <w:gridSpan w:val="2"/>
            <w:vMerge w:val="restart"/>
            <w:shd w:val="clear" w:color="auto" w:fill="FFFFFF"/>
            <w:vAlign w:val="center"/>
            <w:hideMark/>
          </w:tcPr>
          <w:p w:rsidR="00AC075E" w:rsidRPr="00AC075E" w:rsidP="009B6902" w14:paraId="1DA43933" w14:textId="77777777">
            <w:pPr>
              <w:jc w:val="center"/>
              <w:rPr>
                <w:rFonts w:cs="Times New Roman"/>
                <w:bCs/>
                <w:sz w:val="24"/>
                <w:szCs w:val="24"/>
                <w:lang w:val="ru-RU"/>
              </w:rPr>
            </w:pPr>
            <w:r w:rsidRPr="00AC075E">
              <w:rPr>
                <w:rFonts w:cs="Times New Roman"/>
                <w:bCs/>
                <w:sz w:val="24"/>
                <w:szCs w:val="24"/>
              </w:rPr>
              <w:t>2018. gads</w:t>
            </w:r>
          </w:p>
        </w:tc>
        <w:tc>
          <w:tcPr>
            <w:tcW w:w="5953" w:type="dxa"/>
            <w:gridSpan w:val="5"/>
            <w:shd w:val="clear" w:color="auto" w:fill="FFFFFF"/>
            <w:vAlign w:val="center"/>
            <w:hideMark/>
          </w:tcPr>
          <w:p w:rsidR="00AC075E" w:rsidRPr="00AC075E" w:rsidP="009B6902" w14:paraId="1DA43934" w14:textId="77777777">
            <w:pPr>
              <w:jc w:val="center"/>
              <w:rPr>
                <w:rFonts w:cs="Times New Roman"/>
                <w:sz w:val="24"/>
                <w:szCs w:val="24"/>
              </w:rPr>
            </w:pPr>
            <w:r w:rsidRPr="00AC075E">
              <w:rPr>
                <w:rFonts w:cs="Times New Roman"/>
                <w:sz w:val="24"/>
                <w:szCs w:val="24"/>
              </w:rPr>
              <w:t>Turpmākie trīs gadi (</w:t>
            </w:r>
            <w:r w:rsidRPr="00AC075E">
              <w:rPr>
                <w:rFonts w:cs="Times New Roman"/>
                <w:i/>
                <w:iCs/>
                <w:sz w:val="24"/>
                <w:szCs w:val="24"/>
              </w:rPr>
              <w:t>euro</w:t>
            </w:r>
            <w:r w:rsidRPr="00AC075E">
              <w:rPr>
                <w:rFonts w:cs="Times New Roman"/>
                <w:sz w:val="24"/>
                <w:szCs w:val="24"/>
              </w:rPr>
              <w:t>)</w:t>
            </w:r>
          </w:p>
        </w:tc>
      </w:tr>
      <w:tr w14:paraId="1DA4393B" w14:textId="77777777" w:rsidTr="00496F47">
        <w:tblPrEx>
          <w:tblW w:w="5848" w:type="pct"/>
          <w:tblInd w:w="-681" w:type="dxa"/>
          <w:tblLayout w:type="fixed"/>
          <w:tblCellMar>
            <w:top w:w="28" w:type="dxa"/>
            <w:left w:w="28" w:type="dxa"/>
            <w:bottom w:w="28" w:type="dxa"/>
            <w:right w:w="28" w:type="dxa"/>
          </w:tblCellMar>
          <w:tblLook w:val="04A0"/>
        </w:tblPrEx>
        <w:trPr>
          <w:cantSplit/>
        </w:trPr>
        <w:tc>
          <w:tcPr>
            <w:tcW w:w="1559" w:type="dxa"/>
            <w:vMerge/>
            <w:shd w:val="clear" w:color="auto" w:fill="auto"/>
            <w:vAlign w:val="center"/>
            <w:hideMark/>
          </w:tcPr>
          <w:p w:rsidR="00AC075E" w:rsidRPr="00AC075E" w:rsidP="009B6902" w14:paraId="1DA43936" w14:textId="77777777">
            <w:pPr>
              <w:jc w:val="center"/>
              <w:rPr>
                <w:rFonts w:cs="Times New Roman"/>
                <w:bCs/>
                <w:sz w:val="24"/>
                <w:szCs w:val="24"/>
              </w:rPr>
            </w:pPr>
          </w:p>
        </w:tc>
        <w:tc>
          <w:tcPr>
            <w:tcW w:w="2268" w:type="dxa"/>
            <w:gridSpan w:val="2"/>
            <w:vMerge/>
            <w:shd w:val="clear" w:color="auto" w:fill="auto"/>
            <w:vAlign w:val="center"/>
            <w:hideMark/>
          </w:tcPr>
          <w:p w:rsidR="00AC075E" w:rsidRPr="00AC075E" w:rsidP="009B6902" w14:paraId="1DA43937" w14:textId="77777777">
            <w:pPr>
              <w:jc w:val="center"/>
              <w:rPr>
                <w:rFonts w:cs="Times New Roman"/>
                <w:bCs/>
                <w:sz w:val="24"/>
                <w:szCs w:val="24"/>
              </w:rPr>
            </w:pPr>
          </w:p>
        </w:tc>
        <w:tc>
          <w:tcPr>
            <w:tcW w:w="2269" w:type="dxa"/>
            <w:gridSpan w:val="2"/>
            <w:shd w:val="clear" w:color="auto" w:fill="FFFFFF"/>
            <w:vAlign w:val="center"/>
            <w:hideMark/>
          </w:tcPr>
          <w:p w:rsidR="00AC075E" w:rsidRPr="00AC075E" w:rsidP="009B6902" w14:paraId="1DA43938" w14:textId="77777777">
            <w:pPr>
              <w:jc w:val="center"/>
              <w:rPr>
                <w:rFonts w:cs="Times New Roman"/>
                <w:bCs/>
                <w:sz w:val="24"/>
                <w:szCs w:val="24"/>
              </w:rPr>
            </w:pPr>
            <w:r w:rsidRPr="00AC075E">
              <w:rPr>
                <w:rFonts w:cs="Times New Roman"/>
                <w:bCs/>
                <w:sz w:val="24"/>
                <w:szCs w:val="24"/>
              </w:rPr>
              <w:t>2019</w:t>
            </w:r>
          </w:p>
        </w:tc>
        <w:tc>
          <w:tcPr>
            <w:tcW w:w="2410" w:type="dxa"/>
            <w:gridSpan w:val="2"/>
            <w:shd w:val="clear" w:color="auto" w:fill="FFFFFF"/>
            <w:vAlign w:val="center"/>
            <w:hideMark/>
          </w:tcPr>
          <w:p w:rsidR="00AC075E" w:rsidRPr="00AC075E" w:rsidP="009B6902" w14:paraId="1DA43939" w14:textId="77777777">
            <w:pPr>
              <w:jc w:val="center"/>
              <w:rPr>
                <w:rFonts w:cs="Times New Roman"/>
                <w:bCs/>
                <w:sz w:val="24"/>
                <w:szCs w:val="24"/>
              </w:rPr>
            </w:pPr>
            <w:r w:rsidRPr="00AC075E">
              <w:rPr>
                <w:rFonts w:cs="Times New Roman"/>
                <w:bCs/>
                <w:sz w:val="24"/>
                <w:szCs w:val="24"/>
              </w:rPr>
              <w:t>2020</w:t>
            </w:r>
          </w:p>
        </w:tc>
        <w:tc>
          <w:tcPr>
            <w:tcW w:w="1274" w:type="dxa"/>
            <w:shd w:val="clear" w:color="auto" w:fill="FFFFFF"/>
            <w:vAlign w:val="center"/>
            <w:hideMark/>
          </w:tcPr>
          <w:p w:rsidR="00AC075E" w:rsidRPr="00AC075E" w:rsidP="009B6902" w14:paraId="1DA4393A" w14:textId="77777777">
            <w:pPr>
              <w:jc w:val="center"/>
              <w:rPr>
                <w:rFonts w:cs="Times New Roman"/>
                <w:bCs/>
                <w:sz w:val="24"/>
                <w:szCs w:val="24"/>
              </w:rPr>
            </w:pPr>
            <w:r w:rsidRPr="00AC075E">
              <w:rPr>
                <w:rFonts w:cs="Times New Roman"/>
                <w:bCs/>
                <w:sz w:val="24"/>
                <w:szCs w:val="24"/>
              </w:rPr>
              <w:t>2021</w:t>
            </w:r>
          </w:p>
        </w:tc>
      </w:tr>
      <w:tr w14:paraId="1DA43945" w14:textId="77777777" w:rsidTr="00496F47">
        <w:tblPrEx>
          <w:tblW w:w="5848" w:type="pct"/>
          <w:tblInd w:w="-681" w:type="dxa"/>
          <w:tblLayout w:type="fixed"/>
          <w:tblCellMar>
            <w:top w:w="28" w:type="dxa"/>
            <w:left w:w="28" w:type="dxa"/>
            <w:bottom w:w="28" w:type="dxa"/>
            <w:right w:w="28" w:type="dxa"/>
          </w:tblCellMar>
          <w:tblLook w:val="04A0"/>
        </w:tblPrEx>
        <w:trPr>
          <w:cantSplit/>
        </w:trPr>
        <w:tc>
          <w:tcPr>
            <w:tcW w:w="1559" w:type="dxa"/>
            <w:vMerge/>
            <w:shd w:val="clear" w:color="auto" w:fill="auto"/>
            <w:vAlign w:val="center"/>
            <w:hideMark/>
          </w:tcPr>
          <w:p w:rsidR="00AC075E" w:rsidRPr="00AC075E" w:rsidP="009B6902" w14:paraId="1DA4393C" w14:textId="77777777">
            <w:pPr>
              <w:jc w:val="center"/>
              <w:rPr>
                <w:rFonts w:cs="Times New Roman"/>
                <w:b/>
                <w:bCs/>
                <w:sz w:val="24"/>
                <w:szCs w:val="24"/>
              </w:rPr>
            </w:pPr>
          </w:p>
        </w:tc>
        <w:tc>
          <w:tcPr>
            <w:tcW w:w="1276" w:type="dxa"/>
            <w:shd w:val="clear" w:color="auto" w:fill="FFFFFF"/>
            <w:vAlign w:val="center"/>
            <w:hideMark/>
          </w:tcPr>
          <w:p w:rsidR="000F3F46" w:rsidP="009B6902" w14:paraId="1DA4393D" w14:textId="77777777">
            <w:pPr>
              <w:jc w:val="center"/>
              <w:rPr>
                <w:rFonts w:cs="Times New Roman"/>
                <w:sz w:val="24"/>
                <w:szCs w:val="24"/>
              </w:rPr>
            </w:pPr>
            <w:r w:rsidRPr="00AC075E">
              <w:rPr>
                <w:rFonts w:cs="Times New Roman"/>
                <w:sz w:val="24"/>
                <w:szCs w:val="24"/>
              </w:rPr>
              <w:t>saskaņā ar valsts budžetu kārtējam gadam</w:t>
            </w:r>
            <w:r>
              <w:rPr>
                <w:rFonts w:cs="Times New Roman"/>
                <w:sz w:val="24"/>
                <w:szCs w:val="24"/>
              </w:rPr>
              <w:t xml:space="preserve"> </w:t>
            </w:r>
          </w:p>
          <w:p w:rsidR="00AC075E" w:rsidRPr="00AC075E" w:rsidP="009B6902" w14:paraId="1DA4393E" w14:textId="77777777">
            <w:pPr>
              <w:jc w:val="center"/>
              <w:rPr>
                <w:rFonts w:cs="Times New Roman"/>
                <w:sz w:val="24"/>
                <w:szCs w:val="24"/>
              </w:rPr>
            </w:pPr>
            <w:r w:rsidRPr="000F3F46">
              <w:rPr>
                <w:rFonts w:cs="Times New Roman"/>
                <w:i/>
              </w:rPr>
              <w:t>(t.sk. apropriācijas izmaiņas)</w:t>
            </w:r>
          </w:p>
        </w:tc>
        <w:tc>
          <w:tcPr>
            <w:tcW w:w="992" w:type="dxa"/>
            <w:shd w:val="clear" w:color="auto" w:fill="FFFFFF"/>
            <w:vAlign w:val="center"/>
            <w:hideMark/>
          </w:tcPr>
          <w:p w:rsidR="00AC075E" w:rsidRPr="00AC075E" w:rsidP="009B6902" w14:paraId="1DA4393F" w14:textId="77777777">
            <w:pPr>
              <w:jc w:val="center"/>
              <w:rPr>
                <w:rFonts w:cs="Times New Roman"/>
                <w:sz w:val="24"/>
                <w:szCs w:val="24"/>
              </w:rPr>
            </w:pPr>
            <w:r w:rsidRPr="00AC075E">
              <w:rPr>
                <w:rFonts w:cs="Times New Roman"/>
                <w:sz w:val="24"/>
                <w:szCs w:val="24"/>
              </w:rPr>
              <w:t>izmaiņas kārtējā gadā, salīdzinot ar valsts budžetu kārtējam gadam</w:t>
            </w:r>
          </w:p>
        </w:tc>
        <w:tc>
          <w:tcPr>
            <w:tcW w:w="1135" w:type="dxa"/>
            <w:shd w:val="clear" w:color="auto" w:fill="FFFFFF"/>
            <w:vAlign w:val="center"/>
            <w:hideMark/>
          </w:tcPr>
          <w:p w:rsidR="00AC075E" w:rsidRPr="00AC075E" w:rsidP="009B6902" w14:paraId="1DA43940" w14:textId="77777777">
            <w:pPr>
              <w:jc w:val="center"/>
              <w:rPr>
                <w:rFonts w:cs="Times New Roman"/>
                <w:sz w:val="24"/>
                <w:szCs w:val="24"/>
              </w:rPr>
            </w:pPr>
            <w:r w:rsidRPr="00AC075E">
              <w:rPr>
                <w:rFonts w:cs="Times New Roman"/>
                <w:sz w:val="24"/>
                <w:szCs w:val="24"/>
              </w:rPr>
              <w:t>saskaņā ar vidēja termiņa budžeta ietvaru</w:t>
            </w:r>
          </w:p>
        </w:tc>
        <w:tc>
          <w:tcPr>
            <w:tcW w:w="1134" w:type="dxa"/>
            <w:shd w:val="clear" w:color="auto" w:fill="FFFFFF"/>
            <w:vAlign w:val="center"/>
            <w:hideMark/>
          </w:tcPr>
          <w:p w:rsidR="00AC075E" w:rsidRPr="00AC075E" w:rsidP="009B6902" w14:paraId="1DA43941" w14:textId="77777777">
            <w:pPr>
              <w:jc w:val="center"/>
              <w:rPr>
                <w:rFonts w:cs="Times New Roman"/>
                <w:sz w:val="24"/>
                <w:szCs w:val="24"/>
              </w:rPr>
            </w:pPr>
            <w:r w:rsidRPr="00AC075E">
              <w:rPr>
                <w:rFonts w:cs="Times New Roman"/>
                <w:sz w:val="24"/>
                <w:szCs w:val="24"/>
              </w:rPr>
              <w:t>izmaiņas, salīdzinot ar vidēja termiņa budžeta ietvaru 2019. gadam</w:t>
            </w:r>
          </w:p>
        </w:tc>
        <w:tc>
          <w:tcPr>
            <w:tcW w:w="1276" w:type="dxa"/>
            <w:shd w:val="clear" w:color="auto" w:fill="FFFFFF"/>
            <w:vAlign w:val="center"/>
            <w:hideMark/>
          </w:tcPr>
          <w:p w:rsidR="00AC075E" w:rsidRPr="00AC075E" w:rsidP="009B6902" w14:paraId="1DA43942" w14:textId="77777777">
            <w:pPr>
              <w:jc w:val="center"/>
              <w:rPr>
                <w:rFonts w:cs="Times New Roman"/>
                <w:sz w:val="24"/>
                <w:szCs w:val="24"/>
              </w:rPr>
            </w:pPr>
            <w:r w:rsidRPr="00AC075E">
              <w:rPr>
                <w:rFonts w:cs="Times New Roman"/>
                <w:sz w:val="24"/>
                <w:szCs w:val="24"/>
              </w:rPr>
              <w:t>saskaņā ar vidēja termiņa budžeta ietvaru</w:t>
            </w:r>
          </w:p>
        </w:tc>
        <w:tc>
          <w:tcPr>
            <w:tcW w:w="1134" w:type="dxa"/>
            <w:shd w:val="clear" w:color="auto" w:fill="FFFFFF"/>
            <w:vAlign w:val="center"/>
            <w:hideMark/>
          </w:tcPr>
          <w:p w:rsidR="00AC075E" w:rsidRPr="00AC075E" w:rsidP="009B6902" w14:paraId="1DA43943" w14:textId="77777777">
            <w:pPr>
              <w:jc w:val="center"/>
              <w:rPr>
                <w:rFonts w:cs="Times New Roman"/>
                <w:sz w:val="24"/>
                <w:szCs w:val="24"/>
              </w:rPr>
            </w:pPr>
            <w:r w:rsidRPr="00AC075E">
              <w:rPr>
                <w:rFonts w:cs="Times New Roman"/>
                <w:sz w:val="24"/>
                <w:szCs w:val="24"/>
              </w:rPr>
              <w:t>izmaiņas, salīdzinot ar vidēja termiņa budžeta ietvaru 2020. gadam</w:t>
            </w:r>
          </w:p>
        </w:tc>
        <w:tc>
          <w:tcPr>
            <w:tcW w:w="1274" w:type="dxa"/>
            <w:shd w:val="clear" w:color="auto" w:fill="FFFFFF"/>
            <w:vAlign w:val="center"/>
            <w:hideMark/>
          </w:tcPr>
          <w:p w:rsidR="00AC075E" w:rsidRPr="00AC075E" w:rsidP="00FF1C31" w14:paraId="1DA43944" w14:textId="77777777">
            <w:pPr>
              <w:jc w:val="center"/>
              <w:rPr>
                <w:rFonts w:cs="Times New Roman"/>
                <w:sz w:val="24"/>
                <w:szCs w:val="24"/>
              </w:rPr>
            </w:pPr>
            <w:r w:rsidRPr="00AC075E">
              <w:rPr>
                <w:rFonts w:cs="Times New Roman"/>
                <w:sz w:val="24"/>
                <w:szCs w:val="24"/>
              </w:rPr>
              <w:t xml:space="preserve">izmaiņas, salīdzinot ar vidēja termiņa budžeta ietvaru </w:t>
            </w:r>
            <w:r w:rsidRPr="00AC075E">
              <w:rPr>
                <w:rFonts w:cs="Times New Roman"/>
                <w:sz w:val="24"/>
                <w:szCs w:val="24"/>
              </w:rPr>
              <w:br/>
              <w:t>202</w:t>
            </w:r>
            <w:r w:rsidR="00FF1C31">
              <w:rPr>
                <w:rFonts w:cs="Times New Roman"/>
                <w:sz w:val="24"/>
                <w:szCs w:val="24"/>
              </w:rPr>
              <w:t>0</w:t>
            </w:r>
            <w:r w:rsidRPr="00AC075E">
              <w:rPr>
                <w:rFonts w:cs="Times New Roman"/>
                <w:sz w:val="24"/>
                <w:szCs w:val="24"/>
              </w:rPr>
              <w:t>. gadam</w:t>
            </w:r>
          </w:p>
        </w:tc>
      </w:tr>
      <w:tr w14:paraId="1DA4394E" w14:textId="77777777" w:rsidTr="00496F47">
        <w:tblPrEx>
          <w:tblW w:w="5848" w:type="pct"/>
          <w:tblInd w:w="-681" w:type="dxa"/>
          <w:tblLayout w:type="fixed"/>
          <w:tblCellMar>
            <w:top w:w="28" w:type="dxa"/>
            <w:left w:w="28" w:type="dxa"/>
            <w:bottom w:w="28" w:type="dxa"/>
            <w:right w:w="28" w:type="dxa"/>
          </w:tblCellMar>
          <w:tblLook w:val="04A0"/>
        </w:tblPrEx>
        <w:trPr>
          <w:cantSplit/>
        </w:trPr>
        <w:tc>
          <w:tcPr>
            <w:tcW w:w="1559" w:type="dxa"/>
            <w:shd w:val="clear" w:color="auto" w:fill="FFFFFF"/>
            <w:vAlign w:val="center"/>
            <w:hideMark/>
          </w:tcPr>
          <w:p w:rsidR="00AC075E" w:rsidRPr="00AC075E" w:rsidP="009B6902" w14:paraId="1DA43946" w14:textId="77777777">
            <w:pPr>
              <w:jc w:val="center"/>
              <w:rPr>
                <w:rFonts w:cs="Times New Roman"/>
                <w:sz w:val="24"/>
                <w:szCs w:val="24"/>
              </w:rPr>
            </w:pPr>
            <w:r w:rsidRPr="00AC075E">
              <w:rPr>
                <w:rFonts w:cs="Times New Roman"/>
                <w:sz w:val="24"/>
                <w:szCs w:val="24"/>
              </w:rPr>
              <w:t>1</w:t>
            </w:r>
          </w:p>
        </w:tc>
        <w:tc>
          <w:tcPr>
            <w:tcW w:w="1276" w:type="dxa"/>
            <w:shd w:val="clear" w:color="auto" w:fill="FFFFFF"/>
            <w:vAlign w:val="center"/>
            <w:hideMark/>
          </w:tcPr>
          <w:p w:rsidR="00AC075E" w:rsidRPr="00AC075E" w:rsidP="009B6902" w14:paraId="1DA43947" w14:textId="77777777">
            <w:pPr>
              <w:jc w:val="center"/>
              <w:rPr>
                <w:rFonts w:cs="Times New Roman"/>
                <w:sz w:val="24"/>
                <w:szCs w:val="24"/>
              </w:rPr>
            </w:pPr>
            <w:r w:rsidRPr="00AC075E">
              <w:rPr>
                <w:rFonts w:cs="Times New Roman"/>
                <w:sz w:val="24"/>
                <w:szCs w:val="24"/>
              </w:rPr>
              <w:t>2</w:t>
            </w:r>
          </w:p>
        </w:tc>
        <w:tc>
          <w:tcPr>
            <w:tcW w:w="992" w:type="dxa"/>
            <w:shd w:val="clear" w:color="auto" w:fill="FFFFFF"/>
            <w:vAlign w:val="center"/>
            <w:hideMark/>
          </w:tcPr>
          <w:p w:rsidR="00AC075E" w:rsidRPr="00AC075E" w:rsidP="009B6902" w14:paraId="1DA43948" w14:textId="77777777">
            <w:pPr>
              <w:jc w:val="center"/>
              <w:rPr>
                <w:rFonts w:cs="Times New Roman"/>
                <w:sz w:val="24"/>
                <w:szCs w:val="24"/>
              </w:rPr>
            </w:pPr>
            <w:r w:rsidRPr="00AC075E">
              <w:rPr>
                <w:rFonts w:cs="Times New Roman"/>
                <w:sz w:val="24"/>
                <w:szCs w:val="24"/>
              </w:rPr>
              <w:t>3</w:t>
            </w:r>
          </w:p>
        </w:tc>
        <w:tc>
          <w:tcPr>
            <w:tcW w:w="1135" w:type="dxa"/>
            <w:shd w:val="clear" w:color="auto" w:fill="FFFFFF"/>
            <w:vAlign w:val="center"/>
            <w:hideMark/>
          </w:tcPr>
          <w:p w:rsidR="00AC075E" w:rsidRPr="00AC075E" w:rsidP="009B6902" w14:paraId="1DA43949" w14:textId="77777777">
            <w:pPr>
              <w:jc w:val="center"/>
              <w:rPr>
                <w:rFonts w:cs="Times New Roman"/>
                <w:sz w:val="24"/>
                <w:szCs w:val="24"/>
              </w:rPr>
            </w:pPr>
            <w:r w:rsidRPr="00AC075E">
              <w:rPr>
                <w:rFonts w:cs="Times New Roman"/>
                <w:sz w:val="24"/>
                <w:szCs w:val="24"/>
              </w:rPr>
              <w:t>4</w:t>
            </w:r>
          </w:p>
        </w:tc>
        <w:tc>
          <w:tcPr>
            <w:tcW w:w="1134" w:type="dxa"/>
            <w:shd w:val="clear" w:color="auto" w:fill="FFFFFF"/>
            <w:vAlign w:val="center"/>
            <w:hideMark/>
          </w:tcPr>
          <w:p w:rsidR="00AC075E" w:rsidRPr="00AC075E" w:rsidP="009B6902" w14:paraId="1DA4394A" w14:textId="77777777">
            <w:pPr>
              <w:jc w:val="center"/>
              <w:rPr>
                <w:rFonts w:cs="Times New Roman"/>
                <w:sz w:val="24"/>
                <w:szCs w:val="24"/>
              </w:rPr>
            </w:pPr>
            <w:r w:rsidRPr="00AC075E">
              <w:rPr>
                <w:rFonts w:cs="Times New Roman"/>
                <w:sz w:val="24"/>
                <w:szCs w:val="24"/>
              </w:rPr>
              <w:t>5</w:t>
            </w:r>
          </w:p>
        </w:tc>
        <w:tc>
          <w:tcPr>
            <w:tcW w:w="1276" w:type="dxa"/>
            <w:shd w:val="clear" w:color="auto" w:fill="FFFFFF"/>
            <w:vAlign w:val="center"/>
            <w:hideMark/>
          </w:tcPr>
          <w:p w:rsidR="00AC075E" w:rsidRPr="00AC075E" w:rsidP="009B6902" w14:paraId="1DA4394B" w14:textId="77777777">
            <w:pPr>
              <w:jc w:val="center"/>
              <w:rPr>
                <w:rFonts w:cs="Times New Roman"/>
                <w:sz w:val="24"/>
                <w:szCs w:val="24"/>
              </w:rPr>
            </w:pPr>
            <w:r w:rsidRPr="00AC075E">
              <w:rPr>
                <w:rFonts w:cs="Times New Roman"/>
                <w:sz w:val="24"/>
                <w:szCs w:val="24"/>
              </w:rPr>
              <w:t>6</w:t>
            </w:r>
          </w:p>
        </w:tc>
        <w:tc>
          <w:tcPr>
            <w:tcW w:w="1134" w:type="dxa"/>
            <w:shd w:val="clear" w:color="auto" w:fill="FFFFFF"/>
            <w:vAlign w:val="center"/>
            <w:hideMark/>
          </w:tcPr>
          <w:p w:rsidR="00AC075E" w:rsidRPr="00AC075E" w:rsidP="009B6902" w14:paraId="1DA4394C" w14:textId="77777777">
            <w:pPr>
              <w:jc w:val="center"/>
              <w:rPr>
                <w:rFonts w:cs="Times New Roman"/>
                <w:sz w:val="24"/>
                <w:szCs w:val="24"/>
              </w:rPr>
            </w:pPr>
            <w:r w:rsidRPr="00AC075E">
              <w:rPr>
                <w:rFonts w:cs="Times New Roman"/>
                <w:sz w:val="24"/>
                <w:szCs w:val="24"/>
              </w:rPr>
              <w:t>7</w:t>
            </w:r>
          </w:p>
        </w:tc>
        <w:tc>
          <w:tcPr>
            <w:tcW w:w="1274" w:type="dxa"/>
            <w:shd w:val="clear" w:color="auto" w:fill="FFFFFF"/>
            <w:vAlign w:val="center"/>
            <w:hideMark/>
          </w:tcPr>
          <w:p w:rsidR="00AC075E" w:rsidRPr="00AC075E" w:rsidP="009B6902" w14:paraId="1DA4394D" w14:textId="77777777">
            <w:pPr>
              <w:jc w:val="center"/>
              <w:rPr>
                <w:rFonts w:cs="Times New Roman"/>
                <w:sz w:val="24"/>
                <w:szCs w:val="24"/>
              </w:rPr>
            </w:pPr>
            <w:r w:rsidRPr="00AC075E">
              <w:rPr>
                <w:rFonts w:cs="Times New Roman"/>
                <w:sz w:val="24"/>
                <w:szCs w:val="24"/>
              </w:rPr>
              <w:t>8</w:t>
            </w:r>
          </w:p>
        </w:tc>
      </w:tr>
      <w:tr w14:paraId="1DA43957" w14:textId="77777777" w:rsidTr="00496F47">
        <w:tblPrEx>
          <w:tblW w:w="5848" w:type="pct"/>
          <w:tblInd w:w="-681" w:type="dxa"/>
          <w:tblLayout w:type="fixed"/>
          <w:tblCellMar>
            <w:top w:w="28" w:type="dxa"/>
            <w:left w:w="28" w:type="dxa"/>
            <w:bottom w:w="28" w:type="dxa"/>
            <w:right w:w="28" w:type="dxa"/>
          </w:tblCellMar>
          <w:tblLook w:val="04A0"/>
        </w:tblPrEx>
        <w:trPr>
          <w:cantSplit/>
        </w:trPr>
        <w:tc>
          <w:tcPr>
            <w:tcW w:w="1559" w:type="dxa"/>
            <w:shd w:val="clear" w:color="auto" w:fill="FFFFFF"/>
            <w:hideMark/>
          </w:tcPr>
          <w:p w:rsidR="00FB397A" w:rsidRPr="00AC075E" w:rsidP="009B6902" w14:paraId="1DA4394F" w14:textId="77777777">
            <w:pPr>
              <w:rPr>
                <w:rFonts w:cs="Times New Roman"/>
                <w:sz w:val="24"/>
                <w:szCs w:val="24"/>
              </w:rPr>
            </w:pPr>
            <w:r w:rsidRPr="00AC075E">
              <w:rPr>
                <w:rFonts w:cs="Times New Roman"/>
                <w:sz w:val="24"/>
                <w:szCs w:val="24"/>
              </w:rPr>
              <w:t>1. Budžeta ieņēmumi</w:t>
            </w:r>
          </w:p>
        </w:tc>
        <w:tc>
          <w:tcPr>
            <w:tcW w:w="1276" w:type="dxa"/>
            <w:shd w:val="clear" w:color="auto" w:fill="FFFFFF"/>
            <w:vAlign w:val="center"/>
          </w:tcPr>
          <w:p w:rsidR="00FB397A" w:rsidRPr="00AC075E" w:rsidP="009B6902" w14:paraId="1DA43950" w14:textId="77777777">
            <w:pPr>
              <w:jc w:val="center"/>
              <w:rPr>
                <w:rFonts w:cs="Times New Roman"/>
                <w:sz w:val="24"/>
                <w:szCs w:val="24"/>
              </w:rPr>
            </w:pPr>
            <w:r>
              <w:rPr>
                <w:rFonts w:cs="Times New Roman"/>
                <w:sz w:val="24"/>
                <w:szCs w:val="24"/>
              </w:rPr>
              <w:t>140 854 763</w:t>
            </w:r>
          </w:p>
        </w:tc>
        <w:tc>
          <w:tcPr>
            <w:tcW w:w="992" w:type="dxa"/>
            <w:shd w:val="clear" w:color="auto" w:fill="FFFFFF"/>
            <w:vAlign w:val="center"/>
            <w:hideMark/>
          </w:tcPr>
          <w:p w:rsidR="00FB397A" w:rsidRPr="00AC075E" w:rsidP="009B6902" w14:paraId="1DA43951" w14:textId="77777777">
            <w:pPr>
              <w:jc w:val="center"/>
              <w:rPr>
                <w:rFonts w:cs="Times New Roman"/>
                <w:sz w:val="24"/>
                <w:szCs w:val="24"/>
              </w:rPr>
            </w:pPr>
            <w:r w:rsidRPr="00AC075E">
              <w:rPr>
                <w:rFonts w:cs="Times New Roman"/>
                <w:sz w:val="24"/>
                <w:szCs w:val="24"/>
              </w:rPr>
              <w:t>0</w:t>
            </w:r>
          </w:p>
        </w:tc>
        <w:tc>
          <w:tcPr>
            <w:tcW w:w="1135" w:type="dxa"/>
            <w:shd w:val="clear" w:color="auto" w:fill="FFFFFF"/>
            <w:vAlign w:val="center"/>
          </w:tcPr>
          <w:p w:rsidR="00FB397A" w:rsidRPr="00AC075E" w:rsidP="009B6902" w14:paraId="1DA43952" w14:textId="77777777">
            <w:pPr>
              <w:jc w:val="center"/>
              <w:rPr>
                <w:rFonts w:cs="Times New Roman"/>
                <w:sz w:val="24"/>
                <w:szCs w:val="24"/>
              </w:rPr>
            </w:pPr>
            <w:r>
              <w:rPr>
                <w:rFonts w:cs="Times New Roman"/>
                <w:sz w:val="24"/>
                <w:szCs w:val="24"/>
              </w:rPr>
              <w:t>0</w:t>
            </w:r>
          </w:p>
        </w:tc>
        <w:tc>
          <w:tcPr>
            <w:tcW w:w="1134" w:type="dxa"/>
            <w:shd w:val="clear" w:color="auto" w:fill="FFFFFF"/>
            <w:vAlign w:val="center"/>
            <w:hideMark/>
          </w:tcPr>
          <w:p w:rsidR="00FB397A" w:rsidRPr="00AC075E" w:rsidP="009B6902" w14:paraId="1DA43953" w14:textId="77777777">
            <w:pPr>
              <w:jc w:val="center"/>
              <w:rPr>
                <w:rFonts w:cs="Times New Roman"/>
                <w:sz w:val="24"/>
                <w:szCs w:val="24"/>
              </w:rPr>
            </w:pPr>
            <w:r w:rsidRPr="00AC075E">
              <w:rPr>
                <w:rFonts w:cs="Times New Roman"/>
                <w:sz w:val="24"/>
                <w:szCs w:val="24"/>
              </w:rPr>
              <w:t>0</w:t>
            </w:r>
          </w:p>
        </w:tc>
        <w:tc>
          <w:tcPr>
            <w:tcW w:w="1276" w:type="dxa"/>
            <w:shd w:val="clear" w:color="auto" w:fill="FFFFFF"/>
            <w:vAlign w:val="center"/>
            <w:hideMark/>
          </w:tcPr>
          <w:p w:rsidR="00FB397A" w:rsidRPr="00496F47" w:rsidP="009B6902" w14:paraId="1DA43954" w14:textId="77777777">
            <w:pPr>
              <w:jc w:val="center"/>
              <w:rPr>
                <w:rFonts w:cs="Times New Roman"/>
                <w:spacing w:val="-20"/>
                <w:sz w:val="24"/>
                <w:szCs w:val="24"/>
              </w:rPr>
            </w:pPr>
            <w:r w:rsidRPr="00496F47">
              <w:rPr>
                <w:rFonts w:cs="Times New Roman"/>
                <w:spacing w:val="-20"/>
                <w:sz w:val="24"/>
                <w:szCs w:val="24"/>
              </w:rPr>
              <w:t>10 512 811</w:t>
            </w:r>
          </w:p>
        </w:tc>
        <w:tc>
          <w:tcPr>
            <w:tcW w:w="1134" w:type="dxa"/>
            <w:shd w:val="clear" w:color="auto" w:fill="FFFFFF"/>
            <w:vAlign w:val="center"/>
            <w:hideMark/>
          </w:tcPr>
          <w:p w:rsidR="00FB397A" w:rsidRPr="00AC075E" w:rsidP="009B6902" w14:paraId="1DA43955" w14:textId="77777777">
            <w:pPr>
              <w:jc w:val="center"/>
              <w:rPr>
                <w:rFonts w:cs="Times New Roman"/>
                <w:sz w:val="24"/>
                <w:szCs w:val="24"/>
              </w:rPr>
            </w:pPr>
            <w:r w:rsidRPr="00AC075E">
              <w:rPr>
                <w:rFonts w:cs="Times New Roman"/>
                <w:sz w:val="24"/>
                <w:szCs w:val="24"/>
              </w:rPr>
              <w:t>0</w:t>
            </w:r>
          </w:p>
        </w:tc>
        <w:tc>
          <w:tcPr>
            <w:tcW w:w="1274" w:type="dxa"/>
            <w:shd w:val="clear" w:color="auto" w:fill="FFFFFF"/>
            <w:vAlign w:val="center"/>
            <w:hideMark/>
          </w:tcPr>
          <w:p w:rsidR="00FB397A" w:rsidRPr="00AC075E" w:rsidP="009B6902" w14:paraId="1DA43956" w14:textId="77777777">
            <w:pPr>
              <w:jc w:val="center"/>
              <w:rPr>
                <w:rFonts w:cs="Times New Roman"/>
                <w:sz w:val="24"/>
                <w:szCs w:val="24"/>
              </w:rPr>
            </w:pPr>
            <w:r w:rsidRPr="00AC075E">
              <w:rPr>
                <w:rFonts w:cs="Times New Roman"/>
                <w:sz w:val="24"/>
                <w:szCs w:val="24"/>
              </w:rPr>
              <w:t>0</w:t>
            </w:r>
          </w:p>
        </w:tc>
      </w:tr>
      <w:tr w14:paraId="1DA43960" w14:textId="77777777" w:rsidTr="00496F47">
        <w:tblPrEx>
          <w:tblW w:w="5848" w:type="pct"/>
          <w:tblInd w:w="-681" w:type="dxa"/>
          <w:tblLayout w:type="fixed"/>
          <w:tblCellMar>
            <w:top w:w="28" w:type="dxa"/>
            <w:left w:w="28" w:type="dxa"/>
            <w:bottom w:w="28" w:type="dxa"/>
            <w:right w:w="28" w:type="dxa"/>
          </w:tblCellMar>
          <w:tblLook w:val="04A0"/>
        </w:tblPrEx>
        <w:trPr>
          <w:cantSplit/>
        </w:trPr>
        <w:tc>
          <w:tcPr>
            <w:tcW w:w="1559" w:type="dxa"/>
            <w:shd w:val="clear" w:color="auto" w:fill="auto"/>
            <w:hideMark/>
          </w:tcPr>
          <w:p w:rsidR="00FB397A" w:rsidRPr="00AC075E" w:rsidP="009B6902" w14:paraId="1DA43958" w14:textId="77777777">
            <w:pPr>
              <w:rPr>
                <w:rFonts w:cs="Times New Roman"/>
                <w:sz w:val="24"/>
                <w:szCs w:val="24"/>
              </w:rPr>
            </w:pPr>
            <w:r w:rsidRPr="00AC075E">
              <w:rPr>
                <w:rFonts w:cs="Times New Roman"/>
                <w:sz w:val="24"/>
                <w:szCs w:val="24"/>
              </w:rPr>
              <w:t>1.1. valsts pamatbudžets, tai skaitā ieņēmumi no maksas pakalpojumiem un citi pašu ieņēmumi</w:t>
            </w:r>
          </w:p>
        </w:tc>
        <w:tc>
          <w:tcPr>
            <w:tcW w:w="1276" w:type="dxa"/>
            <w:shd w:val="clear" w:color="auto" w:fill="auto"/>
            <w:vAlign w:val="center"/>
          </w:tcPr>
          <w:p w:rsidR="00FB397A" w:rsidRPr="00AC075E" w:rsidP="009B6902" w14:paraId="1DA43959" w14:textId="77777777">
            <w:pPr>
              <w:jc w:val="center"/>
              <w:rPr>
                <w:rFonts w:cs="Times New Roman"/>
                <w:sz w:val="24"/>
                <w:szCs w:val="24"/>
              </w:rPr>
            </w:pPr>
            <w:r>
              <w:rPr>
                <w:rFonts w:cs="Times New Roman"/>
                <w:sz w:val="24"/>
                <w:szCs w:val="24"/>
              </w:rPr>
              <w:t>140 854 763</w:t>
            </w:r>
          </w:p>
        </w:tc>
        <w:tc>
          <w:tcPr>
            <w:tcW w:w="992" w:type="dxa"/>
            <w:shd w:val="clear" w:color="auto" w:fill="auto"/>
            <w:vAlign w:val="center"/>
            <w:hideMark/>
          </w:tcPr>
          <w:p w:rsidR="00FB397A" w:rsidRPr="00AC075E" w:rsidP="009B6902" w14:paraId="1DA4395A" w14:textId="77777777">
            <w:pPr>
              <w:jc w:val="center"/>
              <w:rPr>
                <w:rFonts w:cs="Times New Roman"/>
                <w:sz w:val="24"/>
                <w:szCs w:val="24"/>
              </w:rPr>
            </w:pPr>
            <w:r w:rsidRPr="00AC075E">
              <w:rPr>
                <w:rFonts w:cs="Times New Roman"/>
                <w:sz w:val="24"/>
                <w:szCs w:val="24"/>
              </w:rPr>
              <w:t>0</w:t>
            </w:r>
          </w:p>
        </w:tc>
        <w:tc>
          <w:tcPr>
            <w:tcW w:w="1135" w:type="dxa"/>
            <w:shd w:val="clear" w:color="auto" w:fill="auto"/>
            <w:vAlign w:val="center"/>
          </w:tcPr>
          <w:p w:rsidR="00FB397A" w:rsidRPr="00AC075E" w:rsidP="009B6902" w14:paraId="1DA4395B" w14:textId="77777777">
            <w:pPr>
              <w:jc w:val="center"/>
              <w:rPr>
                <w:rFonts w:cs="Times New Roman"/>
                <w:sz w:val="24"/>
                <w:szCs w:val="24"/>
              </w:rPr>
            </w:pPr>
            <w:r>
              <w:rPr>
                <w:rFonts w:cs="Times New Roman"/>
                <w:sz w:val="24"/>
                <w:szCs w:val="24"/>
              </w:rPr>
              <w:t>0</w:t>
            </w:r>
          </w:p>
        </w:tc>
        <w:tc>
          <w:tcPr>
            <w:tcW w:w="1134" w:type="dxa"/>
            <w:shd w:val="clear" w:color="auto" w:fill="auto"/>
            <w:vAlign w:val="center"/>
            <w:hideMark/>
          </w:tcPr>
          <w:p w:rsidR="00FB397A" w:rsidRPr="00AC075E" w:rsidP="009B6902" w14:paraId="1DA4395C" w14:textId="77777777">
            <w:pPr>
              <w:jc w:val="center"/>
              <w:rPr>
                <w:rFonts w:cs="Times New Roman"/>
                <w:sz w:val="24"/>
                <w:szCs w:val="24"/>
              </w:rPr>
            </w:pPr>
            <w:r w:rsidRPr="00AC075E">
              <w:rPr>
                <w:rFonts w:cs="Times New Roman"/>
                <w:sz w:val="24"/>
                <w:szCs w:val="24"/>
              </w:rPr>
              <w:t>0</w:t>
            </w:r>
          </w:p>
        </w:tc>
        <w:tc>
          <w:tcPr>
            <w:tcW w:w="1276" w:type="dxa"/>
            <w:shd w:val="clear" w:color="auto" w:fill="auto"/>
            <w:vAlign w:val="center"/>
            <w:hideMark/>
          </w:tcPr>
          <w:p w:rsidR="00FB397A" w:rsidRPr="00496F47" w:rsidP="009B6902" w14:paraId="1DA4395D" w14:textId="77777777">
            <w:pPr>
              <w:jc w:val="center"/>
              <w:rPr>
                <w:rFonts w:cs="Times New Roman"/>
                <w:spacing w:val="-20"/>
                <w:sz w:val="24"/>
                <w:szCs w:val="24"/>
              </w:rPr>
            </w:pPr>
            <w:r w:rsidRPr="00496F47">
              <w:rPr>
                <w:rFonts w:cs="Times New Roman"/>
                <w:spacing w:val="-20"/>
                <w:sz w:val="24"/>
                <w:szCs w:val="24"/>
              </w:rPr>
              <w:t>10 512 811</w:t>
            </w:r>
          </w:p>
        </w:tc>
        <w:tc>
          <w:tcPr>
            <w:tcW w:w="1134" w:type="dxa"/>
            <w:shd w:val="clear" w:color="auto" w:fill="auto"/>
            <w:vAlign w:val="center"/>
            <w:hideMark/>
          </w:tcPr>
          <w:p w:rsidR="00FB397A" w:rsidRPr="00AC075E" w:rsidP="009B6902" w14:paraId="1DA4395E" w14:textId="77777777">
            <w:pPr>
              <w:jc w:val="center"/>
              <w:rPr>
                <w:rFonts w:cs="Times New Roman"/>
                <w:sz w:val="24"/>
                <w:szCs w:val="24"/>
              </w:rPr>
            </w:pPr>
            <w:r w:rsidRPr="00AC075E">
              <w:rPr>
                <w:rFonts w:cs="Times New Roman"/>
                <w:sz w:val="24"/>
                <w:szCs w:val="24"/>
              </w:rPr>
              <w:t>0</w:t>
            </w:r>
          </w:p>
        </w:tc>
        <w:tc>
          <w:tcPr>
            <w:tcW w:w="1274" w:type="dxa"/>
            <w:shd w:val="clear" w:color="auto" w:fill="auto"/>
            <w:vAlign w:val="center"/>
            <w:hideMark/>
          </w:tcPr>
          <w:p w:rsidR="00FB397A" w:rsidRPr="00AC075E" w:rsidP="009B6902" w14:paraId="1DA4395F" w14:textId="77777777">
            <w:pPr>
              <w:jc w:val="center"/>
              <w:rPr>
                <w:rFonts w:cs="Times New Roman"/>
                <w:sz w:val="24"/>
                <w:szCs w:val="24"/>
              </w:rPr>
            </w:pPr>
            <w:r w:rsidRPr="00AC075E">
              <w:rPr>
                <w:rFonts w:cs="Times New Roman"/>
                <w:sz w:val="24"/>
                <w:szCs w:val="24"/>
              </w:rPr>
              <w:t>0</w:t>
            </w:r>
          </w:p>
        </w:tc>
      </w:tr>
      <w:tr w14:paraId="1DA43969" w14:textId="77777777" w:rsidTr="00496F47">
        <w:tblPrEx>
          <w:tblW w:w="5848" w:type="pct"/>
          <w:tblInd w:w="-681" w:type="dxa"/>
          <w:tblLayout w:type="fixed"/>
          <w:tblCellMar>
            <w:top w:w="28" w:type="dxa"/>
            <w:left w:w="28" w:type="dxa"/>
            <w:bottom w:w="28" w:type="dxa"/>
            <w:right w:w="28" w:type="dxa"/>
          </w:tblCellMar>
          <w:tblLook w:val="04A0"/>
        </w:tblPrEx>
        <w:trPr>
          <w:cantSplit/>
        </w:trPr>
        <w:tc>
          <w:tcPr>
            <w:tcW w:w="1559" w:type="dxa"/>
            <w:shd w:val="clear" w:color="auto" w:fill="auto"/>
            <w:hideMark/>
          </w:tcPr>
          <w:p w:rsidR="00FB397A" w:rsidRPr="00AC075E" w:rsidP="009B6902" w14:paraId="1DA43961" w14:textId="77777777">
            <w:pPr>
              <w:rPr>
                <w:rFonts w:cs="Times New Roman"/>
                <w:sz w:val="24"/>
                <w:szCs w:val="24"/>
              </w:rPr>
            </w:pPr>
            <w:r w:rsidRPr="00AC075E">
              <w:rPr>
                <w:rFonts w:cs="Times New Roman"/>
                <w:sz w:val="24"/>
                <w:szCs w:val="24"/>
              </w:rPr>
              <w:t>1.2. valsts speciālais budžets</w:t>
            </w:r>
          </w:p>
        </w:tc>
        <w:tc>
          <w:tcPr>
            <w:tcW w:w="1276" w:type="dxa"/>
            <w:shd w:val="clear" w:color="auto" w:fill="auto"/>
            <w:vAlign w:val="center"/>
            <w:hideMark/>
          </w:tcPr>
          <w:p w:rsidR="00FB397A" w:rsidRPr="00AC075E" w:rsidP="009B6902" w14:paraId="1DA43962" w14:textId="77777777">
            <w:pPr>
              <w:jc w:val="center"/>
              <w:rPr>
                <w:rFonts w:cs="Times New Roman"/>
                <w:sz w:val="24"/>
                <w:szCs w:val="24"/>
              </w:rPr>
            </w:pPr>
            <w:r w:rsidRPr="00AC075E">
              <w:rPr>
                <w:rFonts w:cs="Times New Roman"/>
                <w:sz w:val="24"/>
                <w:szCs w:val="24"/>
              </w:rPr>
              <w:t>0</w:t>
            </w:r>
          </w:p>
        </w:tc>
        <w:tc>
          <w:tcPr>
            <w:tcW w:w="992" w:type="dxa"/>
            <w:shd w:val="clear" w:color="auto" w:fill="auto"/>
            <w:vAlign w:val="center"/>
            <w:hideMark/>
          </w:tcPr>
          <w:p w:rsidR="00FB397A" w:rsidRPr="00AC075E" w:rsidP="009B6902" w14:paraId="1DA43963" w14:textId="77777777">
            <w:pPr>
              <w:jc w:val="center"/>
              <w:rPr>
                <w:rFonts w:cs="Times New Roman"/>
                <w:sz w:val="24"/>
                <w:szCs w:val="24"/>
              </w:rPr>
            </w:pPr>
            <w:r w:rsidRPr="00AC075E">
              <w:rPr>
                <w:rFonts w:cs="Times New Roman"/>
                <w:sz w:val="24"/>
                <w:szCs w:val="24"/>
              </w:rPr>
              <w:t>0</w:t>
            </w:r>
          </w:p>
        </w:tc>
        <w:tc>
          <w:tcPr>
            <w:tcW w:w="1135" w:type="dxa"/>
            <w:shd w:val="clear" w:color="auto" w:fill="auto"/>
            <w:vAlign w:val="center"/>
            <w:hideMark/>
          </w:tcPr>
          <w:p w:rsidR="00FB397A" w:rsidRPr="00AC075E" w:rsidP="009B6902" w14:paraId="1DA43964" w14:textId="77777777">
            <w:pPr>
              <w:jc w:val="center"/>
              <w:rPr>
                <w:rFonts w:cs="Times New Roman"/>
                <w:sz w:val="24"/>
                <w:szCs w:val="24"/>
              </w:rPr>
            </w:pPr>
            <w:r w:rsidRPr="00AC075E">
              <w:rPr>
                <w:rFonts w:cs="Times New Roman"/>
                <w:sz w:val="24"/>
                <w:szCs w:val="24"/>
              </w:rPr>
              <w:t>0</w:t>
            </w:r>
          </w:p>
        </w:tc>
        <w:tc>
          <w:tcPr>
            <w:tcW w:w="1134" w:type="dxa"/>
            <w:shd w:val="clear" w:color="auto" w:fill="auto"/>
            <w:vAlign w:val="center"/>
            <w:hideMark/>
          </w:tcPr>
          <w:p w:rsidR="00FB397A" w:rsidRPr="00AC075E" w:rsidP="009B6902" w14:paraId="1DA43965" w14:textId="77777777">
            <w:pPr>
              <w:jc w:val="center"/>
              <w:rPr>
                <w:rFonts w:cs="Times New Roman"/>
                <w:sz w:val="24"/>
                <w:szCs w:val="24"/>
              </w:rPr>
            </w:pPr>
            <w:r w:rsidRPr="00AC075E">
              <w:rPr>
                <w:rFonts w:cs="Times New Roman"/>
                <w:sz w:val="24"/>
                <w:szCs w:val="24"/>
              </w:rPr>
              <w:t>0</w:t>
            </w:r>
          </w:p>
        </w:tc>
        <w:tc>
          <w:tcPr>
            <w:tcW w:w="1276" w:type="dxa"/>
            <w:shd w:val="clear" w:color="auto" w:fill="auto"/>
            <w:vAlign w:val="center"/>
            <w:hideMark/>
          </w:tcPr>
          <w:p w:rsidR="00FB397A" w:rsidRPr="00AC075E" w:rsidP="009B6902" w14:paraId="1DA43966" w14:textId="77777777">
            <w:pPr>
              <w:jc w:val="center"/>
              <w:rPr>
                <w:rFonts w:cs="Times New Roman"/>
                <w:sz w:val="24"/>
                <w:szCs w:val="24"/>
              </w:rPr>
            </w:pPr>
            <w:r w:rsidRPr="00AC075E">
              <w:rPr>
                <w:rFonts w:cs="Times New Roman"/>
                <w:sz w:val="24"/>
                <w:szCs w:val="24"/>
              </w:rPr>
              <w:t>0</w:t>
            </w:r>
          </w:p>
        </w:tc>
        <w:tc>
          <w:tcPr>
            <w:tcW w:w="1134" w:type="dxa"/>
            <w:shd w:val="clear" w:color="auto" w:fill="auto"/>
            <w:vAlign w:val="center"/>
            <w:hideMark/>
          </w:tcPr>
          <w:p w:rsidR="00FB397A" w:rsidRPr="00AC075E" w:rsidP="009B6902" w14:paraId="1DA43967" w14:textId="77777777">
            <w:pPr>
              <w:jc w:val="center"/>
              <w:rPr>
                <w:rFonts w:cs="Times New Roman"/>
                <w:sz w:val="24"/>
                <w:szCs w:val="24"/>
              </w:rPr>
            </w:pPr>
            <w:r w:rsidRPr="00AC075E">
              <w:rPr>
                <w:rFonts w:cs="Times New Roman"/>
                <w:sz w:val="24"/>
                <w:szCs w:val="24"/>
              </w:rPr>
              <w:t>0</w:t>
            </w:r>
          </w:p>
        </w:tc>
        <w:tc>
          <w:tcPr>
            <w:tcW w:w="1274" w:type="dxa"/>
            <w:shd w:val="clear" w:color="auto" w:fill="auto"/>
            <w:vAlign w:val="center"/>
            <w:hideMark/>
          </w:tcPr>
          <w:p w:rsidR="00FB397A" w:rsidRPr="00AC075E" w:rsidP="009B6902" w14:paraId="1DA43968" w14:textId="77777777">
            <w:pPr>
              <w:jc w:val="center"/>
              <w:rPr>
                <w:rFonts w:cs="Times New Roman"/>
                <w:sz w:val="24"/>
                <w:szCs w:val="24"/>
              </w:rPr>
            </w:pPr>
            <w:r w:rsidRPr="00AC075E">
              <w:rPr>
                <w:rFonts w:cs="Times New Roman"/>
                <w:sz w:val="24"/>
                <w:szCs w:val="24"/>
              </w:rPr>
              <w:t>0</w:t>
            </w:r>
          </w:p>
        </w:tc>
      </w:tr>
      <w:tr w14:paraId="1DA43972" w14:textId="77777777" w:rsidTr="00496F47">
        <w:tblPrEx>
          <w:tblW w:w="5848" w:type="pct"/>
          <w:tblInd w:w="-681" w:type="dxa"/>
          <w:tblLayout w:type="fixed"/>
          <w:tblCellMar>
            <w:top w:w="28" w:type="dxa"/>
            <w:left w:w="28" w:type="dxa"/>
            <w:bottom w:w="28" w:type="dxa"/>
            <w:right w:w="28" w:type="dxa"/>
          </w:tblCellMar>
          <w:tblLook w:val="04A0"/>
        </w:tblPrEx>
        <w:trPr>
          <w:cantSplit/>
        </w:trPr>
        <w:tc>
          <w:tcPr>
            <w:tcW w:w="1559" w:type="dxa"/>
            <w:shd w:val="clear" w:color="auto" w:fill="auto"/>
            <w:hideMark/>
          </w:tcPr>
          <w:p w:rsidR="00FB397A" w:rsidRPr="00AC075E" w:rsidP="009B6902" w14:paraId="1DA4396A" w14:textId="77777777">
            <w:pPr>
              <w:rPr>
                <w:rFonts w:cs="Times New Roman"/>
                <w:sz w:val="24"/>
                <w:szCs w:val="24"/>
              </w:rPr>
            </w:pPr>
            <w:r w:rsidRPr="00AC075E">
              <w:rPr>
                <w:rFonts w:cs="Times New Roman"/>
                <w:sz w:val="24"/>
                <w:szCs w:val="24"/>
              </w:rPr>
              <w:t>1.3. pašvaldību budžets</w:t>
            </w:r>
          </w:p>
        </w:tc>
        <w:tc>
          <w:tcPr>
            <w:tcW w:w="1276" w:type="dxa"/>
            <w:shd w:val="clear" w:color="auto" w:fill="auto"/>
            <w:vAlign w:val="center"/>
            <w:hideMark/>
          </w:tcPr>
          <w:p w:rsidR="00FB397A" w:rsidRPr="00AC075E" w:rsidP="009B6902" w14:paraId="1DA4396B" w14:textId="77777777">
            <w:pPr>
              <w:jc w:val="center"/>
              <w:rPr>
                <w:rFonts w:cs="Times New Roman"/>
                <w:sz w:val="24"/>
                <w:szCs w:val="24"/>
              </w:rPr>
            </w:pPr>
            <w:r w:rsidRPr="00AC075E">
              <w:rPr>
                <w:rFonts w:cs="Times New Roman"/>
                <w:sz w:val="24"/>
                <w:szCs w:val="24"/>
              </w:rPr>
              <w:t>0</w:t>
            </w:r>
          </w:p>
        </w:tc>
        <w:tc>
          <w:tcPr>
            <w:tcW w:w="992" w:type="dxa"/>
            <w:shd w:val="clear" w:color="auto" w:fill="auto"/>
            <w:vAlign w:val="center"/>
            <w:hideMark/>
          </w:tcPr>
          <w:p w:rsidR="00FB397A" w:rsidRPr="00AC075E" w:rsidP="009B6902" w14:paraId="1DA4396C" w14:textId="77777777">
            <w:pPr>
              <w:jc w:val="center"/>
              <w:rPr>
                <w:rFonts w:cs="Times New Roman"/>
                <w:sz w:val="24"/>
                <w:szCs w:val="24"/>
              </w:rPr>
            </w:pPr>
            <w:r w:rsidRPr="00AC075E">
              <w:rPr>
                <w:rFonts w:cs="Times New Roman"/>
                <w:sz w:val="24"/>
                <w:szCs w:val="24"/>
              </w:rPr>
              <w:t>0</w:t>
            </w:r>
          </w:p>
        </w:tc>
        <w:tc>
          <w:tcPr>
            <w:tcW w:w="1135" w:type="dxa"/>
            <w:shd w:val="clear" w:color="auto" w:fill="auto"/>
            <w:vAlign w:val="center"/>
            <w:hideMark/>
          </w:tcPr>
          <w:p w:rsidR="00FB397A" w:rsidRPr="00AC075E" w:rsidP="009B6902" w14:paraId="1DA4396D" w14:textId="77777777">
            <w:pPr>
              <w:jc w:val="center"/>
              <w:rPr>
                <w:rFonts w:cs="Times New Roman"/>
                <w:sz w:val="24"/>
                <w:szCs w:val="24"/>
              </w:rPr>
            </w:pPr>
            <w:r w:rsidRPr="00AC075E">
              <w:rPr>
                <w:rFonts w:cs="Times New Roman"/>
                <w:sz w:val="24"/>
                <w:szCs w:val="24"/>
              </w:rPr>
              <w:t>0</w:t>
            </w:r>
          </w:p>
        </w:tc>
        <w:tc>
          <w:tcPr>
            <w:tcW w:w="1134" w:type="dxa"/>
            <w:shd w:val="clear" w:color="auto" w:fill="auto"/>
            <w:vAlign w:val="center"/>
            <w:hideMark/>
          </w:tcPr>
          <w:p w:rsidR="00FB397A" w:rsidRPr="00AC075E" w:rsidP="009B6902" w14:paraId="1DA4396E" w14:textId="77777777">
            <w:pPr>
              <w:jc w:val="center"/>
              <w:rPr>
                <w:rFonts w:cs="Times New Roman"/>
                <w:sz w:val="24"/>
                <w:szCs w:val="24"/>
              </w:rPr>
            </w:pPr>
            <w:r w:rsidRPr="00AC075E">
              <w:rPr>
                <w:rFonts w:cs="Times New Roman"/>
                <w:sz w:val="24"/>
                <w:szCs w:val="24"/>
              </w:rPr>
              <w:t>0</w:t>
            </w:r>
          </w:p>
        </w:tc>
        <w:tc>
          <w:tcPr>
            <w:tcW w:w="1276" w:type="dxa"/>
            <w:shd w:val="clear" w:color="auto" w:fill="auto"/>
            <w:vAlign w:val="center"/>
            <w:hideMark/>
          </w:tcPr>
          <w:p w:rsidR="00FB397A" w:rsidRPr="00AC075E" w:rsidP="009B6902" w14:paraId="1DA4396F" w14:textId="77777777">
            <w:pPr>
              <w:jc w:val="center"/>
              <w:rPr>
                <w:rFonts w:cs="Times New Roman"/>
                <w:sz w:val="24"/>
                <w:szCs w:val="24"/>
              </w:rPr>
            </w:pPr>
            <w:r w:rsidRPr="00AC075E">
              <w:rPr>
                <w:rFonts w:cs="Times New Roman"/>
                <w:sz w:val="24"/>
                <w:szCs w:val="24"/>
              </w:rPr>
              <w:t>0</w:t>
            </w:r>
          </w:p>
        </w:tc>
        <w:tc>
          <w:tcPr>
            <w:tcW w:w="1134" w:type="dxa"/>
            <w:shd w:val="clear" w:color="auto" w:fill="auto"/>
            <w:vAlign w:val="center"/>
            <w:hideMark/>
          </w:tcPr>
          <w:p w:rsidR="00FB397A" w:rsidRPr="00AC075E" w:rsidP="009B6902" w14:paraId="1DA43970" w14:textId="77777777">
            <w:pPr>
              <w:jc w:val="center"/>
              <w:rPr>
                <w:rFonts w:cs="Times New Roman"/>
                <w:sz w:val="24"/>
                <w:szCs w:val="24"/>
              </w:rPr>
            </w:pPr>
            <w:r w:rsidRPr="00AC075E">
              <w:rPr>
                <w:rFonts w:cs="Times New Roman"/>
                <w:sz w:val="24"/>
                <w:szCs w:val="24"/>
              </w:rPr>
              <w:t>0</w:t>
            </w:r>
          </w:p>
        </w:tc>
        <w:tc>
          <w:tcPr>
            <w:tcW w:w="1274" w:type="dxa"/>
            <w:shd w:val="clear" w:color="auto" w:fill="auto"/>
            <w:vAlign w:val="center"/>
            <w:hideMark/>
          </w:tcPr>
          <w:p w:rsidR="00FB397A" w:rsidRPr="00AC075E" w:rsidP="009B6902" w14:paraId="1DA43971" w14:textId="77777777">
            <w:pPr>
              <w:jc w:val="center"/>
              <w:rPr>
                <w:rFonts w:cs="Times New Roman"/>
                <w:sz w:val="24"/>
                <w:szCs w:val="24"/>
              </w:rPr>
            </w:pPr>
            <w:r w:rsidRPr="00AC075E">
              <w:rPr>
                <w:rFonts w:cs="Times New Roman"/>
                <w:sz w:val="24"/>
                <w:szCs w:val="24"/>
              </w:rPr>
              <w:t>0</w:t>
            </w:r>
          </w:p>
        </w:tc>
      </w:tr>
      <w:tr w14:paraId="1DA4397B" w14:textId="77777777" w:rsidTr="00496F47">
        <w:tblPrEx>
          <w:tblW w:w="5848" w:type="pct"/>
          <w:tblInd w:w="-681" w:type="dxa"/>
          <w:tblLayout w:type="fixed"/>
          <w:tblCellMar>
            <w:top w:w="28" w:type="dxa"/>
            <w:left w:w="28" w:type="dxa"/>
            <w:bottom w:w="28" w:type="dxa"/>
            <w:right w:w="28" w:type="dxa"/>
          </w:tblCellMar>
          <w:tblLook w:val="04A0"/>
        </w:tblPrEx>
        <w:trPr>
          <w:cantSplit/>
        </w:trPr>
        <w:tc>
          <w:tcPr>
            <w:tcW w:w="1559" w:type="dxa"/>
            <w:shd w:val="clear" w:color="auto" w:fill="auto"/>
            <w:hideMark/>
          </w:tcPr>
          <w:p w:rsidR="00FB397A" w:rsidRPr="00AC075E" w:rsidP="009B6902" w14:paraId="1DA43973" w14:textId="77777777">
            <w:pPr>
              <w:rPr>
                <w:rFonts w:cs="Times New Roman"/>
                <w:sz w:val="24"/>
                <w:szCs w:val="24"/>
              </w:rPr>
            </w:pPr>
            <w:r w:rsidRPr="00AC075E">
              <w:rPr>
                <w:rFonts w:cs="Times New Roman"/>
                <w:sz w:val="24"/>
                <w:szCs w:val="24"/>
              </w:rPr>
              <w:t>2. Budžeta izdevumi</w:t>
            </w:r>
          </w:p>
        </w:tc>
        <w:tc>
          <w:tcPr>
            <w:tcW w:w="1276" w:type="dxa"/>
            <w:shd w:val="clear" w:color="auto" w:fill="auto"/>
            <w:vAlign w:val="center"/>
            <w:hideMark/>
          </w:tcPr>
          <w:p w:rsidR="00FB397A" w:rsidRPr="00AC075E" w:rsidP="009B6902" w14:paraId="1DA43974" w14:textId="77777777">
            <w:pPr>
              <w:jc w:val="center"/>
              <w:rPr>
                <w:rFonts w:cs="Times New Roman"/>
                <w:sz w:val="24"/>
                <w:szCs w:val="24"/>
              </w:rPr>
            </w:pPr>
            <w:r>
              <w:rPr>
                <w:rFonts w:cs="Times New Roman"/>
                <w:sz w:val="24"/>
                <w:szCs w:val="24"/>
              </w:rPr>
              <w:t>140 854 763</w:t>
            </w:r>
          </w:p>
        </w:tc>
        <w:tc>
          <w:tcPr>
            <w:tcW w:w="992" w:type="dxa"/>
            <w:shd w:val="clear" w:color="auto" w:fill="auto"/>
            <w:vAlign w:val="center"/>
            <w:hideMark/>
          </w:tcPr>
          <w:p w:rsidR="00FB397A" w:rsidRPr="00AC075E" w:rsidP="009B6902" w14:paraId="1DA43975" w14:textId="77777777">
            <w:pPr>
              <w:jc w:val="center"/>
              <w:rPr>
                <w:rFonts w:cs="Times New Roman"/>
                <w:sz w:val="24"/>
                <w:szCs w:val="24"/>
              </w:rPr>
            </w:pPr>
            <w:r w:rsidRPr="00AC075E">
              <w:rPr>
                <w:rFonts w:cs="Times New Roman"/>
                <w:sz w:val="24"/>
                <w:szCs w:val="24"/>
              </w:rPr>
              <w:t>0</w:t>
            </w:r>
          </w:p>
        </w:tc>
        <w:tc>
          <w:tcPr>
            <w:tcW w:w="1135" w:type="dxa"/>
            <w:shd w:val="clear" w:color="auto" w:fill="auto"/>
            <w:vAlign w:val="center"/>
          </w:tcPr>
          <w:p w:rsidR="00FB397A" w:rsidRPr="00AC075E" w:rsidP="009B6902" w14:paraId="1DA43976" w14:textId="77777777">
            <w:pPr>
              <w:jc w:val="center"/>
              <w:rPr>
                <w:rFonts w:cs="Times New Roman"/>
                <w:sz w:val="24"/>
                <w:szCs w:val="24"/>
              </w:rPr>
            </w:pPr>
            <w:r>
              <w:rPr>
                <w:rFonts w:cs="Times New Roman"/>
                <w:sz w:val="24"/>
                <w:szCs w:val="24"/>
              </w:rPr>
              <w:t>0</w:t>
            </w:r>
          </w:p>
        </w:tc>
        <w:tc>
          <w:tcPr>
            <w:tcW w:w="1134" w:type="dxa"/>
            <w:shd w:val="clear" w:color="auto" w:fill="auto"/>
            <w:vAlign w:val="center"/>
          </w:tcPr>
          <w:p w:rsidR="00FB397A" w:rsidRPr="00AC075E" w:rsidP="009B6902" w14:paraId="1DA43977" w14:textId="77777777">
            <w:pPr>
              <w:jc w:val="center"/>
              <w:rPr>
                <w:rFonts w:cs="Times New Roman"/>
                <w:sz w:val="24"/>
                <w:szCs w:val="24"/>
              </w:rPr>
            </w:pPr>
            <w:r>
              <w:rPr>
                <w:rFonts w:cs="Times New Roman"/>
                <w:sz w:val="24"/>
                <w:szCs w:val="24"/>
              </w:rPr>
              <w:t>7 230 000</w:t>
            </w:r>
          </w:p>
        </w:tc>
        <w:tc>
          <w:tcPr>
            <w:tcW w:w="1276" w:type="dxa"/>
            <w:shd w:val="clear" w:color="auto" w:fill="auto"/>
            <w:vAlign w:val="center"/>
          </w:tcPr>
          <w:p w:rsidR="00FB397A" w:rsidRPr="00496F47" w:rsidP="009B6902" w14:paraId="1DA43978" w14:textId="77777777">
            <w:pPr>
              <w:jc w:val="center"/>
              <w:rPr>
                <w:rFonts w:cs="Times New Roman"/>
                <w:spacing w:val="-20"/>
                <w:sz w:val="24"/>
                <w:szCs w:val="24"/>
              </w:rPr>
            </w:pPr>
            <w:r w:rsidRPr="00496F47">
              <w:rPr>
                <w:rFonts w:cs="Times New Roman"/>
                <w:spacing w:val="-20"/>
                <w:sz w:val="24"/>
                <w:szCs w:val="24"/>
              </w:rPr>
              <w:t>10 512 811</w:t>
            </w:r>
          </w:p>
        </w:tc>
        <w:tc>
          <w:tcPr>
            <w:tcW w:w="1134" w:type="dxa"/>
            <w:shd w:val="clear" w:color="auto" w:fill="auto"/>
            <w:vAlign w:val="center"/>
            <w:hideMark/>
          </w:tcPr>
          <w:p w:rsidR="00FB397A" w:rsidRPr="00496F47" w:rsidP="009B6902" w14:paraId="1DA43979" w14:textId="77777777">
            <w:pPr>
              <w:jc w:val="center"/>
              <w:rPr>
                <w:rFonts w:cs="Times New Roman"/>
                <w:spacing w:val="-20"/>
                <w:sz w:val="24"/>
                <w:szCs w:val="24"/>
              </w:rPr>
            </w:pPr>
            <w:r w:rsidRPr="00496F47">
              <w:rPr>
                <w:rFonts w:cs="Times New Roman"/>
                <w:spacing w:val="-20"/>
                <w:sz w:val="24"/>
                <w:szCs w:val="24"/>
                <w:lang w:eastAsia="lv-LV" w:bidi="ar-SA"/>
              </w:rPr>
              <w:t>10 617 189</w:t>
            </w:r>
          </w:p>
        </w:tc>
        <w:tc>
          <w:tcPr>
            <w:tcW w:w="1274" w:type="dxa"/>
            <w:shd w:val="clear" w:color="auto" w:fill="auto"/>
            <w:vAlign w:val="center"/>
            <w:hideMark/>
          </w:tcPr>
          <w:p w:rsidR="00FB397A" w:rsidRPr="00AC075E" w:rsidP="009B6902" w14:paraId="1DA4397A" w14:textId="77777777">
            <w:pPr>
              <w:jc w:val="center"/>
              <w:rPr>
                <w:rFonts w:cs="Times New Roman"/>
                <w:sz w:val="24"/>
                <w:szCs w:val="24"/>
              </w:rPr>
            </w:pPr>
            <w:r>
              <w:rPr>
                <w:rFonts w:cs="Times New Roman"/>
                <w:sz w:val="24"/>
                <w:szCs w:val="24"/>
              </w:rPr>
              <w:t>117 875</w:t>
            </w:r>
          </w:p>
        </w:tc>
      </w:tr>
      <w:tr w14:paraId="1DA43984" w14:textId="77777777" w:rsidTr="00496F47">
        <w:tblPrEx>
          <w:tblW w:w="5848" w:type="pct"/>
          <w:tblInd w:w="-681" w:type="dxa"/>
          <w:tblLayout w:type="fixed"/>
          <w:tblCellMar>
            <w:top w:w="28" w:type="dxa"/>
            <w:left w:w="28" w:type="dxa"/>
            <w:bottom w:w="28" w:type="dxa"/>
            <w:right w:w="28" w:type="dxa"/>
          </w:tblCellMar>
          <w:tblLook w:val="04A0"/>
        </w:tblPrEx>
        <w:trPr>
          <w:cantSplit/>
        </w:trPr>
        <w:tc>
          <w:tcPr>
            <w:tcW w:w="1559" w:type="dxa"/>
            <w:shd w:val="clear" w:color="auto" w:fill="auto"/>
            <w:hideMark/>
          </w:tcPr>
          <w:p w:rsidR="00FB397A" w:rsidRPr="00AC075E" w:rsidP="009B6902" w14:paraId="1DA4397C" w14:textId="77777777">
            <w:pPr>
              <w:rPr>
                <w:rFonts w:cs="Times New Roman"/>
                <w:sz w:val="24"/>
                <w:szCs w:val="24"/>
              </w:rPr>
            </w:pPr>
            <w:r w:rsidRPr="00AC075E">
              <w:rPr>
                <w:rFonts w:cs="Times New Roman"/>
                <w:sz w:val="24"/>
                <w:szCs w:val="24"/>
              </w:rPr>
              <w:t>2.1. valsts pamatbudžets</w:t>
            </w:r>
          </w:p>
        </w:tc>
        <w:tc>
          <w:tcPr>
            <w:tcW w:w="1276" w:type="dxa"/>
            <w:shd w:val="clear" w:color="auto" w:fill="auto"/>
            <w:vAlign w:val="center"/>
            <w:hideMark/>
          </w:tcPr>
          <w:p w:rsidR="00FB397A" w:rsidRPr="00AC075E" w:rsidP="009B6902" w14:paraId="1DA4397D" w14:textId="77777777">
            <w:pPr>
              <w:jc w:val="center"/>
              <w:rPr>
                <w:rFonts w:cs="Times New Roman"/>
                <w:sz w:val="24"/>
                <w:szCs w:val="24"/>
              </w:rPr>
            </w:pPr>
            <w:r>
              <w:rPr>
                <w:rFonts w:cs="Times New Roman"/>
                <w:sz w:val="24"/>
                <w:szCs w:val="24"/>
              </w:rPr>
              <w:t>140 854 763</w:t>
            </w:r>
          </w:p>
        </w:tc>
        <w:tc>
          <w:tcPr>
            <w:tcW w:w="992" w:type="dxa"/>
            <w:shd w:val="clear" w:color="auto" w:fill="auto"/>
            <w:vAlign w:val="center"/>
            <w:hideMark/>
          </w:tcPr>
          <w:p w:rsidR="00FB397A" w:rsidRPr="00AC075E" w:rsidP="009B6902" w14:paraId="1DA4397E" w14:textId="77777777">
            <w:pPr>
              <w:jc w:val="center"/>
              <w:rPr>
                <w:rFonts w:cs="Times New Roman"/>
                <w:sz w:val="24"/>
                <w:szCs w:val="24"/>
              </w:rPr>
            </w:pPr>
            <w:r w:rsidRPr="00AC075E">
              <w:rPr>
                <w:rFonts w:cs="Times New Roman"/>
                <w:sz w:val="24"/>
                <w:szCs w:val="24"/>
              </w:rPr>
              <w:t>0</w:t>
            </w:r>
          </w:p>
        </w:tc>
        <w:tc>
          <w:tcPr>
            <w:tcW w:w="1135" w:type="dxa"/>
            <w:shd w:val="clear" w:color="auto" w:fill="auto"/>
            <w:vAlign w:val="center"/>
          </w:tcPr>
          <w:p w:rsidR="00FB397A" w:rsidRPr="00AC075E" w:rsidP="009B6902" w14:paraId="1DA4397F" w14:textId="77777777">
            <w:pPr>
              <w:jc w:val="center"/>
              <w:rPr>
                <w:rFonts w:cs="Times New Roman"/>
                <w:sz w:val="24"/>
                <w:szCs w:val="24"/>
              </w:rPr>
            </w:pPr>
            <w:r>
              <w:rPr>
                <w:rFonts w:cs="Times New Roman"/>
                <w:sz w:val="24"/>
                <w:szCs w:val="24"/>
              </w:rPr>
              <w:t>0</w:t>
            </w:r>
          </w:p>
        </w:tc>
        <w:tc>
          <w:tcPr>
            <w:tcW w:w="1134" w:type="dxa"/>
            <w:shd w:val="clear" w:color="auto" w:fill="auto"/>
            <w:vAlign w:val="center"/>
          </w:tcPr>
          <w:p w:rsidR="00FB397A" w:rsidRPr="00AC075E" w:rsidP="009B6902" w14:paraId="1DA43980" w14:textId="77777777">
            <w:pPr>
              <w:jc w:val="center"/>
              <w:rPr>
                <w:rFonts w:cs="Times New Roman"/>
                <w:sz w:val="24"/>
                <w:szCs w:val="24"/>
              </w:rPr>
            </w:pPr>
            <w:r>
              <w:rPr>
                <w:rFonts w:cs="Times New Roman"/>
                <w:sz w:val="24"/>
                <w:szCs w:val="24"/>
              </w:rPr>
              <w:t>7 230 000</w:t>
            </w:r>
          </w:p>
        </w:tc>
        <w:tc>
          <w:tcPr>
            <w:tcW w:w="1276" w:type="dxa"/>
            <w:shd w:val="clear" w:color="auto" w:fill="auto"/>
            <w:vAlign w:val="center"/>
          </w:tcPr>
          <w:p w:rsidR="00FB397A" w:rsidRPr="00496F47" w:rsidP="009B6902" w14:paraId="1DA43981" w14:textId="77777777">
            <w:pPr>
              <w:jc w:val="center"/>
              <w:rPr>
                <w:rFonts w:cs="Times New Roman"/>
                <w:spacing w:val="-20"/>
                <w:sz w:val="24"/>
                <w:szCs w:val="24"/>
              </w:rPr>
            </w:pPr>
            <w:r w:rsidRPr="00496F47">
              <w:rPr>
                <w:rFonts w:cs="Times New Roman"/>
                <w:spacing w:val="-20"/>
                <w:sz w:val="24"/>
                <w:szCs w:val="24"/>
              </w:rPr>
              <w:t>10 512 811</w:t>
            </w:r>
          </w:p>
        </w:tc>
        <w:tc>
          <w:tcPr>
            <w:tcW w:w="1134" w:type="dxa"/>
            <w:shd w:val="clear" w:color="auto" w:fill="auto"/>
            <w:vAlign w:val="center"/>
            <w:hideMark/>
          </w:tcPr>
          <w:p w:rsidR="00FB397A" w:rsidRPr="00496F47" w:rsidP="009B6902" w14:paraId="1DA43982" w14:textId="77777777">
            <w:pPr>
              <w:jc w:val="center"/>
              <w:rPr>
                <w:rFonts w:cs="Times New Roman"/>
                <w:spacing w:val="-20"/>
                <w:sz w:val="24"/>
                <w:szCs w:val="24"/>
              </w:rPr>
            </w:pPr>
            <w:r w:rsidRPr="00496F47">
              <w:rPr>
                <w:rFonts w:cs="Times New Roman"/>
                <w:spacing w:val="-20"/>
                <w:sz w:val="24"/>
                <w:szCs w:val="24"/>
                <w:lang w:eastAsia="lv-LV" w:bidi="ar-SA"/>
              </w:rPr>
              <w:t>10 617 189</w:t>
            </w:r>
          </w:p>
        </w:tc>
        <w:tc>
          <w:tcPr>
            <w:tcW w:w="1274" w:type="dxa"/>
            <w:shd w:val="clear" w:color="auto" w:fill="auto"/>
            <w:vAlign w:val="center"/>
            <w:hideMark/>
          </w:tcPr>
          <w:p w:rsidR="00FB397A" w:rsidRPr="00AC075E" w:rsidP="009B6902" w14:paraId="1DA43983" w14:textId="77777777">
            <w:pPr>
              <w:jc w:val="center"/>
              <w:rPr>
                <w:rFonts w:cs="Times New Roman"/>
                <w:sz w:val="24"/>
                <w:szCs w:val="24"/>
              </w:rPr>
            </w:pPr>
            <w:r>
              <w:rPr>
                <w:rFonts w:cs="Times New Roman"/>
                <w:sz w:val="24"/>
                <w:szCs w:val="24"/>
              </w:rPr>
              <w:t>117 875</w:t>
            </w:r>
          </w:p>
        </w:tc>
      </w:tr>
      <w:tr w14:paraId="1DA4398D" w14:textId="77777777" w:rsidTr="00496F47">
        <w:tblPrEx>
          <w:tblW w:w="5848" w:type="pct"/>
          <w:tblInd w:w="-681" w:type="dxa"/>
          <w:tblLayout w:type="fixed"/>
          <w:tblCellMar>
            <w:top w:w="28" w:type="dxa"/>
            <w:left w:w="28" w:type="dxa"/>
            <w:bottom w:w="28" w:type="dxa"/>
            <w:right w:w="28" w:type="dxa"/>
          </w:tblCellMar>
          <w:tblLook w:val="04A0"/>
        </w:tblPrEx>
        <w:trPr>
          <w:cantSplit/>
        </w:trPr>
        <w:tc>
          <w:tcPr>
            <w:tcW w:w="1559" w:type="dxa"/>
            <w:shd w:val="clear" w:color="auto" w:fill="auto"/>
            <w:hideMark/>
          </w:tcPr>
          <w:p w:rsidR="00FB397A" w:rsidRPr="00AC075E" w:rsidP="009B6902" w14:paraId="1DA43985" w14:textId="77777777">
            <w:pPr>
              <w:rPr>
                <w:rFonts w:cs="Times New Roman"/>
                <w:sz w:val="24"/>
                <w:szCs w:val="24"/>
              </w:rPr>
            </w:pPr>
            <w:r w:rsidRPr="00AC075E">
              <w:rPr>
                <w:rFonts w:cs="Times New Roman"/>
                <w:sz w:val="24"/>
                <w:szCs w:val="24"/>
              </w:rPr>
              <w:t>2.2. valsts speciālais budžets</w:t>
            </w:r>
          </w:p>
        </w:tc>
        <w:tc>
          <w:tcPr>
            <w:tcW w:w="1276" w:type="dxa"/>
            <w:shd w:val="clear" w:color="auto" w:fill="auto"/>
            <w:vAlign w:val="center"/>
            <w:hideMark/>
          </w:tcPr>
          <w:p w:rsidR="00FB397A" w:rsidRPr="00AC075E" w:rsidP="009B6902" w14:paraId="1DA43986" w14:textId="77777777">
            <w:pPr>
              <w:jc w:val="center"/>
              <w:rPr>
                <w:rFonts w:cs="Times New Roman"/>
                <w:sz w:val="24"/>
                <w:szCs w:val="24"/>
              </w:rPr>
            </w:pPr>
            <w:r w:rsidRPr="00AC075E">
              <w:rPr>
                <w:rFonts w:cs="Times New Roman"/>
                <w:sz w:val="24"/>
                <w:szCs w:val="24"/>
              </w:rPr>
              <w:t>0</w:t>
            </w:r>
          </w:p>
        </w:tc>
        <w:tc>
          <w:tcPr>
            <w:tcW w:w="992" w:type="dxa"/>
            <w:shd w:val="clear" w:color="auto" w:fill="auto"/>
            <w:vAlign w:val="center"/>
            <w:hideMark/>
          </w:tcPr>
          <w:p w:rsidR="00FB397A" w:rsidRPr="00AC075E" w:rsidP="009B6902" w14:paraId="1DA43987" w14:textId="77777777">
            <w:pPr>
              <w:jc w:val="center"/>
              <w:rPr>
                <w:rFonts w:cs="Times New Roman"/>
                <w:sz w:val="24"/>
                <w:szCs w:val="24"/>
              </w:rPr>
            </w:pPr>
            <w:r w:rsidRPr="00AC075E">
              <w:rPr>
                <w:rFonts w:cs="Times New Roman"/>
                <w:sz w:val="24"/>
                <w:szCs w:val="24"/>
              </w:rPr>
              <w:t>0</w:t>
            </w:r>
          </w:p>
        </w:tc>
        <w:tc>
          <w:tcPr>
            <w:tcW w:w="1135" w:type="dxa"/>
            <w:shd w:val="clear" w:color="auto" w:fill="auto"/>
            <w:vAlign w:val="center"/>
            <w:hideMark/>
          </w:tcPr>
          <w:p w:rsidR="00FB397A" w:rsidRPr="00AC075E" w:rsidP="009B6902" w14:paraId="1DA43988" w14:textId="77777777">
            <w:pPr>
              <w:jc w:val="center"/>
              <w:rPr>
                <w:rFonts w:cs="Times New Roman"/>
                <w:sz w:val="24"/>
                <w:szCs w:val="24"/>
              </w:rPr>
            </w:pPr>
            <w:r w:rsidRPr="00AC075E">
              <w:rPr>
                <w:rFonts w:cs="Times New Roman"/>
                <w:sz w:val="24"/>
                <w:szCs w:val="24"/>
              </w:rPr>
              <w:t>0</w:t>
            </w:r>
          </w:p>
        </w:tc>
        <w:tc>
          <w:tcPr>
            <w:tcW w:w="1134" w:type="dxa"/>
            <w:shd w:val="clear" w:color="auto" w:fill="auto"/>
            <w:vAlign w:val="center"/>
            <w:hideMark/>
          </w:tcPr>
          <w:p w:rsidR="00FB397A" w:rsidRPr="00AC075E" w:rsidP="009B6902" w14:paraId="1DA43989" w14:textId="77777777">
            <w:pPr>
              <w:jc w:val="center"/>
              <w:rPr>
                <w:rFonts w:cs="Times New Roman"/>
                <w:sz w:val="24"/>
                <w:szCs w:val="24"/>
              </w:rPr>
            </w:pPr>
            <w:r w:rsidRPr="00AC075E">
              <w:rPr>
                <w:rFonts w:cs="Times New Roman"/>
                <w:sz w:val="24"/>
                <w:szCs w:val="24"/>
              </w:rPr>
              <w:t>0</w:t>
            </w:r>
          </w:p>
        </w:tc>
        <w:tc>
          <w:tcPr>
            <w:tcW w:w="1276" w:type="dxa"/>
            <w:shd w:val="clear" w:color="auto" w:fill="auto"/>
            <w:vAlign w:val="center"/>
            <w:hideMark/>
          </w:tcPr>
          <w:p w:rsidR="00FB397A" w:rsidRPr="00AC075E" w:rsidP="009B6902" w14:paraId="1DA4398A" w14:textId="77777777">
            <w:pPr>
              <w:jc w:val="center"/>
              <w:rPr>
                <w:rFonts w:cs="Times New Roman"/>
                <w:sz w:val="24"/>
                <w:szCs w:val="24"/>
              </w:rPr>
            </w:pPr>
            <w:r w:rsidRPr="00AC075E">
              <w:rPr>
                <w:rFonts w:cs="Times New Roman"/>
                <w:sz w:val="24"/>
                <w:szCs w:val="24"/>
              </w:rPr>
              <w:t>0</w:t>
            </w:r>
          </w:p>
        </w:tc>
        <w:tc>
          <w:tcPr>
            <w:tcW w:w="1134" w:type="dxa"/>
            <w:shd w:val="clear" w:color="auto" w:fill="auto"/>
            <w:vAlign w:val="center"/>
            <w:hideMark/>
          </w:tcPr>
          <w:p w:rsidR="00FB397A" w:rsidRPr="00AC075E" w:rsidP="009B6902" w14:paraId="1DA4398B" w14:textId="77777777">
            <w:pPr>
              <w:jc w:val="center"/>
              <w:rPr>
                <w:rFonts w:cs="Times New Roman"/>
                <w:sz w:val="24"/>
                <w:szCs w:val="24"/>
              </w:rPr>
            </w:pPr>
            <w:r w:rsidRPr="00AC075E">
              <w:rPr>
                <w:rFonts w:cs="Times New Roman"/>
                <w:sz w:val="24"/>
                <w:szCs w:val="24"/>
              </w:rPr>
              <w:t>0</w:t>
            </w:r>
          </w:p>
        </w:tc>
        <w:tc>
          <w:tcPr>
            <w:tcW w:w="1274" w:type="dxa"/>
            <w:shd w:val="clear" w:color="auto" w:fill="auto"/>
            <w:vAlign w:val="center"/>
            <w:hideMark/>
          </w:tcPr>
          <w:p w:rsidR="00FB397A" w:rsidRPr="00AC075E" w:rsidP="009B6902" w14:paraId="1DA4398C" w14:textId="77777777">
            <w:pPr>
              <w:jc w:val="center"/>
              <w:rPr>
                <w:rFonts w:cs="Times New Roman"/>
                <w:sz w:val="24"/>
                <w:szCs w:val="24"/>
              </w:rPr>
            </w:pPr>
            <w:r w:rsidRPr="00AC075E">
              <w:rPr>
                <w:rFonts w:cs="Times New Roman"/>
                <w:sz w:val="24"/>
                <w:szCs w:val="24"/>
              </w:rPr>
              <w:t>0</w:t>
            </w:r>
          </w:p>
        </w:tc>
      </w:tr>
      <w:tr w14:paraId="1DA43996" w14:textId="77777777" w:rsidTr="00496F47">
        <w:tblPrEx>
          <w:tblW w:w="5848" w:type="pct"/>
          <w:tblInd w:w="-681" w:type="dxa"/>
          <w:tblLayout w:type="fixed"/>
          <w:tblCellMar>
            <w:top w:w="28" w:type="dxa"/>
            <w:left w:w="28" w:type="dxa"/>
            <w:bottom w:w="28" w:type="dxa"/>
            <w:right w:w="28" w:type="dxa"/>
          </w:tblCellMar>
          <w:tblLook w:val="04A0"/>
        </w:tblPrEx>
        <w:trPr>
          <w:cantSplit/>
        </w:trPr>
        <w:tc>
          <w:tcPr>
            <w:tcW w:w="1559" w:type="dxa"/>
            <w:shd w:val="clear" w:color="auto" w:fill="auto"/>
            <w:hideMark/>
          </w:tcPr>
          <w:p w:rsidR="00FB397A" w:rsidRPr="00AC075E" w:rsidP="009B6902" w14:paraId="1DA4398E" w14:textId="77777777">
            <w:pPr>
              <w:rPr>
                <w:rFonts w:cs="Times New Roman"/>
                <w:sz w:val="24"/>
                <w:szCs w:val="24"/>
              </w:rPr>
            </w:pPr>
            <w:r w:rsidRPr="00AC075E">
              <w:rPr>
                <w:rFonts w:cs="Times New Roman"/>
                <w:sz w:val="24"/>
                <w:szCs w:val="24"/>
              </w:rPr>
              <w:t>2.3. pašvaldību budžets</w:t>
            </w:r>
          </w:p>
        </w:tc>
        <w:tc>
          <w:tcPr>
            <w:tcW w:w="1276" w:type="dxa"/>
            <w:shd w:val="clear" w:color="auto" w:fill="auto"/>
            <w:vAlign w:val="center"/>
            <w:hideMark/>
          </w:tcPr>
          <w:p w:rsidR="00FB397A" w:rsidRPr="00AC075E" w:rsidP="009B6902" w14:paraId="1DA4398F" w14:textId="77777777">
            <w:pPr>
              <w:jc w:val="center"/>
              <w:rPr>
                <w:rFonts w:cs="Times New Roman"/>
                <w:sz w:val="24"/>
                <w:szCs w:val="24"/>
              </w:rPr>
            </w:pPr>
            <w:r w:rsidRPr="00AC075E">
              <w:rPr>
                <w:rFonts w:cs="Times New Roman"/>
                <w:sz w:val="24"/>
                <w:szCs w:val="24"/>
              </w:rPr>
              <w:t>0</w:t>
            </w:r>
          </w:p>
        </w:tc>
        <w:tc>
          <w:tcPr>
            <w:tcW w:w="992" w:type="dxa"/>
            <w:shd w:val="clear" w:color="auto" w:fill="auto"/>
            <w:vAlign w:val="center"/>
            <w:hideMark/>
          </w:tcPr>
          <w:p w:rsidR="00FB397A" w:rsidRPr="00AC075E" w:rsidP="009B6902" w14:paraId="1DA43990" w14:textId="77777777">
            <w:pPr>
              <w:jc w:val="center"/>
              <w:rPr>
                <w:rFonts w:cs="Times New Roman"/>
                <w:sz w:val="24"/>
                <w:szCs w:val="24"/>
              </w:rPr>
            </w:pPr>
            <w:r w:rsidRPr="00AC075E">
              <w:rPr>
                <w:rFonts w:cs="Times New Roman"/>
                <w:sz w:val="24"/>
                <w:szCs w:val="24"/>
              </w:rPr>
              <w:t>0</w:t>
            </w:r>
          </w:p>
        </w:tc>
        <w:tc>
          <w:tcPr>
            <w:tcW w:w="1135" w:type="dxa"/>
            <w:shd w:val="clear" w:color="auto" w:fill="auto"/>
            <w:vAlign w:val="center"/>
            <w:hideMark/>
          </w:tcPr>
          <w:p w:rsidR="00FB397A" w:rsidRPr="00AC075E" w:rsidP="009B6902" w14:paraId="1DA43991" w14:textId="77777777">
            <w:pPr>
              <w:jc w:val="center"/>
              <w:rPr>
                <w:rFonts w:cs="Times New Roman"/>
                <w:sz w:val="24"/>
                <w:szCs w:val="24"/>
              </w:rPr>
            </w:pPr>
            <w:r w:rsidRPr="00AC075E">
              <w:rPr>
                <w:rFonts w:cs="Times New Roman"/>
                <w:sz w:val="24"/>
                <w:szCs w:val="24"/>
              </w:rPr>
              <w:t>0</w:t>
            </w:r>
          </w:p>
        </w:tc>
        <w:tc>
          <w:tcPr>
            <w:tcW w:w="1134" w:type="dxa"/>
            <w:shd w:val="clear" w:color="auto" w:fill="auto"/>
            <w:vAlign w:val="center"/>
            <w:hideMark/>
          </w:tcPr>
          <w:p w:rsidR="00FB397A" w:rsidRPr="00AC075E" w:rsidP="009B6902" w14:paraId="1DA43992" w14:textId="77777777">
            <w:pPr>
              <w:jc w:val="center"/>
              <w:rPr>
                <w:rFonts w:cs="Times New Roman"/>
                <w:sz w:val="24"/>
                <w:szCs w:val="24"/>
              </w:rPr>
            </w:pPr>
            <w:r w:rsidRPr="00AC075E">
              <w:rPr>
                <w:rFonts w:cs="Times New Roman"/>
                <w:sz w:val="24"/>
                <w:szCs w:val="24"/>
              </w:rPr>
              <w:t>0</w:t>
            </w:r>
          </w:p>
        </w:tc>
        <w:tc>
          <w:tcPr>
            <w:tcW w:w="1276" w:type="dxa"/>
            <w:shd w:val="clear" w:color="auto" w:fill="auto"/>
            <w:vAlign w:val="center"/>
            <w:hideMark/>
          </w:tcPr>
          <w:p w:rsidR="00FB397A" w:rsidRPr="00AC075E" w:rsidP="009B6902" w14:paraId="1DA43993" w14:textId="77777777">
            <w:pPr>
              <w:jc w:val="center"/>
              <w:rPr>
                <w:rFonts w:cs="Times New Roman"/>
                <w:sz w:val="24"/>
                <w:szCs w:val="24"/>
              </w:rPr>
            </w:pPr>
            <w:r w:rsidRPr="00AC075E">
              <w:rPr>
                <w:rFonts w:cs="Times New Roman"/>
                <w:sz w:val="24"/>
                <w:szCs w:val="24"/>
              </w:rPr>
              <w:t>0</w:t>
            </w:r>
          </w:p>
        </w:tc>
        <w:tc>
          <w:tcPr>
            <w:tcW w:w="1134" w:type="dxa"/>
            <w:shd w:val="clear" w:color="auto" w:fill="auto"/>
            <w:vAlign w:val="center"/>
            <w:hideMark/>
          </w:tcPr>
          <w:p w:rsidR="00FB397A" w:rsidRPr="00AC075E" w:rsidP="009B6902" w14:paraId="1DA43994" w14:textId="77777777">
            <w:pPr>
              <w:jc w:val="center"/>
              <w:rPr>
                <w:rFonts w:cs="Times New Roman"/>
                <w:sz w:val="24"/>
                <w:szCs w:val="24"/>
              </w:rPr>
            </w:pPr>
            <w:r w:rsidRPr="00AC075E">
              <w:rPr>
                <w:rFonts w:cs="Times New Roman"/>
                <w:sz w:val="24"/>
                <w:szCs w:val="24"/>
              </w:rPr>
              <w:t>0</w:t>
            </w:r>
          </w:p>
        </w:tc>
        <w:tc>
          <w:tcPr>
            <w:tcW w:w="1274" w:type="dxa"/>
            <w:shd w:val="clear" w:color="auto" w:fill="auto"/>
            <w:vAlign w:val="center"/>
            <w:hideMark/>
          </w:tcPr>
          <w:p w:rsidR="00FB397A" w:rsidRPr="00AC075E" w:rsidP="009B6902" w14:paraId="1DA43995" w14:textId="77777777">
            <w:pPr>
              <w:jc w:val="center"/>
              <w:rPr>
                <w:rFonts w:cs="Times New Roman"/>
                <w:sz w:val="24"/>
                <w:szCs w:val="24"/>
              </w:rPr>
            </w:pPr>
            <w:r w:rsidRPr="00AC075E">
              <w:rPr>
                <w:rFonts w:cs="Times New Roman"/>
                <w:sz w:val="24"/>
                <w:szCs w:val="24"/>
              </w:rPr>
              <w:t>0</w:t>
            </w:r>
          </w:p>
        </w:tc>
      </w:tr>
      <w:tr w14:paraId="1DA4399F" w14:textId="77777777" w:rsidTr="00496F47">
        <w:tblPrEx>
          <w:tblW w:w="5848" w:type="pct"/>
          <w:tblInd w:w="-681" w:type="dxa"/>
          <w:tblLayout w:type="fixed"/>
          <w:tblCellMar>
            <w:top w:w="28" w:type="dxa"/>
            <w:left w:w="28" w:type="dxa"/>
            <w:bottom w:w="28" w:type="dxa"/>
            <w:right w:w="28" w:type="dxa"/>
          </w:tblCellMar>
          <w:tblLook w:val="04A0"/>
        </w:tblPrEx>
        <w:trPr>
          <w:cantSplit/>
        </w:trPr>
        <w:tc>
          <w:tcPr>
            <w:tcW w:w="1559" w:type="dxa"/>
            <w:shd w:val="clear" w:color="auto" w:fill="auto"/>
            <w:hideMark/>
          </w:tcPr>
          <w:p w:rsidR="00FB397A" w:rsidRPr="00AC075E" w:rsidP="009B6902" w14:paraId="1DA43997" w14:textId="77777777">
            <w:pPr>
              <w:rPr>
                <w:rFonts w:cs="Times New Roman"/>
                <w:sz w:val="24"/>
                <w:szCs w:val="24"/>
              </w:rPr>
            </w:pPr>
            <w:r w:rsidRPr="00AC075E">
              <w:rPr>
                <w:rFonts w:cs="Times New Roman"/>
                <w:sz w:val="24"/>
                <w:szCs w:val="24"/>
              </w:rPr>
              <w:t>3. Finansiālā ietekme</w:t>
            </w:r>
          </w:p>
        </w:tc>
        <w:tc>
          <w:tcPr>
            <w:tcW w:w="1276" w:type="dxa"/>
            <w:shd w:val="clear" w:color="auto" w:fill="auto"/>
            <w:vAlign w:val="center"/>
            <w:hideMark/>
          </w:tcPr>
          <w:p w:rsidR="00FB397A" w:rsidRPr="00AC075E" w:rsidP="009B6902" w14:paraId="1DA43998" w14:textId="77777777">
            <w:pPr>
              <w:jc w:val="center"/>
              <w:rPr>
                <w:rFonts w:cs="Times New Roman"/>
                <w:sz w:val="24"/>
                <w:szCs w:val="24"/>
              </w:rPr>
            </w:pPr>
            <w:r w:rsidRPr="00AC075E">
              <w:rPr>
                <w:rFonts w:cs="Times New Roman"/>
                <w:sz w:val="24"/>
                <w:szCs w:val="24"/>
              </w:rPr>
              <w:t>0</w:t>
            </w:r>
          </w:p>
        </w:tc>
        <w:tc>
          <w:tcPr>
            <w:tcW w:w="992" w:type="dxa"/>
            <w:shd w:val="clear" w:color="auto" w:fill="auto"/>
            <w:vAlign w:val="center"/>
            <w:hideMark/>
          </w:tcPr>
          <w:p w:rsidR="00FB397A" w:rsidRPr="00AC075E" w:rsidP="009B6902" w14:paraId="1DA43999" w14:textId="77777777">
            <w:pPr>
              <w:jc w:val="center"/>
              <w:rPr>
                <w:rFonts w:cs="Times New Roman"/>
                <w:sz w:val="24"/>
                <w:szCs w:val="24"/>
              </w:rPr>
            </w:pPr>
            <w:r w:rsidRPr="00AC075E">
              <w:rPr>
                <w:rFonts w:cs="Times New Roman"/>
                <w:sz w:val="24"/>
                <w:szCs w:val="24"/>
              </w:rPr>
              <w:t>0</w:t>
            </w:r>
          </w:p>
        </w:tc>
        <w:tc>
          <w:tcPr>
            <w:tcW w:w="1135" w:type="dxa"/>
            <w:shd w:val="clear" w:color="auto" w:fill="auto"/>
            <w:vAlign w:val="center"/>
            <w:hideMark/>
          </w:tcPr>
          <w:p w:rsidR="00FB397A" w:rsidRPr="00AC075E" w:rsidP="009B6902" w14:paraId="1DA4399A" w14:textId="77777777">
            <w:pPr>
              <w:jc w:val="center"/>
              <w:rPr>
                <w:rFonts w:cs="Times New Roman"/>
                <w:sz w:val="24"/>
                <w:szCs w:val="24"/>
              </w:rPr>
            </w:pPr>
            <w:r w:rsidRPr="00AC075E">
              <w:rPr>
                <w:rFonts w:cs="Times New Roman"/>
                <w:sz w:val="24"/>
                <w:szCs w:val="24"/>
              </w:rPr>
              <w:t>0</w:t>
            </w:r>
          </w:p>
        </w:tc>
        <w:tc>
          <w:tcPr>
            <w:tcW w:w="1134" w:type="dxa"/>
            <w:shd w:val="clear" w:color="auto" w:fill="auto"/>
            <w:vAlign w:val="center"/>
            <w:hideMark/>
          </w:tcPr>
          <w:p w:rsidR="00FB397A" w:rsidRPr="00AC075E" w:rsidP="009B6902" w14:paraId="1DA4399B" w14:textId="77777777">
            <w:pPr>
              <w:jc w:val="center"/>
              <w:rPr>
                <w:rFonts w:cs="Times New Roman"/>
                <w:sz w:val="24"/>
                <w:szCs w:val="24"/>
              </w:rPr>
            </w:pPr>
            <w:r>
              <w:rPr>
                <w:rFonts w:cs="Times New Roman"/>
                <w:sz w:val="24"/>
                <w:szCs w:val="24"/>
              </w:rPr>
              <w:t>-7 230 000</w:t>
            </w:r>
          </w:p>
        </w:tc>
        <w:tc>
          <w:tcPr>
            <w:tcW w:w="1276" w:type="dxa"/>
            <w:shd w:val="clear" w:color="auto" w:fill="auto"/>
            <w:vAlign w:val="center"/>
            <w:hideMark/>
          </w:tcPr>
          <w:p w:rsidR="00FB397A" w:rsidRPr="00AC075E" w:rsidP="009B6902" w14:paraId="1DA4399C" w14:textId="77777777">
            <w:pPr>
              <w:jc w:val="center"/>
              <w:rPr>
                <w:rFonts w:cs="Times New Roman"/>
                <w:sz w:val="24"/>
                <w:szCs w:val="24"/>
              </w:rPr>
            </w:pPr>
            <w:r w:rsidRPr="00AC075E">
              <w:rPr>
                <w:rFonts w:cs="Times New Roman"/>
                <w:sz w:val="24"/>
                <w:szCs w:val="24"/>
              </w:rPr>
              <w:t>0</w:t>
            </w:r>
          </w:p>
        </w:tc>
        <w:tc>
          <w:tcPr>
            <w:tcW w:w="1134" w:type="dxa"/>
            <w:shd w:val="clear" w:color="auto" w:fill="auto"/>
            <w:vAlign w:val="center"/>
            <w:hideMark/>
          </w:tcPr>
          <w:p w:rsidR="00FB397A" w:rsidRPr="00496F47" w:rsidP="009B6902" w14:paraId="1DA4399D" w14:textId="77777777">
            <w:pPr>
              <w:jc w:val="center"/>
              <w:rPr>
                <w:rFonts w:cs="Times New Roman"/>
                <w:spacing w:val="-20"/>
                <w:sz w:val="24"/>
                <w:szCs w:val="24"/>
              </w:rPr>
            </w:pPr>
            <w:r w:rsidRPr="00496F47">
              <w:rPr>
                <w:rFonts w:cs="Times New Roman"/>
                <w:spacing w:val="-20"/>
                <w:sz w:val="24"/>
                <w:szCs w:val="24"/>
                <w:lang w:eastAsia="lv-LV" w:bidi="ar-SA"/>
              </w:rPr>
              <w:t>-10 617 189</w:t>
            </w:r>
          </w:p>
        </w:tc>
        <w:tc>
          <w:tcPr>
            <w:tcW w:w="1274" w:type="dxa"/>
            <w:shd w:val="clear" w:color="auto" w:fill="auto"/>
            <w:vAlign w:val="center"/>
            <w:hideMark/>
          </w:tcPr>
          <w:p w:rsidR="00FB397A" w:rsidRPr="00AC075E" w:rsidP="009B6902" w14:paraId="1DA4399E" w14:textId="77777777">
            <w:pPr>
              <w:jc w:val="center"/>
              <w:rPr>
                <w:rFonts w:cs="Times New Roman"/>
                <w:sz w:val="24"/>
                <w:szCs w:val="24"/>
              </w:rPr>
            </w:pPr>
            <w:r>
              <w:rPr>
                <w:rFonts w:cs="Times New Roman"/>
                <w:sz w:val="24"/>
                <w:szCs w:val="24"/>
              </w:rPr>
              <w:t>- 117 875</w:t>
            </w:r>
          </w:p>
        </w:tc>
      </w:tr>
      <w:tr w14:paraId="1DA439A8" w14:textId="77777777" w:rsidTr="00496F47">
        <w:tblPrEx>
          <w:tblW w:w="5848" w:type="pct"/>
          <w:tblInd w:w="-681" w:type="dxa"/>
          <w:tblLayout w:type="fixed"/>
          <w:tblCellMar>
            <w:top w:w="28" w:type="dxa"/>
            <w:left w:w="28" w:type="dxa"/>
            <w:bottom w:w="28" w:type="dxa"/>
            <w:right w:w="28" w:type="dxa"/>
          </w:tblCellMar>
          <w:tblLook w:val="04A0"/>
        </w:tblPrEx>
        <w:trPr>
          <w:cantSplit/>
        </w:trPr>
        <w:tc>
          <w:tcPr>
            <w:tcW w:w="1559" w:type="dxa"/>
            <w:shd w:val="clear" w:color="auto" w:fill="auto"/>
            <w:hideMark/>
          </w:tcPr>
          <w:p w:rsidR="00FB397A" w:rsidRPr="00AC075E" w:rsidP="009B6902" w14:paraId="1DA439A0" w14:textId="77777777">
            <w:pPr>
              <w:rPr>
                <w:rFonts w:cs="Times New Roman"/>
                <w:sz w:val="24"/>
                <w:szCs w:val="24"/>
              </w:rPr>
            </w:pPr>
            <w:r w:rsidRPr="00AC075E">
              <w:rPr>
                <w:rFonts w:cs="Times New Roman"/>
                <w:sz w:val="24"/>
                <w:szCs w:val="24"/>
              </w:rPr>
              <w:t>3.1. valsts pamatbudžets</w:t>
            </w:r>
          </w:p>
        </w:tc>
        <w:tc>
          <w:tcPr>
            <w:tcW w:w="1276" w:type="dxa"/>
            <w:shd w:val="clear" w:color="auto" w:fill="auto"/>
            <w:vAlign w:val="center"/>
            <w:hideMark/>
          </w:tcPr>
          <w:p w:rsidR="00FB397A" w:rsidRPr="00AC075E" w:rsidP="009B6902" w14:paraId="1DA439A1" w14:textId="77777777">
            <w:pPr>
              <w:jc w:val="center"/>
              <w:rPr>
                <w:rFonts w:cs="Times New Roman"/>
                <w:sz w:val="24"/>
                <w:szCs w:val="24"/>
              </w:rPr>
            </w:pPr>
            <w:r w:rsidRPr="00AC075E">
              <w:rPr>
                <w:rFonts w:cs="Times New Roman"/>
                <w:sz w:val="24"/>
                <w:szCs w:val="24"/>
              </w:rPr>
              <w:t>0</w:t>
            </w:r>
          </w:p>
        </w:tc>
        <w:tc>
          <w:tcPr>
            <w:tcW w:w="992" w:type="dxa"/>
            <w:shd w:val="clear" w:color="auto" w:fill="auto"/>
            <w:vAlign w:val="center"/>
            <w:hideMark/>
          </w:tcPr>
          <w:p w:rsidR="00FB397A" w:rsidRPr="00AC075E" w:rsidP="009B6902" w14:paraId="1DA439A2" w14:textId="77777777">
            <w:pPr>
              <w:jc w:val="center"/>
              <w:rPr>
                <w:rFonts w:cs="Times New Roman"/>
                <w:sz w:val="24"/>
                <w:szCs w:val="24"/>
              </w:rPr>
            </w:pPr>
            <w:r w:rsidRPr="00AC075E">
              <w:rPr>
                <w:rFonts w:cs="Times New Roman"/>
                <w:sz w:val="24"/>
                <w:szCs w:val="24"/>
              </w:rPr>
              <w:t>0</w:t>
            </w:r>
          </w:p>
        </w:tc>
        <w:tc>
          <w:tcPr>
            <w:tcW w:w="1135" w:type="dxa"/>
            <w:shd w:val="clear" w:color="auto" w:fill="auto"/>
            <w:vAlign w:val="center"/>
            <w:hideMark/>
          </w:tcPr>
          <w:p w:rsidR="00FB397A" w:rsidRPr="00AC075E" w:rsidP="009B6902" w14:paraId="1DA439A3" w14:textId="77777777">
            <w:pPr>
              <w:jc w:val="center"/>
              <w:rPr>
                <w:rFonts w:cs="Times New Roman"/>
                <w:sz w:val="24"/>
                <w:szCs w:val="24"/>
              </w:rPr>
            </w:pPr>
            <w:r w:rsidRPr="00AC075E">
              <w:rPr>
                <w:rFonts w:cs="Times New Roman"/>
                <w:sz w:val="24"/>
                <w:szCs w:val="24"/>
              </w:rPr>
              <w:t>0</w:t>
            </w:r>
          </w:p>
        </w:tc>
        <w:tc>
          <w:tcPr>
            <w:tcW w:w="1134" w:type="dxa"/>
            <w:shd w:val="clear" w:color="auto" w:fill="auto"/>
            <w:vAlign w:val="center"/>
            <w:hideMark/>
          </w:tcPr>
          <w:p w:rsidR="00FB397A" w:rsidRPr="00AC075E" w:rsidP="009B6902" w14:paraId="1DA439A4" w14:textId="77777777">
            <w:pPr>
              <w:jc w:val="center"/>
              <w:rPr>
                <w:rFonts w:cs="Times New Roman"/>
                <w:sz w:val="24"/>
                <w:szCs w:val="24"/>
              </w:rPr>
            </w:pPr>
            <w:r>
              <w:rPr>
                <w:rFonts w:cs="Times New Roman"/>
                <w:sz w:val="24"/>
                <w:szCs w:val="24"/>
              </w:rPr>
              <w:t>-7 230 000</w:t>
            </w:r>
          </w:p>
        </w:tc>
        <w:tc>
          <w:tcPr>
            <w:tcW w:w="1276" w:type="dxa"/>
            <w:shd w:val="clear" w:color="auto" w:fill="auto"/>
            <w:vAlign w:val="center"/>
            <w:hideMark/>
          </w:tcPr>
          <w:p w:rsidR="00FB397A" w:rsidRPr="00AC075E" w:rsidP="009B6902" w14:paraId="1DA439A5" w14:textId="77777777">
            <w:pPr>
              <w:jc w:val="center"/>
              <w:rPr>
                <w:rFonts w:cs="Times New Roman"/>
                <w:sz w:val="24"/>
                <w:szCs w:val="24"/>
              </w:rPr>
            </w:pPr>
            <w:r w:rsidRPr="00AC075E">
              <w:rPr>
                <w:rFonts w:cs="Times New Roman"/>
                <w:sz w:val="24"/>
                <w:szCs w:val="24"/>
              </w:rPr>
              <w:t>0</w:t>
            </w:r>
          </w:p>
        </w:tc>
        <w:tc>
          <w:tcPr>
            <w:tcW w:w="1134" w:type="dxa"/>
            <w:shd w:val="clear" w:color="auto" w:fill="auto"/>
            <w:vAlign w:val="center"/>
            <w:hideMark/>
          </w:tcPr>
          <w:p w:rsidR="00FB397A" w:rsidRPr="00496F47" w:rsidP="009B6902" w14:paraId="1DA439A6" w14:textId="77777777">
            <w:pPr>
              <w:jc w:val="center"/>
              <w:rPr>
                <w:rFonts w:cs="Times New Roman"/>
                <w:spacing w:val="-20"/>
                <w:sz w:val="24"/>
                <w:szCs w:val="24"/>
              </w:rPr>
            </w:pPr>
            <w:r w:rsidRPr="00496F47">
              <w:rPr>
                <w:rFonts w:cs="Times New Roman"/>
                <w:spacing w:val="-20"/>
                <w:sz w:val="24"/>
                <w:szCs w:val="24"/>
                <w:lang w:eastAsia="lv-LV" w:bidi="ar-SA"/>
              </w:rPr>
              <w:t>-10 617 189</w:t>
            </w:r>
          </w:p>
        </w:tc>
        <w:tc>
          <w:tcPr>
            <w:tcW w:w="1274" w:type="dxa"/>
            <w:shd w:val="clear" w:color="auto" w:fill="auto"/>
            <w:vAlign w:val="center"/>
            <w:hideMark/>
          </w:tcPr>
          <w:p w:rsidR="00FB397A" w:rsidRPr="00AC075E" w:rsidP="009B6902" w14:paraId="1DA439A7" w14:textId="77777777">
            <w:pPr>
              <w:jc w:val="center"/>
              <w:rPr>
                <w:rFonts w:cs="Times New Roman"/>
                <w:sz w:val="24"/>
                <w:szCs w:val="24"/>
              </w:rPr>
            </w:pPr>
            <w:r>
              <w:rPr>
                <w:rFonts w:cs="Times New Roman"/>
                <w:sz w:val="24"/>
                <w:szCs w:val="24"/>
              </w:rPr>
              <w:t>- 117 875</w:t>
            </w:r>
          </w:p>
        </w:tc>
      </w:tr>
      <w:tr w14:paraId="1DA439B1" w14:textId="77777777" w:rsidTr="00496F47">
        <w:tblPrEx>
          <w:tblW w:w="5848" w:type="pct"/>
          <w:tblInd w:w="-681" w:type="dxa"/>
          <w:tblLayout w:type="fixed"/>
          <w:tblCellMar>
            <w:top w:w="28" w:type="dxa"/>
            <w:left w:w="28" w:type="dxa"/>
            <w:bottom w:w="28" w:type="dxa"/>
            <w:right w:w="28" w:type="dxa"/>
          </w:tblCellMar>
          <w:tblLook w:val="04A0"/>
        </w:tblPrEx>
        <w:trPr>
          <w:cantSplit/>
        </w:trPr>
        <w:tc>
          <w:tcPr>
            <w:tcW w:w="1559" w:type="dxa"/>
            <w:shd w:val="clear" w:color="auto" w:fill="auto"/>
            <w:hideMark/>
          </w:tcPr>
          <w:p w:rsidR="00FB397A" w:rsidRPr="00AC075E" w:rsidP="009B6902" w14:paraId="1DA439A9" w14:textId="77777777">
            <w:pPr>
              <w:rPr>
                <w:rFonts w:cs="Times New Roman"/>
                <w:sz w:val="24"/>
                <w:szCs w:val="24"/>
              </w:rPr>
            </w:pPr>
            <w:r w:rsidRPr="00AC075E">
              <w:rPr>
                <w:rFonts w:cs="Times New Roman"/>
                <w:sz w:val="24"/>
                <w:szCs w:val="24"/>
              </w:rPr>
              <w:t>3.2. speciālais budžets</w:t>
            </w:r>
          </w:p>
        </w:tc>
        <w:tc>
          <w:tcPr>
            <w:tcW w:w="1276" w:type="dxa"/>
            <w:shd w:val="clear" w:color="auto" w:fill="auto"/>
            <w:vAlign w:val="center"/>
            <w:hideMark/>
          </w:tcPr>
          <w:p w:rsidR="00FB397A" w:rsidRPr="00AC075E" w:rsidP="009B6902" w14:paraId="1DA439AA" w14:textId="77777777">
            <w:pPr>
              <w:jc w:val="center"/>
              <w:rPr>
                <w:rFonts w:cs="Times New Roman"/>
                <w:sz w:val="24"/>
                <w:szCs w:val="24"/>
              </w:rPr>
            </w:pPr>
            <w:r w:rsidRPr="00AC075E">
              <w:rPr>
                <w:rFonts w:cs="Times New Roman"/>
                <w:sz w:val="24"/>
                <w:szCs w:val="24"/>
              </w:rPr>
              <w:t>0</w:t>
            </w:r>
          </w:p>
        </w:tc>
        <w:tc>
          <w:tcPr>
            <w:tcW w:w="992" w:type="dxa"/>
            <w:shd w:val="clear" w:color="auto" w:fill="auto"/>
            <w:vAlign w:val="center"/>
            <w:hideMark/>
          </w:tcPr>
          <w:p w:rsidR="00FB397A" w:rsidRPr="00AC075E" w:rsidP="009B6902" w14:paraId="1DA439AB" w14:textId="77777777">
            <w:pPr>
              <w:jc w:val="center"/>
              <w:rPr>
                <w:rFonts w:cs="Times New Roman"/>
                <w:sz w:val="24"/>
                <w:szCs w:val="24"/>
              </w:rPr>
            </w:pPr>
            <w:r w:rsidRPr="00AC075E">
              <w:rPr>
                <w:rFonts w:cs="Times New Roman"/>
                <w:sz w:val="24"/>
                <w:szCs w:val="24"/>
              </w:rPr>
              <w:t>0</w:t>
            </w:r>
          </w:p>
        </w:tc>
        <w:tc>
          <w:tcPr>
            <w:tcW w:w="1135" w:type="dxa"/>
            <w:shd w:val="clear" w:color="auto" w:fill="auto"/>
            <w:vAlign w:val="center"/>
            <w:hideMark/>
          </w:tcPr>
          <w:p w:rsidR="00FB397A" w:rsidRPr="00AC075E" w:rsidP="009B6902" w14:paraId="1DA439AC" w14:textId="77777777">
            <w:pPr>
              <w:jc w:val="center"/>
              <w:rPr>
                <w:rFonts w:cs="Times New Roman"/>
                <w:sz w:val="24"/>
                <w:szCs w:val="24"/>
              </w:rPr>
            </w:pPr>
            <w:r w:rsidRPr="00AC075E">
              <w:rPr>
                <w:rFonts w:cs="Times New Roman"/>
                <w:sz w:val="24"/>
                <w:szCs w:val="24"/>
              </w:rPr>
              <w:t>0</w:t>
            </w:r>
          </w:p>
        </w:tc>
        <w:tc>
          <w:tcPr>
            <w:tcW w:w="1134" w:type="dxa"/>
            <w:shd w:val="clear" w:color="auto" w:fill="auto"/>
            <w:vAlign w:val="center"/>
            <w:hideMark/>
          </w:tcPr>
          <w:p w:rsidR="00FB397A" w:rsidRPr="00AC075E" w:rsidP="009B6902" w14:paraId="1DA439AD" w14:textId="77777777">
            <w:pPr>
              <w:jc w:val="center"/>
              <w:rPr>
                <w:rFonts w:cs="Times New Roman"/>
                <w:sz w:val="24"/>
                <w:szCs w:val="24"/>
              </w:rPr>
            </w:pPr>
            <w:r w:rsidRPr="00AC075E">
              <w:rPr>
                <w:rFonts w:cs="Times New Roman"/>
                <w:sz w:val="24"/>
                <w:szCs w:val="24"/>
              </w:rPr>
              <w:t>0</w:t>
            </w:r>
          </w:p>
        </w:tc>
        <w:tc>
          <w:tcPr>
            <w:tcW w:w="1276" w:type="dxa"/>
            <w:shd w:val="clear" w:color="auto" w:fill="auto"/>
            <w:vAlign w:val="center"/>
            <w:hideMark/>
          </w:tcPr>
          <w:p w:rsidR="00FB397A" w:rsidRPr="00AC075E" w:rsidP="009B6902" w14:paraId="1DA439AE" w14:textId="77777777">
            <w:pPr>
              <w:jc w:val="center"/>
              <w:rPr>
                <w:rFonts w:cs="Times New Roman"/>
                <w:sz w:val="24"/>
                <w:szCs w:val="24"/>
              </w:rPr>
            </w:pPr>
            <w:r w:rsidRPr="00AC075E">
              <w:rPr>
                <w:rFonts w:cs="Times New Roman"/>
                <w:sz w:val="24"/>
                <w:szCs w:val="24"/>
              </w:rPr>
              <w:t>0</w:t>
            </w:r>
          </w:p>
        </w:tc>
        <w:tc>
          <w:tcPr>
            <w:tcW w:w="1134" w:type="dxa"/>
            <w:shd w:val="clear" w:color="auto" w:fill="auto"/>
            <w:vAlign w:val="center"/>
            <w:hideMark/>
          </w:tcPr>
          <w:p w:rsidR="00FB397A" w:rsidRPr="00AC075E" w:rsidP="009B6902" w14:paraId="1DA439AF" w14:textId="77777777">
            <w:pPr>
              <w:jc w:val="center"/>
              <w:rPr>
                <w:rFonts w:cs="Times New Roman"/>
                <w:sz w:val="24"/>
                <w:szCs w:val="24"/>
              </w:rPr>
            </w:pPr>
            <w:r w:rsidRPr="00AC075E">
              <w:rPr>
                <w:rFonts w:cs="Times New Roman"/>
                <w:sz w:val="24"/>
                <w:szCs w:val="24"/>
              </w:rPr>
              <w:t>0</w:t>
            </w:r>
          </w:p>
        </w:tc>
        <w:tc>
          <w:tcPr>
            <w:tcW w:w="1274" w:type="dxa"/>
            <w:shd w:val="clear" w:color="auto" w:fill="auto"/>
            <w:vAlign w:val="center"/>
            <w:hideMark/>
          </w:tcPr>
          <w:p w:rsidR="00FB397A" w:rsidRPr="00AC075E" w:rsidP="009B6902" w14:paraId="1DA439B0" w14:textId="77777777">
            <w:pPr>
              <w:jc w:val="center"/>
              <w:rPr>
                <w:rFonts w:cs="Times New Roman"/>
                <w:sz w:val="24"/>
                <w:szCs w:val="24"/>
              </w:rPr>
            </w:pPr>
            <w:r w:rsidRPr="00AC075E">
              <w:rPr>
                <w:rFonts w:cs="Times New Roman"/>
                <w:sz w:val="24"/>
                <w:szCs w:val="24"/>
              </w:rPr>
              <w:t>0</w:t>
            </w:r>
          </w:p>
        </w:tc>
      </w:tr>
      <w:tr w14:paraId="1DA439BA" w14:textId="77777777" w:rsidTr="00496F47">
        <w:tblPrEx>
          <w:tblW w:w="5848" w:type="pct"/>
          <w:tblInd w:w="-681" w:type="dxa"/>
          <w:tblLayout w:type="fixed"/>
          <w:tblCellMar>
            <w:top w:w="28" w:type="dxa"/>
            <w:left w:w="28" w:type="dxa"/>
            <w:bottom w:w="28" w:type="dxa"/>
            <w:right w:w="28" w:type="dxa"/>
          </w:tblCellMar>
          <w:tblLook w:val="04A0"/>
        </w:tblPrEx>
        <w:trPr>
          <w:cantSplit/>
        </w:trPr>
        <w:tc>
          <w:tcPr>
            <w:tcW w:w="1559" w:type="dxa"/>
            <w:shd w:val="clear" w:color="auto" w:fill="auto"/>
            <w:hideMark/>
          </w:tcPr>
          <w:p w:rsidR="00FB397A" w:rsidRPr="00AC075E" w:rsidP="009B6902" w14:paraId="1DA439B2" w14:textId="77777777">
            <w:pPr>
              <w:rPr>
                <w:rFonts w:cs="Times New Roman"/>
                <w:sz w:val="24"/>
                <w:szCs w:val="24"/>
              </w:rPr>
            </w:pPr>
            <w:r w:rsidRPr="00AC075E">
              <w:rPr>
                <w:rFonts w:cs="Times New Roman"/>
                <w:sz w:val="24"/>
                <w:szCs w:val="24"/>
              </w:rPr>
              <w:t>3.3. pašvaldību budžets</w:t>
            </w:r>
          </w:p>
        </w:tc>
        <w:tc>
          <w:tcPr>
            <w:tcW w:w="1276" w:type="dxa"/>
            <w:shd w:val="clear" w:color="auto" w:fill="auto"/>
            <w:vAlign w:val="center"/>
            <w:hideMark/>
          </w:tcPr>
          <w:p w:rsidR="00FB397A" w:rsidRPr="00AC075E" w:rsidP="009B6902" w14:paraId="1DA439B3" w14:textId="77777777">
            <w:pPr>
              <w:jc w:val="center"/>
              <w:rPr>
                <w:rFonts w:cs="Times New Roman"/>
                <w:sz w:val="24"/>
                <w:szCs w:val="24"/>
              </w:rPr>
            </w:pPr>
            <w:r w:rsidRPr="00AC075E">
              <w:rPr>
                <w:rFonts w:cs="Times New Roman"/>
                <w:sz w:val="24"/>
                <w:szCs w:val="24"/>
              </w:rPr>
              <w:t>0</w:t>
            </w:r>
          </w:p>
        </w:tc>
        <w:tc>
          <w:tcPr>
            <w:tcW w:w="992" w:type="dxa"/>
            <w:shd w:val="clear" w:color="auto" w:fill="auto"/>
            <w:vAlign w:val="center"/>
            <w:hideMark/>
          </w:tcPr>
          <w:p w:rsidR="00FB397A" w:rsidRPr="00AC075E" w:rsidP="009B6902" w14:paraId="1DA439B4" w14:textId="77777777">
            <w:pPr>
              <w:jc w:val="center"/>
              <w:rPr>
                <w:rFonts w:cs="Times New Roman"/>
                <w:sz w:val="24"/>
                <w:szCs w:val="24"/>
              </w:rPr>
            </w:pPr>
            <w:r w:rsidRPr="00AC075E">
              <w:rPr>
                <w:rFonts w:cs="Times New Roman"/>
                <w:sz w:val="24"/>
                <w:szCs w:val="24"/>
              </w:rPr>
              <w:t>0</w:t>
            </w:r>
          </w:p>
        </w:tc>
        <w:tc>
          <w:tcPr>
            <w:tcW w:w="1135" w:type="dxa"/>
            <w:shd w:val="clear" w:color="auto" w:fill="auto"/>
            <w:vAlign w:val="center"/>
            <w:hideMark/>
          </w:tcPr>
          <w:p w:rsidR="00FB397A" w:rsidRPr="00AC075E" w:rsidP="009B6902" w14:paraId="1DA439B5" w14:textId="77777777">
            <w:pPr>
              <w:jc w:val="center"/>
              <w:rPr>
                <w:rFonts w:cs="Times New Roman"/>
                <w:sz w:val="24"/>
                <w:szCs w:val="24"/>
              </w:rPr>
            </w:pPr>
            <w:r w:rsidRPr="00AC075E">
              <w:rPr>
                <w:rFonts w:cs="Times New Roman"/>
                <w:sz w:val="24"/>
                <w:szCs w:val="24"/>
              </w:rPr>
              <w:t>0</w:t>
            </w:r>
          </w:p>
        </w:tc>
        <w:tc>
          <w:tcPr>
            <w:tcW w:w="1134" w:type="dxa"/>
            <w:shd w:val="clear" w:color="auto" w:fill="auto"/>
            <w:vAlign w:val="center"/>
            <w:hideMark/>
          </w:tcPr>
          <w:p w:rsidR="00FB397A" w:rsidRPr="00AC075E" w:rsidP="009B6902" w14:paraId="1DA439B6" w14:textId="77777777">
            <w:pPr>
              <w:jc w:val="center"/>
              <w:rPr>
                <w:rFonts w:cs="Times New Roman"/>
                <w:sz w:val="24"/>
                <w:szCs w:val="24"/>
              </w:rPr>
            </w:pPr>
            <w:r w:rsidRPr="00AC075E">
              <w:rPr>
                <w:rFonts w:cs="Times New Roman"/>
                <w:sz w:val="24"/>
                <w:szCs w:val="24"/>
              </w:rPr>
              <w:t>0</w:t>
            </w:r>
          </w:p>
        </w:tc>
        <w:tc>
          <w:tcPr>
            <w:tcW w:w="1276" w:type="dxa"/>
            <w:shd w:val="clear" w:color="auto" w:fill="auto"/>
            <w:vAlign w:val="center"/>
            <w:hideMark/>
          </w:tcPr>
          <w:p w:rsidR="00FB397A" w:rsidRPr="00AC075E" w:rsidP="009B6902" w14:paraId="1DA439B7" w14:textId="77777777">
            <w:pPr>
              <w:jc w:val="center"/>
              <w:rPr>
                <w:rFonts w:cs="Times New Roman"/>
                <w:sz w:val="24"/>
                <w:szCs w:val="24"/>
              </w:rPr>
            </w:pPr>
            <w:r w:rsidRPr="00AC075E">
              <w:rPr>
                <w:rFonts w:cs="Times New Roman"/>
                <w:sz w:val="24"/>
                <w:szCs w:val="24"/>
              </w:rPr>
              <w:t>0</w:t>
            </w:r>
          </w:p>
        </w:tc>
        <w:tc>
          <w:tcPr>
            <w:tcW w:w="1134" w:type="dxa"/>
            <w:shd w:val="clear" w:color="auto" w:fill="auto"/>
            <w:vAlign w:val="center"/>
            <w:hideMark/>
          </w:tcPr>
          <w:p w:rsidR="00FB397A" w:rsidRPr="00AC075E" w:rsidP="009B6902" w14:paraId="1DA439B8" w14:textId="77777777">
            <w:pPr>
              <w:jc w:val="center"/>
              <w:rPr>
                <w:rFonts w:cs="Times New Roman"/>
                <w:sz w:val="24"/>
                <w:szCs w:val="24"/>
              </w:rPr>
            </w:pPr>
            <w:r w:rsidRPr="00AC075E">
              <w:rPr>
                <w:rFonts w:cs="Times New Roman"/>
                <w:sz w:val="24"/>
                <w:szCs w:val="24"/>
              </w:rPr>
              <w:t>0</w:t>
            </w:r>
          </w:p>
        </w:tc>
        <w:tc>
          <w:tcPr>
            <w:tcW w:w="1274" w:type="dxa"/>
            <w:shd w:val="clear" w:color="auto" w:fill="auto"/>
            <w:vAlign w:val="center"/>
            <w:hideMark/>
          </w:tcPr>
          <w:p w:rsidR="00FB397A" w:rsidRPr="00AC075E" w:rsidP="009B6902" w14:paraId="1DA439B9" w14:textId="77777777">
            <w:pPr>
              <w:jc w:val="center"/>
              <w:rPr>
                <w:rFonts w:cs="Times New Roman"/>
                <w:sz w:val="24"/>
                <w:szCs w:val="24"/>
              </w:rPr>
            </w:pPr>
            <w:r w:rsidRPr="00AC075E">
              <w:rPr>
                <w:rFonts w:cs="Times New Roman"/>
                <w:sz w:val="24"/>
                <w:szCs w:val="24"/>
              </w:rPr>
              <w:t>0</w:t>
            </w:r>
          </w:p>
        </w:tc>
      </w:tr>
      <w:tr w14:paraId="1DA439C3" w14:textId="77777777" w:rsidTr="00496F47">
        <w:tblPrEx>
          <w:tblW w:w="5848" w:type="pct"/>
          <w:tblInd w:w="-681" w:type="dxa"/>
          <w:tblLayout w:type="fixed"/>
          <w:tblCellMar>
            <w:top w:w="28" w:type="dxa"/>
            <w:left w:w="28" w:type="dxa"/>
            <w:bottom w:w="28" w:type="dxa"/>
            <w:right w:w="28" w:type="dxa"/>
          </w:tblCellMar>
          <w:tblLook w:val="04A0"/>
        </w:tblPrEx>
        <w:trPr>
          <w:cantSplit/>
        </w:trPr>
        <w:tc>
          <w:tcPr>
            <w:tcW w:w="1559" w:type="dxa"/>
            <w:shd w:val="clear" w:color="auto" w:fill="auto"/>
            <w:hideMark/>
          </w:tcPr>
          <w:p w:rsidR="00FB397A" w:rsidRPr="00AC075E" w:rsidP="009B6902" w14:paraId="1DA439BB" w14:textId="77777777">
            <w:pPr>
              <w:rPr>
                <w:rFonts w:cs="Times New Roman"/>
                <w:sz w:val="24"/>
                <w:szCs w:val="24"/>
              </w:rPr>
            </w:pPr>
            <w:r w:rsidRPr="00AC075E">
              <w:rPr>
                <w:rFonts w:cs="Times New Roman"/>
                <w:sz w:val="24"/>
                <w:szCs w:val="24"/>
              </w:rPr>
              <w:t>4. Finanšu līdzekļi papildu izdevumu finansēšanai (kompensējošu izdevumu samazinājumu norāda ar "+" zīmi)</w:t>
            </w:r>
          </w:p>
        </w:tc>
        <w:tc>
          <w:tcPr>
            <w:tcW w:w="1276" w:type="dxa"/>
            <w:shd w:val="clear" w:color="auto" w:fill="auto"/>
            <w:vAlign w:val="center"/>
            <w:hideMark/>
          </w:tcPr>
          <w:p w:rsidR="00FB397A" w:rsidRPr="00AC075E" w:rsidP="009B6902" w14:paraId="1DA439BC" w14:textId="77777777">
            <w:pPr>
              <w:jc w:val="center"/>
              <w:rPr>
                <w:rFonts w:cs="Times New Roman"/>
                <w:sz w:val="24"/>
                <w:szCs w:val="24"/>
              </w:rPr>
            </w:pPr>
            <w:r w:rsidRPr="00AC075E">
              <w:rPr>
                <w:rFonts w:cs="Times New Roman"/>
                <w:sz w:val="24"/>
                <w:szCs w:val="24"/>
              </w:rPr>
              <w:t>0</w:t>
            </w:r>
          </w:p>
        </w:tc>
        <w:tc>
          <w:tcPr>
            <w:tcW w:w="992" w:type="dxa"/>
            <w:shd w:val="clear" w:color="auto" w:fill="auto"/>
            <w:vAlign w:val="center"/>
            <w:hideMark/>
          </w:tcPr>
          <w:p w:rsidR="00FB397A" w:rsidRPr="00AC075E" w:rsidP="009B6902" w14:paraId="1DA439BD" w14:textId="77777777">
            <w:pPr>
              <w:jc w:val="center"/>
              <w:rPr>
                <w:rFonts w:cs="Times New Roman"/>
                <w:sz w:val="24"/>
                <w:szCs w:val="24"/>
              </w:rPr>
            </w:pPr>
            <w:r w:rsidRPr="00AC075E">
              <w:rPr>
                <w:rFonts w:cs="Times New Roman"/>
                <w:sz w:val="24"/>
                <w:szCs w:val="24"/>
              </w:rPr>
              <w:t>0</w:t>
            </w:r>
          </w:p>
        </w:tc>
        <w:tc>
          <w:tcPr>
            <w:tcW w:w="1135" w:type="dxa"/>
            <w:shd w:val="clear" w:color="auto" w:fill="auto"/>
            <w:vAlign w:val="center"/>
            <w:hideMark/>
          </w:tcPr>
          <w:p w:rsidR="00FB397A" w:rsidRPr="00AC075E" w:rsidP="009B6902" w14:paraId="1DA439BE" w14:textId="77777777">
            <w:pPr>
              <w:jc w:val="center"/>
              <w:rPr>
                <w:rFonts w:cs="Times New Roman"/>
                <w:sz w:val="24"/>
                <w:szCs w:val="24"/>
              </w:rPr>
            </w:pPr>
            <w:r w:rsidRPr="00AC075E">
              <w:rPr>
                <w:rFonts w:cs="Times New Roman"/>
                <w:sz w:val="24"/>
                <w:szCs w:val="24"/>
              </w:rPr>
              <w:t>0</w:t>
            </w:r>
          </w:p>
        </w:tc>
        <w:tc>
          <w:tcPr>
            <w:tcW w:w="1134" w:type="dxa"/>
            <w:shd w:val="clear" w:color="auto" w:fill="auto"/>
            <w:vAlign w:val="center"/>
            <w:hideMark/>
          </w:tcPr>
          <w:p w:rsidR="00FB397A" w:rsidRPr="00AC075E" w:rsidP="009B6902" w14:paraId="1DA439BF" w14:textId="77777777">
            <w:pPr>
              <w:jc w:val="center"/>
              <w:rPr>
                <w:rFonts w:cs="Times New Roman"/>
                <w:sz w:val="24"/>
                <w:szCs w:val="24"/>
              </w:rPr>
            </w:pPr>
            <w:r w:rsidRPr="00AC075E">
              <w:rPr>
                <w:rFonts w:cs="Times New Roman"/>
                <w:sz w:val="24"/>
                <w:szCs w:val="24"/>
              </w:rPr>
              <w:t>0</w:t>
            </w:r>
          </w:p>
        </w:tc>
        <w:tc>
          <w:tcPr>
            <w:tcW w:w="1276" w:type="dxa"/>
            <w:shd w:val="clear" w:color="auto" w:fill="auto"/>
            <w:vAlign w:val="center"/>
            <w:hideMark/>
          </w:tcPr>
          <w:p w:rsidR="00FB397A" w:rsidRPr="00AC075E" w:rsidP="009B6902" w14:paraId="1DA439C0" w14:textId="77777777">
            <w:pPr>
              <w:jc w:val="center"/>
              <w:rPr>
                <w:rFonts w:cs="Times New Roman"/>
                <w:sz w:val="24"/>
                <w:szCs w:val="24"/>
              </w:rPr>
            </w:pPr>
            <w:r w:rsidRPr="00AC075E">
              <w:rPr>
                <w:rFonts w:cs="Times New Roman"/>
                <w:sz w:val="24"/>
                <w:szCs w:val="24"/>
              </w:rPr>
              <w:t>0</w:t>
            </w:r>
          </w:p>
        </w:tc>
        <w:tc>
          <w:tcPr>
            <w:tcW w:w="1134" w:type="dxa"/>
            <w:shd w:val="clear" w:color="auto" w:fill="auto"/>
            <w:vAlign w:val="center"/>
            <w:hideMark/>
          </w:tcPr>
          <w:p w:rsidR="00FB397A" w:rsidRPr="00AC075E" w:rsidP="009B6902" w14:paraId="1DA439C1" w14:textId="77777777">
            <w:pPr>
              <w:jc w:val="center"/>
              <w:rPr>
                <w:rFonts w:cs="Times New Roman"/>
                <w:sz w:val="24"/>
                <w:szCs w:val="24"/>
              </w:rPr>
            </w:pPr>
            <w:r w:rsidRPr="00AC075E">
              <w:rPr>
                <w:rFonts w:cs="Times New Roman"/>
                <w:sz w:val="24"/>
                <w:szCs w:val="24"/>
              </w:rPr>
              <w:t>0</w:t>
            </w:r>
          </w:p>
        </w:tc>
        <w:tc>
          <w:tcPr>
            <w:tcW w:w="1274" w:type="dxa"/>
            <w:shd w:val="clear" w:color="auto" w:fill="auto"/>
            <w:vAlign w:val="center"/>
            <w:hideMark/>
          </w:tcPr>
          <w:p w:rsidR="00FB397A" w:rsidRPr="00AC075E" w:rsidP="009B6902" w14:paraId="1DA439C2" w14:textId="77777777">
            <w:pPr>
              <w:jc w:val="center"/>
              <w:rPr>
                <w:rFonts w:cs="Times New Roman"/>
                <w:sz w:val="24"/>
                <w:szCs w:val="24"/>
              </w:rPr>
            </w:pPr>
            <w:r w:rsidRPr="00AC075E">
              <w:rPr>
                <w:rFonts w:cs="Times New Roman"/>
                <w:sz w:val="24"/>
                <w:szCs w:val="24"/>
              </w:rPr>
              <w:t>0</w:t>
            </w:r>
          </w:p>
        </w:tc>
      </w:tr>
      <w:tr w14:paraId="1DA439CC" w14:textId="77777777" w:rsidTr="00496F47">
        <w:tblPrEx>
          <w:tblW w:w="5848" w:type="pct"/>
          <w:tblInd w:w="-681" w:type="dxa"/>
          <w:tblLayout w:type="fixed"/>
          <w:tblCellMar>
            <w:top w:w="28" w:type="dxa"/>
            <w:left w:w="28" w:type="dxa"/>
            <w:bottom w:w="28" w:type="dxa"/>
            <w:right w:w="28" w:type="dxa"/>
          </w:tblCellMar>
          <w:tblLook w:val="04A0"/>
        </w:tblPrEx>
        <w:trPr>
          <w:cantSplit/>
        </w:trPr>
        <w:tc>
          <w:tcPr>
            <w:tcW w:w="1559" w:type="dxa"/>
            <w:shd w:val="clear" w:color="auto" w:fill="auto"/>
            <w:hideMark/>
          </w:tcPr>
          <w:p w:rsidR="00FB397A" w:rsidRPr="00AC075E" w:rsidP="009B6902" w14:paraId="1DA439C4" w14:textId="77777777">
            <w:pPr>
              <w:rPr>
                <w:rFonts w:cs="Times New Roman"/>
                <w:sz w:val="24"/>
                <w:szCs w:val="24"/>
              </w:rPr>
            </w:pPr>
            <w:r w:rsidRPr="00AC075E">
              <w:rPr>
                <w:rFonts w:cs="Times New Roman"/>
                <w:sz w:val="24"/>
                <w:szCs w:val="24"/>
              </w:rPr>
              <w:t>5. Precizēta finansiālā ietekme</w:t>
            </w:r>
          </w:p>
        </w:tc>
        <w:tc>
          <w:tcPr>
            <w:tcW w:w="1276" w:type="dxa"/>
            <w:vMerge w:val="restart"/>
            <w:shd w:val="clear" w:color="auto" w:fill="auto"/>
            <w:vAlign w:val="center"/>
            <w:hideMark/>
          </w:tcPr>
          <w:p w:rsidR="00FB397A" w:rsidRPr="00AC075E" w:rsidP="009B6902" w14:paraId="1DA439C5" w14:textId="77777777">
            <w:pPr>
              <w:jc w:val="center"/>
              <w:rPr>
                <w:rFonts w:cs="Times New Roman"/>
                <w:sz w:val="24"/>
                <w:szCs w:val="24"/>
              </w:rPr>
            </w:pPr>
          </w:p>
        </w:tc>
        <w:tc>
          <w:tcPr>
            <w:tcW w:w="992" w:type="dxa"/>
            <w:shd w:val="clear" w:color="auto" w:fill="auto"/>
            <w:vAlign w:val="center"/>
            <w:hideMark/>
          </w:tcPr>
          <w:p w:rsidR="00FB397A" w:rsidRPr="00AC075E" w:rsidP="009B6902" w14:paraId="1DA439C6" w14:textId="77777777">
            <w:pPr>
              <w:jc w:val="center"/>
              <w:rPr>
                <w:rFonts w:cs="Times New Roman"/>
                <w:sz w:val="24"/>
                <w:szCs w:val="24"/>
              </w:rPr>
            </w:pPr>
            <w:r w:rsidRPr="00AC075E">
              <w:rPr>
                <w:rFonts w:cs="Times New Roman"/>
                <w:sz w:val="24"/>
                <w:szCs w:val="24"/>
              </w:rPr>
              <w:t>0</w:t>
            </w:r>
          </w:p>
        </w:tc>
        <w:tc>
          <w:tcPr>
            <w:tcW w:w="1135" w:type="dxa"/>
            <w:vMerge w:val="restart"/>
            <w:shd w:val="clear" w:color="auto" w:fill="auto"/>
            <w:vAlign w:val="center"/>
            <w:hideMark/>
          </w:tcPr>
          <w:p w:rsidR="00FB397A" w:rsidRPr="00AC075E" w:rsidP="009B6902" w14:paraId="1DA439C7" w14:textId="77777777">
            <w:pPr>
              <w:jc w:val="center"/>
              <w:rPr>
                <w:rFonts w:cs="Times New Roman"/>
                <w:sz w:val="24"/>
                <w:szCs w:val="24"/>
              </w:rPr>
            </w:pPr>
          </w:p>
        </w:tc>
        <w:tc>
          <w:tcPr>
            <w:tcW w:w="1134" w:type="dxa"/>
            <w:shd w:val="clear" w:color="auto" w:fill="auto"/>
            <w:vAlign w:val="center"/>
            <w:hideMark/>
          </w:tcPr>
          <w:p w:rsidR="00FB397A" w:rsidRPr="00AC075E" w:rsidP="009B6902" w14:paraId="1DA439C8" w14:textId="77777777">
            <w:pPr>
              <w:jc w:val="center"/>
              <w:rPr>
                <w:rFonts w:cs="Times New Roman"/>
                <w:sz w:val="24"/>
                <w:szCs w:val="24"/>
              </w:rPr>
            </w:pPr>
            <w:r>
              <w:rPr>
                <w:rFonts w:cs="Times New Roman"/>
                <w:sz w:val="24"/>
                <w:szCs w:val="24"/>
              </w:rPr>
              <w:t>-7 230 000</w:t>
            </w:r>
          </w:p>
        </w:tc>
        <w:tc>
          <w:tcPr>
            <w:tcW w:w="1276" w:type="dxa"/>
            <w:vMerge w:val="restart"/>
            <w:shd w:val="clear" w:color="auto" w:fill="auto"/>
            <w:vAlign w:val="center"/>
            <w:hideMark/>
          </w:tcPr>
          <w:p w:rsidR="00FB397A" w:rsidRPr="00AC075E" w:rsidP="009B6902" w14:paraId="1DA439C9" w14:textId="77777777">
            <w:pPr>
              <w:jc w:val="center"/>
              <w:rPr>
                <w:rFonts w:cs="Times New Roman"/>
                <w:sz w:val="24"/>
                <w:szCs w:val="24"/>
              </w:rPr>
            </w:pPr>
          </w:p>
        </w:tc>
        <w:tc>
          <w:tcPr>
            <w:tcW w:w="1134" w:type="dxa"/>
            <w:shd w:val="clear" w:color="auto" w:fill="auto"/>
            <w:vAlign w:val="center"/>
            <w:hideMark/>
          </w:tcPr>
          <w:p w:rsidR="00FB397A" w:rsidRPr="00496F47" w:rsidP="009B6902" w14:paraId="1DA439CA" w14:textId="77777777">
            <w:pPr>
              <w:jc w:val="center"/>
              <w:rPr>
                <w:rFonts w:cs="Times New Roman"/>
                <w:spacing w:val="-20"/>
                <w:sz w:val="24"/>
                <w:szCs w:val="24"/>
              </w:rPr>
            </w:pPr>
            <w:r w:rsidRPr="00496F47">
              <w:rPr>
                <w:rFonts w:cs="Times New Roman"/>
                <w:spacing w:val="-20"/>
                <w:sz w:val="24"/>
                <w:szCs w:val="24"/>
                <w:lang w:eastAsia="lv-LV" w:bidi="ar-SA"/>
              </w:rPr>
              <w:t>-10 617 189</w:t>
            </w:r>
          </w:p>
        </w:tc>
        <w:tc>
          <w:tcPr>
            <w:tcW w:w="1274" w:type="dxa"/>
            <w:shd w:val="clear" w:color="auto" w:fill="auto"/>
            <w:vAlign w:val="center"/>
            <w:hideMark/>
          </w:tcPr>
          <w:p w:rsidR="00FB397A" w:rsidRPr="00AC075E" w:rsidP="009B6902" w14:paraId="1DA439CB" w14:textId="77777777">
            <w:pPr>
              <w:jc w:val="center"/>
              <w:rPr>
                <w:rFonts w:cs="Times New Roman"/>
                <w:sz w:val="24"/>
                <w:szCs w:val="24"/>
              </w:rPr>
            </w:pPr>
            <w:r>
              <w:rPr>
                <w:rFonts w:cs="Times New Roman"/>
                <w:sz w:val="24"/>
                <w:szCs w:val="24"/>
              </w:rPr>
              <w:t>- 117 875</w:t>
            </w:r>
          </w:p>
        </w:tc>
      </w:tr>
      <w:tr w14:paraId="1DA439D5" w14:textId="77777777" w:rsidTr="00496F47">
        <w:tblPrEx>
          <w:tblW w:w="5848" w:type="pct"/>
          <w:tblInd w:w="-681" w:type="dxa"/>
          <w:tblLayout w:type="fixed"/>
          <w:tblCellMar>
            <w:top w:w="28" w:type="dxa"/>
            <w:left w:w="28" w:type="dxa"/>
            <w:bottom w:w="28" w:type="dxa"/>
            <w:right w:w="28" w:type="dxa"/>
          </w:tblCellMar>
          <w:tblLook w:val="04A0"/>
        </w:tblPrEx>
        <w:trPr>
          <w:cantSplit/>
        </w:trPr>
        <w:tc>
          <w:tcPr>
            <w:tcW w:w="1559" w:type="dxa"/>
            <w:shd w:val="clear" w:color="auto" w:fill="auto"/>
            <w:hideMark/>
          </w:tcPr>
          <w:p w:rsidR="00FB397A" w:rsidRPr="00AC075E" w:rsidP="009B6902" w14:paraId="1DA439CD" w14:textId="77777777">
            <w:pPr>
              <w:rPr>
                <w:rFonts w:cs="Times New Roman"/>
                <w:sz w:val="24"/>
                <w:szCs w:val="24"/>
              </w:rPr>
            </w:pPr>
            <w:r w:rsidRPr="00AC075E">
              <w:rPr>
                <w:rFonts w:cs="Times New Roman"/>
                <w:sz w:val="24"/>
                <w:szCs w:val="24"/>
              </w:rPr>
              <w:t>5.1. valsts pamatbudžets</w:t>
            </w:r>
          </w:p>
        </w:tc>
        <w:tc>
          <w:tcPr>
            <w:tcW w:w="1276" w:type="dxa"/>
            <w:vMerge/>
            <w:shd w:val="clear" w:color="auto" w:fill="auto"/>
            <w:vAlign w:val="center"/>
            <w:hideMark/>
          </w:tcPr>
          <w:p w:rsidR="00FB397A" w:rsidRPr="00AC075E" w:rsidP="009B6902" w14:paraId="1DA439CE" w14:textId="77777777">
            <w:pPr>
              <w:jc w:val="center"/>
              <w:rPr>
                <w:rFonts w:cs="Times New Roman"/>
                <w:sz w:val="24"/>
                <w:szCs w:val="24"/>
              </w:rPr>
            </w:pPr>
          </w:p>
        </w:tc>
        <w:tc>
          <w:tcPr>
            <w:tcW w:w="992" w:type="dxa"/>
            <w:shd w:val="clear" w:color="auto" w:fill="auto"/>
            <w:vAlign w:val="center"/>
            <w:hideMark/>
          </w:tcPr>
          <w:p w:rsidR="00FB397A" w:rsidRPr="00AC075E" w:rsidP="009B6902" w14:paraId="1DA439CF" w14:textId="77777777">
            <w:pPr>
              <w:jc w:val="center"/>
              <w:rPr>
                <w:rFonts w:cs="Times New Roman"/>
                <w:sz w:val="24"/>
                <w:szCs w:val="24"/>
              </w:rPr>
            </w:pPr>
            <w:r w:rsidRPr="00AC075E">
              <w:rPr>
                <w:rFonts w:cs="Times New Roman"/>
                <w:sz w:val="24"/>
                <w:szCs w:val="24"/>
              </w:rPr>
              <w:t>0</w:t>
            </w:r>
          </w:p>
        </w:tc>
        <w:tc>
          <w:tcPr>
            <w:tcW w:w="1135" w:type="dxa"/>
            <w:vMerge/>
            <w:shd w:val="clear" w:color="auto" w:fill="auto"/>
            <w:vAlign w:val="center"/>
            <w:hideMark/>
          </w:tcPr>
          <w:p w:rsidR="00FB397A" w:rsidRPr="00AC075E" w:rsidP="009B6902" w14:paraId="1DA439D0" w14:textId="77777777">
            <w:pPr>
              <w:jc w:val="center"/>
              <w:rPr>
                <w:rFonts w:cs="Times New Roman"/>
                <w:sz w:val="24"/>
                <w:szCs w:val="24"/>
              </w:rPr>
            </w:pPr>
          </w:p>
        </w:tc>
        <w:tc>
          <w:tcPr>
            <w:tcW w:w="1134" w:type="dxa"/>
            <w:shd w:val="clear" w:color="auto" w:fill="auto"/>
            <w:vAlign w:val="center"/>
            <w:hideMark/>
          </w:tcPr>
          <w:p w:rsidR="00FB397A" w:rsidRPr="00AC075E" w:rsidP="009B6902" w14:paraId="1DA439D1" w14:textId="77777777">
            <w:pPr>
              <w:jc w:val="center"/>
              <w:rPr>
                <w:rFonts w:cs="Times New Roman"/>
                <w:sz w:val="24"/>
                <w:szCs w:val="24"/>
              </w:rPr>
            </w:pPr>
            <w:r>
              <w:rPr>
                <w:rFonts w:cs="Times New Roman"/>
                <w:sz w:val="24"/>
                <w:szCs w:val="24"/>
              </w:rPr>
              <w:t>-7 230 000</w:t>
            </w:r>
          </w:p>
        </w:tc>
        <w:tc>
          <w:tcPr>
            <w:tcW w:w="1276" w:type="dxa"/>
            <w:vMerge/>
            <w:shd w:val="clear" w:color="auto" w:fill="auto"/>
            <w:vAlign w:val="center"/>
            <w:hideMark/>
          </w:tcPr>
          <w:p w:rsidR="00FB397A" w:rsidRPr="00AC075E" w:rsidP="009B6902" w14:paraId="1DA439D2" w14:textId="77777777">
            <w:pPr>
              <w:jc w:val="center"/>
              <w:rPr>
                <w:rFonts w:cs="Times New Roman"/>
                <w:sz w:val="24"/>
                <w:szCs w:val="24"/>
              </w:rPr>
            </w:pPr>
          </w:p>
        </w:tc>
        <w:tc>
          <w:tcPr>
            <w:tcW w:w="1134" w:type="dxa"/>
            <w:shd w:val="clear" w:color="auto" w:fill="auto"/>
            <w:vAlign w:val="center"/>
            <w:hideMark/>
          </w:tcPr>
          <w:p w:rsidR="00FB397A" w:rsidRPr="00496F47" w:rsidP="009B6902" w14:paraId="1DA439D3" w14:textId="77777777">
            <w:pPr>
              <w:jc w:val="center"/>
              <w:rPr>
                <w:rFonts w:cs="Times New Roman"/>
                <w:spacing w:val="-20"/>
                <w:sz w:val="24"/>
                <w:szCs w:val="24"/>
              </w:rPr>
            </w:pPr>
            <w:r w:rsidRPr="00496F47">
              <w:rPr>
                <w:rFonts w:cs="Times New Roman"/>
                <w:spacing w:val="-20"/>
                <w:sz w:val="24"/>
                <w:szCs w:val="24"/>
                <w:lang w:eastAsia="lv-LV" w:bidi="ar-SA"/>
              </w:rPr>
              <w:t>-10 617 189</w:t>
            </w:r>
          </w:p>
        </w:tc>
        <w:tc>
          <w:tcPr>
            <w:tcW w:w="1274" w:type="dxa"/>
            <w:shd w:val="clear" w:color="auto" w:fill="auto"/>
            <w:vAlign w:val="center"/>
            <w:hideMark/>
          </w:tcPr>
          <w:p w:rsidR="00FB397A" w:rsidRPr="00AC075E" w:rsidP="009B6902" w14:paraId="1DA439D4" w14:textId="77777777">
            <w:pPr>
              <w:jc w:val="center"/>
              <w:rPr>
                <w:rFonts w:cs="Times New Roman"/>
                <w:sz w:val="24"/>
                <w:szCs w:val="24"/>
              </w:rPr>
            </w:pPr>
            <w:r>
              <w:rPr>
                <w:rFonts w:cs="Times New Roman"/>
                <w:sz w:val="24"/>
                <w:szCs w:val="24"/>
              </w:rPr>
              <w:t>- 117 875</w:t>
            </w:r>
          </w:p>
        </w:tc>
      </w:tr>
      <w:tr w14:paraId="1DA439DE" w14:textId="77777777" w:rsidTr="00496F47">
        <w:tblPrEx>
          <w:tblW w:w="5848" w:type="pct"/>
          <w:tblInd w:w="-681" w:type="dxa"/>
          <w:tblLayout w:type="fixed"/>
          <w:tblCellMar>
            <w:top w:w="28" w:type="dxa"/>
            <w:left w:w="28" w:type="dxa"/>
            <w:bottom w:w="28" w:type="dxa"/>
            <w:right w:w="28" w:type="dxa"/>
          </w:tblCellMar>
          <w:tblLook w:val="04A0"/>
        </w:tblPrEx>
        <w:trPr>
          <w:cantSplit/>
        </w:trPr>
        <w:tc>
          <w:tcPr>
            <w:tcW w:w="1559" w:type="dxa"/>
            <w:shd w:val="clear" w:color="auto" w:fill="auto"/>
            <w:hideMark/>
          </w:tcPr>
          <w:p w:rsidR="00FB397A" w:rsidRPr="00AC075E" w:rsidP="009B6902" w14:paraId="1DA439D6" w14:textId="77777777">
            <w:pPr>
              <w:rPr>
                <w:rFonts w:cs="Times New Roman"/>
                <w:sz w:val="24"/>
                <w:szCs w:val="24"/>
              </w:rPr>
            </w:pPr>
            <w:r w:rsidRPr="00AC075E">
              <w:rPr>
                <w:rFonts w:cs="Times New Roman"/>
                <w:sz w:val="24"/>
                <w:szCs w:val="24"/>
              </w:rPr>
              <w:t>5.2. speciālais budžets</w:t>
            </w:r>
          </w:p>
        </w:tc>
        <w:tc>
          <w:tcPr>
            <w:tcW w:w="1276" w:type="dxa"/>
            <w:vMerge/>
            <w:shd w:val="clear" w:color="auto" w:fill="auto"/>
            <w:vAlign w:val="center"/>
            <w:hideMark/>
          </w:tcPr>
          <w:p w:rsidR="00FB397A" w:rsidRPr="00AC075E" w:rsidP="009B6902" w14:paraId="1DA439D7" w14:textId="77777777">
            <w:pPr>
              <w:jc w:val="center"/>
              <w:rPr>
                <w:rFonts w:cs="Times New Roman"/>
                <w:sz w:val="24"/>
                <w:szCs w:val="24"/>
              </w:rPr>
            </w:pPr>
          </w:p>
        </w:tc>
        <w:tc>
          <w:tcPr>
            <w:tcW w:w="992" w:type="dxa"/>
            <w:shd w:val="clear" w:color="auto" w:fill="auto"/>
            <w:vAlign w:val="center"/>
            <w:hideMark/>
          </w:tcPr>
          <w:p w:rsidR="00FB397A" w:rsidRPr="00AC075E" w:rsidP="009B6902" w14:paraId="1DA439D8" w14:textId="77777777">
            <w:pPr>
              <w:jc w:val="center"/>
              <w:rPr>
                <w:rFonts w:cs="Times New Roman"/>
                <w:sz w:val="24"/>
                <w:szCs w:val="24"/>
              </w:rPr>
            </w:pPr>
            <w:r w:rsidRPr="00AC075E">
              <w:rPr>
                <w:rFonts w:cs="Times New Roman"/>
                <w:sz w:val="24"/>
                <w:szCs w:val="24"/>
              </w:rPr>
              <w:t>0</w:t>
            </w:r>
          </w:p>
        </w:tc>
        <w:tc>
          <w:tcPr>
            <w:tcW w:w="1135" w:type="dxa"/>
            <w:vMerge/>
            <w:shd w:val="clear" w:color="auto" w:fill="auto"/>
            <w:vAlign w:val="center"/>
            <w:hideMark/>
          </w:tcPr>
          <w:p w:rsidR="00FB397A" w:rsidRPr="00AC075E" w:rsidP="009B6902" w14:paraId="1DA439D9" w14:textId="77777777">
            <w:pPr>
              <w:jc w:val="center"/>
              <w:rPr>
                <w:rFonts w:cs="Times New Roman"/>
                <w:sz w:val="24"/>
                <w:szCs w:val="24"/>
              </w:rPr>
            </w:pPr>
          </w:p>
        </w:tc>
        <w:tc>
          <w:tcPr>
            <w:tcW w:w="1134" w:type="dxa"/>
            <w:shd w:val="clear" w:color="auto" w:fill="auto"/>
            <w:vAlign w:val="center"/>
            <w:hideMark/>
          </w:tcPr>
          <w:p w:rsidR="00FB397A" w:rsidRPr="00AC075E" w:rsidP="009B6902" w14:paraId="1DA439DA" w14:textId="77777777">
            <w:pPr>
              <w:jc w:val="center"/>
              <w:rPr>
                <w:rFonts w:cs="Times New Roman"/>
                <w:sz w:val="24"/>
                <w:szCs w:val="24"/>
              </w:rPr>
            </w:pPr>
            <w:r w:rsidRPr="00AC075E">
              <w:rPr>
                <w:rFonts w:cs="Times New Roman"/>
                <w:sz w:val="24"/>
                <w:szCs w:val="24"/>
              </w:rPr>
              <w:t>0</w:t>
            </w:r>
          </w:p>
        </w:tc>
        <w:tc>
          <w:tcPr>
            <w:tcW w:w="1276" w:type="dxa"/>
            <w:vMerge/>
            <w:shd w:val="clear" w:color="auto" w:fill="auto"/>
            <w:vAlign w:val="center"/>
            <w:hideMark/>
          </w:tcPr>
          <w:p w:rsidR="00FB397A" w:rsidRPr="00AC075E" w:rsidP="009B6902" w14:paraId="1DA439DB" w14:textId="77777777">
            <w:pPr>
              <w:jc w:val="center"/>
              <w:rPr>
                <w:rFonts w:cs="Times New Roman"/>
                <w:sz w:val="24"/>
                <w:szCs w:val="24"/>
              </w:rPr>
            </w:pPr>
          </w:p>
        </w:tc>
        <w:tc>
          <w:tcPr>
            <w:tcW w:w="1134" w:type="dxa"/>
            <w:shd w:val="clear" w:color="auto" w:fill="auto"/>
            <w:vAlign w:val="center"/>
            <w:hideMark/>
          </w:tcPr>
          <w:p w:rsidR="00FB397A" w:rsidRPr="00AC075E" w:rsidP="009B6902" w14:paraId="1DA439DC" w14:textId="77777777">
            <w:pPr>
              <w:jc w:val="center"/>
              <w:rPr>
                <w:rFonts w:cs="Times New Roman"/>
                <w:sz w:val="24"/>
                <w:szCs w:val="24"/>
              </w:rPr>
            </w:pPr>
            <w:r w:rsidRPr="00AC075E">
              <w:rPr>
                <w:rFonts w:cs="Times New Roman"/>
                <w:sz w:val="24"/>
                <w:szCs w:val="24"/>
              </w:rPr>
              <w:t>0</w:t>
            </w:r>
          </w:p>
        </w:tc>
        <w:tc>
          <w:tcPr>
            <w:tcW w:w="1274" w:type="dxa"/>
            <w:shd w:val="clear" w:color="auto" w:fill="auto"/>
            <w:vAlign w:val="center"/>
            <w:hideMark/>
          </w:tcPr>
          <w:p w:rsidR="00FB397A" w:rsidRPr="00AC075E" w:rsidP="009B6902" w14:paraId="1DA439DD" w14:textId="77777777">
            <w:pPr>
              <w:jc w:val="center"/>
              <w:rPr>
                <w:rFonts w:cs="Times New Roman"/>
                <w:sz w:val="24"/>
                <w:szCs w:val="24"/>
              </w:rPr>
            </w:pPr>
            <w:r w:rsidRPr="00AC075E">
              <w:rPr>
                <w:rFonts w:cs="Times New Roman"/>
                <w:sz w:val="24"/>
                <w:szCs w:val="24"/>
              </w:rPr>
              <w:t>0</w:t>
            </w:r>
          </w:p>
        </w:tc>
      </w:tr>
      <w:tr w14:paraId="1DA439E7" w14:textId="77777777" w:rsidTr="00496F47">
        <w:tblPrEx>
          <w:tblW w:w="5848" w:type="pct"/>
          <w:tblInd w:w="-681" w:type="dxa"/>
          <w:tblLayout w:type="fixed"/>
          <w:tblCellMar>
            <w:top w:w="28" w:type="dxa"/>
            <w:left w:w="28" w:type="dxa"/>
            <w:bottom w:w="28" w:type="dxa"/>
            <w:right w:w="28" w:type="dxa"/>
          </w:tblCellMar>
          <w:tblLook w:val="04A0"/>
        </w:tblPrEx>
        <w:trPr>
          <w:cantSplit/>
        </w:trPr>
        <w:tc>
          <w:tcPr>
            <w:tcW w:w="1559" w:type="dxa"/>
            <w:shd w:val="clear" w:color="auto" w:fill="auto"/>
            <w:hideMark/>
          </w:tcPr>
          <w:p w:rsidR="00FB397A" w:rsidRPr="00AC075E" w:rsidP="009B6902" w14:paraId="1DA439DF" w14:textId="77777777">
            <w:pPr>
              <w:rPr>
                <w:rFonts w:cs="Times New Roman"/>
                <w:sz w:val="24"/>
                <w:szCs w:val="24"/>
              </w:rPr>
            </w:pPr>
            <w:r w:rsidRPr="00AC075E">
              <w:rPr>
                <w:rFonts w:cs="Times New Roman"/>
                <w:sz w:val="24"/>
                <w:szCs w:val="24"/>
              </w:rPr>
              <w:t>5.3. pašvaldību budžets</w:t>
            </w:r>
          </w:p>
        </w:tc>
        <w:tc>
          <w:tcPr>
            <w:tcW w:w="1276" w:type="dxa"/>
            <w:vMerge/>
            <w:shd w:val="clear" w:color="auto" w:fill="auto"/>
            <w:vAlign w:val="center"/>
            <w:hideMark/>
          </w:tcPr>
          <w:p w:rsidR="00FB397A" w:rsidRPr="00AC075E" w:rsidP="009B6902" w14:paraId="1DA439E0" w14:textId="77777777">
            <w:pPr>
              <w:jc w:val="center"/>
              <w:rPr>
                <w:rFonts w:cs="Times New Roman"/>
                <w:sz w:val="24"/>
                <w:szCs w:val="24"/>
              </w:rPr>
            </w:pPr>
          </w:p>
        </w:tc>
        <w:tc>
          <w:tcPr>
            <w:tcW w:w="992" w:type="dxa"/>
            <w:shd w:val="clear" w:color="auto" w:fill="auto"/>
            <w:vAlign w:val="center"/>
            <w:hideMark/>
          </w:tcPr>
          <w:p w:rsidR="00FB397A" w:rsidRPr="00AC075E" w:rsidP="009B6902" w14:paraId="1DA439E1" w14:textId="77777777">
            <w:pPr>
              <w:jc w:val="center"/>
              <w:rPr>
                <w:rFonts w:cs="Times New Roman"/>
                <w:sz w:val="24"/>
                <w:szCs w:val="24"/>
              </w:rPr>
            </w:pPr>
            <w:r w:rsidRPr="00AC075E">
              <w:rPr>
                <w:rFonts w:cs="Times New Roman"/>
                <w:sz w:val="24"/>
                <w:szCs w:val="24"/>
              </w:rPr>
              <w:t>0</w:t>
            </w:r>
          </w:p>
        </w:tc>
        <w:tc>
          <w:tcPr>
            <w:tcW w:w="1135" w:type="dxa"/>
            <w:vMerge/>
            <w:shd w:val="clear" w:color="auto" w:fill="auto"/>
            <w:vAlign w:val="center"/>
            <w:hideMark/>
          </w:tcPr>
          <w:p w:rsidR="00FB397A" w:rsidRPr="00AC075E" w:rsidP="009B6902" w14:paraId="1DA439E2" w14:textId="77777777">
            <w:pPr>
              <w:jc w:val="center"/>
              <w:rPr>
                <w:rFonts w:cs="Times New Roman"/>
                <w:sz w:val="24"/>
                <w:szCs w:val="24"/>
              </w:rPr>
            </w:pPr>
          </w:p>
        </w:tc>
        <w:tc>
          <w:tcPr>
            <w:tcW w:w="1134" w:type="dxa"/>
            <w:shd w:val="clear" w:color="auto" w:fill="auto"/>
            <w:vAlign w:val="center"/>
            <w:hideMark/>
          </w:tcPr>
          <w:p w:rsidR="00FB397A" w:rsidRPr="00AC075E" w:rsidP="009B6902" w14:paraId="1DA439E3" w14:textId="77777777">
            <w:pPr>
              <w:jc w:val="center"/>
              <w:rPr>
                <w:rFonts w:cs="Times New Roman"/>
                <w:sz w:val="24"/>
                <w:szCs w:val="24"/>
              </w:rPr>
            </w:pPr>
            <w:r w:rsidRPr="00AC075E">
              <w:rPr>
                <w:rFonts w:cs="Times New Roman"/>
                <w:sz w:val="24"/>
                <w:szCs w:val="24"/>
              </w:rPr>
              <w:t>0</w:t>
            </w:r>
          </w:p>
        </w:tc>
        <w:tc>
          <w:tcPr>
            <w:tcW w:w="1276" w:type="dxa"/>
            <w:vMerge/>
            <w:shd w:val="clear" w:color="auto" w:fill="auto"/>
            <w:vAlign w:val="center"/>
            <w:hideMark/>
          </w:tcPr>
          <w:p w:rsidR="00FB397A" w:rsidRPr="00AC075E" w:rsidP="009B6902" w14:paraId="1DA439E4" w14:textId="77777777">
            <w:pPr>
              <w:jc w:val="center"/>
              <w:rPr>
                <w:rFonts w:cs="Times New Roman"/>
                <w:sz w:val="24"/>
                <w:szCs w:val="24"/>
              </w:rPr>
            </w:pPr>
          </w:p>
        </w:tc>
        <w:tc>
          <w:tcPr>
            <w:tcW w:w="1134" w:type="dxa"/>
            <w:shd w:val="clear" w:color="auto" w:fill="auto"/>
            <w:vAlign w:val="center"/>
            <w:hideMark/>
          </w:tcPr>
          <w:p w:rsidR="00FB397A" w:rsidRPr="00AC075E" w:rsidP="009B6902" w14:paraId="1DA439E5" w14:textId="77777777">
            <w:pPr>
              <w:jc w:val="center"/>
              <w:rPr>
                <w:rFonts w:cs="Times New Roman"/>
                <w:sz w:val="24"/>
                <w:szCs w:val="24"/>
              </w:rPr>
            </w:pPr>
            <w:r w:rsidRPr="00AC075E">
              <w:rPr>
                <w:rFonts w:cs="Times New Roman"/>
                <w:sz w:val="24"/>
                <w:szCs w:val="24"/>
              </w:rPr>
              <w:t>0</w:t>
            </w:r>
          </w:p>
        </w:tc>
        <w:tc>
          <w:tcPr>
            <w:tcW w:w="1274" w:type="dxa"/>
            <w:shd w:val="clear" w:color="auto" w:fill="auto"/>
            <w:vAlign w:val="center"/>
            <w:hideMark/>
          </w:tcPr>
          <w:p w:rsidR="00FB397A" w:rsidRPr="00AC075E" w:rsidP="009B6902" w14:paraId="1DA439E6" w14:textId="77777777">
            <w:pPr>
              <w:jc w:val="center"/>
              <w:rPr>
                <w:rFonts w:cs="Times New Roman"/>
                <w:sz w:val="24"/>
                <w:szCs w:val="24"/>
              </w:rPr>
            </w:pPr>
            <w:r w:rsidRPr="00AC075E">
              <w:rPr>
                <w:rFonts w:cs="Times New Roman"/>
                <w:sz w:val="24"/>
                <w:szCs w:val="24"/>
              </w:rPr>
              <w:t>0</w:t>
            </w:r>
          </w:p>
        </w:tc>
      </w:tr>
      <w:tr w14:paraId="1DA439FC" w14:textId="77777777" w:rsidTr="00B62DC7">
        <w:tblPrEx>
          <w:tblW w:w="5848" w:type="pct"/>
          <w:tblInd w:w="-681" w:type="dxa"/>
          <w:tblLayout w:type="fixed"/>
          <w:tblCellMar>
            <w:top w:w="28" w:type="dxa"/>
            <w:left w:w="28" w:type="dxa"/>
            <w:bottom w:w="28" w:type="dxa"/>
            <w:right w:w="28" w:type="dxa"/>
          </w:tblCellMar>
          <w:tblLook w:val="04A0"/>
        </w:tblPrEx>
        <w:trPr>
          <w:cantSplit/>
        </w:trPr>
        <w:tc>
          <w:tcPr>
            <w:tcW w:w="1559" w:type="dxa"/>
            <w:shd w:val="clear" w:color="auto" w:fill="auto"/>
            <w:hideMark/>
          </w:tcPr>
          <w:p w:rsidR="00FB397A" w:rsidRPr="00AC075E" w:rsidP="009B6902" w14:paraId="1DA439E8" w14:textId="77777777">
            <w:pPr>
              <w:rPr>
                <w:rFonts w:cs="Times New Roman"/>
                <w:sz w:val="24"/>
                <w:szCs w:val="24"/>
              </w:rPr>
            </w:pPr>
            <w:r w:rsidRPr="00AC075E">
              <w:rPr>
                <w:rFonts w:cs="Times New Roman"/>
                <w:sz w:val="24"/>
                <w:szCs w:val="24"/>
              </w:rPr>
              <w:t>6. Detalizēts ieņēmumu un izdevumu aprēķins (ja nepieciešams, detalizētu ieņēmumu un izdevumu aprēķinu var pievienot anotācijas pielikumā)</w:t>
            </w:r>
          </w:p>
        </w:tc>
        <w:tc>
          <w:tcPr>
            <w:tcW w:w="8221" w:type="dxa"/>
            <w:gridSpan w:val="7"/>
            <w:vMerge w:val="restart"/>
            <w:shd w:val="clear" w:color="auto" w:fill="auto"/>
            <w:vAlign w:val="center"/>
            <w:hideMark/>
          </w:tcPr>
          <w:p w:rsidR="00FB397A" w:rsidP="00B62DC7" w14:paraId="1DA439E9" w14:textId="77777777">
            <w:pPr>
              <w:jc w:val="both"/>
              <w:rPr>
                <w:rFonts w:cs="Times New Roman"/>
                <w:sz w:val="24"/>
                <w:szCs w:val="24"/>
              </w:rPr>
            </w:pPr>
            <w:r w:rsidRPr="00905514">
              <w:rPr>
                <w:rFonts w:cs="Times New Roman"/>
                <w:sz w:val="24"/>
                <w:szCs w:val="24"/>
              </w:rPr>
              <w:t>Saskaņā ar likumu “Par valsts budžetu 2018.gadam”</w:t>
            </w:r>
            <w:r>
              <w:rPr>
                <w:rFonts w:cs="Times New Roman"/>
                <w:sz w:val="24"/>
                <w:szCs w:val="24"/>
              </w:rPr>
              <w:t xml:space="preserve"> un Likuma par valsts budžetu un finanšu vadību noteiktajā kārtībā veiktajām Aizsardzības ministrijas 2018.gada budžeta apropriācijas izmaiņām apakšprogrammā 22.10.00 “</w:t>
            </w:r>
            <w:r w:rsidRPr="00A6745D">
              <w:rPr>
                <w:rFonts w:cs="Times New Roman"/>
                <w:sz w:val="24"/>
                <w:szCs w:val="24"/>
              </w:rPr>
              <w:t>Starptautisko operāciju un Nacionālo bruņoto spēku personālsastāva centralizētais atalgojums”</w:t>
            </w:r>
            <w:r>
              <w:rPr>
                <w:rFonts w:cs="Times New Roman"/>
                <w:sz w:val="24"/>
                <w:szCs w:val="24"/>
              </w:rPr>
              <w:t xml:space="preserve"> atlīdzības izmaksai paredzēts finansējums 140 854 763 </w:t>
            </w:r>
            <w:r>
              <w:rPr>
                <w:rFonts w:cs="Times New Roman"/>
                <w:sz w:val="24"/>
                <w:szCs w:val="24"/>
              </w:rPr>
              <w:t>euro</w:t>
            </w:r>
            <w:r>
              <w:rPr>
                <w:rFonts w:cs="Times New Roman"/>
                <w:sz w:val="24"/>
                <w:szCs w:val="24"/>
              </w:rPr>
              <w:t xml:space="preserve"> apmērā.</w:t>
            </w:r>
          </w:p>
          <w:p w:rsidR="00FB397A" w:rsidRPr="00905514" w:rsidP="00B62DC7" w14:paraId="1DA439EA" w14:textId="77777777">
            <w:pPr>
              <w:jc w:val="both"/>
              <w:rPr>
                <w:rFonts w:cs="Times New Roman"/>
                <w:sz w:val="24"/>
                <w:szCs w:val="24"/>
              </w:rPr>
            </w:pPr>
          </w:p>
          <w:p w:rsidR="00FB397A" w:rsidRPr="009657BD" w:rsidP="00B62DC7" w14:paraId="1DA439EB" w14:textId="77777777">
            <w:pPr>
              <w:jc w:val="both"/>
              <w:rPr>
                <w:rFonts w:cs="Times New Roman"/>
                <w:b/>
                <w:sz w:val="24"/>
                <w:szCs w:val="24"/>
              </w:rPr>
            </w:pPr>
            <w:r w:rsidRPr="009657BD">
              <w:rPr>
                <w:rFonts w:cs="Times New Roman"/>
                <w:b/>
                <w:sz w:val="24"/>
                <w:szCs w:val="24"/>
              </w:rPr>
              <w:t>Detalizēts izdevumu aprēķins Noteikumu projekta īstenošanai</w:t>
            </w:r>
          </w:p>
          <w:p w:rsidR="00FB397A" w:rsidP="00B62DC7" w14:paraId="1DA439EC" w14:textId="77777777">
            <w:pPr>
              <w:jc w:val="both"/>
              <w:rPr>
                <w:rFonts w:cs="Times New Roman"/>
                <w:sz w:val="24"/>
                <w:szCs w:val="24"/>
                <w:u w:val="single"/>
              </w:rPr>
            </w:pPr>
          </w:p>
          <w:p w:rsidR="00FB397A" w:rsidRPr="009657BD" w:rsidP="00B62DC7" w14:paraId="1DA439ED" w14:textId="77777777">
            <w:pPr>
              <w:jc w:val="both"/>
              <w:rPr>
                <w:rFonts w:cs="Times New Roman"/>
                <w:sz w:val="24"/>
                <w:szCs w:val="24"/>
              </w:rPr>
            </w:pPr>
            <w:r w:rsidRPr="009657BD">
              <w:rPr>
                <w:rFonts w:cs="Times New Roman"/>
                <w:b/>
                <w:sz w:val="24"/>
                <w:szCs w:val="24"/>
              </w:rPr>
              <w:t>2019.gadā</w:t>
            </w:r>
            <w:r w:rsidRPr="009657BD">
              <w:rPr>
                <w:rFonts w:cs="Times New Roman"/>
                <w:sz w:val="24"/>
                <w:szCs w:val="24"/>
              </w:rPr>
              <w:t xml:space="preserve"> nepieciešami </w:t>
            </w:r>
            <w:r>
              <w:rPr>
                <w:rFonts w:cs="Times New Roman"/>
                <w:b/>
                <w:sz w:val="24"/>
                <w:szCs w:val="24"/>
                <w:u w:val="single"/>
              </w:rPr>
              <w:t>7 230 000</w:t>
            </w:r>
            <w:r w:rsidRPr="009657BD">
              <w:rPr>
                <w:rFonts w:cs="Times New Roman"/>
                <w:b/>
                <w:sz w:val="24"/>
                <w:szCs w:val="24"/>
                <w:u w:val="single"/>
              </w:rPr>
              <w:t xml:space="preserve"> </w:t>
            </w:r>
            <w:r w:rsidRPr="009657BD">
              <w:rPr>
                <w:rFonts w:cs="Times New Roman"/>
                <w:b/>
                <w:sz w:val="24"/>
                <w:szCs w:val="24"/>
                <w:u w:val="single"/>
              </w:rPr>
              <w:t>euro</w:t>
            </w:r>
            <w:r w:rsidRPr="009657BD">
              <w:rPr>
                <w:rFonts w:cs="Times New Roman"/>
                <w:sz w:val="24"/>
                <w:szCs w:val="24"/>
              </w:rPr>
              <w:t>, t.sk.</w:t>
            </w:r>
          </w:p>
          <w:p w:rsidR="00FB397A" w:rsidP="00B62DC7" w14:paraId="1DA439EE" w14:textId="77777777">
            <w:pPr>
              <w:jc w:val="both"/>
              <w:rPr>
                <w:rFonts w:cs="Times New Roman"/>
                <w:sz w:val="24"/>
                <w:szCs w:val="24"/>
              </w:rPr>
            </w:pPr>
            <w:r>
              <w:rPr>
                <w:rFonts w:cs="Times New Roman"/>
                <w:sz w:val="24"/>
                <w:szCs w:val="24"/>
              </w:rPr>
              <w:t xml:space="preserve">1) </w:t>
            </w:r>
            <w:r w:rsidRPr="009657BD">
              <w:rPr>
                <w:rFonts w:cs="Times New Roman"/>
                <w:sz w:val="24"/>
                <w:szCs w:val="24"/>
              </w:rPr>
              <w:t>mēne</w:t>
            </w:r>
            <w:r>
              <w:rPr>
                <w:rFonts w:cs="Times New Roman"/>
                <w:sz w:val="24"/>
                <w:szCs w:val="24"/>
              </w:rPr>
              <w:t xml:space="preserve">šalgu, piemaksu (par papildu pienākumiem, aizvietošanu, vakanta amata pildīšanu), atvaļinājuma un izdienas pabalstu pieauguma izmaksai – </w:t>
            </w:r>
            <w:r w:rsidRPr="00AF5039">
              <w:rPr>
                <w:rFonts w:cs="Times New Roman"/>
                <w:sz w:val="24"/>
                <w:szCs w:val="24"/>
                <w:u w:val="single"/>
              </w:rPr>
              <w:t>5</w:t>
            </w:r>
            <w:r>
              <w:rPr>
                <w:rFonts w:cs="Times New Roman"/>
                <w:sz w:val="24"/>
                <w:szCs w:val="24"/>
                <w:u w:val="single"/>
              </w:rPr>
              <w:t> 663 052</w:t>
            </w:r>
            <w:r w:rsidRPr="00AF5039">
              <w:rPr>
                <w:rFonts w:cs="Times New Roman"/>
                <w:sz w:val="24"/>
                <w:szCs w:val="24"/>
                <w:u w:val="single"/>
              </w:rPr>
              <w:t xml:space="preserve"> </w:t>
            </w:r>
            <w:r w:rsidRPr="00AF5039">
              <w:rPr>
                <w:rFonts w:cs="Times New Roman"/>
                <w:sz w:val="24"/>
                <w:szCs w:val="24"/>
                <w:u w:val="single"/>
              </w:rPr>
              <w:t>euro</w:t>
            </w:r>
            <w:r>
              <w:rPr>
                <w:rFonts w:cs="Times New Roman"/>
                <w:sz w:val="24"/>
                <w:szCs w:val="24"/>
              </w:rPr>
              <w:t xml:space="preserve"> (aprēķina metodika: mēnešalgas pieaugums 23% no vidējās mēnešalgas x izmaksu </w:t>
            </w:r>
            <w:r>
              <w:rPr>
                <w:rFonts w:cs="Times New Roman"/>
                <w:sz w:val="24"/>
                <w:szCs w:val="24"/>
              </w:rPr>
              <w:t>skaits (</w:t>
            </w:r>
            <w:r>
              <w:rPr>
                <w:rFonts w:cs="Times New Roman"/>
                <w:sz w:val="24"/>
                <w:szCs w:val="24"/>
              </w:rPr>
              <w:t>mēn</w:t>
            </w:r>
            <w:r>
              <w:rPr>
                <w:rFonts w:cs="Times New Roman"/>
                <w:sz w:val="24"/>
                <w:szCs w:val="24"/>
              </w:rPr>
              <w:t>). x karavīru skaits + provizoriskais piemaksu pieaugums + vidējais atvaļinājuma pabalsta pieaugums + provizoriskais izdienas pabalsta pieaugums, t.i. 185 </w:t>
            </w:r>
            <w:r>
              <w:rPr>
                <w:rFonts w:cs="Times New Roman"/>
                <w:sz w:val="24"/>
                <w:szCs w:val="24"/>
              </w:rPr>
              <w:t>eur</w:t>
            </w:r>
            <w:r>
              <w:rPr>
                <w:rFonts w:cs="Times New Roman"/>
                <w:sz w:val="24"/>
                <w:szCs w:val="24"/>
              </w:rPr>
              <w:t xml:space="preserve"> x 4 </w:t>
            </w:r>
            <w:r>
              <w:rPr>
                <w:rFonts w:cs="Times New Roman"/>
                <w:sz w:val="24"/>
                <w:szCs w:val="24"/>
              </w:rPr>
              <w:t>mēn</w:t>
            </w:r>
            <w:r>
              <w:rPr>
                <w:rFonts w:cs="Times New Roman"/>
                <w:sz w:val="24"/>
                <w:szCs w:val="24"/>
              </w:rPr>
              <w:t xml:space="preserve">. x 6735 kar. +187 398 </w:t>
            </w:r>
            <w:r>
              <w:rPr>
                <w:rFonts w:cs="Times New Roman"/>
                <w:sz w:val="24"/>
                <w:szCs w:val="24"/>
              </w:rPr>
              <w:t>eur</w:t>
            </w:r>
            <w:r>
              <w:rPr>
                <w:rFonts w:cs="Times New Roman"/>
                <w:sz w:val="24"/>
                <w:szCs w:val="24"/>
              </w:rPr>
              <w:t xml:space="preserve"> + 232 307 </w:t>
            </w:r>
            <w:r>
              <w:rPr>
                <w:rFonts w:cs="Times New Roman"/>
                <w:sz w:val="24"/>
                <w:szCs w:val="24"/>
              </w:rPr>
              <w:t>eur</w:t>
            </w:r>
            <w:r>
              <w:rPr>
                <w:rFonts w:cs="Times New Roman"/>
                <w:sz w:val="24"/>
                <w:szCs w:val="24"/>
              </w:rPr>
              <w:t xml:space="preserve"> + 259 447 </w:t>
            </w:r>
            <w:r>
              <w:rPr>
                <w:rFonts w:cs="Times New Roman"/>
                <w:sz w:val="24"/>
                <w:szCs w:val="24"/>
              </w:rPr>
              <w:t>eur</w:t>
            </w:r>
            <w:r>
              <w:rPr>
                <w:rFonts w:cs="Times New Roman"/>
                <w:sz w:val="24"/>
                <w:szCs w:val="24"/>
              </w:rPr>
              <w:t>);</w:t>
            </w:r>
          </w:p>
          <w:p w:rsidR="00FB397A" w:rsidP="00B62DC7" w14:paraId="1DA439EF" w14:textId="77777777">
            <w:pPr>
              <w:jc w:val="both"/>
              <w:rPr>
                <w:rFonts w:cs="Times New Roman"/>
                <w:sz w:val="24"/>
                <w:szCs w:val="24"/>
              </w:rPr>
            </w:pPr>
            <w:r>
              <w:rPr>
                <w:rFonts w:cs="Times New Roman"/>
                <w:sz w:val="24"/>
                <w:szCs w:val="24"/>
              </w:rPr>
              <w:t xml:space="preserve">2) valsts sociālās apdrošināšanas obligāto iemaksu izmaksai (24,09%) – </w:t>
            </w:r>
            <w:r w:rsidRPr="002F05E5">
              <w:rPr>
                <w:rFonts w:cs="Times New Roman"/>
                <w:sz w:val="24"/>
                <w:szCs w:val="24"/>
                <w:u w:val="single"/>
              </w:rPr>
              <w:t>1 3</w:t>
            </w:r>
            <w:r>
              <w:rPr>
                <w:rFonts w:cs="Times New Roman"/>
                <w:sz w:val="24"/>
                <w:szCs w:val="24"/>
                <w:u w:val="single"/>
              </w:rPr>
              <w:t>64</w:t>
            </w:r>
            <w:r w:rsidRPr="002F05E5">
              <w:rPr>
                <w:rFonts w:cs="Times New Roman"/>
                <w:sz w:val="24"/>
                <w:szCs w:val="24"/>
                <w:u w:val="single"/>
              </w:rPr>
              <w:t> </w:t>
            </w:r>
            <w:r>
              <w:rPr>
                <w:rFonts w:cs="Times New Roman"/>
                <w:sz w:val="24"/>
                <w:szCs w:val="24"/>
                <w:u w:val="single"/>
              </w:rPr>
              <w:t>229</w:t>
            </w:r>
            <w:r w:rsidRPr="002F05E5">
              <w:rPr>
                <w:rFonts w:cs="Times New Roman"/>
                <w:sz w:val="24"/>
                <w:szCs w:val="24"/>
                <w:u w:val="single"/>
              </w:rPr>
              <w:t> </w:t>
            </w:r>
            <w:r w:rsidRPr="002F05E5">
              <w:rPr>
                <w:rFonts w:cs="Times New Roman"/>
                <w:sz w:val="24"/>
                <w:szCs w:val="24"/>
                <w:u w:val="single"/>
              </w:rPr>
              <w:t>euro</w:t>
            </w:r>
            <w:r>
              <w:rPr>
                <w:rFonts w:cs="Times New Roman"/>
                <w:sz w:val="24"/>
                <w:szCs w:val="24"/>
              </w:rPr>
              <w:t>;</w:t>
            </w:r>
          </w:p>
          <w:p w:rsidR="00FB397A" w:rsidP="00B62DC7" w14:paraId="1DA439F0" w14:textId="77777777">
            <w:pPr>
              <w:jc w:val="both"/>
              <w:rPr>
                <w:rFonts w:cs="Times New Roman"/>
                <w:sz w:val="24"/>
                <w:szCs w:val="24"/>
              </w:rPr>
            </w:pPr>
            <w:r>
              <w:rPr>
                <w:rFonts w:cs="Times New Roman"/>
                <w:sz w:val="24"/>
                <w:szCs w:val="24"/>
              </w:rPr>
              <w:t xml:space="preserve">3) Kompensāciju pieauguma zemessargam par dienesta uzdevumu izpildi vai apmācību izmaksai – </w:t>
            </w:r>
            <w:r w:rsidRPr="002F05E5">
              <w:rPr>
                <w:rFonts w:cs="Times New Roman"/>
                <w:sz w:val="24"/>
                <w:szCs w:val="24"/>
                <w:u w:val="single"/>
              </w:rPr>
              <w:t xml:space="preserve">202 719 </w:t>
            </w:r>
            <w:r w:rsidRPr="002F05E5">
              <w:rPr>
                <w:rFonts w:cs="Times New Roman"/>
                <w:sz w:val="24"/>
                <w:szCs w:val="24"/>
                <w:u w:val="single"/>
              </w:rPr>
              <w:t>euro</w:t>
            </w:r>
            <w:r>
              <w:rPr>
                <w:rFonts w:cs="Times New Roman"/>
                <w:sz w:val="24"/>
                <w:szCs w:val="24"/>
              </w:rPr>
              <w:t>.</w:t>
            </w:r>
          </w:p>
          <w:p w:rsidR="00FB397A" w:rsidP="00B62DC7" w14:paraId="1DA439F1" w14:textId="77777777">
            <w:pPr>
              <w:jc w:val="both"/>
              <w:rPr>
                <w:rFonts w:cs="Times New Roman"/>
                <w:sz w:val="24"/>
                <w:szCs w:val="24"/>
              </w:rPr>
            </w:pPr>
          </w:p>
          <w:p w:rsidR="00FB397A" w:rsidP="00B62DC7" w14:paraId="1DA439F2" w14:textId="77777777">
            <w:pPr>
              <w:jc w:val="both"/>
              <w:rPr>
                <w:rFonts w:cs="Times New Roman"/>
                <w:sz w:val="24"/>
                <w:szCs w:val="24"/>
              </w:rPr>
            </w:pPr>
            <w:r w:rsidRPr="00171C16">
              <w:rPr>
                <w:rFonts w:cs="Times New Roman"/>
                <w:b/>
                <w:sz w:val="24"/>
                <w:szCs w:val="24"/>
              </w:rPr>
              <w:t>2020.gadā</w:t>
            </w:r>
            <w:r>
              <w:rPr>
                <w:rFonts w:cs="Times New Roman"/>
                <w:sz w:val="24"/>
                <w:szCs w:val="24"/>
              </w:rPr>
              <w:t xml:space="preserve"> nepieciešami </w:t>
            </w:r>
            <w:r>
              <w:rPr>
                <w:rFonts w:cs="Times New Roman"/>
                <w:b/>
                <w:sz w:val="24"/>
                <w:szCs w:val="24"/>
                <w:u w:val="single"/>
              </w:rPr>
              <w:t>21</w:t>
            </w:r>
            <w:r w:rsidRPr="00171C16">
              <w:rPr>
                <w:rFonts w:cs="Times New Roman"/>
                <w:b/>
                <w:sz w:val="24"/>
                <w:szCs w:val="24"/>
                <w:u w:val="single"/>
              </w:rPr>
              <w:t> </w:t>
            </w:r>
            <w:r>
              <w:rPr>
                <w:rFonts w:cs="Times New Roman"/>
                <w:b/>
                <w:sz w:val="24"/>
                <w:szCs w:val="24"/>
                <w:u w:val="single"/>
              </w:rPr>
              <w:t>130</w:t>
            </w:r>
            <w:r w:rsidRPr="00171C16">
              <w:rPr>
                <w:rFonts w:cs="Times New Roman"/>
                <w:b/>
                <w:sz w:val="24"/>
                <w:szCs w:val="24"/>
                <w:u w:val="single"/>
              </w:rPr>
              <w:t xml:space="preserve"> </w:t>
            </w:r>
            <w:r>
              <w:rPr>
                <w:rFonts w:cs="Times New Roman"/>
                <w:b/>
                <w:sz w:val="24"/>
                <w:szCs w:val="24"/>
                <w:u w:val="single"/>
              </w:rPr>
              <w:t>000</w:t>
            </w:r>
            <w:r w:rsidRPr="00171C16">
              <w:rPr>
                <w:rFonts w:cs="Times New Roman"/>
                <w:b/>
                <w:sz w:val="24"/>
                <w:szCs w:val="24"/>
                <w:u w:val="single"/>
              </w:rPr>
              <w:t xml:space="preserve"> </w:t>
            </w:r>
            <w:r w:rsidRPr="00171C16">
              <w:rPr>
                <w:rFonts w:cs="Times New Roman"/>
                <w:b/>
                <w:sz w:val="24"/>
                <w:szCs w:val="24"/>
                <w:u w:val="single"/>
              </w:rPr>
              <w:t>euro</w:t>
            </w:r>
            <w:r>
              <w:rPr>
                <w:rFonts w:cs="Times New Roman"/>
                <w:sz w:val="24"/>
                <w:szCs w:val="24"/>
              </w:rPr>
              <w:t>, t.sk.</w:t>
            </w:r>
          </w:p>
          <w:p w:rsidR="00FB397A" w:rsidRPr="000F3F46" w:rsidP="00B62DC7" w14:paraId="1DA439F3" w14:textId="77777777">
            <w:pPr>
              <w:jc w:val="both"/>
              <w:rPr>
                <w:rFonts w:cs="Times New Roman"/>
                <w:sz w:val="24"/>
                <w:szCs w:val="24"/>
              </w:rPr>
            </w:pPr>
            <w:r w:rsidRPr="000F3F46">
              <w:rPr>
                <w:rFonts w:cs="Times New Roman"/>
                <w:sz w:val="24"/>
                <w:szCs w:val="24"/>
              </w:rPr>
              <w:t xml:space="preserve">1) mēnešalgu, piemaksu (par papildu pienākumiem, aizvietošanu, vakanta amata pildīšanu), atvaļinājuma un izdienas pabalstu pieauguma izmaksai – </w:t>
            </w:r>
            <w:r w:rsidRPr="000F3F46">
              <w:rPr>
                <w:rFonts w:cs="Times New Roman"/>
                <w:sz w:val="24"/>
                <w:szCs w:val="24"/>
                <w:u w:val="single"/>
              </w:rPr>
              <w:t xml:space="preserve">16 528 926 </w:t>
            </w:r>
            <w:r w:rsidRPr="000F3F46">
              <w:rPr>
                <w:rFonts w:cs="Times New Roman"/>
                <w:sz w:val="24"/>
                <w:szCs w:val="24"/>
                <w:u w:val="single"/>
              </w:rPr>
              <w:t>euro</w:t>
            </w:r>
            <w:r w:rsidRPr="000F3F46">
              <w:rPr>
                <w:rFonts w:cs="Times New Roman"/>
                <w:sz w:val="24"/>
                <w:szCs w:val="24"/>
              </w:rPr>
              <w:t xml:space="preserve"> (aprēķina metodika: mēnešalgas pieaugums 23% no vidējās mēnešalgas x izmaksu skaits (</w:t>
            </w:r>
            <w:r w:rsidRPr="000F3F46">
              <w:rPr>
                <w:rFonts w:cs="Times New Roman"/>
                <w:sz w:val="24"/>
                <w:szCs w:val="24"/>
              </w:rPr>
              <w:t>mēn</w:t>
            </w:r>
            <w:r w:rsidRPr="000F3F46">
              <w:rPr>
                <w:rFonts w:cs="Times New Roman"/>
                <w:sz w:val="24"/>
                <w:szCs w:val="24"/>
              </w:rPr>
              <w:t>). x karavīru skaits + provizoriskais piemaksu pieaugums + vidējais atvaļinājuma pabalsta pieaugums + provizoriskais izdienas pabalsta pieaugums, t.i. 180 </w:t>
            </w:r>
            <w:r w:rsidRPr="000F3F46">
              <w:rPr>
                <w:rFonts w:cs="Times New Roman"/>
                <w:sz w:val="24"/>
                <w:szCs w:val="24"/>
              </w:rPr>
              <w:t>eur</w:t>
            </w:r>
            <w:r w:rsidRPr="000F3F46">
              <w:rPr>
                <w:rFonts w:cs="Times New Roman"/>
                <w:sz w:val="24"/>
                <w:szCs w:val="24"/>
              </w:rPr>
              <w:t xml:space="preserve"> x 12 </w:t>
            </w:r>
            <w:r w:rsidRPr="000F3F46">
              <w:rPr>
                <w:rFonts w:cs="Times New Roman"/>
                <w:sz w:val="24"/>
                <w:szCs w:val="24"/>
              </w:rPr>
              <w:t>mēn</w:t>
            </w:r>
            <w:r w:rsidRPr="000F3F46">
              <w:rPr>
                <w:rFonts w:cs="Times New Roman"/>
                <w:sz w:val="24"/>
                <w:szCs w:val="24"/>
              </w:rPr>
              <w:t xml:space="preserve">. x 6987 kar. +394 412 </w:t>
            </w:r>
            <w:r w:rsidRPr="000F3F46">
              <w:rPr>
                <w:rFonts w:cs="Times New Roman"/>
                <w:sz w:val="24"/>
                <w:szCs w:val="24"/>
              </w:rPr>
              <w:t>eur</w:t>
            </w:r>
            <w:r w:rsidRPr="000F3F46">
              <w:rPr>
                <w:rFonts w:cs="Times New Roman"/>
                <w:sz w:val="24"/>
                <w:szCs w:val="24"/>
              </w:rPr>
              <w:t xml:space="preserve"> + 484 877 </w:t>
            </w:r>
            <w:r w:rsidRPr="000F3F46">
              <w:rPr>
                <w:rFonts w:cs="Times New Roman"/>
                <w:sz w:val="24"/>
                <w:szCs w:val="24"/>
              </w:rPr>
              <w:t>eur</w:t>
            </w:r>
            <w:r w:rsidRPr="000F3F46">
              <w:rPr>
                <w:rFonts w:cs="Times New Roman"/>
                <w:sz w:val="24"/>
                <w:szCs w:val="24"/>
              </w:rPr>
              <w:t xml:space="preserve"> + 557 717 </w:t>
            </w:r>
            <w:r w:rsidRPr="000F3F46">
              <w:rPr>
                <w:rFonts w:cs="Times New Roman"/>
                <w:sz w:val="24"/>
                <w:szCs w:val="24"/>
              </w:rPr>
              <w:t>eur</w:t>
            </w:r>
            <w:r w:rsidRPr="000F3F46">
              <w:rPr>
                <w:rFonts w:cs="Times New Roman"/>
                <w:sz w:val="24"/>
                <w:szCs w:val="24"/>
              </w:rPr>
              <w:t>);</w:t>
            </w:r>
          </w:p>
          <w:p w:rsidR="00FB397A" w:rsidP="00B62DC7" w14:paraId="1DA439F4" w14:textId="77777777">
            <w:pPr>
              <w:jc w:val="both"/>
              <w:rPr>
                <w:rFonts w:cs="Times New Roman"/>
                <w:sz w:val="24"/>
                <w:szCs w:val="24"/>
              </w:rPr>
            </w:pPr>
            <w:r w:rsidRPr="000F3F46">
              <w:rPr>
                <w:rFonts w:cs="Times New Roman"/>
                <w:sz w:val="24"/>
                <w:szCs w:val="24"/>
              </w:rPr>
              <w:t xml:space="preserve">2) valsts sociālās apdrošināšanas obligāto iemaksu izmaksai (24,09%) – </w:t>
            </w:r>
            <w:r w:rsidRPr="000F3F46">
              <w:rPr>
                <w:rFonts w:cs="Times New Roman"/>
                <w:sz w:val="24"/>
                <w:szCs w:val="24"/>
                <w:u w:val="single"/>
              </w:rPr>
              <w:t>3 981 818 </w:t>
            </w:r>
            <w:r w:rsidRPr="000F3F46">
              <w:rPr>
                <w:rFonts w:cs="Times New Roman"/>
                <w:sz w:val="24"/>
                <w:szCs w:val="24"/>
                <w:u w:val="single"/>
              </w:rPr>
              <w:t>euro</w:t>
            </w:r>
            <w:r w:rsidRPr="000F3F46">
              <w:rPr>
                <w:rFonts w:cs="Times New Roman"/>
                <w:sz w:val="24"/>
                <w:szCs w:val="24"/>
              </w:rPr>
              <w:t>;</w:t>
            </w:r>
          </w:p>
          <w:p w:rsidR="00FB397A" w:rsidP="00B62DC7" w14:paraId="1DA439F5" w14:textId="77777777">
            <w:pPr>
              <w:jc w:val="both"/>
              <w:rPr>
                <w:rFonts w:cs="Times New Roman"/>
                <w:sz w:val="24"/>
                <w:szCs w:val="24"/>
              </w:rPr>
            </w:pPr>
            <w:r>
              <w:rPr>
                <w:rFonts w:cs="Times New Roman"/>
                <w:sz w:val="24"/>
                <w:szCs w:val="24"/>
              </w:rPr>
              <w:t xml:space="preserve">3) Kompensāciju pieauguma zemessargam par dienesta uzdevumu izpildi vai apmācību izmaksai – </w:t>
            </w:r>
            <w:r w:rsidRPr="002F05E5">
              <w:rPr>
                <w:rFonts w:cs="Times New Roman"/>
                <w:sz w:val="24"/>
                <w:szCs w:val="24"/>
                <w:u w:val="single"/>
              </w:rPr>
              <w:t xml:space="preserve">619 256 </w:t>
            </w:r>
            <w:r w:rsidRPr="002F05E5">
              <w:rPr>
                <w:rFonts w:cs="Times New Roman"/>
                <w:sz w:val="24"/>
                <w:szCs w:val="24"/>
                <w:u w:val="single"/>
              </w:rPr>
              <w:t>euro</w:t>
            </w:r>
            <w:r>
              <w:rPr>
                <w:rFonts w:cs="Times New Roman"/>
                <w:sz w:val="24"/>
                <w:szCs w:val="24"/>
              </w:rPr>
              <w:t>.</w:t>
            </w:r>
          </w:p>
          <w:p w:rsidR="00FB397A" w:rsidP="00B62DC7" w14:paraId="1DA439F6" w14:textId="77777777">
            <w:pPr>
              <w:jc w:val="both"/>
              <w:rPr>
                <w:rFonts w:cs="Times New Roman"/>
                <w:sz w:val="24"/>
                <w:szCs w:val="24"/>
                <w:u w:val="single"/>
              </w:rPr>
            </w:pPr>
          </w:p>
          <w:p w:rsidR="00FB397A" w:rsidP="00B62DC7" w14:paraId="1DA439F7" w14:textId="77777777">
            <w:pPr>
              <w:jc w:val="both"/>
              <w:rPr>
                <w:rFonts w:cs="Times New Roman"/>
                <w:sz w:val="24"/>
                <w:szCs w:val="24"/>
              </w:rPr>
            </w:pPr>
            <w:r>
              <w:rPr>
                <w:rFonts w:cs="Times New Roman"/>
                <w:b/>
                <w:sz w:val="24"/>
                <w:szCs w:val="24"/>
              </w:rPr>
              <w:t>2021</w:t>
            </w:r>
            <w:r w:rsidRPr="00171C16">
              <w:rPr>
                <w:rFonts w:cs="Times New Roman"/>
                <w:b/>
                <w:sz w:val="24"/>
                <w:szCs w:val="24"/>
              </w:rPr>
              <w:t>.gadā</w:t>
            </w:r>
            <w:r>
              <w:rPr>
                <w:rFonts w:cs="Times New Roman"/>
                <w:sz w:val="24"/>
                <w:szCs w:val="24"/>
              </w:rPr>
              <w:t xml:space="preserve"> nepieciešami </w:t>
            </w:r>
            <w:r>
              <w:rPr>
                <w:rFonts w:cs="Times New Roman"/>
                <w:b/>
                <w:sz w:val="24"/>
                <w:szCs w:val="24"/>
                <w:u w:val="single"/>
              </w:rPr>
              <w:t>21 247 875</w:t>
            </w:r>
            <w:r w:rsidRPr="00171C16">
              <w:rPr>
                <w:rFonts w:cs="Times New Roman"/>
                <w:b/>
                <w:sz w:val="24"/>
                <w:szCs w:val="24"/>
                <w:u w:val="single"/>
              </w:rPr>
              <w:t xml:space="preserve"> </w:t>
            </w:r>
            <w:r w:rsidRPr="00171C16">
              <w:rPr>
                <w:rFonts w:cs="Times New Roman"/>
                <w:b/>
                <w:sz w:val="24"/>
                <w:szCs w:val="24"/>
                <w:u w:val="single"/>
              </w:rPr>
              <w:t>euro</w:t>
            </w:r>
            <w:r>
              <w:rPr>
                <w:rFonts w:cs="Times New Roman"/>
                <w:sz w:val="24"/>
                <w:szCs w:val="24"/>
              </w:rPr>
              <w:t>, t.sk.</w:t>
            </w:r>
          </w:p>
          <w:p w:rsidR="00FB397A" w:rsidP="00B62DC7" w14:paraId="1DA439F8" w14:textId="77777777">
            <w:pPr>
              <w:jc w:val="both"/>
              <w:rPr>
                <w:rFonts w:cs="Times New Roman"/>
                <w:sz w:val="24"/>
                <w:szCs w:val="24"/>
              </w:rPr>
            </w:pPr>
            <w:r>
              <w:rPr>
                <w:rFonts w:cs="Times New Roman"/>
                <w:sz w:val="24"/>
                <w:szCs w:val="24"/>
              </w:rPr>
              <w:t xml:space="preserve">1) </w:t>
            </w:r>
            <w:r w:rsidRPr="009657BD">
              <w:rPr>
                <w:rFonts w:cs="Times New Roman"/>
                <w:sz w:val="24"/>
                <w:szCs w:val="24"/>
              </w:rPr>
              <w:t>mēne</w:t>
            </w:r>
            <w:r>
              <w:rPr>
                <w:rFonts w:cs="Times New Roman"/>
                <w:sz w:val="24"/>
                <w:szCs w:val="24"/>
              </w:rPr>
              <w:t xml:space="preserve">šalgu, piemaksu (par papildu pienākumiem, aizvietošanu, vakanta amata pildīšanu), atvaļinājuma un izdienas pabalstu pieauguma izmaksai – </w:t>
            </w:r>
            <w:r>
              <w:rPr>
                <w:rFonts w:cs="Times New Roman"/>
                <w:sz w:val="24"/>
                <w:szCs w:val="24"/>
                <w:u w:val="single"/>
              </w:rPr>
              <w:t>16 650 957</w:t>
            </w:r>
            <w:r w:rsidRPr="00AF5039">
              <w:rPr>
                <w:rFonts w:cs="Times New Roman"/>
                <w:sz w:val="24"/>
                <w:szCs w:val="24"/>
                <w:u w:val="single"/>
              </w:rPr>
              <w:t xml:space="preserve"> </w:t>
            </w:r>
            <w:r w:rsidRPr="00AF5039">
              <w:rPr>
                <w:rFonts w:cs="Times New Roman"/>
                <w:sz w:val="24"/>
                <w:szCs w:val="24"/>
                <w:u w:val="single"/>
              </w:rPr>
              <w:t>euro</w:t>
            </w:r>
            <w:r>
              <w:rPr>
                <w:rFonts w:cs="Times New Roman"/>
                <w:sz w:val="24"/>
                <w:szCs w:val="24"/>
              </w:rPr>
              <w:t xml:space="preserve"> (aprēķina metodika: mēnešalgas pieaugums 23% no vidējās mēnešalgas x izmaksu skaits (</w:t>
            </w:r>
            <w:r>
              <w:rPr>
                <w:rFonts w:cs="Times New Roman"/>
                <w:sz w:val="24"/>
                <w:szCs w:val="24"/>
              </w:rPr>
              <w:t>mēn</w:t>
            </w:r>
            <w:r>
              <w:rPr>
                <w:rFonts w:cs="Times New Roman"/>
                <w:sz w:val="24"/>
                <w:szCs w:val="24"/>
              </w:rPr>
              <w:t>). x karavīru skaits + provizoriskais piemaksu pieaugums + vidējais atvaļinājuma pabalsta pieaugums + provizoriskais izdienas pabalsta pieaugums, t.i. 180 </w:t>
            </w:r>
            <w:r>
              <w:rPr>
                <w:rFonts w:cs="Times New Roman"/>
                <w:sz w:val="24"/>
                <w:szCs w:val="24"/>
              </w:rPr>
              <w:t>eur</w:t>
            </w:r>
            <w:r>
              <w:rPr>
                <w:rFonts w:cs="Times New Roman"/>
                <w:sz w:val="24"/>
                <w:szCs w:val="24"/>
              </w:rPr>
              <w:t xml:space="preserve"> x 12 </w:t>
            </w:r>
            <w:r>
              <w:rPr>
                <w:rFonts w:cs="Times New Roman"/>
                <w:sz w:val="24"/>
                <w:szCs w:val="24"/>
              </w:rPr>
              <w:t>mēn</w:t>
            </w:r>
            <w:r>
              <w:rPr>
                <w:rFonts w:cs="Times New Roman"/>
                <w:sz w:val="24"/>
                <w:szCs w:val="24"/>
              </w:rPr>
              <w:t xml:space="preserve">. x 7017 kar. + 414 316 </w:t>
            </w:r>
            <w:r>
              <w:rPr>
                <w:rFonts w:cs="Times New Roman"/>
                <w:sz w:val="24"/>
                <w:szCs w:val="24"/>
              </w:rPr>
              <w:t>eur</w:t>
            </w:r>
            <w:r>
              <w:rPr>
                <w:rFonts w:cs="Times New Roman"/>
                <w:sz w:val="24"/>
                <w:szCs w:val="24"/>
              </w:rPr>
              <w:t xml:space="preserve"> + 503 845 </w:t>
            </w:r>
            <w:r>
              <w:rPr>
                <w:rFonts w:cs="Times New Roman"/>
                <w:sz w:val="24"/>
                <w:szCs w:val="24"/>
              </w:rPr>
              <w:t>eur</w:t>
            </w:r>
            <w:r>
              <w:rPr>
                <w:rFonts w:cs="Times New Roman"/>
                <w:sz w:val="24"/>
                <w:szCs w:val="24"/>
              </w:rPr>
              <w:t xml:space="preserve"> + 576 076 </w:t>
            </w:r>
            <w:r>
              <w:rPr>
                <w:rFonts w:cs="Times New Roman"/>
                <w:sz w:val="24"/>
                <w:szCs w:val="24"/>
              </w:rPr>
              <w:t>eur</w:t>
            </w:r>
            <w:r>
              <w:rPr>
                <w:rFonts w:cs="Times New Roman"/>
                <w:sz w:val="24"/>
                <w:szCs w:val="24"/>
              </w:rPr>
              <w:t>);</w:t>
            </w:r>
          </w:p>
          <w:p w:rsidR="00FB397A" w:rsidP="00B62DC7" w14:paraId="1DA439F9" w14:textId="77777777">
            <w:pPr>
              <w:jc w:val="both"/>
              <w:rPr>
                <w:rFonts w:cs="Times New Roman"/>
                <w:sz w:val="24"/>
                <w:szCs w:val="24"/>
              </w:rPr>
            </w:pPr>
            <w:r>
              <w:rPr>
                <w:rFonts w:cs="Times New Roman"/>
                <w:sz w:val="24"/>
                <w:szCs w:val="24"/>
              </w:rPr>
              <w:t xml:space="preserve">2) valsts sociālās apdrošināšanas obligāto iemaksu izmaksai (24,09%) – </w:t>
            </w:r>
            <w:r>
              <w:rPr>
                <w:rFonts w:cs="Times New Roman"/>
                <w:sz w:val="24"/>
                <w:szCs w:val="24"/>
                <w:u w:val="single"/>
              </w:rPr>
              <w:t>4 011 216</w:t>
            </w:r>
            <w:r w:rsidRPr="002F05E5">
              <w:rPr>
                <w:rFonts w:cs="Times New Roman"/>
                <w:sz w:val="24"/>
                <w:szCs w:val="24"/>
                <w:u w:val="single"/>
              </w:rPr>
              <w:t> </w:t>
            </w:r>
            <w:r w:rsidRPr="002F05E5">
              <w:rPr>
                <w:rFonts w:cs="Times New Roman"/>
                <w:sz w:val="24"/>
                <w:szCs w:val="24"/>
                <w:u w:val="single"/>
              </w:rPr>
              <w:t>euro</w:t>
            </w:r>
            <w:r>
              <w:rPr>
                <w:rFonts w:cs="Times New Roman"/>
                <w:sz w:val="24"/>
                <w:szCs w:val="24"/>
              </w:rPr>
              <w:t>;</w:t>
            </w:r>
          </w:p>
          <w:p w:rsidR="00FB397A" w:rsidP="00B62DC7" w14:paraId="1DA439FA" w14:textId="77777777">
            <w:pPr>
              <w:jc w:val="both"/>
              <w:rPr>
                <w:rFonts w:cs="Times New Roman"/>
                <w:sz w:val="24"/>
                <w:szCs w:val="24"/>
              </w:rPr>
            </w:pPr>
            <w:r>
              <w:rPr>
                <w:rFonts w:cs="Times New Roman"/>
                <w:sz w:val="24"/>
                <w:szCs w:val="24"/>
              </w:rPr>
              <w:t xml:space="preserve">3) Kompensāciju pieauguma zemessargam par dienesta uzdevumu izpildi vai apmācību izmaksai – </w:t>
            </w:r>
            <w:r w:rsidRPr="002F05E5">
              <w:rPr>
                <w:rFonts w:cs="Times New Roman"/>
                <w:sz w:val="24"/>
                <w:szCs w:val="24"/>
                <w:u w:val="single"/>
              </w:rPr>
              <w:t xml:space="preserve">585 702 </w:t>
            </w:r>
            <w:r w:rsidRPr="002F05E5">
              <w:rPr>
                <w:rFonts w:cs="Times New Roman"/>
                <w:sz w:val="24"/>
                <w:szCs w:val="24"/>
                <w:u w:val="single"/>
              </w:rPr>
              <w:t>euro</w:t>
            </w:r>
            <w:r>
              <w:rPr>
                <w:rFonts w:cs="Times New Roman"/>
                <w:sz w:val="24"/>
                <w:szCs w:val="24"/>
              </w:rPr>
              <w:t>.</w:t>
            </w:r>
          </w:p>
          <w:p w:rsidR="00FB397A" w:rsidRPr="00AC075E" w:rsidP="00943626" w14:paraId="1DA439FB" w14:textId="77777777">
            <w:pPr>
              <w:jc w:val="both"/>
              <w:rPr>
                <w:rFonts w:cs="Times New Roman"/>
                <w:sz w:val="24"/>
                <w:szCs w:val="24"/>
              </w:rPr>
            </w:pPr>
          </w:p>
        </w:tc>
      </w:tr>
      <w:tr w14:paraId="1DA439FF" w14:textId="77777777" w:rsidTr="00B62DC7">
        <w:tblPrEx>
          <w:tblW w:w="5848" w:type="pct"/>
          <w:tblInd w:w="-681" w:type="dxa"/>
          <w:tblLayout w:type="fixed"/>
          <w:tblCellMar>
            <w:top w:w="28" w:type="dxa"/>
            <w:left w:w="28" w:type="dxa"/>
            <w:bottom w:w="28" w:type="dxa"/>
            <w:right w:w="28" w:type="dxa"/>
          </w:tblCellMar>
          <w:tblLook w:val="04A0"/>
        </w:tblPrEx>
        <w:trPr>
          <w:cantSplit/>
        </w:trPr>
        <w:tc>
          <w:tcPr>
            <w:tcW w:w="1559" w:type="dxa"/>
            <w:shd w:val="clear" w:color="auto" w:fill="auto"/>
            <w:hideMark/>
          </w:tcPr>
          <w:p w:rsidR="00FB397A" w:rsidRPr="00AC075E" w:rsidP="009B6902" w14:paraId="1DA439FD" w14:textId="77777777">
            <w:pPr>
              <w:rPr>
                <w:rFonts w:cs="Times New Roman"/>
                <w:sz w:val="24"/>
                <w:szCs w:val="24"/>
              </w:rPr>
            </w:pPr>
            <w:r w:rsidRPr="00AC075E">
              <w:rPr>
                <w:rFonts w:cs="Times New Roman"/>
                <w:sz w:val="24"/>
                <w:szCs w:val="24"/>
              </w:rPr>
              <w:t>6.1. detalizēts ieņēmumu aprēķins</w:t>
            </w:r>
          </w:p>
        </w:tc>
        <w:tc>
          <w:tcPr>
            <w:tcW w:w="8221" w:type="dxa"/>
            <w:gridSpan w:val="7"/>
            <w:vMerge/>
            <w:shd w:val="clear" w:color="auto" w:fill="auto"/>
            <w:vAlign w:val="center"/>
            <w:hideMark/>
          </w:tcPr>
          <w:p w:rsidR="00FB397A" w:rsidRPr="00AC075E" w:rsidP="009B6902" w14:paraId="1DA439FE" w14:textId="77777777">
            <w:pPr>
              <w:jc w:val="center"/>
              <w:rPr>
                <w:rFonts w:cs="Times New Roman"/>
                <w:sz w:val="24"/>
                <w:szCs w:val="24"/>
              </w:rPr>
            </w:pPr>
          </w:p>
        </w:tc>
      </w:tr>
      <w:tr w14:paraId="1DA43A02" w14:textId="77777777" w:rsidTr="00B62DC7">
        <w:tblPrEx>
          <w:tblW w:w="5848" w:type="pct"/>
          <w:tblInd w:w="-681" w:type="dxa"/>
          <w:tblLayout w:type="fixed"/>
          <w:tblCellMar>
            <w:top w:w="28" w:type="dxa"/>
            <w:left w:w="28" w:type="dxa"/>
            <w:bottom w:w="28" w:type="dxa"/>
            <w:right w:w="28" w:type="dxa"/>
          </w:tblCellMar>
          <w:tblLook w:val="04A0"/>
        </w:tblPrEx>
        <w:trPr>
          <w:cantSplit/>
        </w:trPr>
        <w:tc>
          <w:tcPr>
            <w:tcW w:w="1559" w:type="dxa"/>
            <w:shd w:val="clear" w:color="auto" w:fill="auto"/>
            <w:hideMark/>
          </w:tcPr>
          <w:p w:rsidR="00FB397A" w:rsidRPr="00AC075E" w:rsidP="009B6902" w14:paraId="1DA43A00" w14:textId="77777777">
            <w:pPr>
              <w:rPr>
                <w:rFonts w:cs="Times New Roman"/>
                <w:sz w:val="24"/>
                <w:szCs w:val="24"/>
              </w:rPr>
            </w:pPr>
            <w:r w:rsidRPr="00AC075E">
              <w:rPr>
                <w:rFonts w:cs="Times New Roman"/>
                <w:sz w:val="24"/>
                <w:szCs w:val="24"/>
              </w:rPr>
              <w:t>6.2. detalizēts izdevumu aprēķins</w:t>
            </w:r>
          </w:p>
        </w:tc>
        <w:tc>
          <w:tcPr>
            <w:tcW w:w="8221" w:type="dxa"/>
            <w:gridSpan w:val="7"/>
            <w:vMerge/>
            <w:shd w:val="clear" w:color="auto" w:fill="auto"/>
            <w:vAlign w:val="center"/>
            <w:hideMark/>
          </w:tcPr>
          <w:p w:rsidR="00FB397A" w:rsidRPr="00AC075E" w:rsidP="009B6902" w14:paraId="1DA43A01" w14:textId="77777777">
            <w:pPr>
              <w:jc w:val="center"/>
              <w:rPr>
                <w:rFonts w:cs="Times New Roman"/>
                <w:sz w:val="24"/>
                <w:szCs w:val="24"/>
              </w:rPr>
            </w:pPr>
          </w:p>
        </w:tc>
      </w:tr>
      <w:tr w14:paraId="1DA43A05" w14:textId="77777777" w:rsidTr="00B62DC7">
        <w:tblPrEx>
          <w:tblW w:w="5848" w:type="pct"/>
          <w:tblInd w:w="-681" w:type="dxa"/>
          <w:tblLayout w:type="fixed"/>
          <w:tblCellMar>
            <w:top w:w="28" w:type="dxa"/>
            <w:left w:w="28" w:type="dxa"/>
            <w:bottom w:w="28" w:type="dxa"/>
            <w:right w:w="28" w:type="dxa"/>
          </w:tblCellMar>
          <w:tblLook w:val="04A0"/>
        </w:tblPrEx>
        <w:trPr>
          <w:cantSplit/>
        </w:trPr>
        <w:tc>
          <w:tcPr>
            <w:tcW w:w="1559" w:type="dxa"/>
            <w:shd w:val="clear" w:color="auto" w:fill="auto"/>
            <w:hideMark/>
          </w:tcPr>
          <w:p w:rsidR="00FB397A" w:rsidRPr="00AC075E" w:rsidP="009B6902" w14:paraId="1DA43A03" w14:textId="77777777">
            <w:pPr>
              <w:rPr>
                <w:rFonts w:cs="Times New Roman"/>
                <w:sz w:val="24"/>
                <w:szCs w:val="24"/>
              </w:rPr>
            </w:pPr>
            <w:r w:rsidRPr="00AC075E">
              <w:rPr>
                <w:rFonts w:cs="Times New Roman"/>
                <w:sz w:val="24"/>
                <w:szCs w:val="24"/>
              </w:rPr>
              <w:t>7. Amata vietu skaita izmaiņas</w:t>
            </w:r>
          </w:p>
        </w:tc>
        <w:tc>
          <w:tcPr>
            <w:tcW w:w="8221" w:type="dxa"/>
            <w:gridSpan w:val="7"/>
            <w:shd w:val="clear" w:color="auto" w:fill="auto"/>
            <w:hideMark/>
          </w:tcPr>
          <w:p w:rsidR="00FB397A" w:rsidRPr="00AC075E" w:rsidP="009B6902" w14:paraId="1DA43A04" w14:textId="77777777">
            <w:pPr>
              <w:rPr>
                <w:rFonts w:cs="Times New Roman"/>
                <w:sz w:val="24"/>
                <w:szCs w:val="24"/>
              </w:rPr>
            </w:pPr>
            <w:r>
              <w:rPr>
                <w:rFonts w:cs="Times New Roman"/>
                <w:sz w:val="24"/>
                <w:szCs w:val="24"/>
              </w:rPr>
              <w:t>Projekts šo jomu neskar.</w:t>
            </w:r>
          </w:p>
        </w:tc>
      </w:tr>
      <w:tr w14:paraId="1DA43A08" w14:textId="77777777" w:rsidTr="00B62DC7">
        <w:tblPrEx>
          <w:tblW w:w="5848" w:type="pct"/>
          <w:tblInd w:w="-681" w:type="dxa"/>
          <w:tblLayout w:type="fixed"/>
          <w:tblCellMar>
            <w:top w:w="28" w:type="dxa"/>
            <w:left w:w="28" w:type="dxa"/>
            <w:bottom w:w="28" w:type="dxa"/>
            <w:right w:w="28" w:type="dxa"/>
          </w:tblCellMar>
          <w:tblLook w:val="04A0"/>
        </w:tblPrEx>
        <w:trPr>
          <w:cantSplit/>
        </w:trPr>
        <w:tc>
          <w:tcPr>
            <w:tcW w:w="1559" w:type="dxa"/>
            <w:shd w:val="clear" w:color="auto" w:fill="auto"/>
            <w:hideMark/>
          </w:tcPr>
          <w:p w:rsidR="00FB397A" w:rsidRPr="00AC075E" w:rsidP="009B6902" w14:paraId="1DA43A06" w14:textId="77777777">
            <w:pPr>
              <w:rPr>
                <w:rFonts w:cs="Times New Roman"/>
                <w:sz w:val="24"/>
                <w:szCs w:val="24"/>
              </w:rPr>
            </w:pPr>
            <w:r w:rsidRPr="00AC075E">
              <w:rPr>
                <w:rFonts w:cs="Times New Roman"/>
                <w:sz w:val="24"/>
                <w:szCs w:val="24"/>
              </w:rPr>
              <w:t>8. Cita informācija</w:t>
            </w:r>
          </w:p>
        </w:tc>
        <w:tc>
          <w:tcPr>
            <w:tcW w:w="8221" w:type="dxa"/>
            <w:gridSpan w:val="7"/>
            <w:shd w:val="clear" w:color="auto" w:fill="auto"/>
            <w:hideMark/>
          </w:tcPr>
          <w:p w:rsidR="00FB397A" w:rsidRPr="00AC075E" w:rsidP="00483B6F" w14:paraId="1DA43A07" w14:textId="77777777">
            <w:pPr>
              <w:jc w:val="both"/>
              <w:rPr>
                <w:rFonts w:cs="Times New Roman"/>
                <w:sz w:val="24"/>
                <w:szCs w:val="24"/>
              </w:rPr>
            </w:pPr>
            <w:r>
              <w:rPr>
                <w:rFonts w:cs="Times New Roman"/>
                <w:sz w:val="24"/>
                <w:szCs w:val="24"/>
              </w:rPr>
              <w:t xml:space="preserve">Saskaņā ar Ministru kabineta 2017.gada 23.marta sēdes protokola Nr.15 2.§ 9. un 10.punktu, kā arī Ministru kabineta 2018.gada 10.aprīļa sēdes protokola Nr.19 36.§ 4. un 5.punktu, karavīru atlīdzības reformas 1. un 2.kārtas īstenošanai paredzētie līdzekļi iekļauti Aizsardzības ministrijas 2019.- 2021.gada budžetu bāzes izdevumos, </w:t>
            </w:r>
            <w:r>
              <w:rPr>
                <w:sz w:val="24"/>
                <w:szCs w:val="24"/>
                <w:lang w:eastAsia="lv-LV"/>
              </w:rPr>
              <w:t xml:space="preserve">līdz ar to papildu valsts budžeta finansējums nav nepieciešams. </w:t>
            </w:r>
            <w:r w:rsidRPr="00B15A9E">
              <w:rPr>
                <w:rFonts w:cs="Times New Roman"/>
                <w:sz w:val="24"/>
                <w:szCs w:val="24"/>
              </w:rPr>
              <w:t>Noteikumu projekta īstenošanu Aizsardzības ministrija 2019. un turpmākajos gados nodrošinās atbilstoši tai piešķirtajiem valsts budžeta līdzekļiem budžeta apakšprogrammas 22.10.00 “Starptautisko operāciju un Nacionālo bruņoto spēku personālsastāva cent</w:t>
            </w:r>
            <w:r>
              <w:rPr>
                <w:rFonts w:cs="Times New Roman"/>
                <w:sz w:val="24"/>
                <w:szCs w:val="24"/>
              </w:rPr>
              <w:t xml:space="preserve">ralizētais atalgojums” ietvaros. </w:t>
            </w:r>
          </w:p>
        </w:tc>
      </w:tr>
    </w:tbl>
    <w:p w:rsidR="00AC075E" w:rsidRPr="006C2785" w:rsidP="006C2785" w14:paraId="1DA43A09" w14:textId="77777777">
      <w:pPr>
        <w:jc w:val="both"/>
        <w:rPr>
          <w:rFonts w:cs="Times New Roman"/>
          <w:sz w:val="24"/>
          <w:szCs w:val="24"/>
        </w:rPr>
      </w:pPr>
    </w:p>
    <w:tbl>
      <w:tblPr>
        <w:tblW w:w="5846" w:type="pct"/>
        <w:tblInd w:w="-67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709"/>
        <w:gridCol w:w="2269"/>
        <w:gridCol w:w="6804"/>
      </w:tblGrid>
      <w:tr w14:paraId="1DA43A0B" w14:textId="77777777" w:rsidTr="005B1799">
        <w:tblPrEx>
          <w:tblW w:w="5846" w:type="pct"/>
          <w:tblInd w:w="-67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23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C2785" w:rsidRPr="006C2785" w:rsidP="00050C7E" w14:paraId="1DA43A0A" w14:textId="77777777">
            <w:pPr>
              <w:ind w:firstLine="300"/>
              <w:jc w:val="center"/>
              <w:rPr>
                <w:rFonts w:cs="Times New Roman"/>
                <w:b/>
                <w:bCs/>
                <w:sz w:val="24"/>
                <w:szCs w:val="24"/>
              </w:rPr>
            </w:pPr>
            <w:r w:rsidRPr="006C2785">
              <w:rPr>
                <w:rFonts w:cs="Times New Roman"/>
                <w:b/>
                <w:bCs/>
                <w:sz w:val="24"/>
                <w:szCs w:val="24"/>
              </w:rPr>
              <w:t>IV. Tiesību akta projekta ietekme uz spēkā esošo tiesību normu sistēmu</w:t>
            </w:r>
          </w:p>
        </w:tc>
      </w:tr>
      <w:tr w14:paraId="1DA43A0F" w14:textId="77777777" w:rsidTr="00B62DC7">
        <w:tblPrEx>
          <w:tblW w:w="5846" w:type="pct"/>
          <w:tblInd w:w="-679" w:type="dxa"/>
          <w:tblCellMar>
            <w:top w:w="30" w:type="dxa"/>
            <w:left w:w="30" w:type="dxa"/>
            <w:bottom w:w="30" w:type="dxa"/>
            <w:right w:w="30" w:type="dxa"/>
          </w:tblCellMar>
          <w:tblLook w:val="04A0"/>
        </w:tblPrEx>
        <w:tc>
          <w:tcPr>
            <w:tcW w:w="362" w:type="pct"/>
            <w:tcBorders>
              <w:top w:val="outset" w:sz="6" w:space="0" w:color="414142"/>
              <w:left w:val="outset" w:sz="6" w:space="0" w:color="414142"/>
              <w:bottom w:val="outset" w:sz="6" w:space="0" w:color="414142"/>
              <w:right w:val="outset" w:sz="6" w:space="0" w:color="414142"/>
            </w:tcBorders>
            <w:hideMark/>
          </w:tcPr>
          <w:p w:rsidR="006C2785" w:rsidRPr="006C2785" w:rsidP="00050C7E" w14:paraId="1DA43A0C" w14:textId="77777777">
            <w:pPr>
              <w:rPr>
                <w:rFonts w:cs="Times New Roman"/>
                <w:sz w:val="24"/>
                <w:szCs w:val="24"/>
              </w:rPr>
            </w:pPr>
            <w:r w:rsidRPr="006C2785">
              <w:rPr>
                <w:rFonts w:cs="Times New Roman"/>
                <w:sz w:val="24"/>
                <w:szCs w:val="24"/>
              </w:rPr>
              <w:t>1.</w:t>
            </w:r>
          </w:p>
        </w:tc>
        <w:tc>
          <w:tcPr>
            <w:tcW w:w="1160" w:type="pct"/>
            <w:tcBorders>
              <w:top w:val="outset" w:sz="6" w:space="0" w:color="414142"/>
              <w:left w:val="outset" w:sz="6" w:space="0" w:color="414142"/>
              <w:bottom w:val="outset" w:sz="6" w:space="0" w:color="414142"/>
              <w:right w:val="outset" w:sz="6" w:space="0" w:color="414142"/>
            </w:tcBorders>
            <w:hideMark/>
          </w:tcPr>
          <w:p w:rsidR="006C2785" w:rsidRPr="006C2785" w:rsidP="00050C7E" w14:paraId="1DA43A0D" w14:textId="77777777">
            <w:pPr>
              <w:jc w:val="both"/>
              <w:rPr>
                <w:rFonts w:cs="Times New Roman"/>
                <w:sz w:val="24"/>
                <w:szCs w:val="24"/>
              </w:rPr>
            </w:pPr>
            <w:r w:rsidRPr="006C2785">
              <w:rPr>
                <w:rFonts w:cs="Times New Roman"/>
                <w:sz w:val="24"/>
                <w:szCs w:val="24"/>
              </w:rPr>
              <w:t>Saistītie tiesību aktu projekti</w:t>
            </w:r>
          </w:p>
        </w:tc>
        <w:tc>
          <w:tcPr>
            <w:tcW w:w="3478" w:type="pct"/>
            <w:tcBorders>
              <w:top w:val="outset" w:sz="6" w:space="0" w:color="414142"/>
              <w:left w:val="outset" w:sz="6" w:space="0" w:color="414142"/>
              <w:bottom w:val="outset" w:sz="6" w:space="0" w:color="414142"/>
              <w:right w:val="outset" w:sz="6" w:space="0" w:color="414142"/>
            </w:tcBorders>
            <w:hideMark/>
          </w:tcPr>
          <w:p w:rsidR="006C2785" w:rsidRPr="001A3F5A" w:rsidP="001A3F5A" w14:paraId="1DA43A0E" w14:textId="77777777">
            <w:pPr>
              <w:jc w:val="both"/>
              <w:rPr>
                <w:rFonts w:cs="Times New Roman"/>
                <w:sz w:val="24"/>
                <w:szCs w:val="24"/>
                <w:lang w:eastAsia="lv-LV"/>
              </w:rPr>
            </w:pPr>
            <w:r>
              <w:rPr>
                <w:rFonts w:cs="Times New Roman"/>
                <w:sz w:val="24"/>
                <w:szCs w:val="24"/>
                <w:lang w:eastAsia="lv-LV"/>
              </w:rPr>
              <w:t>Izstrādājot Noteikumu projektu, nav jāveic grozījumi citos normatīvajos aktos.</w:t>
            </w:r>
          </w:p>
        </w:tc>
      </w:tr>
      <w:tr w14:paraId="1DA43A13" w14:textId="77777777" w:rsidTr="00B62DC7">
        <w:tblPrEx>
          <w:tblW w:w="5846" w:type="pct"/>
          <w:tblInd w:w="-679" w:type="dxa"/>
          <w:tblCellMar>
            <w:top w:w="30" w:type="dxa"/>
            <w:left w:w="30" w:type="dxa"/>
            <w:bottom w:w="30" w:type="dxa"/>
            <w:right w:w="30" w:type="dxa"/>
          </w:tblCellMar>
          <w:tblLook w:val="04A0"/>
        </w:tblPrEx>
        <w:tc>
          <w:tcPr>
            <w:tcW w:w="362" w:type="pct"/>
            <w:tcBorders>
              <w:top w:val="outset" w:sz="6" w:space="0" w:color="414142"/>
              <w:left w:val="outset" w:sz="6" w:space="0" w:color="414142"/>
              <w:bottom w:val="outset" w:sz="6" w:space="0" w:color="414142"/>
              <w:right w:val="outset" w:sz="6" w:space="0" w:color="414142"/>
            </w:tcBorders>
            <w:hideMark/>
          </w:tcPr>
          <w:p w:rsidR="006C2785" w:rsidRPr="006C2785" w:rsidP="00050C7E" w14:paraId="1DA43A10" w14:textId="77777777">
            <w:pPr>
              <w:rPr>
                <w:rFonts w:cs="Times New Roman"/>
                <w:sz w:val="24"/>
                <w:szCs w:val="24"/>
              </w:rPr>
            </w:pPr>
            <w:r w:rsidRPr="006C2785">
              <w:rPr>
                <w:rFonts w:cs="Times New Roman"/>
                <w:sz w:val="24"/>
                <w:szCs w:val="24"/>
              </w:rPr>
              <w:t>2.</w:t>
            </w:r>
          </w:p>
        </w:tc>
        <w:tc>
          <w:tcPr>
            <w:tcW w:w="1160" w:type="pct"/>
            <w:tcBorders>
              <w:top w:val="outset" w:sz="6" w:space="0" w:color="414142"/>
              <w:left w:val="outset" w:sz="6" w:space="0" w:color="414142"/>
              <w:bottom w:val="outset" w:sz="6" w:space="0" w:color="414142"/>
              <w:right w:val="outset" w:sz="6" w:space="0" w:color="414142"/>
            </w:tcBorders>
            <w:hideMark/>
          </w:tcPr>
          <w:p w:rsidR="006C2785" w:rsidRPr="006C2785" w:rsidP="00050C7E" w14:paraId="1DA43A11" w14:textId="77777777">
            <w:pPr>
              <w:rPr>
                <w:rFonts w:cs="Times New Roman"/>
                <w:sz w:val="24"/>
                <w:szCs w:val="24"/>
              </w:rPr>
            </w:pPr>
            <w:r w:rsidRPr="006C2785">
              <w:rPr>
                <w:rFonts w:cs="Times New Roman"/>
                <w:sz w:val="24"/>
                <w:szCs w:val="24"/>
              </w:rPr>
              <w:t>Atbildīgā institūcija</w:t>
            </w:r>
          </w:p>
        </w:tc>
        <w:tc>
          <w:tcPr>
            <w:tcW w:w="3478" w:type="pct"/>
            <w:tcBorders>
              <w:top w:val="outset" w:sz="6" w:space="0" w:color="414142"/>
              <w:left w:val="outset" w:sz="6" w:space="0" w:color="414142"/>
              <w:bottom w:val="outset" w:sz="6" w:space="0" w:color="414142"/>
              <w:right w:val="outset" w:sz="6" w:space="0" w:color="414142"/>
            </w:tcBorders>
            <w:hideMark/>
          </w:tcPr>
          <w:p w:rsidR="006C2785" w:rsidRPr="006C2785" w:rsidP="00050C7E" w14:paraId="1DA43A12" w14:textId="77777777">
            <w:pPr>
              <w:jc w:val="both"/>
              <w:rPr>
                <w:rFonts w:cs="Times New Roman"/>
                <w:sz w:val="24"/>
                <w:szCs w:val="24"/>
              </w:rPr>
            </w:pPr>
            <w:r w:rsidRPr="006C2785">
              <w:rPr>
                <w:rFonts w:cs="Times New Roman"/>
                <w:sz w:val="24"/>
                <w:szCs w:val="24"/>
              </w:rPr>
              <w:t>Aizsardzības ministrija.</w:t>
            </w:r>
          </w:p>
        </w:tc>
      </w:tr>
      <w:tr w14:paraId="1DA43A17" w14:textId="77777777" w:rsidTr="00B62DC7">
        <w:tblPrEx>
          <w:tblW w:w="5846" w:type="pct"/>
          <w:tblInd w:w="-679" w:type="dxa"/>
          <w:tblCellMar>
            <w:top w:w="30" w:type="dxa"/>
            <w:left w:w="30" w:type="dxa"/>
            <w:bottom w:w="30" w:type="dxa"/>
            <w:right w:w="30" w:type="dxa"/>
          </w:tblCellMar>
          <w:tblLook w:val="04A0"/>
        </w:tblPrEx>
        <w:tc>
          <w:tcPr>
            <w:tcW w:w="362" w:type="pct"/>
            <w:tcBorders>
              <w:top w:val="outset" w:sz="6" w:space="0" w:color="414142"/>
              <w:left w:val="outset" w:sz="6" w:space="0" w:color="414142"/>
              <w:bottom w:val="outset" w:sz="6" w:space="0" w:color="414142"/>
              <w:right w:val="outset" w:sz="6" w:space="0" w:color="414142"/>
            </w:tcBorders>
            <w:hideMark/>
          </w:tcPr>
          <w:p w:rsidR="006C2785" w:rsidRPr="006C2785" w:rsidP="00050C7E" w14:paraId="1DA43A14" w14:textId="77777777">
            <w:pPr>
              <w:rPr>
                <w:rFonts w:cs="Times New Roman"/>
                <w:sz w:val="24"/>
                <w:szCs w:val="24"/>
              </w:rPr>
            </w:pPr>
            <w:r w:rsidRPr="006C2785">
              <w:rPr>
                <w:rFonts w:cs="Times New Roman"/>
                <w:sz w:val="24"/>
                <w:szCs w:val="24"/>
              </w:rPr>
              <w:t>3.</w:t>
            </w:r>
          </w:p>
        </w:tc>
        <w:tc>
          <w:tcPr>
            <w:tcW w:w="1160" w:type="pct"/>
            <w:tcBorders>
              <w:top w:val="outset" w:sz="6" w:space="0" w:color="414142"/>
              <w:left w:val="outset" w:sz="6" w:space="0" w:color="414142"/>
              <w:bottom w:val="outset" w:sz="6" w:space="0" w:color="414142"/>
              <w:right w:val="outset" w:sz="6" w:space="0" w:color="414142"/>
            </w:tcBorders>
            <w:hideMark/>
          </w:tcPr>
          <w:p w:rsidR="006C2785" w:rsidRPr="006C2785" w:rsidP="00050C7E" w14:paraId="1DA43A15" w14:textId="77777777">
            <w:pPr>
              <w:rPr>
                <w:rFonts w:cs="Times New Roman"/>
                <w:sz w:val="24"/>
                <w:szCs w:val="24"/>
              </w:rPr>
            </w:pPr>
            <w:r w:rsidRPr="006C2785">
              <w:rPr>
                <w:rFonts w:cs="Times New Roman"/>
                <w:sz w:val="24"/>
                <w:szCs w:val="24"/>
              </w:rPr>
              <w:t>Cita informācija</w:t>
            </w:r>
          </w:p>
        </w:tc>
        <w:tc>
          <w:tcPr>
            <w:tcW w:w="3478" w:type="pct"/>
            <w:tcBorders>
              <w:top w:val="outset" w:sz="6" w:space="0" w:color="414142"/>
              <w:left w:val="outset" w:sz="6" w:space="0" w:color="414142"/>
              <w:bottom w:val="outset" w:sz="6" w:space="0" w:color="414142"/>
              <w:right w:val="outset" w:sz="6" w:space="0" w:color="414142"/>
            </w:tcBorders>
            <w:hideMark/>
          </w:tcPr>
          <w:p w:rsidR="006C2785" w:rsidRPr="006C2785" w:rsidP="00050C7E" w14:paraId="1DA43A16" w14:textId="77777777">
            <w:pPr>
              <w:rPr>
                <w:rFonts w:cs="Times New Roman"/>
                <w:sz w:val="24"/>
                <w:szCs w:val="24"/>
              </w:rPr>
            </w:pPr>
            <w:r w:rsidRPr="006C2785">
              <w:rPr>
                <w:rFonts w:cs="Times New Roman"/>
                <w:sz w:val="24"/>
                <w:szCs w:val="24"/>
              </w:rPr>
              <w:t>Nav.</w:t>
            </w:r>
          </w:p>
        </w:tc>
      </w:tr>
    </w:tbl>
    <w:p w:rsidR="006D02D6" w:rsidRPr="006C2785" w:rsidP="006C2785" w14:paraId="1DA43A18" w14:textId="77777777">
      <w:pPr>
        <w:jc w:val="both"/>
        <w:rPr>
          <w:rFonts w:cs="Times New Roman"/>
          <w:sz w:val="24"/>
          <w:szCs w:val="24"/>
        </w:rPr>
      </w:pPr>
    </w:p>
    <w:tbl>
      <w:tblPr>
        <w:tblW w:w="5846" w:type="pct"/>
        <w:tblInd w:w="-67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782"/>
      </w:tblGrid>
      <w:tr w14:paraId="1DA43A1A" w14:textId="77777777" w:rsidTr="005B1799">
        <w:tblPrEx>
          <w:tblW w:w="5846" w:type="pct"/>
          <w:tblInd w:w="-67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268"/>
        </w:trPr>
        <w:tc>
          <w:tcPr>
            <w:tcW w:w="5000" w:type="pct"/>
            <w:tcBorders>
              <w:top w:val="single" w:sz="4" w:space="0" w:color="auto"/>
              <w:left w:val="outset" w:sz="6" w:space="0" w:color="414142"/>
              <w:bottom w:val="outset" w:sz="6" w:space="0" w:color="414142"/>
              <w:right w:val="outset" w:sz="6" w:space="0" w:color="414142"/>
            </w:tcBorders>
            <w:vAlign w:val="center"/>
            <w:hideMark/>
          </w:tcPr>
          <w:p w:rsidR="006C2785" w:rsidRPr="006C2785" w:rsidP="00050C7E" w14:paraId="1DA43A19" w14:textId="77777777">
            <w:pPr>
              <w:ind w:firstLine="300"/>
              <w:jc w:val="center"/>
              <w:rPr>
                <w:rFonts w:cs="Times New Roman"/>
                <w:b/>
                <w:bCs/>
                <w:sz w:val="24"/>
                <w:szCs w:val="24"/>
              </w:rPr>
            </w:pPr>
            <w:r w:rsidRPr="006C2785">
              <w:rPr>
                <w:rFonts w:cs="Times New Roman"/>
                <w:b/>
                <w:bCs/>
                <w:sz w:val="24"/>
                <w:szCs w:val="24"/>
              </w:rPr>
              <w:t>V. Tiesību akta projekta atbilstība Latvijas Republikas starptautiskajām saistībām</w:t>
            </w:r>
          </w:p>
        </w:tc>
      </w:tr>
      <w:tr w14:paraId="1DA43A1C" w14:textId="77777777" w:rsidTr="009D696D">
        <w:tblPrEx>
          <w:tblW w:w="5846" w:type="pct"/>
          <w:tblInd w:w="-679" w:type="dxa"/>
          <w:tblCellMar>
            <w:top w:w="30" w:type="dxa"/>
            <w:left w:w="30" w:type="dxa"/>
            <w:bottom w:w="30" w:type="dxa"/>
            <w:right w:w="30" w:type="dxa"/>
          </w:tblCellMar>
          <w:tblLook w:val="04A0"/>
        </w:tblPrEx>
        <w:trPr>
          <w:trHeight w:val="328"/>
        </w:trPr>
        <w:tc>
          <w:tcPr>
            <w:tcW w:w="5000" w:type="pct"/>
            <w:tcBorders>
              <w:top w:val="outset" w:sz="6" w:space="0" w:color="414142"/>
              <w:left w:val="outset" w:sz="6" w:space="0" w:color="414142"/>
              <w:bottom w:val="outset" w:sz="6" w:space="0" w:color="414142"/>
              <w:right w:val="outset" w:sz="6" w:space="0" w:color="414142"/>
            </w:tcBorders>
          </w:tcPr>
          <w:p w:rsidR="006C2785" w:rsidRPr="006C2785" w:rsidP="00050C7E" w14:paraId="1DA43A1B" w14:textId="77777777">
            <w:pPr>
              <w:jc w:val="center"/>
              <w:rPr>
                <w:rFonts w:cs="Times New Roman"/>
                <w:sz w:val="24"/>
                <w:szCs w:val="24"/>
              </w:rPr>
            </w:pPr>
            <w:r w:rsidRPr="006C2785">
              <w:rPr>
                <w:rFonts w:cs="Times New Roman"/>
                <w:sz w:val="24"/>
                <w:szCs w:val="24"/>
              </w:rPr>
              <w:t>Noteikumu projekts šo jomu neskar.</w:t>
            </w:r>
          </w:p>
        </w:tc>
      </w:tr>
    </w:tbl>
    <w:p w:rsidR="006C2785" w:rsidRPr="006C2785" w:rsidP="006C2785" w14:paraId="1DA43A1D" w14:textId="77777777">
      <w:pPr>
        <w:jc w:val="both"/>
        <w:rPr>
          <w:rFonts w:cs="Times New Roman"/>
          <w:sz w:val="24"/>
          <w:szCs w:val="24"/>
        </w:rPr>
      </w:pP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1"/>
        <w:gridCol w:w="2299"/>
        <w:gridCol w:w="6961"/>
      </w:tblGrid>
      <w:tr w14:paraId="1DA43A1F" w14:textId="77777777" w:rsidTr="005B1799">
        <w:tblPrEx>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rPr>
          <w:trHeight w:val="371"/>
          <w:jc w:val="center"/>
        </w:trPr>
        <w:tc>
          <w:tcPr>
            <w:tcW w:w="9681" w:type="dxa"/>
            <w:gridSpan w:val="3"/>
            <w:tcBorders>
              <w:top w:val="single" w:sz="4" w:space="0" w:color="auto"/>
              <w:left w:val="single" w:sz="4" w:space="0" w:color="auto"/>
              <w:bottom w:val="single" w:sz="4" w:space="0" w:color="auto"/>
              <w:right w:val="single" w:sz="4" w:space="0" w:color="auto"/>
            </w:tcBorders>
            <w:vAlign w:val="center"/>
            <w:hideMark/>
          </w:tcPr>
          <w:p w:rsidR="006C2785" w:rsidRPr="006C2785" w:rsidP="00050C7E" w14:paraId="1DA43A1E" w14:textId="77777777">
            <w:pPr>
              <w:pStyle w:val="naisnod"/>
              <w:spacing w:before="0" w:after="0"/>
              <w:ind w:left="57" w:right="57"/>
            </w:pPr>
            <w:r w:rsidRPr="006C2785">
              <w:t>VI. Sabiedrības līdzdalība un komunikācijas aktivitātes</w:t>
            </w:r>
          </w:p>
        </w:tc>
      </w:tr>
      <w:tr w14:paraId="1DA43A24" w14:textId="77777777" w:rsidTr="00C1757E">
        <w:tblPrEx>
          <w:tblW w:w="9681" w:type="dxa"/>
          <w:jc w:val="center"/>
          <w:tblLayout w:type="fixed"/>
          <w:tblCellMar>
            <w:left w:w="0" w:type="dxa"/>
            <w:right w:w="0" w:type="dxa"/>
          </w:tblCellMar>
          <w:tblLook w:val="04A0"/>
        </w:tblPrEx>
        <w:trPr>
          <w:trHeight w:val="553"/>
          <w:jc w:val="center"/>
        </w:trPr>
        <w:tc>
          <w:tcPr>
            <w:tcW w:w="421" w:type="dxa"/>
            <w:tcBorders>
              <w:top w:val="single" w:sz="4" w:space="0" w:color="auto"/>
              <w:left w:val="single" w:sz="4" w:space="0" w:color="auto"/>
              <w:bottom w:val="single" w:sz="4" w:space="0" w:color="auto"/>
              <w:right w:val="single" w:sz="4" w:space="0" w:color="auto"/>
            </w:tcBorders>
            <w:hideMark/>
          </w:tcPr>
          <w:p w:rsidR="006C2785" w:rsidRPr="006C2785" w:rsidP="00050C7E" w14:paraId="1DA43A20" w14:textId="77777777">
            <w:pPr>
              <w:ind w:left="57" w:right="57"/>
              <w:jc w:val="both"/>
              <w:rPr>
                <w:rFonts w:cs="Times New Roman"/>
                <w:bCs/>
                <w:sz w:val="24"/>
                <w:szCs w:val="24"/>
              </w:rPr>
            </w:pPr>
            <w:r w:rsidRPr="006C2785">
              <w:rPr>
                <w:rFonts w:cs="Times New Roman"/>
                <w:bCs/>
                <w:sz w:val="24"/>
                <w:szCs w:val="24"/>
              </w:rPr>
              <w:t>1.</w:t>
            </w:r>
          </w:p>
        </w:tc>
        <w:tc>
          <w:tcPr>
            <w:tcW w:w="2299" w:type="dxa"/>
            <w:tcBorders>
              <w:top w:val="single" w:sz="4" w:space="0" w:color="auto"/>
              <w:left w:val="single" w:sz="4" w:space="0" w:color="auto"/>
              <w:bottom w:val="single" w:sz="4" w:space="0" w:color="auto"/>
              <w:right w:val="single" w:sz="4" w:space="0" w:color="auto"/>
            </w:tcBorders>
            <w:hideMark/>
          </w:tcPr>
          <w:p w:rsidR="006C2785" w:rsidRPr="006C2785" w:rsidP="00050C7E" w14:paraId="1DA43A21" w14:textId="77777777">
            <w:pPr>
              <w:tabs>
                <w:tab w:val="left" w:pos="170"/>
              </w:tabs>
              <w:ind w:left="57" w:right="57"/>
              <w:rPr>
                <w:rFonts w:cs="Times New Roman"/>
                <w:sz w:val="24"/>
                <w:szCs w:val="24"/>
              </w:rPr>
            </w:pPr>
            <w:r w:rsidRPr="006C2785">
              <w:rPr>
                <w:rFonts w:cs="Times New Roman"/>
                <w:sz w:val="24"/>
                <w:szCs w:val="24"/>
              </w:rPr>
              <w:t>Plānotās sabiedrības līdzdalības un komunikācijas aktivitātes saistībā ar projektu</w:t>
            </w:r>
          </w:p>
        </w:tc>
        <w:tc>
          <w:tcPr>
            <w:tcW w:w="6961" w:type="dxa"/>
            <w:tcBorders>
              <w:top w:val="single" w:sz="4" w:space="0" w:color="auto"/>
              <w:left w:val="single" w:sz="4" w:space="0" w:color="auto"/>
              <w:bottom w:val="single" w:sz="4" w:space="0" w:color="auto"/>
              <w:right w:val="single" w:sz="4" w:space="0" w:color="auto"/>
            </w:tcBorders>
          </w:tcPr>
          <w:p w:rsidR="006C2785" w:rsidRPr="006C2785" w:rsidP="00050C7E" w14:paraId="1DA43A22" w14:textId="77777777">
            <w:pPr>
              <w:ind w:right="102"/>
              <w:jc w:val="both"/>
              <w:rPr>
                <w:rFonts w:cs="Times New Roman"/>
                <w:sz w:val="24"/>
                <w:szCs w:val="24"/>
              </w:rPr>
            </w:pPr>
            <w:bookmarkStart w:id="2" w:name="p61"/>
            <w:bookmarkEnd w:id="2"/>
            <w:r w:rsidRPr="006C2785">
              <w:rPr>
                <w:rFonts w:cs="Times New Roman"/>
                <w:sz w:val="24"/>
                <w:szCs w:val="24"/>
              </w:rPr>
              <w:t xml:space="preserve">Par Noteikumu projektu tiks informēta sabiedrība, informāciju publicējot Aizsardzības  ministrijas tīmekļa vietnē, adrese: </w:t>
            </w:r>
            <w:r>
              <w:fldChar w:fldCharType="begin"/>
            </w:r>
            <w:r>
              <w:instrText xml:space="preserve"> HYPERLINK "http://www.mod.gov.lv" </w:instrText>
            </w:r>
            <w:r>
              <w:fldChar w:fldCharType="separate"/>
            </w:r>
            <w:r w:rsidRPr="006C2785">
              <w:rPr>
                <w:rStyle w:val="Hyperlink"/>
                <w:rFonts w:cs="Times New Roman"/>
                <w:sz w:val="24"/>
                <w:szCs w:val="24"/>
              </w:rPr>
              <w:t>www.mod.gov.lv</w:t>
            </w:r>
            <w:r>
              <w:fldChar w:fldCharType="end"/>
            </w:r>
            <w:r w:rsidRPr="006C2785">
              <w:rPr>
                <w:rFonts w:cs="Times New Roman"/>
                <w:sz w:val="24"/>
                <w:szCs w:val="24"/>
              </w:rPr>
              <w:t>.</w:t>
            </w:r>
          </w:p>
          <w:p w:rsidR="006C2785" w:rsidRPr="006C2785" w:rsidP="002C2611" w14:paraId="1DA43A23" w14:textId="77777777">
            <w:pPr>
              <w:spacing w:after="120"/>
              <w:ind w:left="57" w:right="57"/>
              <w:jc w:val="both"/>
              <w:rPr>
                <w:rFonts w:cs="Times New Roman"/>
                <w:sz w:val="24"/>
                <w:szCs w:val="24"/>
              </w:rPr>
            </w:pPr>
            <w:r w:rsidRPr="006C2785">
              <w:rPr>
                <w:rFonts w:cs="Times New Roman"/>
                <w:sz w:val="24"/>
                <w:szCs w:val="24"/>
              </w:rPr>
              <w:t xml:space="preserve">Pēc Noteikumu projekta </w:t>
            </w:r>
            <w:r w:rsidR="002C2611">
              <w:rPr>
                <w:rFonts w:cs="Times New Roman"/>
                <w:sz w:val="24"/>
                <w:szCs w:val="24"/>
              </w:rPr>
              <w:t>izskatīšanas ministru kabineta sēdē</w:t>
            </w:r>
            <w:r w:rsidRPr="006C2785">
              <w:rPr>
                <w:rFonts w:cs="Times New Roman"/>
                <w:sz w:val="24"/>
                <w:szCs w:val="24"/>
              </w:rPr>
              <w:t xml:space="preserve"> tas būs pieejams Ministru kabineta tīmekļa vietnē, adrese: </w:t>
            </w:r>
            <w:r>
              <w:fldChar w:fldCharType="begin"/>
            </w:r>
            <w:r>
              <w:instrText xml:space="preserve"> HYPERLINK "http://www.mk.gov.lv" </w:instrText>
            </w:r>
            <w:r>
              <w:fldChar w:fldCharType="separate"/>
            </w:r>
            <w:r w:rsidRPr="006C2785">
              <w:rPr>
                <w:rStyle w:val="Hyperlink"/>
                <w:rFonts w:cs="Times New Roman"/>
                <w:sz w:val="24"/>
                <w:szCs w:val="24"/>
              </w:rPr>
              <w:t>www.mk.gov.lv</w:t>
            </w:r>
            <w:r>
              <w:fldChar w:fldCharType="end"/>
            </w:r>
            <w:r w:rsidRPr="006C2785">
              <w:rPr>
                <w:rFonts w:cs="Times New Roman"/>
                <w:sz w:val="24"/>
                <w:szCs w:val="24"/>
              </w:rPr>
              <w:t>.</w:t>
            </w:r>
          </w:p>
        </w:tc>
      </w:tr>
      <w:tr w14:paraId="1DA43A28" w14:textId="77777777" w:rsidTr="00C1757E">
        <w:tblPrEx>
          <w:tblW w:w="9681" w:type="dxa"/>
          <w:jc w:val="center"/>
          <w:tblLayout w:type="fixed"/>
          <w:tblCellMar>
            <w:left w:w="0" w:type="dxa"/>
            <w:right w:w="0" w:type="dxa"/>
          </w:tblCellMar>
          <w:tblLook w:val="04A0"/>
        </w:tblPrEx>
        <w:trPr>
          <w:trHeight w:val="339"/>
          <w:jc w:val="center"/>
        </w:trPr>
        <w:tc>
          <w:tcPr>
            <w:tcW w:w="421" w:type="dxa"/>
            <w:tcBorders>
              <w:top w:val="single" w:sz="4" w:space="0" w:color="auto"/>
              <w:left w:val="single" w:sz="4" w:space="0" w:color="auto"/>
              <w:bottom w:val="single" w:sz="4" w:space="0" w:color="auto"/>
              <w:right w:val="single" w:sz="4" w:space="0" w:color="auto"/>
            </w:tcBorders>
            <w:hideMark/>
          </w:tcPr>
          <w:p w:rsidR="006C2785" w:rsidRPr="006C2785" w:rsidP="00050C7E" w14:paraId="1DA43A25" w14:textId="77777777">
            <w:pPr>
              <w:ind w:left="57" w:right="57"/>
              <w:jc w:val="both"/>
              <w:rPr>
                <w:rFonts w:cs="Times New Roman"/>
                <w:bCs/>
                <w:sz w:val="24"/>
                <w:szCs w:val="24"/>
              </w:rPr>
            </w:pPr>
            <w:r w:rsidRPr="006C2785">
              <w:rPr>
                <w:rFonts w:cs="Times New Roman"/>
                <w:bCs/>
                <w:sz w:val="24"/>
                <w:szCs w:val="24"/>
              </w:rPr>
              <w:t>2.</w:t>
            </w:r>
          </w:p>
        </w:tc>
        <w:tc>
          <w:tcPr>
            <w:tcW w:w="2299" w:type="dxa"/>
            <w:tcBorders>
              <w:top w:val="single" w:sz="4" w:space="0" w:color="auto"/>
              <w:left w:val="single" w:sz="4" w:space="0" w:color="auto"/>
              <w:bottom w:val="single" w:sz="4" w:space="0" w:color="auto"/>
              <w:right w:val="single" w:sz="4" w:space="0" w:color="auto"/>
            </w:tcBorders>
            <w:hideMark/>
          </w:tcPr>
          <w:p w:rsidR="006C2785" w:rsidRPr="006C2785" w:rsidP="00050C7E" w14:paraId="1DA43A26" w14:textId="77777777">
            <w:pPr>
              <w:ind w:left="57" w:right="57"/>
              <w:rPr>
                <w:rFonts w:cs="Times New Roman"/>
                <w:sz w:val="24"/>
                <w:szCs w:val="24"/>
              </w:rPr>
            </w:pPr>
            <w:r w:rsidRPr="006C2785">
              <w:rPr>
                <w:rFonts w:cs="Times New Roman"/>
                <w:sz w:val="24"/>
                <w:szCs w:val="24"/>
              </w:rPr>
              <w:t>Sabiedrības līdzdalība projekta izstrādē</w:t>
            </w:r>
          </w:p>
        </w:tc>
        <w:tc>
          <w:tcPr>
            <w:tcW w:w="6961" w:type="dxa"/>
            <w:tcBorders>
              <w:top w:val="single" w:sz="4" w:space="0" w:color="auto"/>
              <w:left w:val="single" w:sz="4" w:space="0" w:color="auto"/>
              <w:bottom w:val="single" w:sz="4" w:space="0" w:color="auto"/>
              <w:right w:val="single" w:sz="4" w:space="0" w:color="auto"/>
            </w:tcBorders>
            <w:hideMark/>
          </w:tcPr>
          <w:p w:rsidR="006C2785" w:rsidRPr="006C2785" w:rsidP="00596553" w14:paraId="1DA43A27" w14:textId="77777777">
            <w:pPr>
              <w:ind w:right="102"/>
              <w:jc w:val="both"/>
              <w:rPr>
                <w:rFonts w:cs="Times New Roman"/>
                <w:sz w:val="24"/>
                <w:szCs w:val="24"/>
              </w:rPr>
            </w:pPr>
            <w:bookmarkStart w:id="3" w:name="p62"/>
            <w:bookmarkEnd w:id="3"/>
            <w:r w:rsidRPr="006C2785">
              <w:rPr>
                <w:rFonts w:cs="Times New Roman"/>
                <w:sz w:val="24"/>
                <w:szCs w:val="24"/>
              </w:rPr>
              <w:t xml:space="preserve">Noteikumu projekts </w:t>
            </w:r>
            <w:r w:rsidR="00596553">
              <w:rPr>
                <w:rFonts w:cs="Times New Roman"/>
                <w:sz w:val="24"/>
                <w:szCs w:val="24"/>
              </w:rPr>
              <w:t>netika nodots sabiedriskajai apspriešanai ņemot vērā tā specifisko regulējumu un attiecināmību tikai uz karavīru atlīdzības jautājumiem.</w:t>
            </w:r>
          </w:p>
        </w:tc>
      </w:tr>
      <w:tr w14:paraId="1DA43A2C" w14:textId="77777777" w:rsidTr="00C1757E">
        <w:tblPrEx>
          <w:tblW w:w="9681" w:type="dxa"/>
          <w:jc w:val="center"/>
          <w:tblLayout w:type="fixed"/>
          <w:tblCellMar>
            <w:left w:w="0" w:type="dxa"/>
            <w:right w:w="0" w:type="dxa"/>
          </w:tblCellMar>
          <w:tblLook w:val="04A0"/>
        </w:tblPrEx>
        <w:trPr>
          <w:trHeight w:val="476"/>
          <w:jc w:val="center"/>
        </w:trPr>
        <w:tc>
          <w:tcPr>
            <w:tcW w:w="421" w:type="dxa"/>
            <w:tcBorders>
              <w:top w:val="single" w:sz="4" w:space="0" w:color="auto"/>
              <w:left w:val="single" w:sz="4" w:space="0" w:color="auto"/>
              <w:bottom w:val="single" w:sz="4" w:space="0" w:color="auto"/>
              <w:right w:val="single" w:sz="4" w:space="0" w:color="auto"/>
            </w:tcBorders>
            <w:hideMark/>
          </w:tcPr>
          <w:p w:rsidR="006C2785" w:rsidRPr="006C2785" w:rsidP="00050C7E" w14:paraId="1DA43A29" w14:textId="77777777">
            <w:pPr>
              <w:ind w:left="57" w:right="57"/>
              <w:jc w:val="both"/>
              <w:rPr>
                <w:rFonts w:cs="Times New Roman"/>
                <w:bCs/>
                <w:sz w:val="24"/>
                <w:szCs w:val="24"/>
              </w:rPr>
            </w:pPr>
            <w:r w:rsidRPr="006C2785">
              <w:rPr>
                <w:rFonts w:cs="Times New Roman"/>
                <w:bCs/>
                <w:sz w:val="24"/>
                <w:szCs w:val="24"/>
              </w:rPr>
              <w:t>3.</w:t>
            </w:r>
          </w:p>
        </w:tc>
        <w:tc>
          <w:tcPr>
            <w:tcW w:w="2299" w:type="dxa"/>
            <w:tcBorders>
              <w:top w:val="single" w:sz="4" w:space="0" w:color="auto"/>
              <w:left w:val="single" w:sz="4" w:space="0" w:color="auto"/>
              <w:bottom w:val="single" w:sz="4" w:space="0" w:color="auto"/>
              <w:right w:val="single" w:sz="4" w:space="0" w:color="auto"/>
            </w:tcBorders>
            <w:hideMark/>
          </w:tcPr>
          <w:p w:rsidR="006C2785" w:rsidRPr="006C2785" w:rsidP="00050C7E" w14:paraId="1DA43A2A" w14:textId="77777777">
            <w:pPr>
              <w:ind w:left="57" w:right="57"/>
              <w:rPr>
                <w:rFonts w:cs="Times New Roman"/>
                <w:sz w:val="24"/>
                <w:szCs w:val="24"/>
              </w:rPr>
            </w:pPr>
            <w:r w:rsidRPr="006C2785">
              <w:rPr>
                <w:rFonts w:cs="Times New Roman"/>
                <w:sz w:val="24"/>
                <w:szCs w:val="24"/>
              </w:rPr>
              <w:t>Sabiedrības līdzdalības rezultāti</w:t>
            </w:r>
          </w:p>
        </w:tc>
        <w:tc>
          <w:tcPr>
            <w:tcW w:w="6961" w:type="dxa"/>
            <w:tcBorders>
              <w:top w:val="single" w:sz="4" w:space="0" w:color="auto"/>
              <w:left w:val="single" w:sz="4" w:space="0" w:color="auto"/>
              <w:bottom w:val="single" w:sz="4" w:space="0" w:color="auto"/>
              <w:right w:val="single" w:sz="4" w:space="0" w:color="auto"/>
            </w:tcBorders>
            <w:hideMark/>
          </w:tcPr>
          <w:p w:rsidR="006C2785" w:rsidRPr="006C2785" w:rsidP="00596553" w14:paraId="1DA43A2B" w14:textId="77777777">
            <w:pPr>
              <w:shd w:val="clear" w:color="auto" w:fill="FFFFFF"/>
              <w:ind w:right="57"/>
              <w:jc w:val="both"/>
              <w:rPr>
                <w:rFonts w:cs="Times New Roman"/>
                <w:sz w:val="24"/>
                <w:szCs w:val="24"/>
              </w:rPr>
            </w:pPr>
            <w:r>
              <w:rPr>
                <w:rStyle w:val="Emphasis"/>
                <w:bCs/>
                <w:i w:val="0"/>
                <w:sz w:val="24"/>
                <w:szCs w:val="24"/>
              </w:rPr>
              <w:t>S</w:t>
            </w:r>
            <w:r w:rsidRPr="00596553">
              <w:rPr>
                <w:rFonts w:cs="Times New Roman"/>
                <w:sz w:val="24"/>
                <w:szCs w:val="24"/>
                <w:shd w:val="clear" w:color="auto" w:fill="FFFFFF"/>
              </w:rPr>
              <w:t>abiedrības</w:t>
            </w:r>
            <w:r w:rsidRPr="006C2785">
              <w:rPr>
                <w:rFonts w:cs="Times New Roman"/>
                <w:sz w:val="24"/>
                <w:szCs w:val="24"/>
                <w:shd w:val="clear" w:color="auto" w:fill="FFFFFF"/>
              </w:rPr>
              <w:t xml:space="preserve"> līdzdalības procesa </w:t>
            </w:r>
            <w:r>
              <w:rPr>
                <w:rFonts w:cs="Times New Roman"/>
                <w:sz w:val="24"/>
                <w:szCs w:val="24"/>
                <w:shd w:val="clear" w:color="auto" w:fill="FFFFFF"/>
              </w:rPr>
              <w:t>nepiemērošanas dēļ</w:t>
            </w:r>
            <w:r w:rsidRPr="006C2785">
              <w:rPr>
                <w:rFonts w:cs="Times New Roman"/>
                <w:sz w:val="24"/>
                <w:szCs w:val="24"/>
                <w:shd w:val="clear" w:color="auto" w:fill="FFFFFF"/>
              </w:rPr>
              <w:t xml:space="preserve"> netika </w:t>
            </w:r>
            <w:r>
              <w:rPr>
                <w:rFonts w:cs="Times New Roman"/>
                <w:sz w:val="24"/>
                <w:szCs w:val="24"/>
                <w:shd w:val="clear" w:color="auto" w:fill="FFFFFF"/>
              </w:rPr>
              <w:t xml:space="preserve">arī </w:t>
            </w:r>
            <w:r w:rsidRPr="006C2785">
              <w:rPr>
                <w:rFonts w:cs="Times New Roman"/>
                <w:sz w:val="24"/>
                <w:szCs w:val="24"/>
                <w:shd w:val="clear" w:color="auto" w:fill="FFFFFF"/>
              </w:rPr>
              <w:t>saņemti iebildumi vai priekšlikumi par Noteikumu projektu.</w:t>
            </w:r>
          </w:p>
        </w:tc>
      </w:tr>
      <w:tr w14:paraId="1DA43A30" w14:textId="77777777" w:rsidTr="00C1757E">
        <w:tblPrEx>
          <w:tblW w:w="9681" w:type="dxa"/>
          <w:jc w:val="center"/>
          <w:tblLayout w:type="fixed"/>
          <w:tblCellMar>
            <w:left w:w="0" w:type="dxa"/>
            <w:right w:w="0" w:type="dxa"/>
          </w:tblCellMar>
          <w:tblLook w:val="04A0"/>
        </w:tblPrEx>
        <w:trPr>
          <w:trHeight w:val="476"/>
          <w:jc w:val="center"/>
        </w:trPr>
        <w:tc>
          <w:tcPr>
            <w:tcW w:w="421" w:type="dxa"/>
            <w:tcBorders>
              <w:top w:val="single" w:sz="4" w:space="0" w:color="auto"/>
              <w:left w:val="single" w:sz="4" w:space="0" w:color="auto"/>
              <w:bottom w:val="single" w:sz="4" w:space="0" w:color="auto"/>
              <w:right w:val="single" w:sz="4" w:space="0" w:color="auto"/>
            </w:tcBorders>
            <w:hideMark/>
          </w:tcPr>
          <w:p w:rsidR="006C2785" w:rsidRPr="006C2785" w:rsidP="00050C7E" w14:paraId="1DA43A2D" w14:textId="77777777">
            <w:pPr>
              <w:ind w:left="57" w:right="57"/>
              <w:jc w:val="both"/>
              <w:rPr>
                <w:rFonts w:cs="Times New Roman"/>
                <w:bCs/>
                <w:sz w:val="24"/>
                <w:szCs w:val="24"/>
              </w:rPr>
            </w:pPr>
            <w:r w:rsidRPr="006C2785">
              <w:rPr>
                <w:rFonts w:cs="Times New Roman"/>
                <w:bCs/>
                <w:sz w:val="24"/>
                <w:szCs w:val="24"/>
              </w:rPr>
              <w:t>4.</w:t>
            </w:r>
          </w:p>
        </w:tc>
        <w:tc>
          <w:tcPr>
            <w:tcW w:w="2299" w:type="dxa"/>
            <w:tcBorders>
              <w:top w:val="single" w:sz="4" w:space="0" w:color="auto"/>
              <w:left w:val="single" w:sz="4" w:space="0" w:color="auto"/>
              <w:bottom w:val="single" w:sz="4" w:space="0" w:color="auto"/>
              <w:right w:val="single" w:sz="4" w:space="0" w:color="auto"/>
            </w:tcBorders>
            <w:hideMark/>
          </w:tcPr>
          <w:p w:rsidR="006C2785" w:rsidRPr="006C2785" w:rsidP="00050C7E" w14:paraId="1DA43A2E" w14:textId="77777777">
            <w:pPr>
              <w:ind w:left="57" w:right="57"/>
              <w:rPr>
                <w:rFonts w:cs="Times New Roman"/>
                <w:sz w:val="24"/>
                <w:szCs w:val="24"/>
              </w:rPr>
            </w:pPr>
            <w:r w:rsidRPr="006C2785">
              <w:rPr>
                <w:rFonts w:cs="Times New Roman"/>
                <w:sz w:val="24"/>
                <w:szCs w:val="24"/>
              </w:rPr>
              <w:t>Cita informācija</w:t>
            </w:r>
          </w:p>
        </w:tc>
        <w:tc>
          <w:tcPr>
            <w:tcW w:w="6961" w:type="dxa"/>
            <w:tcBorders>
              <w:top w:val="single" w:sz="4" w:space="0" w:color="auto"/>
              <w:left w:val="single" w:sz="4" w:space="0" w:color="auto"/>
              <w:bottom w:val="single" w:sz="4" w:space="0" w:color="auto"/>
              <w:right w:val="single" w:sz="4" w:space="0" w:color="auto"/>
            </w:tcBorders>
            <w:hideMark/>
          </w:tcPr>
          <w:p w:rsidR="006C2785" w:rsidRPr="006C2785" w:rsidP="00050C7E" w14:paraId="1DA43A2F" w14:textId="77777777">
            <w:pPr>
              <w:ind w:right="57"/>
              <w:jc w:val="both"/>
              <w:rPr>
                <w:rFonts w:cs="Times New Roman"/>
                <w:sz w:val="24"/>
                <w:szCs w:val="24"/>
              </w:rPr>
            </w:pPr>
            <w:r w:rsidRPr="006C2785">
              <w:rPr>
                <w:rFonts w:cs="Times New Roman"/>
                <w:sz w:val="24"/>
                <w:szCs w:val="24"/>
              </w:rPr>
              <w:t>Nav.</w:t>
            </w:r>
          </w:p>
        </w:tc>
      </w:tr>
    </w:tbl>
    <w:p w:rsidR="006C2785" w:rsidRPr="006C2785" w:rsidP="006C2785" w14:paraId="1DA43A31" w14:textId="77777777">
      <w:pPr>
        <w:jc w:val="both"/>
        <w:rPr>
          <w:rFonts w:cs="Times New Roman"/>
          <w:sz w:val="24"/>
          <w:szCs w:val="24"/>
        </w:rPr>
      </w:pPr>
    </w:p>
    <w:tbl>
      <w:tblPr>
        <w:tblpPr w:leftFromText="180" w:rightFromText="180" w:vertAnchor="text" w:horzAnchor="margin" w:tblpX="-545" w:tblpY="40"/>
        <w:tblW w:w="56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5"/>
        <w:gridCol w:w="3828"/>
        <w:gridCol w:w="5133"/>
      </w:tblGrid>
      <w:tr w14:paraId="1DA43A33" w14:textId="77777777" w:rsidTr="009D696D">
        <w:tblPrEx>
          <w:tblW w:w="56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rPr>
          <w:trHeight w:val="231"/>
        </w:trPr>
        <w:tc>
          <w:tcPr>
            <w:tcW w:w="5000" w:type="pct"/>
            <w:gridSpan w:val="3"/>
            <w:tcBorders>
              <w:top w:val="single" w:sz="4" w:space="0" w:color="auto"/>
            </w:tcBorders>
          </w:tcPr>
          <w:p w:rsidR="006C2785" w:rsidRPr="006C2785" w:rsidP="009D696D" w14:paraId="1DA43A32" w14:textId="77777777">
            <w:pPr>
              <w:pStyle w:val="naisnod"/>
              <w:spacing w:before="0" w:after="0"/>
              <w:ind w:left="57" w:right="57"/>
            </w:pPr>
            <w:r w:rsidRPr="006C2785">
              <w:t>VII. Tiesību akta projekta izpildes nodrošināšana un tās ietekme uz institūcijām</w:t>
            </w:r>
          </w:p>
        </w:tc>
      </w:tr>
      <w:tr w14:paraId="1DA43A37" w14:textId="77777777" w:rsidTr="009D696D">
        <w:tblPrEx>
          <w:tblW w:w="5696" w:type="pct"/>
          <w:tblCellMar>
            <w:top w:w="28" w:type="dxa"/>
            <w:left w:w="28" w:type="dxa"/>
            <w:bottom w:w="28" w:type="dxa"/>
            <w:right w:w="28" w:type="dxa"/>
          </w:tblCellMar>
          <w:tblLook w:val="0000"/>
        </w:tblPrEx>
        <w:trPr>
          <w:trHeight w:val="42"/>
        </w:trPr>
        <w:tc>
          <w:tcPr>
            <w:tcW w:w="297" w:type="pct"/>
          </w:tcPr>
          <w:p w:rsidR="006C2785" w:rsidRPr="006C2785" w:rsidP="009D696D" w14:paraId="1DA43A34" w14:textId="77777777">
            <w:pPr>
              <w:pStyle w:val="naisnod"/>
              <w:spacing w:before="0" w:after="0"/>
              <w:ind w:left="57" w:right="57"/>
              <w:rPr>
                <w:b w:val="0"/>
              </w:rPr>
            </w:pPr>
            <w:r w:rsidRPr="006C2785">
              <w:rPr>
                <w:b w:val="0"/>
              </w:rPr>
              <w:t>1.</w:t>
            </w:r>
          </w:p>
        </w:tc>
        <w:tc>
          <w:tcPr>
            <w:tcW w:w="2009" w:type="pct"/>
          </w:tcPr>
          <w:p w:rsidR="006C2785" w:rsidRPr="006C2785" w:rsidP="009D696D" w14:paraId="1DA43A35" w14:textId="77777777">
            <w:pPr>
              <w:pStyle w:val="naisf"/>
              <w:spacing w:before="0" w:after="0"/>
              <w:ind w:firstLine="0"/>
              <w:jc w:val="left"/>
            </w:pPr>
            <w:r w:rsidRPr="006C2785">
              <w:t xml:space="preserve">Projekta izpildē iesaistītās institūcijas </w:t>
            </w:r>
          </w:p>
        </w:tc>
        <w:tc>
          <w:tcPr>
            <w:tcW w:w="2694" w:type="pct"/>
          </w:tcPr>
          <w:p w:rsidR="006C2785" w:rsidRPr="006C2785" w:rsidP="009D696D" w14:paraId="1DA43A36" w14:textId="77777777">
            <w:pPr>
              <w:pStyle w:val="naisnod"/>
              <w:spacing w:before="0" w:after="0"/>
              <w:jc w:val="both"/>
              <w:rPr>
                <w:b w:val="0"/>
              </w:rPr>
            </w:pPr>
            <w:r>
              <w:rPr>
                <w:b w:val="0"/>
                <w:color w:val="000000"/>
              </w:rPr>
              <w:t>Aizsardzības ministrija, Nacionālie bruņotie spēki</w:t>
            </w:r>
            <w:r w:rsidRPr="006C2785">
              <w:rPr>
                <w:b w:val="0"/>
                <w:color w:val="000000"/>
              </w:rPr>
              <w:t>.</w:t>
            </w:r>
          </w:p>
        </w:tc>
      </w:tr>
      <w:tr w14:paraId="1DA43A3E" w14:textId="77777777" w:rsidTr="009D696D">
        <w:tblPrEx>
          <w:tblW w:w="5696" w:type="pct"/>
          <w:tblCellMar>
            <w:top w:w="28" w:type="dxa"/>
            <w:left w:w="28" w:type="dxa"/>
            <w:bottom w:w="28" w:type="dxa"/>
            <w:right w:w="28" w:type="dxa"/>
          </w:tblCellMar>
          <w:tblLook w:val="0000"/>
        </w:tblPrEx>
        <w:trPr>
          <w:trHeight w:val="373"/>
        </w:trPr>
        <w:tc>
          <w:tcPr>
            <w:tcW w:w="297" w:type="pct"/>
          </w:tcPr>
          <w:p w:rsidR="006C2785" w:rsidRPr="006C2785" w:rsidP="009D696D" w14:paraId="1DA43A38" w14:textId="77777777">
            <w:pPr>
              <w:pStyle w:val="naisnod"/>
              <w:spacing w:before="0" w:after="0"/>
              <w:ind w:left="57" w:right="57"/>
              <w:rPr>
                <w:b w:val="0"/>
              </w:rPr>
            </w:pPr>
            <w:r w:rsidRPr="006C2785">
              <w:rPr>
                <w:b w:val="0"/>
              </w:rPr>
              <w:t>2.</w:t>
            </w:r>
          </w:p>
        </w:tc>
        <w:tc>
          <w:tcPr>
            <w:tcW w:w="2009" w:type="pct"/>
          </w:tcPr>
          <w:p w:rsidR="006C2785" w:rsidRPr="006C2785" w:rsidP="009D696D" w14:paraId="1DA43A39" w14:textId="77777777">
            <w:pPr>
              <w:rPr>
                <w:rFonts w:cs="Times New Roman"/>
                <w:sz w:val="24"/>
                <w:szCs w:val="24"/>
              </w:rPr>
            </w:pPr>
            <w:r w:rsidRPr="006C2785">
              <w:rPr>
                <w:rFonts w:cs="Times New Roman"/>
                <w:sz w:val="24"/>
                <w:szCs w:val="24"/>
              </w:rPr>
              <w:t xml:space="preserve">Projekta izpildes ietekme uz pārvaldes funkcijām un institucionālo struktūru. </w:t>
            </w:r>
          </w:p>
          <w:p w:rsidR="006C2785" w:rsidRPr="006C2785" w:rsidP="009D696D" w14:paraId="1DA43A3A" w14:textId="77777777">
            <w:pPr>
              <w:rPr>
                <w:rFonts w:cs="Times New Roman"/>
                <w:sz w:val="24"/>
                <w:szCs w:val="24"/>
              </w:rPr>
            </w:pPr>
          </w:p>
          <w:p w:rsidR="006C2785" w:rsidRPr="006C2785" w:rsidP="009D696D" w14:paraId="1DA43A3B" w14:textId="77777777">
            <w:pPr>
              <w:pStyle w:val="naisf"/>
              <w:spacing w:before="0" w:after="0"/>
              <w:ind w:firstLine="0"/>
              <w:jc w:val="left"/>
            </w:pPr>
            <w:r w:rsidRPr="006C2785">
              <w:t>Jaunu institūciju izveide, esošu institūciju likvidācija vai reorganizācija, to ietekme uz institūcijas cilvēkresursiem</w:t>
            </w:r>
          </w:p>
        </w:tc>
        <w:tc>
          <w:tcPr>
            <w:tcW w:w="2694" w:type="pct"/>
          </w:tcPr>
          <w:p w:rsidR="006C2785" w:rsidRPr="006C2785" w:rsidP="009D696D" w14:paraId="1DA43A3C" w14:textId="77777777">
            <w:pPr>
              <w:ind w:right="102"/>
              <w:jc w:val="both"/>
              <w:rPr>
                <w:rFonts w:eastAsia="Calibri" w:cs="Times New Roman"/>
                <w:iCs/>
                <w:sz w:val="24"/>
                <w:szCs w:val="24"/>
              </w:rPr>
            </w:pPr>
            <w:r w:rsidRPr="006C2785">
              <w:rPr>
                <w:rFonts w:eastAsia="Calibri" w:cs="Times New Roman"/>
                <w:iCs/>
                <w:sz w:val="24"/>
                <w:szCs w:val="24"/>
              </w:rPr>
              <w:t>Noteikumu projekta izpildē netiks izveidotas jaunas institūcijas un netiks likvidētas vai reorganizētas esošās institūcijas.</w:t>
            </w:r>
          </w:p>
          <w:p w:rsidR="006C2785" w:rsidRPr="006C2785" w:rsidP="009D696D" w14:paraId="1DA43A3D" w14:textId="77777777">
            <w:pPr>
              <w:jc w:val="both"/>
              <w:rPr>
                <w:rFonts w:cs="Times New Roman"/>
                <w:sz w:val="24"/>
                <w:szCs w:val="24"/>
              </w:rPr>
            </w:pPr>
          </w:p>
        </w:tc>
      </w:tr>
      <w:tr w14:paraId="1DA43A42" w14:textId="77777777" w:rsidTr="009D696D">
        <w:tblPrEx>
          <w:tblW w:w="5696" w:type="pct"/>
          <w:tblCellMar>
            <w:top w:w="28" w:type="dxa"/>
            <w:left w:w="28" w:type="dxa"/>
            <w:bottom w:w="28" w:type="dxa"/>
            <w:right w:w="28" w:type="dxa"/>
          </w:tblCellMar>
          <w:tblLook w:val="0000"/>
        </w:tblPrEx>
        <w:trPr>
          <w:trHeight w:val="201"/>
        </w:trPr>
        <w:tc>
          <w:tcPr>
            <w:tcW w:w="297" w:type="pct"/>
          </w:tcPr>
          <w:p w:rsidR="006C2785" w:rsidRPr="006C2785" w:rsidP="009D696D" w14:paraId="1DA43A3F" w14:textId="77777777">
            <w:pPr>
              <w:pStyle w:val="naiskr"/>
              <w:spacing w:before="0" w:after="0"/>
              <w:ind w:left="57" w:right="57"/>
              <w:jc w:val="center"/>
            </w:pPr>
            <w:r w:rsidRPr="006C2785">
              <w:t>3.</w:t>
            </w:r>
          </w:p>
        </w:tc>
        <w:tc>
          <w:tcPr>
            <w:tcW w:w="2009" w:type="pct"/>
          </w:tcPr>
          <w:p w:rsidR="006C2785" w:rsidRPr="006C2785" w:rsidP="009D696D" w14:paraId="1DA43A40" w14:textId="77777777">
            <w:pPr>
              <w:pStyle w:val="naiskr"/>
              <w:spacing w:before="0" w:after="0"/>
            </w:pPr>
            <w:r w:rsidRPr="006C2785">
              <w:t>Cita informācija</w:t>
            </w:r>
          </w:p>
        </w:tc>
        <w:tc>
          <w:tcPr>
            <w:tcW w:w="2694" w:type="pct"/>
          </w:tcPr>
          <w:p w:rsidR="006C2785" w:rsidRPr="006C2785" w:rsidP="009D696D" w14:paraId="1DA43A41" w14:textId="77777777">
            <w:pPr>
              <w:jc w:val="both"/>
              <w:rPr>
                <w:rFonts w:cs="Times New Roman"/>
                <w:sz w:val="24"/>
                <w:szCs w:val="24"/>
              </w:rPr>
            </w:pPr>
            <w:r w:rsidRPr="006C2785">
              <w:rPr>
                <w:rFonts w:cs="Times New Roman"/>
                <w:sz w:val="24"/>
                <w:szCs w:val="24"/>
              </w:rPr>
              <w:t xml:space="preserve">Nav. </w:t>
            </w:r>
          </w:p>
        </w:tc>
      </w:tr>
    </w:tbl>
    <w:p w:rsidR="007A2BEC" w:rsidRPr="006C2785" w:rsidP="007A2BEC" w14:paraId="1DA43A43" w14:textId="77777777">
      <w:pPr>
        <w:tabs>
          <w:tab w:val="left" w:pos="3090"/>
        </w:tabs>
        <w:rPr>
          <w:rFonts w:cs="Times New Roman"/>
          <w:sz w:val="24"/>
          <w:szCs w:val="24"/>
          <w:lang w:eastAsia="lv-LV" w:bidi="ar-SA"/>
        </w:rPr>
      </w:pPr>
    </w:p>
    <w:p w:rsidR="00A8533F" w:rsidRPr="006C2785" w:rsidP="007A2BEC" w14:paraId="1DA43A44" w14:textId="77777777">
      <w:pPr>
        <w:tabs>
          <w:tab w:val="left" w:pos="3090"/>
        </w:tabs>
        <w:rPr>
          <w:rFonts w:cs="Times New Roman"/>
          <w:sz w:val="24"/>
          <w:szCs w:val="24"/>
          <w:lang w:eastAsia="lv-LV" w:bidi="ar-SA"/>
        </w:rPr>
      </w:pPr>
    </w:p>
    <w:p w:rsidR="00790A41" w:rsidRPr="006C2785" w:rsidP="007A2BEC" w14:paraId="1DA43A45" w14:textId="77777777">
      <w:pPr>
        <w:tabs>
          <w:tab w:val="left" w:pos="3090"/>
        </w:tabs>
        <w:rPr>
          <w:rFonts w:cs="Times New Roman"/>
          <w:sz w:val="24"/>
          <w:szCs w:val="24"/>
          <w:lang w:eastAsia="lv-LV" w:bidi="ar-SA"/>
        </w:rPr>
      </w:pPr>
      <w:r w:rsidRPr="006C2785">
        <w:rPr>
          <w:rFonts w:cs="Times New Roman"/>
          <w:sz w:val="24"/>
          <w:szCs w:val="24"/>
          <w:lang w:eastAsia="lv-LV" w:bidi="ar-SA"/>
        </w:rPr>
        <w:t>Aizsardzības ministrs</w:t>
      </w:r>
      <w:r w:rsidRPr="006C2785" w:rsidR="00C67C28">
        <w:rPr>
          <w:rFonts w:cs="Times New Roman"/>
          <w:sz w:val="24"/>
          <w:szCs w:val="24"/>
          <w:lang w:eastAsia="lv-LV" w:bidi="ar-SA"/>
        </w:rPr>
        <w:tab/>
      </w:r>
      <w:r w:rsidRPr="006C2785" w:rsidR="00C67C28">
        <w:rPr>
          <w:rFonts w:cs="Times New Roman"/>
          <w:sz w:val="24"/>
          <w:szCs w:val="24"/>
          <w:lang w:eastAsia="lv-LV" w:bidi="ar-SA"/>
        </w:rPr>
        <w:tab/>
      </w:r>
      <w:r w:rsidRPr="006C2785" w:rsidR="00C67C28">
        <w:rPr>
          <w:rFonts w:cs="Times New Roman"/>
          <w:sz w:val="24"/>
          <w:szCs w:val="24"/>
          <w:lang w:eastAsia="lv-LV" w:bidi="ar-SA"/>
        </w:rPr>
        <w:tab/>
      </w:r>
      <w:r w:rsidRPr="006C2785" w:rsidR="005D51D3">
        <w:rPr>
          <w:rFonts w:cs="Times New Roman"/>
          <w:sz w:val="24"/>
          <w:szCs w:val="24"/>
          <w:lang w:eastAsia="lv-LV" w:bidi="ar-SA"/>
        </w:rPr>
        <w:tab/>
      </w:r>
      <w:r w:rsidRPr="006C2785" w:rsidR="005D51D3">
        <w:rPr>
          <w:rFonts w:cs="Times New Roman"/>
          <w:sz w:val="24"/>
          <w:szCs w:val="24"/>
          <w:lang w:eastAsia="lv-LV" w:bidi="ar-SA"/>
        </w:rPr>
        <w:tab/>
      </w:r>
      <w:r w:rsidRPr="006C2785" w:rsidR="00ED20F0">
        <w:rPr>
          <w:rFonts w:cs="Times New Roman"/>
          <w:sz w:val="24"/>
          <w:szCs w:val="24"/>
          <w:lang w:eastAsia="lv-LV" w:bidi="ar-SA"/>
        </w:rPr>
        <w:tab/>
      </w:r>
      <w:r w:rsidR="006C2785">
        <w:rPr>
          <w:rFonts w:cs="Times New Roman"/>
          <w:sz w:val="24"/>
          <w:szCs w:val="24"/>
          <w:lang w:eastAsia="lv-LV" w:bidi="ar-SA"/>
        </w:rPr>
        <w:t xml:space="preserve">         </w:t>
      </w:r>
      <w:r w:rsidRPr="006C2785" w:rsidR="00B54D76">
        <w:rPr>
          <w:rFonts w:cs="Times New Roman"/>
          <w:sz w:val="24"/>
          <w:szCs w:val="24"/>
          <w:lang w:eastAsia="lv-LV" w:bidi="ar-SA"/>
        </w:rPr>
        <w:t>R.Bergma</w:t>
      </w:r>
      <w:r w:rsidRPr="006C2785">
        <w:rPr>
          <w:rFonts w:cs="Times New Roman"/>
          <w:sz w:val="24"/>
          <w:szCs w:val="24"/>
          <w:lang w:eastAsia="lv-LV" w:bidi="ar-SA"/>
        </w:rPr>
        <w:t xml:space="preserve">nis </w:t>
      </w:r>
    </w:p>
    <w:p w:rsidR="00DA45B1" w:rsidP="009D696D" w14:paraId="1DA43A46" w14:textId="77777777">
      <w:pPr>
        <w:ind w:left="-709"/>
        <w:rPr>
          <w:rFonts w:cs="Times New Roman"/>
          <w:sz w:val="24"/>
          <w:szCs w:val="24"/>
          <w:lang w:eastAsia="lv-LV" w:bidi="ar-SA"/>
        </w:rPr>
      </w:pPr>
      <w:r w:rsidRPr="006C2785">
        <w:rPr>
          <w:rFonts w:cs="Times New Roman"/>
          <w:sz w:val="24"/>
          <w:szCs w:val="24"/>
          <w:lang w:eastAsia="lv-LV" w:bidi="ar-SA"/>
        </w:rPr>
        <w:t xml:space="preserve">     </w:t>
      </w:r>
    </w:p>
    <w:p w:rsidR="009D696D" w:rsidP="009D696D" w14:paraId="1DA43A47" w14:textId="77777777">
      <w:pPr>
        <w:ind w:left="-709"/>
        <w:rPr>
          <w:rFonts w:cs="Times New Roman"/>
          <w:sz w:val="24"/>
          <w:szCs w:val="24"/>
          <w:lang w:eastAsia="lv-LV" w:bidi="ar-SA"/>
        </w:rPr>
      </w:pPr>
    </w:p>
    <w:p w:rsidR="005B1799" w:rsidP="009D696D" w14:paraId="1DA43A48" w14:textId="77777777">
      <w:pPr>
        <w:ind w:left="-709"/>
        <w:rPr>
          <w:rFonts w:cs="Times New Roman"/>
          <w:sz w:val="24"/>
          <w:szCs w:val="24"/>
          <w:lang w:eastAsia="lv-LV" w:bidi="ar-SA"/>
        </w:rPr>
      </w:pPr>
    </w:p>
    <w:p w:rsidR="009D696D" w:rsidP="009D696D" w14:paraId="1DA43A49" w14:textId="77777777">
      <w:pPr>
        <w:ind w:left="-709"/>
        <w:rPr>
          <w:rFonts w:cs="Times New Roman"/>
          <w:lang w:eastAsia="lv-LV" w:bidi="ar-SA"/>
        </w:rPr>
      </w:pPr>
    </w:p>
    <w:p w:rsidR="00DA45B1" w:rsidP="00A8533F" w14:paraId="1DA43A4A" w14:textId="77777777">
      <w:pPr>
        <w:ind w:left="-284"/>
        <w:rPr>
          <w:rFonts w:cs="Times New Roman"/>
          <w:lang w:eastAsia="lv-LV" w:bidi="ar-SA"/>
        </w:rPr>
      </w:pPr>
      <w:r>
        <w:rPr>
          <w:rFonts w:cs="Times New Roman"/>
          <w:lang w:eastAsia="lv-LV" w:bidi="ar-SA"/>
        </w:rPr>
        <w:t>I.Jursiņa-Videmane,</w:t>
      </w:r>
      <w:r>
        <w:rPr>
          <w:rFonts w:cs="Times New Roman"/>
          <w:lang w:eastAsia="lv-LV" w:bidi="ar-SA"/>
        </w:rPr>
        <w:t xml:space="preserve"> 67335162</w:t>
      </w:r>
    </w:p>
    <w:p w:rsidR="005260D5" w:rsidP="00A8533F" w14:paraId="1DA43A4B" w14:textId="77777777">
      <w:pPr>
        <w:ind w:left="-284"/>
        <w:rPr>
          <w:rFonts w:cs="Times New Roman"/>
          <w:lang w:eastAsia="lv-LV" w:bidi="ar-SA"/>
        </w:rPr>
      </w:pPr>
      <w:r>
        <w:fldChar w:fldCharType="begin"/>
      </w:r>
      <w:r>
        <w:instrText xml:space="preserve"> HYPERLINK "mailto:ineta.jursina@mod.gov.lv" </w:instrText>
      </w:r>
      <w:r>
        <w:fldChar w:fldCharType="separate"/>
      </w:r>
      <w:r w:rsidRPr="00650923" w:rsidR="00254BF1">
        <w:rPr>
          <w:rStyle w:val="Hyperlink"/>
          <w:rFonts w:cs="Times New Roman"/>
          <w:lang w:eastAsia="lv-LV" w:bidi="ar-SA"/>
        </w:rPr>
        <w:t>ineta.jursina@mod.gov.lv</w:t>
      </w:r>
      <w:r>
        <w:fldChar w:fldCharType="end"/>
      </w:r>
    </w:p>
    <w:p w:rsidR="005260D5" w:rsidP="00A8533F" w14:paraId="1DA43A4C" w14:textId="77777777">
      <w:pPr>
        <w:ind w:left="-284"/>
        <w:rPr>
          <w:rFonts w:cs="Times New Roman"/>
          <w:lang w:eastAsia="lv-LV" w:bidi="ar-SA"/>
        </w:rPr>
      </w:pPr>
    </w:p>
    <w:p w:rsidR="00A8533F" w:rsidP="00A8533F" w14:paraId="1DA43A4D" w14:textId="77777777">
      <w:pPr>
        <w:ind w:left="-284"/>
        <w:rPr>
          <w:rFonts w:cs="Times New Roman"/>
          <w:lang w:eastAsia="lv-LV" w:bidi="ar-SA"/>
        </w:rPr>
      </w:pPr>
      <w:r>
        <w:rPr>
          <w:rFonts w:cs="Times New Roman"/>
          <w:lang w:eastAsia="lv-LV" w:bidi="ar-SA"/>
        </w:rPr>
        <w:t>I.Klūga</w:t>
      </w:r>
      <w:r w:rsidRPr="006C2785" w:rsidR="00121FAA">
        <w:rPr>
          <w:rFonts w:cs="Times New Roman"/>
          <w:lang w:eastAsia="lv-LV" w:bidi="ar-SA"/>
        </w:rPr>
        <w:t xml:space="preserve">, </w:t>
      </w:r>
      <w:r w:rsidRPr="006C2785" w:rsidR="0097202C">
        <w:rPr>
          <w:rFonts w:cs="Times New Roman"/>
          <w:lang w:eastAsia="lv-LV" w:bidi="ar-SA"/>
        </w:rPr>
        <w:t>67</w:t>
      </w:r>
      <w:r>
        <w:rPr>
          <w:rFonts w:cs="Times New Roman"/>
          <w:lang w:eastAsia="lv-LV" w:bidi="ar-SA"/>
        </w:rPr>
        <w:t>071812</w:t>
      </w:r>
    </w:p>
    <w:p w:rsidR="00636B85" w:rsidRPr="006C2785" w:rsidP="00A8533F" w14:paraId="1DA43A4E" w14:textId="77777777">
      <w:pPr>
        <w:ind w:left="-284"/>
        <w:rPr>
          <w:rFonts w:cs="Times New Roman"/>
          <w:lang w:eastAsia="lv-LV" w:bidi="ar-SA"/>
        </w:rPr>
      </w:pPr>
      <w:r>
        <w:rPr>
          <w:rFonts w:cs="Times New Roman"/>
        </w:rPr>
        <w:t>inese.kluga@mil</w:t>
      </w:r>
      <w:r w:rsidRPr="006C2785" w:rsidR="00C67C28">
        <w:rPr>
          <w:rFonts w:cs="Times New Roman"/>
        </w:rPr>
        <w:t>.lv</w:t>
      </w:r>
    </w:p>
    <w:sectPr w:rsidSect="005B1799">
      <w:headerReference w:type="default" r:id="rId5"/>
      <w:footerReference w:type="default" r:id="rId6"/>
      <w:footerReference w:type="first" r:id="rId7"/>
      <w:pgSz w:w="11906" w:h="16838"/>
      <w:pgMar w:top="1276" w:right="1800" w:bottom="1440" w:left="1800" w:header="680" w:footer="504"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1C16" w14:paraId="1DA43A55" w14:textId="77777777">
    <w:pPr>
      <w:pStyle w:val="Footer"/>
    </w:pPr>
    <w:r>
      <w:rPr>
        <w:rFonts w:cs="Times New Roman"/>
        <w:lang w:eastAsia="lv-LV" w:bidi="ar-SA"/>
      </w:rPr>
      <w:fldChar w:fldCharType="begin"/>
    </w:r>
    <w:r>
      <w:rPr>
        <w:rFonts w:cs="Times New Roman"/>
        <w:lang w:eastAsia="lv-LV" w:bidi="ar-SA"/>
      </w:rPr>
      <w:instrText xml:space="preserve"> FILENAME   \* MERGEFORMAT </w:instrText>
    </w:r>
    <w:r>
      <w:rPr>
        <w:rFonts w:cs="Times New Roman"/>
        <w:lang w:eastAsia="lv-LV" w:bidi="ar-SA"/>
      </w:rPr>
      <w:fldChar w:fldCharType="separate"/>
    </w:r>
    <w:r>
      <w:rPr>
        <w:rFonts w:cs="Times New Roman"/>
        <w:lang w:eastAsia="lv-LV" w:bidi="ar-S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1C16" w:rsidRPr="00F72CEF" w:rsidP="0056171E" w14:paraId="1DA43A56" w14:textId="77777777">
    <w:pPr>
      <w:ind w:left="-284" w:right="-341"/>
      <w:jc w:val="both"/>
      <w:rPr>
        <w:rFonts w:cs="Times New Roman"/>
        <w:lang w:eastAsia="lv-LV" w:bidi="ar-SA"/>
      </w:rPr>
    </w:pPr>
    <w:r>
      <w:rPr>
        <w:rFonts w:cs="Times New Roman"/>
        <w:lang w:eastAsia="lv-LV" w:bidi="ar-SA"/>
      </w:rPr>
      <w:fldChar w:fldCharType="begin"/>
    </w:r>
    <w:r>
      <w:rPr>
        <w:rFonts w:cs="Times New Roman"/>
        <w:lang w:eastAsia="lv-LV" w:bidi="ar-SA"/>
      </w:rPr>
      <w:instrText xml:space="preserve"> FILENAME   \* MERGEFORMAT </w:instrText>
    </w:r>
    <w:r>
      <w:rPr>
        <w:rFonts w:cs="Times New Roman"/>
        <w:lang w:eastAsia="lv-LV" w:bidi="ar-SA"/>
      </w:rPr>
      <w:fldChar w:fldCharType="separate"/>
    </w:r>
    <w:r>
      <w:rPr>
        <w:rFonts w:cs="Times New Roman"/>
        <w:lang w:eastAsia="lv-LV" w:bidi="ar-SA"/>
      </w:rPr>
      <w:fldChar w:fldCharType="end"/>
    </w:r>
  </w:p>
  <w:p w:rsidR="00171C16" w14:paraId="1DA43A5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28827344"/>
      <w:docPartObj>
        <w:docPartGallery w:val="Page Numbers (Top of Page)"/>
        <w:docPartUnique/>
      </w:docPartObj>
    </w:sdtPr>
    <w:sdtEndPr>
      <w:rPr>
        <w:noProof/>
      </w:rPr>
    </w:sdtEndPr>
    <w:sdtContent>
      <w:p w:rsidR="00171C16" w14:paraId="1DA43A53" w14:textId="77777777">
        <w:pPr>
          <w:pStyle w:val="Header"/>
          <w:jc w:val="center"/>
        </w:pPr>
        <w:r>
          <w:fldChar w:fldCharType="begin"/>
        </w:r>
        <w:r>
          <w:instrText xml:space="preserve"> PAGE   \* MERGEFORMAT </w:instrText>
        </w:r>
        <w:r>
          <w:fldChar w:fldCharType="separate"/>
        </w:r>
        <w:r w:rsidR="007D7A23">
          <w:rPr>
            <w:noProof/>
          </w:rPr>
          <w:t>6</w:t>
        </w:r>
        <w:r>
          <w:rPr>
            <w:noProof/>
          </w:rPr>
          <w:fldChar w:fldCharType="end"/>
        </w:r>
      </w:p>
    </w:sdtContent>
  </w:sdt>
  <w:p w:rsidR="00171C16" w14:paraId="1DA43A5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F724640"/>
    <w:multiLevelType w:val="hybridMultilevel"/>
    <w:tmpl w:val="5D44948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231E7628"/>
    <w:multiLevelType w:val="hybridMultilevel"/>
    <w:tmpl w:val="9CCA68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2A2876C3"/>
    <w:multiLevelType w:val="hybridMultilevel"/>
    <w:tmpl w:val="A22C056A"/>
    <w:lvl w:ilvl="0">
      <w:start w:val="1"/>
      <w:numFmt w:val="decimal"/>
      <w:lvlText w:val="%1."/>
      <w:lvlJc w:val="left"/>
      <w:pPr>
        <w:ind w:left="646" w:hanging="360"/>
      </w:pPr>
      <w:rPr>
        <w:rFonts w:hint="default"/>
      </w:rPr>
    </w:lvl>
    <w:lvl w:ilvl="1" w:tentative="1">
      <w:start w:val="1"/>
      <w:numFmt w:val="lowerLetter"/>
      <w:lvlText w:val="%2."/>
      <w:lvlJc w:val="left"/>
      <w:pPr>
        <w:ind w:left="1366" w:hanging="360"/>
      </w:pPr>
    </w:lvl>
    <w:lvl w:ilvl="2" w:tentative="1">
      <w:start w:val="1"/>
      <w:numFmt w:val="lowerRoman"/>
      <w:lvlText w:val="%3."/>
      <w:lvlJc w:val="right"/>
      <w:pPr>
        <w:ind w:left="2086" w:hanging="180"/>
      </w:pPr>
    </w:lvl>
    <w:lvl w:ilvl="3" w:tentative="1">
      <w:start w:val="1"/>
      <w:numFmt w:val="decimal"/>
      <w:lvlText w:val="%4."/>
      <w:lvlJc w:val="left"/>
      <w:pPr>
        <w:ind w:left="2806" w:hanging="360"/>
      </w:pPr>
    </w:lvl>
    <w:lvl w:ilvl="4" w:tentative="1">
      <w:start w:val="1"/>
      <w:numFmt w:val="lowerLetter"/>
      <w:lvlText w:val="%5."/>
      <w:lvlJc w:val="left"/>
      <w:pPr>
        <w:ind w:left="3526" w:hanging="360"/>
      </w:pPr>
    </w:lvl>
    <w:lvl w:ilvl="5" w:tentative="1">
      <w:start w:val="1"/>
      <w:numFmt w:val="lowerRoman"/>
      <w:lvlText w:val="%6."/>
      <w:lvlJc w:val="right"/>
      <w:pPr>
        <w:ind w:left="4246" w:hanging="180"/>
      </w:pPr>
    </w:lvl>
    <w:lvl w:ilvl="6" w:tentative="1">
      <w:start w:val="1"/>
      <w:numFmt w:val="decimal"/>
      <w:lvlText w:val="%7."/>
      <w:lvlJc w:val="left"/>
      <w:pPr>
        <w:ind w:left="4966" w:hanging="360"/>
      </w:pPr>
    </w:lvl>
    <w:lvl w:ilvl="7" w:tentative="1">
      <w:start w:val="1"/>
      <w:numFmt w:val="lowerLetter"/>
      <w:lvlText w:val="%8."/>
      <w:lvlJc w:val="left"/>
      <w:pPr>
        <w:ind w:left="5686" w:hanging="360"/>
      </w:pPr>
    </w:lvl>
    <w:lvl w:ilvl="8" w:tentative="1">
      <w:start w:val="1"/>
      <w:numFmt w:val="lowerRoman"/>
      <w:lvlText w:val="%9."/>
      <w:lvlJc w:val="right"/>
      <w:pPr>
        <w:ind w:left="6406" w:hanging="180"/>
      </w:pPr>
    </w:lvl>
  </w:abstractNum>
  <w:abstractNum w:abstractNumId="3" w15:restartNumberingAfterBreak="1">
    <w:nsid w:val="2FEA588F"/>
    <w:multiLevelType w:val="hybridMultilevel"/>
    <w:tmpl w:val="8A8A69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37114993"/>
    <w:multiLevelType w:val="hybridMultilevel"/>
    <w:tmpl w:val="83A85822"/>
    <w:lvl w:ilvl="0">
      <w:start w:val="1"/>
      <w:numFmt w:val="bullet"/>
      <w:lvlText w:val="−"/>
      <w:lvlJc w:val="left"/>
      <w:pPr>
        <w:ind w:left="646" w:hanging="360"/>
      </w:pPr>
      <w:rPr>
        <w:rFonts w:ascii="Times New Roman" w:hAnsi="Times New Roman" w:cs="Times New Roman" w:hint="default"/>
      </w:rPr>
    </w:lvl>
    <w:lvl w:ilvl="1" w:tentative="1">
      <w:start w:val="1"/>
      <w:numFmt w:val="lowerLetter"/>
      <w:lvlText w:val="%2."/>
      <w:lvlJc w:val="left"/>
      <w:pPr>
        <w:ind w:left="1366" w:hanging="360"/>
      </w:pPr>
    </w:lvl>
    <w:lvl w:ilvl="2" w:tentative="1">
      <w:start w:val="1"/>
      <w:numFmt w:val="lowerRoman"/>
      <w:lvlText w:val="%3."/>
      <w:lvlJc w:val="right"/>
      <w:pPr>
        <w:ind w:left="2086" w:hanging="180"/>
      </w:pPr>
    </w:lvl>
    <w:lvl w:ilvl="3" w:tentative="1">
      <w:start w:val="1"/>
      <w:numFmt w:val="decimal"/>
      <w:lvlText w:val="%4."/>
      <w:lvlJc w:val="left"/>
      <w:pPr>
        <w:ind w:left="2806" w:hanging="360"/>
      </w:pPr>
    </w:lvl>
    <w:lvl w:ilvl="4" w:tentative="1">
      <w:start w:val="1"/>
      <w:numFmt w:val="lowerLetter"/>
      <w:lvlText w:val="%5."/>
      <w:lvlJc w:val="left"/>
      <w:pPr>
        <w:ind w:left="3526" w:hanging="360"/>
      </w:pPr>
    </w:lvl>
    <w:lvl w:ilvl="5" w:tentative="1">
      <w:start w:val="1"/>
      <w:numFmt w:val="lowerRoman"/>
      <w:lvlText w:val="%6."/>
      <w:lvlJc w:val="right"/>
      <w:pPr>
        <w:ind w:left="4246" w:hanging="180"/>
      </w:pPr>
    </w:lvl>
    <w:lvl w:ilvl="6" w:tentative="1">
      <w:start w:val="1"/>
      <w:numFmt w:val="decimal"/>
      <w:lvlText w:val="%7."/>
      <w:lvlJc w:val="left"/>
      <w:pPr>
        <w:ind w:left="4966" w:hanging="360"/>
      </w:pPr>
    </w:lvl>
    <w:lvl w:ilvl="7" w:tentative="1">
      <w:start w:val="1"/>
      <w:numFmt w:val="lowerLetter"/>
      <w:lvlText w:val="%8."/>
      <w:lvlJc w:val="left"/>
      <w:pPr>
        <w:ind w:left="5686" w:hanging="360"/>
      </w:pPr>
    </w:lvl>
    <w:lvl w:ilvl="8" w:tentative="1">
      <w:start w:val="1"/>
      <w:numFmt w:val="lowerRoman"/>
      <w:lvlText w:val="%9."/>
      <w:lvlJc w:val="right"/>
      <w:pPr>
        <w:ind w:left="6406" w:hanging="180"/>
      </w:pPr>
    </w:lvl>
  </w:abstractNum>
  <w:abstractNum w:abstractNumId="5" w15:restartNumberingAfterBreak="1">
    <w:nsid w:val="3A40601B"/>
    <w:multiLevelType w:val="hybridMultilevel"/>
    <w:tmpl w:val="DA881A8E"/>
    <w:lvl w:ilvl="0">
      <w:start w:val="202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1">
    <w:nsid w:val="3D7E4D63"/>
    <w:multiLevelType w:val="hybridMultilevel"/>
    <w:tmpl w:val="C1660324"/>
    <w:lvl w:ilvl="0">
      <w:start w:val="5"/>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1">
    <w:nsid w:val="3FD92C9B"/>
    <w:multiLevelType w:val="hybridMultilevel"/>
    <w:tmpl w:val="9CCA68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419D5400"/>
    <w:multiLevelType w:val="hybridMultilevel"/>
    <w:tmpl w:val="9CCA68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6D0234D8"/>
    <w:multiLevelType w:val="hybridMultilevel"/>
    <w:tmpl w:val="9A345D18"/>
    <w:lvl w:ilvl="0">
      <w:start w:val="202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7"/>
  </w:num>
  <w:num w:numId="5">
    <w:abstractNumId w:val="6"/>
  </w:num>
  <w:num w:numId="6">
    <w:abstractNumId w:val="2"/>
  </w:num>
  <w:num w:numId="7">
    <w:abstractNumId w:val="4"/>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67"/>
    <w:rsid w:val="00006622"/>
    <w:rsid w:val="000209AA"/>
    <w:rsid w:val="00034D90"/>
    <w:rsid w:val="000356BC"/>
    <w:rsid w:val="00042181"/>
    <w:rsid w:val="00042F0F"/>
    <w:rsid w:val="00045145"/>
    <w:rsid w:val="000467E8"/>
    <w:rsid w:val="00050C7E"/>
    <w:rsid w:val="00055AF4"/>
    <w:rsid w:val="00066B80"/>
    <w:rsid w:val="00073C4C"/>
    <w:rsid w:val="00077503"/>
    <w:rsid w:val="00085CA6"/>
    <w:rsid w:val="000871FA"/>
    <w:rsid w:val="000937FD"/>
    <w:rsid w:val="000A2455"/>
    <w:rsid w:val="000A284B"/>
    <w:rsid w:val="000B17D3"/>
    <w:rsid w:val="000B465F"/>
    <w:rsid w:val="000C37EA"/>
    <w:rsid w:val="000D0727"/>
    <w:rsid w:val="000D4A26"/>
    <w:rsid w:val="000D4B45"/>
    <w:rsid w:val="000E4A3B"/>
    <w:rsid w:val="000F3F46"/>
    <w:rsid w:val="000F493B"/>
    <w:rsid w:val="000F7033"/>
    <w:rsid w:val="00106707"/>
    <w:rsid w:val="001101B8"/>
    <w:rsid w:val="00110CF7"/>
    <w:rsid w:val="00114DF4"/>
    <w:rsid w:val="00115366"/>
    <w:rsid w:val="00121FAA"/>
    <w:rsid w:val="00122B95"/>
    <w:rsid w:val="00124086"/>
    <w:rsid w:val="00131927"/>
    <w:rsid w:val="00135EE7"/>
    <w:rsid w:val="0013670B"/>
    <w:rsid w:val="00137257"/>
    <w:rsid w:val="0014136F"/>
    <w:rsid w:val="00146413"/>
    <w:rsid w:val="00147110"/>
    <w:rsid w:val="0015005A"/>
    <w:rsid w:val="00150778"/>
    <w:rsid w:val="00161BC2"/>
    <w:rsid w:val="00165C66"/>
    <w:rsid w:val="00171772"/>
    <w:rsid w:val="00171C16"/>
    <w:rsid w:val="00172ECA"/>
    <w:rsid w:val="00184417"/>
    <w:rsid w:val="00186527"/>
    <w:rsid w:val="001A16AF"/>
    <w:rsid w:val="001A3F5A"/>
    <w:rsid w:val="001A5282"/>
    <w:rsid w:val="001A602A"/>
    <w:rsid w:val="001B2B3C"/>
    <w:rsid w:val="001B42A7"/>
    <w:rsid w:val="001B6F3F"/>
    <w:rsid w:val="001C0FC5"/>
    <w:rsid w:val="001C25DB"/>
    <w:rsid w:val="001C3BD5"/>
    <w:rsid w:val="001C6616"/>
    <w:rsid w:val="001C6D6D"/>
    <w:rsid w:val="001D5C7A"/>
    <w:rsid w:val="001E07B4"/>
    <w:rsid w:val="001E1323"/>
    <w:rsid w:val="001E7CA9"/>
    <w:rsid w:val="001F2B68"/>
    <w:rsid w:val="001F6099"/>
    <w:rsid w:val="00200377"/>
    <w:rsid w:val="00201850"/>
    <w:rsid w:val="00204FD2"/>
    <w:rsid w:val="002071EB"/>
    <w:rsid w:val="00211CAA"/>
    <w:rsid w:val="00214049"/>
    <w:rsid w:val="00215292"/>
    <w:rsid w:val="00217186"/>
    <w:rsid w:val="00221928"/>
    <w:rsid w:val="00226001"/>
    <w:rsid w:val="002276DA"/>
    <w:rsid w:val="00230186"/>
    <w:rsid w:val="00230D1E"/>
    <w:rsid w:val="00235A56"/>
    <w:rsid w:val="002437FE"/>
    <w:rsid w:val="00244651"/>
    <w:rsid w:val="0024750C"/>
    <w:rsid w:val="00254BF1"/>
    <w:rsid w:val="0026236D"/>
    <w:rsid w:val="00264C12"/>
    <w:rsid w:val="002657D6"/>
    <w:rsid w:val="00271429"/>
    <w:rsid w:val="00276ACB"/>
    <w:rsid w:val="0028058F"/>
    <w:rsid w:val="00281AF8"/>
    <w:rsid w:val="00285737"/>
    <w:rsid w:val="0029183A"/>
    <w:rsid w:val="00294981"/>
    <w:rsid w:val="002A05A7"/>
    <w:rsid w:val="002A12A3"/>
    <w:rsid w:val="002A5FAE"/>
    <w:rsid w:val="002A7FF6"/>
    <w:rsid w:val="002B3C15"/>
    <w:rsid w:val="002C2201"/>
    <w:rsid w:val="002C2611"/>
    <w:rsid w:val="002C63FF"/>
    <w:rsid w:val="002D6E02"/>
    <w:rsid w:val="002E489C"/>
    <w:rsid w:val="002E7BE1"/>
    <w:rsid w:val="002F05E5"/>
    <w:rsid w:val="002F4AF9"/>
    <w:rsid w:val="00302CB0"/>
    <w:rsid w:val="00304507"/>
    <w:rsid w:val="00310068"/>
    <w:rsid w:val="003103CD"/>
    <w:rsid w:val="00310EA5"/>
    <w:rsid w:val="00332D02"/>
    <w:rsid w:val="003336F6"/>
    <w:rsid w:val="00340B8D"/>
    <w:rsid w:val="00343C7A"/>
    <w:rsid w:val="00344B42"/>
    <w:rsid w:val="00355642"/>
    <w:rsid w:val="00356E80"/>
    <w:rsid w:val="00364681"/>
    <w:rsid w:val="00372DA4"/>
    <w:rsid w:val="003909C9"/>
    <w:rsid w:val="00392774"/>
    <w:rsid w:val="00396F6B"/>
    <w:rsid w:val="003A10A1"/>
    <w:rsid w:val="003A2194"/>
    <w:rsid w:val="003A2432"/>
    <w:rsid w:val="003A39A8"/>
    <w:rsid w:val="003A56E4"/>
    <w:rsid w:val="003B135F"/>
    <w:rsid w:val="003B7E05"/>
    <w:rsid w:val="003C192E"/>
    <w:rsid w:val="003C37B7"/>
    <w:rsid w:val="003C497E"/>
    <w:rsid w:val="003C5875"/>
    <w:rsid w:val="003E1882"/>
    <w:rsid w:val="003E53AB"/>
    <w:rsid w:val="003F7B80"/>
    <w:rsid w:val="0040133A"/>
    <w:rsid w:val="00401CD0"/>
    <w:rsid w:val="00403F45"/>
    <w:rsid w:val="0040452B"/>
    <w:rsid w:val="0041357F"/>
    <w:rsid w:val="00415BFF"/>
    <w:rsid w:val="0041677F"/>
    <w:rsid w:val="00423B1F"/>
    <w:rsid w:val="00424B4B"/>
    <w:rsid w:val="00437AC5"/>
    <w:rsid w:val="00446F6C"/>
    <w:rsid w:val="00457A2D"/>
    <w:rsid w:val="0047737E"/>
    <w:rsid w:val="0048236C"/>
    <w:rsid w:val="00483B6F"/>
    <w:rsid w:val="00496F47"/>
    <w:rsid w:val="004B2601"/>
    <w:rsid w:val="004B5CCC"/>
    <w:rsid w:val="004C2B6A"/>
    <w:rsid w:val="004C2CA6"/>
    <w:rsid w:val="004C43E3"/>
    <w:rsid w:val="004D3C20"/>
    <w:rsid w:val="004D5F2A"/>
    <w:rsid w:val="004D6CBB"/>
    <w:rsid w:val="004E1095"/>
    <w:rsid w:val="004E131D"/>
    <w:rsid w:val="004F3068"/>
    <w:rsid w:val="004F77DB"/>
    <w:rsid w:val="004F7C38"/>
    <w:rsid w:val="00500588"/>
    <w:rsid w:val="00511A3D"/>
    <w:rsid w:val="00515F90"/>
    <w:rsid w:val="00521500"/>
    <w:rsid w:val="00525A5D"/>
    <w:rsid w:val="005260D5"/>
    <w:rsid w:val="005304F3"/>
    <w:rsid w:val="00547658"/>
    <w:rsid w:val="00551A26"/>
    <w:rsid w:val="00557AD2"/>
    <w:rsid w:val="0056001E"/>
    <w:rsid w:val="0056171E"/>
    <w:rsid w:val="00564858"/>
    <w:rsid w:val="005669FA"/>
    <w:rsid w:val="005811B6"/>
    <w:rsid w:val="005864ED"/>
    <w:rsid w:val="0059118B"/>
    <w:rsid w:val="00594E03"/>
    <w:rsid w:val="00596553"/>
    <w:rsid w:val="005A23A3"/>
    <w:rsid w:val="005A4ED1"/>
    <w:rsid w:val="005A6830"/>
    <w:rsid w:val="005A6B38"/>
    <w:rsid w:val="005B1799"/>
    <w:rsid w:val="005B3197"/>
    <w:rsid w:val="005B4C6F"/>
    <w:rsid w:val="005B6A53"/>
    <w:rsid w:val="005D51D3"/>
    <w:rsid w:val="005F2E5E"/>
    <w:rsid w:val="005F520F"/>
    <w:rsid w:val="005F5249"/>
    <w:rsid w:val="005F6C1F"/>
    <w:rsid w:val="005F6C51"/>
    <w:rsid w:val="00603E37"/>
    <w:rsid w:val="00627937"/>
    <w:rsid w:val="00634EB9"/>
    <w:rsid w:val="00636B85"/>
    <w:rsid w:val="00641D67"/>
    <w:rsid w:val="00644F25"/>
    <w:rsid w:val="00647166"/>
    <w:rsid w:val="00650923"/>
    <w:rsid w:val="00652033"/>
    <w:rsid w:val="00654173"/>
    <w:rsid w:val="00667ACF"/>
    <w:rsid w:val="006775AE"/>
    <w:rsid w:val="00683762"/>
    <w:rsid w:val="00686C54"/>
    <w:rsid w:val="00690A12"/>
    <w:rsid w:val="00690D8F"/>
    <w:rsid w:val="006923AC"/>
    <w:rsid w:val="006951DE"/>
    <w:rsid w:val="006A192A"/>
    <w:rsid w:val="006A53E6"/>
    <w:rsid w:val="006B24B8"/>
    <w:rsid w:val="006B3862"/>
    <w:rsid w:val="006B4918"/>
    <w:rsid w:val="006C2785"/>
    <w:rsid w:val="006C55C9"/>
    <w:rsid w:val="006C64CE"/>
    <w:rsid w:val="006D02D6"/>
    <w:rsid w:val="006D079F"/>
    <w:rsid w:val="006D1E8B"/>
    <w:rsid w:val="006D2226"/>
    <w:rsid w:val="006D358B"/>
    <w:rsid w:val="006E57B1"/>
    <w:rsid w:val="006E64F5"/>
    <w:rsid w:val="006F54A2"/>
    <w:rsid w:val="007027FC"/>
    <w:rsid w:val="00712AA9"/>
    <w:rsid w:val="00715107"/>
    <w:rsid w:val="00716C8E"/>
    <w:rsid w:val="00721C60"/>
    <w:rsid w:val="00723144"/>
    <w:rsid w:val="00723FED"/>
    <w:rsid w:val="00727C0E"/>
    <w:rsid w:val="007323F0"/>
    <w:rsid w:val="00736EFD"/>
    <w:rsid w:val="00745C55"/>
    <w:rsid w:val="007568C6"/>
    <w:rsid w:val="00757B10"/>
    <w:rsid w:val="0076163E"/>
    <w:rsid w:val="007635F3"/>
    <w:rsid w:val="00780963"/>
    <w:rsid w:val="00782F9D"/>
    <w:rsid w:val="00790815"/>
    <w:rsid w:val="00790A41"/>
    <w:rsid w:val="007942C7"/>
    <w:rsid w:val="007961BE"/>
    <w:rsid w:val="007A0562"/>
    <w:rsid w:val="007A1516"/>
    <w:rsid w:val="007A2BEC"/>
    <w:rsid w:val="007A5830"/>
    <w:rsid w:val="007A5FBE"/>
    <w:rsid w:val="007B4E5A"/>
    <w:rsid w:val="007C1053"/>
    <w:rsid w:val="007C4235"/>
    <w:rsid w:val="007C4454"/>
    <w:rsid w:val="007D21DE"/>
    <w:rsid w:val="007D40A7"/>
    <w:rsid w:val="007D6CFC"/>
    <w:rsid w:val="007D7A23"/>
    <w:rsid w:val="007E1B18"/>
    <w:rsid w:val="007E5ADE"/>
    <w:rsid w:val="007F2B6F"/>
    <w:rsid w:val="007F4377"/>
    <w:rsid w:val="00802F61"/>
    <w:rsid w:val="0080595E"/>
    <w:rsid w:val="00810771"/>
    <w:rsid w:val="00814C13"/>
    <w:rsid w:val="00814CD5"/>
    <w:rsid w:val="008171F7"/>
    <w:rsid w:val="00827694"/>
    <w:rsid w:val="0083688D"/>
    <w:rsid w:val="008444EF"/>
    <w:rsid w:val="00844558"/>
    <w:rsid w:val="00845FBE"/>
    <w:rsid w:val="00854C82"/>
    <w:rsid w:val="0085598F"/>
    <w:rsid w:val="00856AAF"/>
    <w:rsid w:val="00856F83"/>
    <w:rsid w:val="0088025F"/>
    <w:rsid w:val="008804EF"/>
    <w:rsid w:val="00886FE4"/>
    <w:rsid w:val="00892928"/>
    <w:rsid w:val="008944AB"/>
    <w:rsid w:val="008A6D6A"/>
    <w:rsid w:val="008B0935"/>
    <w:rsid w:val="008B3CF4"/>
    <w:rsid w:val="008C0949"/>
    <w:rsid w:val="008C1C39"/>
    <w:rsid w:val="008C2F87"/>
    <w:rsid w:val="008E6D94"/>
    <w:rsid w:val="008F0A5B"/>
    <w:rsid w:val="008F0C02"/>
    <w:rsid w:val="008F2BD1"/>
    <w:rsid w:val="008F3222"/>
    <w:rsid w:val="008F5434"/>
    <w:rsid w:val="008F6DE2"/>
    <w:rsid w:val="009005C4"/>
    <w:rsid w:val="00905514"/>
    <w:rsid w:val="00910940"/>
    <w:rsid w:val="009169E2"/>
    <w:rsid w:val="009224C1"/>
    <w:rsid w:val="009235D7"/>
    <w:rsid w:val="009247C8"/>
    <w:rsid w:val="00925B7E"/>
    <w:rsid w:val="00937C3E"/>
    <w:rsid w:val="00941B44"/>
    <w:rsid w:val="00943626"/>
    <w:rsid w:val="009471D1"/>
    <w:rsid w:val="0095145F"/>
    <w:rsid w:val="00961EAA"/>
    <w:rsid w:val="0096447E"/>
    <w:rsid w:val="009657BD"/>
    <w:rsid w:val="00965A5E"/>
    <w:rsid w:val="0096701F"/>
    <w:rsid w:val="0097202C"/>
    <w:rsid w:val="00976F58"/>
    <w:rsid w:val="00983C9D"/>
    <w:rsid w:val="009960C2"/>
    <w:rsid w:val="00997028"/>
    <w:rsid w:val="009A02C1"/>
    <w:rsid w:val="009A48D6"/>
    <w:rsid w:val="009B1F8D"/>
    <w:rsid w:val="009B6902"/>
    <w:rsid w:val="009B70FB"/>
    <w:rsid w:val="009C2F78"/>
    <w:rsid w:val="009C5B57"/>
    <w:rsid w:val="009D1A1A"/>
    <w:rsid w:val="009D696D"/>
    <w:rsid w:val="009E0770"/>
    <w:rsid w:val="009E0E0C"/>
    <w:rsid w:val="009E3130"/>
    <w:rsid w:val="009E6583"/>
    <w:rsid w:val="009E6F28"/>
    <w:rsid w:val="009F337A"/>
    <w:rsid w:val="009F339D"/>
    <w:rsid w:val="00A02534"/>
    <w:rsid w:val="00A0446E"/>
    <w:rsid w:val="00A04B18"/>
    <w:rsid w:val="00A04DD0"/>
    <w:rsid w:val="00A14FF3"/>
    <w:rsid w:val="00A15CEE"/>
    <w:rsid w:val="00A16D9F"/>
    <w:rsid w:val="00A21D53"/>
    <w:rsid w:val="00A23FBF"/>
    <w:rsid w:val="00A30EF1"/>
    <w:rsid w:val="00A317B9"/>
    <w:rsid w:val="00A32227"/>
    <w:rsid w:val="00A32467"/>
    <w:rsid w:val="00A32B4E"/>
    <w:rsid w:val="00A34E7E"/>
    <w:rsid w:val="00A375B5"/>
    <w:rsid w:val="00A466EA"/>
    <w:rsid w:val="00A4759E"/>
    <w:rsid w:val="00A53AE5"/>
    <w:rsid w:val="00A63E5E"/>
    <w:rsid w:val="00A6745D"/>
    <w:rsid w:val="00A70580"/>
    <w:rsid w:val="00A70A25"/>
    <w:rsid w:val="00A735D7"/>
    <w:rsid w:val="00A822E2"/>
    <w:rsid w:val="00A8533F"/>
    <w:rsid w:val="00A868AC"/>
    <w:rsid w:val="00A937F1"/>
    <w:rsid w:val="00A93EE6"/>
    <w:rsid w:val="00A97022"/>
    <w:rsid w:val="00AB3169"/>
    <w:rsid w:val="00AC075E"/>
    <w:rsid w:val="00AC4E6C"/>
    <w:rsid w:val="00AD208D"/>
    <w:rsid w:val="00AD4150"/>
    <w:rsid w:val="00AD50C7"/>
    <w:rsid w:val="00AD7323"/>
    <w:rsid w:val="00AE64E3"/>
    <w:rsid w:val="00AF3AC3"/>
    <w:rsid w:val="00AF5039"/>
    <w:rsid w:val="00AF6104"/>
    <w:rsid w:val="00B070ED"/>
    <w:rsid w:val="00B12015"/>
    <w:rsid w:val="00B15A9E"/>
    <w:rsid w:val="00B1791B"/>
    <w:rsid w:val="00B21A90"/>
    <w:rsid w:val="00B30FA4"/>
    <w:rsid w:val="00B371D1"/>
    <w:rsid w:val="00B443D7"/>
    <w:rsid w:val="00B44769"/>
    <w:rsid w:val="00B540A1"/>
    <w:rsid w:val="00B54D76"/>
    <w:rsid w:val="00B62DC7"/>
    <w:rsid w:val="00B712E2"/>
    <w:rsid w:val="00B802FF"/>
    <w:rsid w:val="00B8649C"/>
    <w:rsid w:val="00BA0E0D"/>
    <w:rsid w:val="00BA657C"/>
    <w:rsid w:val="00BC4E6A"/>
    <w:rsid w:val="00BC63E4"/>
    <w:rsid w:val="00BC6C39"/>
    <w:rsid w:val="00BD065A"/>
    <w:rsid w:val="00BD2274"/>
    <w:rsid w:val="00BD3CC6"/>
    <w:rsid w:val="00BD4391"/>
    <w:rsid w:val="00BD4489"/>
    <w:rsid w:val="00BD44CA"/>
    <w:rsid w:val="00BF3242"/>
    <w:rsid w:val="00BF6C2C"/>
    <w:rsid w:val="00C01B5F"/>
    <w:rsid w:val="00C02BED"/>
    <w:rsid w:val="00C16194"/>
    <w:rsid w:val="00C1757E"/>
    <w:rsid w:val="00C23B02"/>
    <w:rsid w:val="00C25CDC"/>
    <w:rsid w:val="00C27BB0"/>
    <w:rsid w:val="00C30F99"/>
    <w:rsid w:val="00C3237D"/>
    <w:rsid w:val="00C3358A"/>
    <w:rsid w:val="00C3594C"/>
    <w:rsid w:val="00C43B5E"/>
    <w:rsid w:val="00C47459"/>
    <w:rsid w:val="00C67C28"/>
    <w:rsid w:val="00C70317"/>
    <w:rsid w:val="00C704AC"/>
    <w:rsid w:val="00C729FB"/>
    <w:rsid w:val="00C777E1"/>
    <w:rsid w:val="00C811FC"/>
    <w:rsid w:val="00C81C18"/>
    <w:rsid w:val="00C95EA2"/>
    <w:rsid w:val="00C978D5"/>
    <w:rsid w:val="00C97B1C"/>
    <w:rsid w:val="00CA15E6"/>
    <w:rsid w:val="00CB08E1"/>
    <w:rsid w:val="00CB1BBD"/>
    <w:rsid w:val="00CB7567"/>
    <w:rsid w:val="00CD135A"/>
    <w:rsid w:val="00CD33D9"/>
    <w:rsid w:val="00CD58B7"/>
    <w:rsid w:val="00CF1AF9"/>
    <w:rsid w:val="00CF2177"/>
    <w:rsid w:val="00CF5CF2"/>
    <w:rsid w:val="00CF6861"/>
    <w:rsid w:val="00D02DC5"/>
    <w:rsid w:val="00D036E1"/>
    <w:rsid w:val="00D07280"/>
    <w:rsid w:val="00D07515"/>
    <w:rsid w:val="00D07F2B"/>
    <w:rsid w:val="00D16953"/>
    <w:rsid w:val="00D23ADD"/>
    <w:rsid w:val="00D36ED9"/>
    <w:rsid w:val="00D41263"/>
    <w:rsid w:val="00D43B44"/>
    <w:rsid w:val="00D472D9"/>
    <w:rsid w:val="00D51502"/>
    <w:rsid w:val="00D51782"/>
    <w:rsid w:val="00D551C3"/>
    <w:rsid w:val="00D717EB"/>
    <w:rsid w:val="00D7325F"/>
    <w:rsid w:val="00D8501E"/>
    <w:rsid w:val="00D960F6"/>
    <w:rsid w:val="00DA3206"/>
    <w:rsid w:val="00DA45B1"/>
    <w:rsid w:val="00DB21FE"/>
    <w:rsid w:val="00DD0C1C"/>
    <w:rsid w:val="00DD1759"/>
    <w:rsid w:val="00DD4D52"/>
    <w:rsid w:val="00DD56D6"/>
    <w:rsid w:val="00DD69E0"/>
    <w:rsid w:val="00DD7579"/>
    <w:rsid w:val="00DE3821"/>
    <w:rsid w:val="00DF71CE"/>
    <w:rsid w:val="00E14E15"/>
    <w:rsid w:val="00E37E70"/>
    <w:rsid w:val="00E439B6"/>
    <w:rsid w:val="00E4593B"/>
    <w:rsid w:val="00E45BF0"/>
    <w:rsid w:val="00E45DFB"/>
    <w:rsid w:val="00E547A7"/>
    <w:rsid w:val="00E65C9A"/>
    <w:rsid w:val="00E676F0"/>
    <w:rsid w:val="00E7142C"/>
    <w:rsid w:val="00E733BF"/>
    <w:rsid w:val="00E735E5"/>
    <w:rsid w:val="00E737A6"/>
    <w:rsid w:val="00E74E30"/>
    <w:rsid w:val="00E759E1"/>
    <w:rsid w:val="00E82042"/>
    <w:rsid w:val="00E82975"/>
    <w:rsid w:val="00E8538C"/>
    <w:rsid w:val="00E924F1"/>
    <w:rsid w:val="00E9544C"/>
    <w:rsid w:val="00E96234"/>
    <w:rsid w:val="00EA18CB"/>
    <w:rsid w:val="00EC1681"/>
    <w:rsid w:val="00ED20F0"/>
    <w:rsid w:val="00EE0DF1"/>
    <w:rsid w:val="00EF6AF3"/>
    <w:rsid w:val="00F00E6A"/>
    <w:rsid w:val="00F074BB"/>
    <w:rsid w:val="00F126D5"/>
    <w:rsid w:val="00F12A5A"/>
    <w:rsid w:val="00F1388D"/>
    <w:rsid w:val="00F154E6"/>
    <w:rsid w:val="00F22346"/>
    <w:rsid w:val="00F24779"/>
    <w:rsid w:val="00F25F8B"/>
    <w:rsid w:val="00F279D5"/>
    <w:rsid w:val="00F30FB3"/>
    <w:rsid w:val="00F378F2"/>
    <w:rsid w:val="00F4179A"/>
    <w:rsid w:val="00F4259B"/>
    <w:rsid w:val="00F42871"/>
    <w:rsid w:val="00F56727"/>
    <w:rsid w:val="00F663BE"/>
    <w:rsid w:val="00F665C1"/>
    <w:rsid w:val="00F72CEF"/>
    <w:rsid w:val="00F9208B"/>
    <w:rsid w:val="00FA47B6"/>
    <w:rsid w:val="00FA4B97"/>
    <w:rsid w:val="00FA74C2"/>
    <w:rsid w:val="00FB397A"/>
    <w:rsid w:val="00FB516A"/>
    <w:rsid w:val="00FD1311"/>
    <w:rsid w:val="00FE0FC0"/>
    <w:rsid w:val="00FE56DE"/>
    <w:rsid w:val="00FE62A2"/>
    <w:rsid w:val="00FE67DE"/>
    <w:rsid w:val="00FF1C3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lang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6001"/>
    <w:rPr>
      <w:color w:val="0000FF" w:themeColor="hyperlink"/>
      <w:u w:val="single"/>
    </w:rPr>
  </w:style>
  <w:style w:type="character" w:styleId="CommentReference">
    <w:name w:val="annotation reference"/>
    <w:basedOn w:val="DefaultParagraphFont"/>
    <w:rsid w:val="00226001"/>
    <w:rPr>
      <w:sz w:val="16"/>
      <w:szCs w:val="16"/>
    </w:rPr>
  </w:style>
  <w:style w:type="paragraph" w:styleId="CommentText">
    <w:name w:val="annotation text"/>
    <w:basedOn w:val="Normal"/>
    <w:link w:val="CommentTextChar"/>
    <w:rsid w:val="00226001"/>
    <w:rPr>
      <w:rFonts w:cs="Times New Roman"/>
      <w:lang w:eastAsia="lv-LV" w:bidi="ar-SA"/>
    </w:rPr>
  </w:style>
  <w:style w:type="character" w:customStyle="1" w:styleId="CommentTextChar">
    <w:name w:val="Comment Text Char"/>
    <w:basedOn w:val="DefaultParagraphFont"/>
    <w:link w:val="CommentText"/>
    <w:rsid w:val="00226001"/>
  </w:style>
  <w:style w:type="paragraph" w:styleId="BalloonText">
    <w:name w:val="Balloon Text"/>
    <w:basedOn w:val="Normal"/>
    <w:link w:val="BalloonTextChar"/>
    <w:rsid w:val="00226001"/>
    <w:rPr>
      <w:rFonts w:ascii="Tahoma" w:hAnsi="Tahoma" w:cs="Tahoma"/>
      <w:sz w:val="16"/>
      <w:szCs w:val="16"/>
    </w:rPr>
  </w:style>
  <w:style w:type="character" w:customStyle="1" w:styleId="BalloonTextChar">
    <w:name w:val="Balloon Text Char"/>
    <w:basedOn w:val="DefaultParagraphFont"/>
    <w:link w:val="BalloonText"/>
    <w:rsid w:val="00226001"/>
    <w:rPr>
      <w:rFonts w:ascii="Tahoma" w:hAnsi="Tahoma" w:cs="Tahoma"/>
      <w:sz w:val="16"/>
      <w:szCs w:val="16"/>
      <w:lang w:eastAsia="en-US" w:bidi="lo-LA"/>
    </w:rPr>
  </w:style>
  <w:style w:type="paragraph" w:styleId="Header">
    <w:name w:val="header"/>
    <w:basedOn w:val="Normal"/>
    <w:link w:val="HeaderChar"/>
    <w:uiPriority w:val="99"/>
    <w:rsid w:val="00721C60"/>
    <w:pPr>
      <w:tabs>
        <w:tab w:val="center" w:pos="4153"/>
        <w:tab w:val="right" w:pos="8306"/>
      </w:tabs>
    </w:pPr>
  </w:style>
  <w:style w:type="character" w:customStyle="1" w:styleId="HeaderChar">
    <w:name w:val="Header Char"/>
    <w:basedOn w:val="DefaultParagraphFont"/>
    <w:link w:val="Header"/>
    <w:uiPriority w:val="99"/>
    <w:rsid w:val="00721C60"/>
    <w:rPr>
      <w:rFonts w:cs="Arial Unicode MS"/>
      <w:lang w:eastAsia="en-US" w:bidi="lo-LA"/>
    </w:rPr>
  </w:style>
  <w:style w:type="paragraph" w:styleId="Footer">
    <w:name w:val="footer"/>
    <w:basedOn w:val="Normal"/>
    <w:link w:val="FooterChar"/>
    <w:uiPriority w:val="99"/>
    <w:rsid w:val="00721C60"/>
    <w:pPr>
      <w:tabs>
        <w:tab w:val="center" w:pos="4153"/>
        <w:tab w:val="right" w:pos="8306"/>
      </w:tabs>
    </w:pPr>
  </w:style>
  <w:style w:type="character" w:customStyle="1" w:styleId="FooterChar">
    <w:name w:val="Footer Char"/>
    <w:basedOn w:val="DefaultParagraphFont"/>
    <w:link w:val="Footer"/>
    <w:uiPriority w:val="99"/>
    <w:rsid w:val="00721C60"/>
    <w:rPr>
      <w:rFonts w:cs="Arial Unicode MS"/>
      <w:lang w:eastAsia="en-US" w:bidi="lo-LA"/>
    </w:rPr>
  </w:style>
  <w:style w:type="paragraph" w:styleId="ListParagraph">
    <w:name w:val="List Paragraph"/>
    <w:basedOn w:val="Normal"/>
    <w:uiPriority w:val="34"/>
    <w:qFormat/>
    <w:rsid w:val="00910940"/>
    <w:pPr>
      <w:ind w:left="720"/>
      <w:contextualSpacing/>
    </w:pPr>
  </w:style>
  <w:style w:type="paragraph" w:styleId="CommentSubject">
    <w:name w:val="annotation subject"/>
    <w:basedOn w:val="CommentText"/>
    <w:next w:val="CommentText"/>
    <w:link w:val="CommentSubjectChar"/>
    <w:rsid w:val="00D07F2B"/>
    <w:rPr>
      <w:rFonts w:cs="Arial Unicode MS"/>
      <w:b/>
      <w:bCs/>
      <w:lang w:eastAsia="en-US" w:bidi="lo-LA"/>
    </w:rPr>
  </w:style>
  <w:style w:type="character" w:customStyle="1" w:styleId="CommentSubjectChar">
    <w:name w:val="Comment Subject Char"/>
    <w:basedOn w:val="CommentTextChar"/>
    <w:link w:val="CommentSubject"/>
    <w:rsid w:val="00D07F2B"/>
    <w:rPr>
      <w:rFonts w:cs="Arial Unicode MS"/>
      <w:b/>
      <w:bCs/>
      <w:lang w:eastAsia="en-US" w:bidi="lo-LA"/>
    </w:rPr>
  </w:style>
  <w:style w:type="paragraph" w:customStyle="1" w:styleId="naisf">
    <w:name w:val="naisf"/>
    <w:basedOn w:val="Normal"/>
    <w:rsid w:val="00A70580"/>
    <w:pPr>
      <w:spacing w:before="75" w:after="75"/>
      <w:ind w:firstLine="375"/>
      <w:jc w:val="both"/>
    </w:pPr>
    <w:rPr>
      <w:rFonts w:cs="Times New Roman"/>
      <w:sz w:val="24"/>
      <w:szCs w:val="24"/>
      <w:lang w:eastAsia="lv-LV" w:bidi="ar-SA"/>
    </w:rPr>
  </w:style>
  <w:style w:type="paragraph" w:customStyle="1" w:styleId="naisnod">
    <w:name w:val="naisnod"/>
    <w:basedOn w:val="Normal"/>
    <w:rsid w:val="00A70580"/>
    <w:pPr>
      <w:spacing w:before="150" w:after="150"/>
      <w:jc w:val="center"/>
    </w:pPr>
    <w:rPr>
      <w:rFonts w:cs="Times New Roman"/>
      <w:b/>
      <w:bCs/>
      <w:sz w:val="24"/>
      <w:szCs w:val="24"/>
      <w:lang w:eastAsia="lv-LV" w:bidi="ar-SA"/>
    </w:rPr>
  </w:style>
  <w:style w:type="paragraph" w:styleId="Revision">
    <w:name w:val="Revision"/>
    <w:hidden/>
    <w:uiPriority w:val="99"/>
    <w:semiHidden/>
    <w:rsid w:val="00E7142C"/>
    <w:rPr>
      <w:rFonts w:cs="Arial Unicode MS"/>
      <w:lang w:eastAsia="en-US" w:bidi="lo-LA"/>
    </w:rPr>
  </w:style>
  <w:style w:type="paragraph" w:styleId="NoSpacing">
    <w:name w:val="No Spacing"/>
    <w:uiPriority w:val="1"/>
    <w:qFormat/>
    <w:rsid w:val="00A70A25"/>
    <w:rPr>
      <w:rFonts w:ascii="Calibri" w:eastAsia="Calibri" w:hAnsi="Calibri"/>
      <w:sz w:val="22"/>
      <w:szCs w:val="22"/>
      <w:lang w:eastAsia="en-US"/>
    </w:rPr>
  </w:style>
  <w:style w:type="table" w:styleId="TableGrid">
    <w:name w:val="Table Grid"/>
    <w:basedOn w:val="TableNormal"/>
    <w:uiPriority w:val="39"/>
    <w:rsid w:val="006C2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6C2785"/>
    <w:pPr>
      <w:spacing w:before="75" w:after="75"/>
    </w:pPr>
    <w:rPr>
      <w:rFonts w:cs="Times New Roman"/>
      <w:sz w:val="24"/>
      <w:szCs w:val="24"/>
      <w:lang w:eastAsia="lv-LV" w:bidi="ar-SA"/>
    </w:rPr>
  </w:style>
  <w:style w:type="character" w:styleId="Emphasis">
    <w:name w:val="Emphasis"/>
    <w:basedOn w:val="DefaultParagraphFont"/>
    <w:uiPriority w:val="20"/>
    <w:qFormat/>
    <w:rsid w:val="006C2785"/>
    <w:rPr>
      <w:i/>
      <w:iCs/>
    </w:rPr>
  </w:style>
  <w:style w:type="paragraph" w:customStyle="1" w:styleId="Default">
    <w:name w:val="Default"/>
    <w:rsid w:val="00716C8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574AA-B7FD-4F3D-B360-72D6E02EA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1888</Words>
  <Characters>12824</Characters>
  <Application>Microsoft Office Word</Application>
  <DocSecurity>0</DocSecurity>
  <Lines>106</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projeks</vt:lpstr>
      <vt:lpstr>Ministru kabineta noteikumu projeks</vt:lpstr>
    </vt:vector>
  </TitlesOfParts>
  <Manager>RPD</Manager>
  <Company>AIM</Company>
  <LinksUpToDate>false</LinksUpToDate>
  <CharactersWithSpaces>14683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projeks</dc:title>
  <dc:subject>Grozījumi Ministru kabineta 2014.gada 26.augusta noteikumos Nr.509 "Noteikumi par karavīra mēnešalgas un speciālo piemaksu noteikšanas kārtību un apmēru"</dc:subject>
  <dc:creator>I.Jursiņa-Videmane</dc:creator>
  <dc:description>67335162_x000D_
ineta.jursina@mod.gov.lv</dc:description>
  <cp:lastModifiedBy>Ineta Jursina</cp:lastModifiedBy>
  <cp:revision>10</cp:revision>
  <cp:lastPrinted>2018-10-04T11:20:00Z</cp:lastPrinted>
  <dcterms:created xsi:type="dcterms:W3CDTF">2018-10-04T06:53:00Z</dcterms:created>
  <dcterms:modified xsi:type="dcterms:W3CDTF">2018-10-04T12:58:00Z</dcterms:modified>
</cp:coreProperties>
</file>