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2A02" w14:textId="77777777" w:rsidR="00F95C27" w:rsidRPr="00904D10" w:rsidRDefault="00186537" w:rsidP="00951692">
      <w:pPr>
        <w:jc w:val="center"/>
        <w:rPr>
          <w:b/>
        </w:rPr>
      </w:pPr>
      <w:r w:rsidRPr="00904D10">
        <w:rPr>
          <w:b/>
        </w:rPr>
        <w:t xml:space="preserve">Ministru kabineta noteikumu projekta </w:t>
      </w:r>
    </w:p>
    <w:p w14:paraId="418EACB0" w14:textId="16C0E62A" w:rsidR="00BC0098" w:rsidRPr="00904D10" w:rsidRDefault="00186537" w:rsidP="003A42ED">
      <w:pPr>
        <w:jc w:val="both"/>
        <w:rPr>
          <w:b/>
        </w:rPr>
      </w:pPr>
      <w:r w:rsidRPr="00904D10">
        <w:rPr>
          <w:b/>
        </w:rPr>
        <w:t>“</w:t>
      </w:r>
      <w:r w:rsidR="003A42ED" w:rsidRPr="00904D10">
        <w:rPr>
          <w:b/>
        </w:rPr>
        <w:t>Par Beļģijas Karalistes aizsardzības ministra, Kanādas Nacionālās Aizsardzības departamenta, Dānijas Aizsardzības ministrijas, Francijas Republikas aizsardzības ministra, Vācijas Federālās Republikas Federālās aizsardzības ministrijas, Grieķijas Republikas Nacionālās aizsardzības ministrijas, Islandes Ārlietu ministrijas, Itālijas Republikas Aizsardzības ministrijas, Luksemburgas Lielhercogistes aizsardzības ministra, Nīderlandes Karalistes aizsardzības ministra, Norvēģijas Karalistes Aizsardzības ministrijas, Portugāles Republikas Aizsardzības ministrijas, Spānijas Karalistes aizsardzības ministra, Turcijas Republikas Nacionālās aizsardzības ministrijas, Lielbritānijas un Ziemeļīrijas Apvienotās Karalistes aizsardzības valsts sekretāra, Čehijas Republikas Aizsardzības ministrijas, Ungārijas Republikas Aizsardzības ministrijas, Polijas Republikas Nacionālās aizsardzības ministra, Bulgārijas Republikas aizsardzības ministra, Igaunijas Republikas aizsardzības ministra, Latvijas Republikas Aizsardzības ministrijas, Lietuvas Republikas Nacionālās aizsardzības ministrijas, Rumānijas Nacionālās Aizsardzības ministrijas, Slovākijas Republikas Aizsardzības ministrijas, Slovēnijas Republikas aizsardzības ministra, Albānijas Republikas aizsardzības ministra, Horvātijas Republikas aizsardzības ministra, Melnkalnes aizsardzības ministra un Amerikas Savienoto Va</w:t>
      </w:r>
      <w:r w:rsidR="00810D14" w:rsidRPr="00904D10">
        <w:rPr>
          <w:b/>
        </w:rPr>
        <w:t>lstu Aizsardzības departamenta s</w:t>
      </w:r>
      <w:r w:rsidR="003A42ED" w:rsidRPr="00904D10">
        <w:rPr>
          <w:b/>
        </w:rPr>
        <w:t xml:space="preserve">esto papildinājumu </w:t>
      </w:r>
      <w:r w:rsidR="009F1C30" w:rsidRPr="00904D10">
        <w:rPr>
          <w:b/>
        </w:rPr>
        <w:t>IV</w:t>
      </w:r>
      <w:r w:rsidR="003A42ED" w:rsidRPr="00904D10">
        <w:rPr>
          <w:b/>
        </w:rPr>
        <w:t xml:space="preserve"> saprašanās memorandam par NAVSTAR globālās pozicionēšanas sistēmu</w:t>
      </w:r>
      <w:r w:rsidRPr="00904D10">
        <w:rPr>
          <w:b/>
        </w:rPr>
        <w:t>” sākotnējās ietekmes novērtējuma ziņojums (anotācija)</w:t>
      </w:r>
    </w:p>
    <w:p w14:paraId="5898EF21" w14:textId="77777777" w:rsidR="00186537" w:rsidRPr="00904D10" w:rsidRDefault="00186537" w:rsidP="00951692">
      <w:pPr>
        <w:jc w:val="center"/>
      </w:pPr>
    </w:p>
    <w:p w14:paraId="2E8EC2CA" w14:textId="5A6DC2E8" w:rsidR="002957E9" w:rsidRPr="00904D10" w:rsidRDefault="002957E9" w:rsidP="00951692">
      <w:pPr>
        <w:pStyle w:val="Title"/>
        <w:ind w:firstLine="539"/>
        <w:jc w:val="both"/>
        <w:rPr>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49"/>
        <w:gridCol w:w="5441"/>
      </w:tblGrid>
      <w:tr w:rsidR="00B87728" w:rsidRPr="00904D10" w14:paraId="0DCE6CF4" w14:textId="77777777" w:rsidTr="00B8772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Pr="00904D10" w:rsidRDefault="00B87728">
            <w:pPr>
              <w:ind w:right="290"/>
              <w:jc w:val="center"/>
              <w:rPr>
                <w:b/>
                <w:bCs/>
                <w:iCs/>
              </w:rPr>
            </w:pPr>
            <w:r w:rsidRPr="00904D10">
              <w:rPr>
                <w:b/>
                <w:bCs/>
                <w:iCs/>
              </w:rPr>
              <w:t>Tiesību akta projekta anotācijas kopsavilkums</w:t>
            </w:r>
          </w:p>
        </w:tc>
      </w:tr>
      <w:tr w:rsidR="00B87728" w:rsidRPr="00904D10" w14:paraId="29D23D9B" w14:textId="77777777" w:rsidTr="00B8772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3368789" w14:textId="77777777" w:rsidR="00B87728" w:rsidRPr="00904D10" w:rsidRDefault="00B87728">
            <w:pPr>
              <w:rPr>
                <w:iCs/>
                <w:sz w:val="28"/>
                <w:szCs w:val="28"/>
              </w:rPr>
            </w:pPr>
            <w:r w:rsidRPr="00904D10">
              <w:rPr>
                <w:iCs/>
                <w:sz w:val="28"/>
                <w:szCs w:val="28"/>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DFA63C5" w14:textId="7951C5D8" w:rsidR="00B87728" w:rsidRPr="00904D10" w:rsidRDefault="00DD713C">
            <w:pPr>
              <w:ind w:firstLine="325"/>
              <w:jc w:val="both"/>
              <w:rPr>
                <w:iCs/>
              </w:rPr>
            </w:pPr>
            <w:r w:rsidRPr="00904D10">
              <w:rPr>
                <w:iCs/>
              </w:rPr>
              <w:t>Netiek aizpildīts, pamatojoties uz  Ministru kabineta 2009.</w:t>
            </w:r>
            <w:r w:rsidR="00F95C27" w:rsidRPr="00904D10">
              <w:rPr>
                <w:iCs/>
              </w:rPr>
              <w:t> </w:t>
            </w:r>
            <w:r w:rsidRPr="00904D10">
              <w:rPr>
                <w:iCs/>
              </w:rPr>
              <w:t>gada 15.</w:t>
            </w:r>
            <w:r w:rsidR="00F95C27" w:rsidRPr="00904D10">
              <w:rPr>
                <w:iCs/>
              </w:rPr>
              <w:t> </w:t>
            </w:r>
            <w:r w:rsidRPr="00904D10">
              <w:rPr>
                <w:iCs/>
              </w:rPr>
              <w:t>decembra noteikumu Nr.</w:t>
            </w:r>
            <w:r w:rsidR="00F95C27" w:rsidRPr="00904D10">
              <w:rPr>
                <w:iCs/>
              </w:rPr>
              <w:t> </w:t>
            </w:r>
            <w:r w:rsidRPr="00904D10">
              <w:rPr>
                <w:iCs/>
              </w:rPr>
              <w:t>19 “Tiesību akta projekta sākotnējās ietekmes izvērtēšanas kārtība” 5.¹</w:t>
            </w:r>
            <w:r w:rsidR="00F95C27" w:rsidRPr="00904D10">
              <w:rPr>
                <w:iCs/>
              </w:rPr>
              <w:t> </w:t>
            </w:r>
            <w:r w:rsidRPr="00904D10">
              <w:rPr>
                <w:iCs/>
              </w:rPr>
              <w:t>punktu.</w:t>
            </w:r>
          </w:p>
        </w:tc>
      </w:tr>
    </w:tbl>
    <w:p w14:paraId="3FDB192B" w14:textId="54B62DDF" w:rsidR="00B87728" w:rsidRPr="00904D10" w:rsidRDefault="00B87728" w:rsidP="00951692">
      <w:pPr>
        <w:pStyle w:val="Title"/>
        <w:ind w:firstLine="539"/>
        <w:jc w:val="both"/>
        <w:rPr>
          <w:sz w:val="24"/>
          <w:szCs w:val="24"/>
        </w:rPr>
      </w:pPr>
    </w:p>
    <w:p w14:paraId="243650E9" w14:textId="77777777" w:rsidR="00B87728" w:rsidRPr="00904D10" w:rsidRDefault="00B87728"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714"/>
        <w:gridCol w:w="6136"/>
      </w:tblGrid>
      <w:tr w:rsidR="00C81206" w:rsidRPr="00904D10"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904D10" w:rsidRDefault="004A4044" w:rsidP="00951692">
            <w:pPr>
              <w:jc w:val="center"/>
              <w:rPr>
                <w:b/>
                <w:bCs/>
                <w:lang w:eastAsia="en-US"/>
              </w:rPr>
            </w:pPr>
            <w:r w:rsidRPr="00904D10">
              <w:rPr>
                <w:b/>
                <w:bCs/>
                <w:lang w:eastAsia="en-US"/>
              </w:rPr>
              <w:t>I. Tiesību akta projekta izstrādes nepieciešamība</w:t>
            </w:r>
          </w:p>
        </w:tc>
      </w:tr>
      <w:tr w:rsidR="00C81206" w:rsidRPr="00904D10" w14:paraId="181FE1CD"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904D10" w:rsidRDefault="004A4044" w:rsidP="00951692">
            <w:pPr>
              <w:jc w:val="center"/>
              <w:rPr>
                <w:lang w:eastAsia="en-US"/>
              </w:rPr>
            </w:pPr>
            <w:r w:rsidRPr="00904D10">
              <w:rPr>
                <w:lang w:eastAsia="en-US"/>
              </w:rPr>
              <w:t>1.</w:t>
            </w:r>
          </w:p>
        </w:tc>
        <w:tc>
          <w:tcPr>
            <w:tcW w:w="1486" w:type="pct"/>
            <w:tcBorders>
              <w:top w:val="single" w:sz="4" w:space="0" w:color="auto"/>
              <w:left w:val="single" w:sz="4" w:space="0" w:color="auto"/>
              <w:bottom w:val="single" w:sz="4" w:space="0" w:color="auto"/>
              <w:right w:val="single" w:sz="4" w:space="0" w:color="auto"/>
            </w:tcBorders>
            <w:hideMark/>
          </w:tcPr>
          <w:p w14:paraId="04B74F7D" w14:textId="77777777" w:rsidR="002957E9" w:rsidRPr="00904D10" w:rsidRDefault="004A4044" w:rsidP="00541A46">
            <w:pPr>
              <w:jc w:val="both"/>
              <w:rPr>
                <w:lang w:eastAsia="en-US"/>
              </w:rPr>
            </w:pPr>
            <w:r w:rsidRPr="00904D10">
              <w:rPr>
                <w:lang w:eastAsia="en-US"/>
              </w:rPr>
              <w:t>Pamatojums</w:t>
            </w:r>
          </w:p>
        </w:tc>
        <w:tc>
          <w:tcPr>
            <w:tcW w:w="3360" w:type="pct"/>
            <w:tcBorders>
              <w:top w:val="single" w:sz="4" w:space="0" w:color="auto"/>
              <w:left w:val="single" w:sz="4" w:space="0" w:color="auto"/>
              <w:bottom w:val="single" w:sz="4" w:space="0" w:color="auto"/>
              <w:right w:val="single" w:sz="4" w:space="0" w:color="auto"/>
            </w:tcBorders>
            <w:hideMark/>
          </w:tcPr>
          <w:p w14:paraId="0771142E" w14:textId="455E0D4B" w:rsidR="002957E9" w:rsidRPr="00904D10" w:rsidRDefault="009D662E" w:rsidP="00B21AF0">
            <w:pPr>
              <w:jc w:val="both"/>
              <w:rPr>
                <w:lang w:eastAsia="en-US"/>
              </w:rPr>
            </w:pPr>
            <w:r w:rsidRPr="00904D10">
              <w:t>Melnkalne ir izteikusi vēlmi pievienoties Daudzpusējam saprašanās memorandam par NAVSTAR globālās pozicionēšanas sistēmu, kurš ir apstiprināts Ministru kabinetā. Līdz ar to, lai Melnkalnes aizsardzības ministrs varētu pievienoties saprašanās memorandam, nepieciešams Ministru kabineta apstiprinājums.</w:t>
            </w:r>
          </w:p>
        </w:tc>
      </w:tr>
      <w:tr w:rsidR="00C81206" w:rsidRPr="00904D10" w14:paraId="1EC28954" w14:textId="77777777" w:rsidTr="00B369D8">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904D10" w:rsidRDefault="004A4044" w:rsidP="00951692">
            <w:pPr>
              <w:jc w:val="center"/>
              <w:rPr>
                <w:lang w:eastAsia="en-US"/>
              </w:rPr>
            </w:pPr>
            <w:r w:rsidRPr="00904D10">
              <w:rPr>
                <w:lang w:eastAsia="en-US"/>
              </w:rPr>
              <w:t>2.</w:t>
            </w:r>
          </w:p>
        </w:tc>
        <w:tc>
          <w:tcPr>
            <w:tcW w:w="1486" w:type="pct"/>
            <w:tcBorders>
              <w:top w:val="single" w:sz="4" w:space="0" w:color="auto"/>
              <w:left w:val="single" w:sz="4" w:space="0" w:color="auto"/>
              <w:bottom w:val="single" w:sz="4" w:space="0" w:color="auto"/>
              <w:right w:val="single" w:sz="4" w:space="0" w:color="auto"/>
            </w:tcBorders>
            <w:hideMark/>
          </w:tcPr>
          <w:p w14:paraId="45101722" w14:textId="77777777" w:rsidR="002957E9" w:rsidRPr="00904D10" w:rsidRDefault="004A4044" w:rsidP="00541A46">
            <w:pPr>
              <w:jc w:val="both"/>
              <w:rPr>
                <w:lang w:eastAsia="en-US"/>
              </w:rPr>
            </w:pPr>
            <w:r w:rsidRPr="00904D10">
              <w:rPr>
                <w:lang w:eastAsia="en-US"/>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hideMark/>
          </w:tcPr>
          <w:p w14:paraId="41700F1D" w14:textId="77777777" w:rsidR="00570FC9" w:rsidRPr="00904D10" w:rsidRDefault="00570FC9" w:rsidP="00570FC9">
            <w:pPr>
              <w:jc w:val="both"/>
            </w:pPr>
            <w:r w:rsidRPr="00904D10">
              <w:t xml:space="preserve">2005.gada 4.janvārī tika pieņemti Ministru kabineta noteikumi Nr.1 „ Par IV Saprašanās memorandu starp Beļģijas Karalistes nacionālās aizsardzības ministru, Kanādas Nacionālās aizsardzības ministriju, Dānijas Aizsardzības ministriju, Francijas Republikas aizsardzības ministru, Vācijas Federatīvās Republikas aizsardzības ministru, Grieķijas Republikas Aizsardzības ministriju, Islandes Ārlietu ministriju, Itālijas Republikas aizsardzības ministru, Luksemburgas Lielhercogistes Valsts spēku ministriju, Nīderlandes Karalistes aizsardzības ministru, Norvēģijas Karalistes Aizsardzības ministriju, Portugāles Republikas Aizsardzības ministriju, Spānijas Karalistes aizsardzības ministru, Turcijas Republikas Nacionālās aizsardzības ministriju, Lielbritānijas un Ziemeļīrijas Apvienotās Karalistes aizsardzības ministru, </w:t>
            </w:r>
            <w:r w:rsidRPr="00904D10">
              <w:lastRenderedPageBreak/>
              <w:t>Čehijas Republikas aizsardzības ministru, Ungārijas Republikas aizsardzības ministru, Polijas Republikas aizsardzības ministru un Amerikas Savienoto Valstu Aizsardzības ministriju par NAVSTAR globālās pozicionēšanas sistēmu (turpmāk – Saprašanās memorands).</w:t>
            </w:r>
          </w:p>
          <w:p w14:paraId="0300A5E7" w14:textId="77777777" w:rsidR="00570FC9" w:rsidRPr="00904D10" w:rsidRDefault="00570FC9" w:rsidP="00570FC9">
            <w:pPr>
              <w:jc w:val="both"/>
            </w:pPr>
            <w:r w:rsidRPr="00904D10">
              <w:t>Amerikas Savienoto Valstu Aizsardzības ministrija ir izvietojusi NAVSTAR globālās pozicionēšanas sistēmu (GPS).</w:t>
            </w:r>
          </w:p>
          <w:p w14:paraId="4AE944A4" w14:textId="77777777" w:rsidR="00570FC9" w:rsidRPr="00904D10" w:rsidRDefault="00570FC9" w:rsidP="00570FC9">
            <w:pPr>
              <w:jc w:val="both"/>
            </w:pPr>
            <w:r w:rsidRPr="00904D10">
              <w:t>Dalībvalstis ir noslēgušas šo Saprašanās memorandu, lai atbalstītu savstarpējās nacionālās aizsardzības intereses un ļautu ne tikai ASV, bet arī citu dalībvalstu nacionālajām aizsardzības organizācijām kļūt par GPS-PPS militārajiem lietotājiem. Precīzās pozicionēšanas pakalpojums (PPS) nodrošina visaugstāko precizitāti un aizsardzību pret traucējumiem.</w:t>
            </w:r>
          </w:p>
          <w:p w14:paraId="71FB2A7C" w14:textId="77777777" w:rsidR="00570FC9" w:rsidRPr="00904D10" w:rsidRDefault="00570FC9" w:rsidP="00570FC9">
            <w:pPr>
              <w:jc w:val="both"/>
            </w:pPr>
            <w:r w:rsidRPr="00904D10">
              <w:t>Saskaņā ar Saprašanās memoranda 2.1.(a) punktu, GPS signāla piegāde un izmantošana ir bezmaksas.</w:t>
            </w:r>
          </w:p>
          <w:p w14:paraId="2F4C576C" w14:textId="4B99BEE6" w:rsidR="005E00C8" w:rsidRPr="00904D10" w:rsidRDefault="00570FC9" w:rsidP="00570FC9">
            <w:pPr>
              <w:jc w:val="both"/>
              <w:rPr>
                <w:lang w:eastAsia="en-US"/>
              </w:rPr>
            </w:pPr>
            <w:r w:rsidRPr="00904D10">
              <w:t>Ņemot vērā to, ka Melnkalne ir izteikusi vēlmi kļūt par GPS-PPS militāro lietotāju, dalībvalstis ir vienojušās veikt grozījumus Saprašanās memorandā.</w:t>
            </w:r>
          </w:p>
        </w:tc>
      </w:tr>
      <w:tr w:rsidR="00C81206" w:rsidRPr="00904D10" w14:paraId="22D3907B"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904D10" w:rsidRDefault="004A4044" w:rsidP="00951692">
            <w:pPr>
              <w:jc w:val="center"/>
              <w:rPr>
                <w:lang w:eastAsia="en-US"/>
              </w:rPr>
            </w:pPr>
            <w:r w:rsidRPr="00904D10">
              <w:rPr>
                <w:lang w:eastAsia="en-US"/>
              </w:rPr>
              <w:lastRenderedPageBreak/>
              <w:t>3.</w:t>
            </w:r>
          </w:p>
        </w:tc>
        <w:tc>
          <w:tcPr>
            <w:tcW w:w="1486" w:type="pct"/>
            <w:tcBorders>
              <w:top w:val="single" w:sz="4" w:space="0" w:color="auto"/>
              <w:left w:val="single" w:sz="4" w:space="0" w:color="auto"/>
              <w:bottom w:val="single" w:sz="4" w:space="0" w:color="auto"/>
              <w:right w:val="single" w:sz="4" w:space="0" w:color="auto"/>
            </w:tcBorders>
            <w:hideMark/>
          </w:tcPr>
          <w:p w14:paraId="30C4BBD4" w14:textId="77777777" w:rsidR="002957E9" w:rsidRPr="00904D10" w:rsidRDefault="004A4044" w:rsidP="00CC1732">
            <w:pPr>
              <w:jc w:val="both"/>
              <w:rPr>
                <w:lang w:eastAsia="en-US"/>
              </w:rPr>
            </w:pPr>
            <w:r w:rsidRPr="00904D10">
              <w:rPr>
                <w:lang w:eastAsia="en-US"/>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06666F96" w14:textId="170064F4" w:rsidR="002957E9" w:rsidRPr="00904D10" w:rsidRDefault="003E453F" w:rsidP="00FA5BD9">
            <w:pPr>
              <w:ind w:hanging="33"/>
              <w:jc w:val="both"/>
              <w:rPr>
                <w:lang w:eastAsia="en-US"/>
              </w:rPr>
            </w:pPr>
            <w:r w:rsidRPr="00904D10">
              <w:t>Aizsardzības ministrija</w:t>
            </w:r>
            <w:r w:rsidR="006C682B" w:rsidRPr="00904D10">
              <w:t xml:space="preserve"> un </w:t>
            </w:r>
            <w:r w:rsidR="0044020E" w:rsidRPr="00904D10">
              <w:t xml:space="preserve">Latvijas </w:t>
            </w:r>
            <w:r w:rsidR="006C682B" w:rsidRPr="00904D10">
              <w:t>Nacionālie bru</w:t>
            </w:r>
            <w:r w:rsidR="00FA5BD9" w:rsidRPr="00904D10">
              <w:t>ņotie</w:t>
            </w:r>
            <w:r w:rsidR="006C682B" w:rsidRPr="00904D10">
              <w:t xml:space="preserve"> spēki</w:t>
            </w:r>
            <w:r w:rsidRPr="00904D10">
              <w:t>.</w:t>
            </w:r>
          </w:p>
        </w:tc>
      </w:tr>
      <w:tr w:rsidR="00C81206" w:rsidRPr="00904D10" w14:paraId="1920943C"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904D10" w:rsidRDefault="004A4044" w:rsidP="00951692">
            <w:pPr>
              <w:jc w:val="center"/>
              <w:rPr>
                <w:lang w:eastAsia="en-US"/>
              </w:rPr>
            </w:pPr>
            <w:r w:rsidRPr="00904D10">
              <w:rPr>
                <w:lang w:eastAsia="en-US"/>
              </w:rPr>
              <w:t>4.</w:t>
            </w:r>
          </w:p>
        </w:tc>
        <w:tc>
          <w:tcPr>
            <w:tcW w:w="1486" w:type="pct"/>
            <w:tcBorders>
              <w:top w:val="single" w:sz="4" w:space="0" w:color="auto"/>
              <w:left w:val="single" w:sz="4" w:space="0" w:color="auto"/>
              <w:bottom w:val="single" w:sz="4" w:space="0" w:color="auto"/>
              <w:right w:val="single" w:sz="4" w:space="0" w:color="auto"/>
            </w:tcBorders>
            <w:hideMark/>
          </w:tcPr>
          <w:p w14:paraId="101386F7" w14:textId="77777777" w:rsidR="002957E9" w:rsidRPr="00904D10" w:rsidRDefault="004A4044" w:rsidP="00951692">
            <w:pPr>
              <w:rPr>
                <w:lang w:eastAsia="en-US"/>
              </w:rPr>
            </w:pPr>
            <w:r w:rsidRPr="00904D10">
              <w:rPr>
                <w:lang w:eastAsia="en-US"/>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57418A2E" w14:textId="77777777" w:rsidR="00570FC9" w:rsidRPr="00904D10" w:rsidRDefault="00570FC9" w:rsidP="00570FC9">
            <w:pPr>
              <w:jc w:val="both"/>
            </w:pPr>
            <w:r w:rsidRPr="00904D10">
              <w:t xml:space="preserve">Papildus saistības Latvijas Republikai šis projekts neuzliek. </w:t>
            </w:r>
          </w:p>
          <w:p w14:paraId="0050866C" w14:textId="77777777" w:rsidR="00570FC9" w:rsidRPr="00904D10" w:rsidRDefault="00570FC9" w:rsidP="00570FC9">
            <w:pPr>
              <w:jc w:val="both"/>
            </w:pPr>
          </w:p>
          <w:p w14:paraId="5EF2868C" w14:textId="3D910A9A" w:rsidR="002957E9" w:rsidRPr="00904D10" w:rsidRDefault="00570FC9" w:rsidP="00570FC9">
            <w:pPr>
              <w:jc w:val="both"/>
            </w:pPr>
            <w:r w:rsidRPr="00904D10">
              <w:t>Ministru kabineta noteikumu projekta izpilde Aizsardzības ministrijai neradīs finanšu izdevumus, jo GPS signāla piegādi un izmantošanu ASV nodrošina bez maksas.</w:t>
            </w:r>
          </w:p>
        </w:tc>
      </w:tr>
    </w:tbl>
    <w:p w14:paraId="11E38071" w14:textId="77777777" w:rsidR="002957E9" w:rsidRPr="00904D10" w:rsidRDefault="002957E9" w:rsidP="00951692">
      <w:pPr>
        <w:pStyle w:val="Title"/>
        <w:ind w:firstLine="539"/>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gridCol w:w="45"/>
      </w:tblGrid>
      <w:tr w:rsidR="00B87728" w:rsidRPr="00904D10" w14:paraId="5F5E0221" w14:textId="77777777" w:rsidTr="00DD4F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904D10" w:rsidRDefault="00B87728" w:rsidP="00DD4F1F">
            <w:pPr>
              <w:jc w:val="center"/>
              <w:rPr>
                <w:b/>
                <w:bCs/>
                <w:iCs/>
                <w:sz w:val="28"/>
                <w:szCs w:val="28"/>
              </w:rPr>
            </w:pPr>
            <w:r w:rsidRPr="00904D10">
              <w:rPr>
                <w:b/>
                <w:bCs/>
                <w:iCs/>
                <w:sz w:val="28"/>
                <w:szCs w:val="28"/>
              </w:rPr>
              <w:t>II. Tiesību akta projekta ietekme uz sabiedrību, tautsaimniecības attīstību un administratīvo slogu</w:t>
            </w:r>
          </w:p>
        </w:tc>
      </w:tr>
      <w:tr w:rsidR="00B87728" w:rsidRPr="00904D10" w14:paraId="5B1A672B" w14:textId="77777777" w:rsidTr="00DD4F1F">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34848621" w14:textId="77777777" w:rsidR="00B87728" w:rsidRPr="00904D10" w:rsidRDefault="00B87728" w:rsidP="00DD4F1F">
            <w:pPr>
              <w:pStyle w:val="PlainText"/>
              <w:jc w:val="center"/>
              <w:rPr>
                <w:rFonts w:ascii="Times New Roman" w:hAnsi="Times New Roman" w:cs="Times New Roman"/>
                <w:iCs/>
                <w:sz w:val="28"/>
                <w:szCs w:val="28"/>
              </w:rPr>
            </w:pPr>
            <w:r w:rsidRPr="00904D10">
              <w:rPr>
                <w:rFonts w:ascii="Times New Roman" w:hAnsi="Times New Roman" w:cs="Times New Roman"/>
                <w:sz w:val="28"/>
                <w:szCs w:val="28"/>
              </w:rPr>
              <w:t>Projekts šo jomu neskar.</w:t>
            </w:r>
          </w:p>
        </w:tc>
      </w:tr>
    </w:tbl>
    <w:p w14:paraId="1627DFDF" w14:textId="77777777" w:rsidR="002957E9" w:rsidRPr="00904D10" w:rsidRDefault="002957E9" w:rsidP="00951692">
      <w:pPr>
        <w:pStyle w:val="Title"/>
        <w:ind w:firstLine="539"/>
        <w:jc w:val="both"/>
        <w:rPr>
          <w:sz w:val="24"/>
          <w:szCs w:val="24"/>
        </w:rPr>
      </w:pPr>
    </w:p>
    <w:p w14:paraId="4E71F46A" w14:textId="77777777" w:rsidR="00B87728" w:rsidRPr="00904D10" w:rsidRDefault="00B87728" w:rsidP="00B87728">
      <w:pPr>
        <w:rPr>
          <w:iCs/>
          <w:sz w:val="28"/>
          <w:szCs w:val="28"/>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B87728" w:rsidRPr="00904D10" w14:paraId="008FDFA9"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04BA77BA" w14:textId="77777777" w:rsidR="00B87728" w:rsidRPr="00904D10" w:rsidRDefault="00B87728">
            <w:pPr>
              <w:jc w:val="center"/>
              <w:rPr>
                <w:rFonts w:eastAsiaTheme="minorHAnsi"/>
                <w:sz w:val="28"/>
                <w:szCs w:val="28"/>
                <w:lang w:eastAsia="en-US"/>
              </w:rPr>
            </w:pPr>
            <w:r w:rsidRPr="00904D10">
              <w:rPr>
                <w:b/>
                <w:bCs/>
                <w:iCs/>
                <w:sz w:val="28"/>
                <w:szCs w:val="28"/>
              </w:rPr>
              <w:t>III. Tiesību akta projekta ietekme uz valsts budžetu un pašvaldību budžetiem</w:t>
            </w:r>
          </w:p>
        </w:tc>
      </w:tr>
      <w:tr w:rsidR="00B87728" w:rsidRPr="00904D10" w14:paraId="2373649B"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2A83F5A4" w14:textId="77777777" w:rsidR="00B87728" w:rsidRPr="00904D10" w:rsidRDefault="00B87728">
            <w:pPr>
              <w:jc w:val="center"/>
              <w:rPr>
                <w:sz w:val="28"/>
                <w:szCs w:val="28"/>
              </w:rPr>
            </w:pPr>
            <w:r w:rsidRPr="00904D10">
              <w:rPr>
                <w:sz w:val="28"/>
                <w:szCs w:val="28"/>
              </w:rPr>
              <w:t>Projekts šo jomu neskar.</w:t>
            </w:r>
          </w:p>
        </w:tc>
      </w:tr>
    </w:tbl>
    <w:p w14:paraId="1CE74CFD" w14:textId="77777777" w:rsidR="00B87728" w:rsidRPr="00904D10" w:rsidRDefault="00B87728" w:rsidP="00B87728">
      <w:pPr>
        <w:rPr>
          <w:sz w:val="28"/>
          <w:szCs w:val="28"/>
          <w:lang w:eastAsia="en-US"/>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B87728" w:rsidRPr="00904D10" w14:paraId="2B0E6F59" w14:textId="77777777" w:rsidTr="00B87728">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70814A5B" w14:textId="77777777" w:rsidR="00B87728" w:rsidRPr="00904D10" w:rsidRDefault="00B87728">
            <w:pPr>
              <w:jc w:val="center"/>
              <w:rPr>
                <w:b/>
                <w:bCs/>
                <w:iCs/>
                <w:sz w:val="28"/>
                <w:szCs w:val="28"/>
              </w:rPr>
            </w:pPr>
            <w:r w:rsidRPr="00904D10">
              <w:rPr>
                <w:iCs/>
                <w:sz w:val="28"/>
                <w:szCs w:val="28"/>
              </w:rPr>
              <w:t xml:space="preserve">  </w:t>
            </w:r>
            <w:r w:rsidRPr="00904D10">
              <w:rPr>
                <w:b/>
                <w:bCs/>
                <w:iCs/>
                <w:sz w:val="28"/>
                <w:szCs w:val="28"/>
              </w:rPr>
              <w:t>IV. Tiesību akta projekta ietekme uz spēkā esošo tiesību normu sistēmu</w:t>
            </w:r>
          </w:p>
        </w:tc>
      </w:tr>
      <w:tr w:rsidR="00B87728" w:rsidRPr="00904D10" w14:paraId="192AF845" w14:textId="77777777" w:rsidTr="00B87728">
        <w:trPr>
          <w:trHeight w:val="427"/>
          <w:tblCellSpacing w:w="15" w:type="dxa"/>
        </w:trPr>
        <w:tc>
          <w:tcPr>
            <w:tcW w:w="9229" w:type="dxa"/>
            <w:tcBorders>
              <w:top w:val="outset" w:sz="6" w:space="0" w:color="auto"/>
              <w:left w:val="outset" w:sz="6" w:space="0" w:color="auto"/>
              <w:bottom w:val="nil"/>
              <w:right w:val="outset" w:sz="6" w:space="0" w:color="auto"/>
            </w:tcBorders>
            <w:vAlign w:val="center"/>
            <w:hideMark/>
          </w:tcPr>
          <w:p w14:paraId="63D262F3" w14:textId="77777777" w:rsidR="00B87728" w:rsidRPr="00904D10" w:rsidRDefault="00B87728">
            <w:pPr>
              <w:jc w:val="center"/>
              <w:rPr>
                <w:iCs/>
                <w:sz w:val="28"/>
                <w:szCs w:val="28"/>
              </w:rPr>
            </w:pPr>
            <w:r w:rsidRPr="00904D10">
              <w:rPr>
                <w:iCs/>
                <w:sz w:val="28"/>
                <w:szCs w:val="28"/>
              </w:rPr>
              <w:t>Projekts šo jomu neskar.</w:t>
            </w:r>
          </w:p>
        </w:tc>
      </w:tr>
    </w:tbl>
    <w:p w14:paraId="20832970" w14:textId="77777777" w:rsidR="00B87728" w:rsidRPr="00904D10" w:rsidRDefault="00B87728" w:rsidP="00B87728">
      <w:pPr>
        <w:rPr>
          <w:rFonts w:eastAsiaTheme="minorHAnsi"/>
          <w:sz w:val="28"/>
          <w:szCs w:val="28"/>
          <w:lang w:eastAsia="en-US"/>
        </w:rPr>
      </w:pPr>
    </w:p>
    <w:p w14:paraId="57C5E679" w14:textId="77777777" w:rsidR="00AC426B" w:rsidRPr="00904D10" w:rsidRDefault="00AC426B" w:rsidP="00AC426B">
      <w:pPr>
        <w:pStyle w:val="NoSpacing"/>
        <w:rPr>
          <w:rFonts w:ascii="Times New Roman" w:eastAsia="Times New Roman" w:hAnsi="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443"/>
        <w:gridCol w:w="5569"/>
        <w:gridCol w:w="725"/>
      </w:tblGrid>
      <w:tr w:rsidR="00AC426B" w:rsidRPr="00904D10" w14:paraId="2E9340A3" w14:textId="77777777" w:rsidTr="00F6725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E278E84" w14:textId="77777777" w:rsidR="00AC426B" w:rsidRPr="00904D10" w:rsidRDefault="00AC426B" w:rsidP="00F67254">
            <w:pPr>
              <w:pStyle w:val="NoSpacing"/>
              <w:spacing w:line="276" w:lineRule="auto"/>
              <w:rPr>
                <w:rFonts w:ascii="Times New Roman" w:eastAsia="Times New Roman" w:hAnsi="Times New Roman"/>
                <w:b/>
                <w:bCs/>
                <w:sz w:val="24"/>
                <w:szCs w:val="24"/>
                <w:lang w:eastAsia="lv-LV"/>
              </w:rPr>
            </w:pPr>
            <w:r w:rsidRPr="00904D10">
              <w:rPr>
                <w:rFonts w:ascii="Times New Roman" w:eastAsia="Times New Roman" w:hAnsi="Times New Roman"/>
                <w:b/>
                <w:bCs/>
                <w:sz w:val="24"/>
                <w:szCs w:val="24"/>
                <w:lang w:eastAsia="lv-LV"/>
              </w:rPr>
              <w:t>V. Tiesību akta projekta atbilstība Latvijas Republikas starptautiskajām saistībām</w:t>
            </w:r>
          </w:p>
        </w:tc>
      </w:tr>
      <w:tr w:rsidR="00570FC9" w:rsidRPr="00904D10" w14:paraId="5357D63B" w14:textId="77777777" w:rsidTr="00F67254">
        <w:trPr>
          <w:gridAfter w:val="1"/>
          <w:wAfter w:w="325" w:type="pct"/>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0801D7E" w14:textId="77777777" w:rsidR="00570FC9" w:rsidRPr="00904D10" w:rsidRDefault="00570FC9" w:rsidP="00F67254">
            <w:pPr>
              <w:tabs>
                <w:tab w:val="left" w:pos="312"/>
              </w:tabs>
              <w:spacing w:before="75" w:after="75"/>
              <w:ind w:hanging="20"/>
              <w:rPr>
                <w:bCs/>
              </w:rPr>
            </w:pPr>
            <w:r w:rsidRPr="00904D10">
              <w:rPr>
                <w:bCs/>
              </w:rPr>
              <w:t>1.</w:t>
            </w:r>
          </w:p>
        </w:tc>
        <w:tc>
          <w:tcPr>
            <w:tcW w:w="1321" w:type="pct"/>
            <w:tcBorders>
              <w:top w:val="outset" w:sz="6" w:space="0" w:color="auto"/>
              <w:left w:val="outset" w:sz="6" w:space="0" w:color="auto"/>
              <w:bottom w:val="outset" w:sz="6" w:space="0" w:color="auto"/>
              <w:right w:val="outset" w:sz="6" w:space="0" w:color="auto"/>
            </w:tcBorders>
            <w:hideMark/>
          </w:tcPr>
          <w:p w14:paraId="5DF85B2A" w14:textId="77777777" w:rsidR="00570FC9" w:rsidRPr="00904D10" w:rsidRDefault="00570FC9" w:rsidP="00F67254">
            <w:pPr>
              <w:tabs>
                <w:tab w:val="left" w:pos="312"/>
              </w:tabs>
              <w:spacing w:before="75" w:after="75"/>
              <w:ind w:hanging="20"/>
              <w:rPr>
                <w:bCs/>
              </w:rPr>
            </w:pPr>
            <w:r w:rsidRPr="00904D10">
              <w:rPr>
                <w:bCs/>
              </w:rPr>
              <w:t xml:space="preserve">Saistības pret Eiropas </w:t>
            </w:r>
            <w:r w:rsidRPr="00904D10">
              <w:rPr>
                <w:bCs/>
              </w:rPr>
              <w:lastRenderedPageBreak/>
              <w:t>Savienību</w:t>
            </w:r>
          </w:p>
        </w:tc>
        <w:tc>
          <w:tcPr>
            <w:tcW w:w="3033" w:type="pct"/>
            <w:tcBorders>
              <w:top w:val="outset" w:sz="6" w:space="0" w:color="auto"/>
              <w:left w:val="outset" w:sz="6" w:space="0" w:color="auto"/>
              <w:bottom w:val="outset" w:sz="6" w:space="0" w:color="auto"/>
              <w:right w:val="outset" w:sz="6" w:space="0" w:color="auto"/>
            </w:tcBorders>
            <w:hideMark/>
          </w:tcPr>
          <w:p w14:paraId="1BCE45C8" w14:textId="76B62A05" w:rsidR="00570FC9" w:rsidRPr="00904D10" w:rsidRDefault="00F67254" w:rsidP="00F67254">
            <w:pPr>
              <w:tabs>
                <w:tab w:val="left" w:pos="312"/>
              </w:tabs>
              <w:spacing w:before="75" w:after="75"/>
              <w:ind w:hanging="20"/>
              <w:rPr>
                <w:bCs/>
              </w:rPr>
            </w:pPr>
            <w:r w:rsidRPr="00904D10">
              <w:rPr>
                <w:bCs/>
              </w:rPr>
              <w:lastRenderedPageBreak/>
              <w:t>P</w:t>
            </w:r>
            <w:r w:rsidR="00570FC9" w:rsidRPr="00904D10">
              <w:rPr>
                <w:bCs/>
              </w:rPr>
              <w:t>rojekts šo jomu neskar.</w:t>
            </w:r>
          </w:p>
        </w:tc>
      </w:tr>
      <w:tr w:rsidR="00570FC9" w:rsidRPr="00904D10" w14:paraId="09C83A13" w14:textId="77777777" w:rsidTr="00F67254">
        <w:trPr>
          <w:gridAfter w:val="1"/>
          <w:wAfter w:w="325" w:type="pct"/>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BC287B2" w14:textId="77777777" w:rsidR="00570FC9" w:rsidRPr="00904D10" w:rsidRDefault="00570FC9" w:rsidP="00F67254">
            <w:pPr>
              <w:tabs>
                <w:tab w:val="left" w:pos="312"/>
              </w:tabs>
              <w:spacing w:before="75" w:after="75"/>
              <w:ind w:hanging="20"/>
              <w:rPr>
                <w:bCs/>
              </w:rPr>
            </w:pPr>
            <w:r w:rsidRPr="00904D10">
              <w:rPr>
                <w:bCs/>
              </w:rPr>
              <w:t>2.</w:t>
            </w:r>
          </w:p>
        </w:tc>
        <w:tc>
          <w:tcPr>
            <w:tcW w:w="1321" w:type="pct"/>
            <w:tcBorders>
              <w:top w:val="outset" w:sz="6" w:space="0" w:color="auto"/>
              <w:left w:val="outset" w:sz="6" w:space="0" w:color="auto"/>
              <w:bottom w:val="outset" w:sz="6" w:space="0" w:color="auto"/>
              <w:right w:val="outset" w:sz="6" w:space="0" w:color="auto"/>
            </w:tcBorders>
            <w:hideMark/>
          </w:tcPr>
          <w:p w14:paraId="20DCB7F2" w14:textId="77777777" w:rsidR="00570FC9" w:rsidRPr="00904D10" w:rsidRDefault="00570FC9" w:rsidP="00F67254">
            <w:pPr>
              <w:tabs>
                <w:tab w:val="left" w:pos="312"/>
              </w:tabs>
              <w:spacing w:before="75" w:after="75"/>
              <w:ind w:hanging="20"/>
              <w:rPr>
                <w:bCs/>
              </w:rPr>
            </w:pPr>
            <w:r w:rsidRPr="00904D10">
              <w:rPr>
                <w:bCs/>
              </w:rPr>
              <w:t>Citas starptautiskās saistības</w:t>
            </w:r>
          </w:p>
        </w:tc>
        <w:tc>
          <w:tcPr>
            <w:tcW w:w="3033" w:type="pct"/>
            <w:tcBorders>
              <w:top w:val="outset" w:sz="6" w:space="0" w:color="auto"/>
              <w:left w:val="outset" w:sz="6" w:space="0" w:color="auto"/>
              <w:bottom w:val="outset" w:sz="6" w:space="0" w:color="auto"/>
              <w:right w:val="outset" w:sz="6" w:space="0" w:color="auto"/>
            </w:tcBorders>
            <w:hideMark/>
          </w:tcPr>
          <w:p w14:paraId="4E897131" w14:textId="24548977" w:rsidR="00570FC9" w:rsidRPr="00904D10" w:rsidRDefault="00F67254" w:rsidP="00F67254">
            <w:pPr>
              <w:tabs>
                <w:tab w:val="left" w:pos="312"/>
              </w:tabs>
              <w:spacing w:before="75" w:after="75"/>
              <w:ind w:hanging="20"/>
              <w:rPr>
                <w:bCs/>
              </w:rPr>
            </w:pPr>
            <w:r w:rsidRPr="00904D10">
              <w:rPr>
                <w:bCs/>
              </w:rPr>
              <w:t>Projekts šo jomu neskar.</w:t>
            </w:r>
          </w:p>
        </w:tc>
      </w:tr>
      <w:tr w:rsidR="00570FC9" w:rsidRPr="00904D10" w14:paraId="20301D15" w14:textId="77777777" w:rsidTr="00F67254">
        <w:trPr>
          <w:gridAfter w:val="1"/>
          <w:wAfter w:w="325" w:type="pct"/>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1689323" w14:textId="77777777" w:rsidR="00570FC9" w:rsidRPr="00904D10" w:rsidRDefault="00570FC9" w:rsidP="00F67254">
            <w:pPr>
              <w:tabs>
                <w:tab w:val="left" w:pos="312"/>
              </w:tabs>
              <w:spacing w:before="75" w:after="75"/>
              <w:ind w:hanging="20"/>
              <w:rPr>
                <w:bCs/>
              </w:rPr>
            </w:pPr>
            <w:r w:rsidRPr="00904D10">
              <w:rPr>
                <w:bCs/>
              </w:rPr>
              <w:t>3.</w:t>
            </w:r>
          </w:p>
        </w:tc>
        <w:tc>
          <w:tcPr>
            <w:tcW w:w="1321" w:type="pct"/>
            <w:tcBorders>
              <w:top w:val="outset" w:sz="6" w:space="0" w:color="auto"/>
              <w:left w:val="outset" w:sz="6" w:space="0" w:color="auto"/>
              <w:bottom w:val="outset" w:sz="6" w:space="0" w:color="auto"/>
              <w:right w:val="outset" w:sz="6" w:space="0" w:color="auto"/>
            </w:tcBorders>
            <w:hideMark/>
          </w:tcPr>
          <w:p w14:paraId="03E19450" w14:textId="77777777" w:rsidR="00570FC9" w:rsidRPr="00904D10" w:rsidRDefault="00570FC9" w:rsidP="00F67254">
            <w:pPr>
              <w:tabs>
                <w:tab w:val="left" w:pos="312"/>
              </w:tabs>
              <w:spacing w:before="75" w:after="75"/>
              <w:ind w:hanging="20"/>
              <w:rPr>
                <w:bCs/>
              </w:rPr>
            </w:pPr>
            <w:r w:rsidRPr="00904D10">
              <w:rPr>
                <w:bCs/>
              </w:rPr>
              <w:t>Cita informācija</w:t>
            </w:r>
          </w:p>
        </w:tc>
        <w:tc>
          <w:tcPr>
            <w:tcW w:w="3033" w:type="pct"/>
            <w:tcBorders>
              <w:top w:val="outset" w:sz="6" w:space="0" w:color="auto"/>
              <w:left w:val="outset" w:sz="6" w:space="0" w:color="auto"/>
              <w:bottom w:val="outset" w:sz="6" w:space="0" w:color="auto"/>
              <w:right w:val="outset" w:sz="6" w:space="0" w:color="auto"/>
            </w:tcBorders>
            <w:hideMark/>
          </w:tcPr>
          <w:p w14:paraId="00037870" w14:textId="2FFD7853" w:rsidR="00570FC9" w:rsidRPr="00904D10" w:rsidRDefault="00F67254" w:rsidP="00F67254">
            <w:pPr>
              <w:tabs>
                <w:tab w:val="left" w:pos="312"/>
              </w:tabs>
              <w:spacing w:before="75" w:after="75"/>
              <w:ind w:hanging="20"/>
              <w:rPr>
                <w:bCs/>
              </w:rPr>
            </w:pPr>
            <w:r w:rsidRPr="00904D10">
              <w:rPr>
                <w:bCs/>
              </w:rPr>
              <w:t>Latvijas Republika turpinās pildīt ar Saprašanās memorandu uzņemtās starptautiskās saistības.</w:t>
            </w:r>
          </w:p>
        </w:tc>
      </w:tr>
    </w:tbl>
    <w:p w14:paraId="565E662E" w14:textId="5A2A68AE" w:rsidR="00B87728" w:rsidRPr="00904D10" w:rsidRDefault="00F67254" w:rsidP="00B87728">
      <w:pPr>
        <w:rPr>
          <w:iCs/>
          <w:sz w:val="28"/>
          <w:szCs w:val="28"/>
        </w:rPr>
      </w:pPr>
      <w:r w:rsidRPr="00904D10">
        <w:rPr>
          <w:iCs/>
          <w:sz w:val="28"/>
          <w:szCs w:val="28"/>
        </w:rPr>
        <w:br w:type="textWrapping" w:clear="all"/>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74"/>
      </w:tblGrid>
      <w:tr w:rsidR="00B87728" w:rsidRPr="00904D10" w14:paraId="7AEB2F05" w14:textId="77777777" w:rsidTr="00B8772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Pr="00904D10" w:rsidRDefault="00B87728">
            <w:pPr>
              <w:jc w:val="center"/>
              <w:rPr>
                <w:b/>
                <w:bCs/>
                <w:iCs/>
                <w:sz w:val="28"/>
                <w:szCs w:val="28"/>
              </w:rPr>
            </w:pPr>
            <w:r w:rsidRPr="00904D10">
              <w:rPr>
                <w:b/>
                <w:bCs/>
                <w:iCs/>
                <w:sz w:val="28"/>
                <w:szCs w:val="28"/>
              </w:rPr>
              <w:t>VI. Sabiedrības līdzdalība un komunikācijas aktivitātes</w:t>
            </w:r>
          </w:p>
        </w:tc>
      </w:tr>
      <w:tr w:rsidR="00B87728" w:rsidRPr="00904D10" w14:paraId="2F76F219" w14:textId="77777777" w:rsidTr="00B87728">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B77D6C4" w14:textId="77777777" w:rsidR="00B87728" w:rsidRPr="00904D10" w:rsidRDefault="00B87728">
            <w:pPr>
              <w:jc w:val="center"/>
              <w:rPr>
                <w:iCs/>
                <w:sz w:val="28"/>
                <w:szCs w:val="28"/>
              </w:rPr>
            </w:pPr>
            <w:r w:rsidRPr="00904D10">
              <w:rPr>
                <w:iCs/>
                <w:sz w:val="28"/>
                <w:szCs w:val="28"/>
              </w:rPr>
              <w:t>Projekts šo jomu neskar.</w:t>
            </w:r>
          </w:p>
        </w:tc>
      </w:tr>
    </w:tbl>
    <w:p w14:paraId="01327B35" w14:textId="77777777" w:rsidR="00B87728" w:rsidRPr="00904D10" w:rsidRDefault="00B87728" w:rsidP="00B87728">
      <w:pPr>
        <w:rPr>
          <w:rFonts w:eastAsiaTheme="minorHAnsi"/>
          <w:sz w:val="28"/>
          <w:szCs w:val="28"/>
          <w:lang w:eastAsia="en-US"/>
        </w:rPr>
      </w:pPr>
    </w:p>
    <w:p w14:paraId="505EC2E7" w14:textId="5E67E5C4" w:rsidR="00E3440A" w:rsidRPr="00904D10" w:rsidRDefault="00E3440A" w:rsidP="00951692">
      <w:pPr>
        <w:pStyle w:val="Title"/>
        <w:ind w:firstLine="539"/>
        <w:jc w:val="both"/>
        <w:rPr>
          <w:sz w:val="24"/>
          <w:szCs w:val="24"/>
        </w:rPr>
      </w:pPr>
    </w:p>
    <w:p w14:paraId="52E685D7" w14:textId="77777777" w:rsidR="00E3440A" w:rsidRPr="00904D10" w:rsidRDefault="00E3440A"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1"/>
        <w:gridCol w:w="2988"/>
        <w:gridCol w:w="5862"/>
      </w:tblGrid>
      <w:tr w:rsidR="00C81206" w:rsidRPr="00904D10"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904D10" w:rsidRDefault="004A4044" w:rsidP="007D2D4E">
            <w:pPr>
              <w:jc w:val="center"/>
              <w:rPr>
                <w:b/>
                <w:bCs/>
                <w:lang w:eastAsia="en-US"/>
              </w:rPr>
            </w:pPr>
            <w:r w:rsidRPr="00904D10">
              <w:rPr>
                <w:b/>
                <w:bCs/>
                <w:lang w:eastAsia="en-US"/>
              </w:rPr>
              <w:t>VII. Tiesību akta projekta izpildes nodrošināšana un tās ietekme uz institūcijām</w:t>
            </w:r>
          </w:p>
        </w:tc>
      </w:tr>
      <w:tr w:rsidR="00C81206" w:rsidRPr="00904D10"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904D10" w:rsidRDefault="004A4044" w:rsidP="00951692">
            <w:pPr>
              <w:jc w:val="center"/>
              <w:rPr>
                <w:lang w:eastAsia="en-US"/>
              </w:rPr>
            </w:pPr>
            <w:r w:rsidRPr="00904D10">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904D10" w:rsidRDefault="004A4044" w:rsidP="007D2D4E">
            <w:pPr>
              <w:jc w:val="both"/>
              <w:rPr>
                <w:lang w:eastAsia="en-US"/>
              </w:rPr>
            </w:pPr>
            <w:r w:rsidRPr="00904D10">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66622570" w:rsidR="002957E9" w:rsidRPr="00904D10" w:rsidRDefault="004A4044" w:rsidP="00951692">
            <w:pPr>
              <w:rPr>
                <w:lang w:eastAsia="en-US"/>
              </w:rPr>
            </w:pPr>
            <w:r w:rsidRPr="00904D10">
              <w:t xml:space="preserve">Aizsardzības ministrija un </w:t>
            </w:r>
            <w:r w:rsidR="0039537C" w:rsidRPr="00904D10">
              <w:t xml:space="preserve">Latvijas </w:t>
            </w:r>
            <w:r w:rsidRPr="00904D10">
              <w:t>Nacionālie bruņotie spēki.</w:t>
            </w:r>
          </w:p>
        </w:tc>
      </w:tr>
      <w:tr w:rsidR="00C81206" w:rsidRPr="00904D10"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904D10" w:rsidRDefault="004A4044" w:rsidP="00951692">
            <w:pPr>
              <w:jc w:val="center"/>
              <w:rPr>
                <w:lang w:eastAsia="en-US"/>
              </w:rPr>
            </w:pPr>
            <w:r w:rsidRPr="00904D10">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904D10" w:rsidRDefault="004A4044" w:rsidP="00CC1732">
            <w:pPr>
              <w:jc w:val="both"/>
              <w:rPr>
                <w:lang w:eastAsia="en-US"/>
              </w:rPr>
            </w:pPr>
            <w:r w:rsidRPr="00904D10">
              <w:rPr>
                <w:lang w:eastAsia="en-US"/>
              </w:rPr>
              <w:t>Projekta izpildes ietekme uz pārvaldes funkcijām un institucionālo struktūru.</w:t>
            </w:r>
            <w:r w:rsidRPr="00904D10">
              <w:rPr>
                <w:lang w:eastAsia="en-US"/>
              </w:rPr>
              <w:br/>
              <w:t>Jaunu institūciju izveide, esošu institūciju likvidācija vai reorganizācija, to ietekme uz institūcijas cilvēkresursiem</w:t>
            </w:r>
          </w:p>
          <w:p w14:paraId="4365867C" w14:textId="5F4327B3" w:rsidR="002957E9" w:rsidRPr="00904D10"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904D10" w:rsidRDefault="004A4044" w:rsidP="00951692">
            <w:pPr>
              <w:rPr>
                <w:lang w:eastAsia="en-US"/>
              </w:rPr>
            </w:pPr>
            <w:r w:rsidRPr="00904D10">
              <w:t>Projekta izpilde notiks esošo pārvaldes funkciju ietvaros.</w:t>
            </w:r>
          </w:p>
        </w:tc>
      </w:tr>
      <w:tr w:rsidR="00C81206" w:rsidRPr="00904D10"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904D10" w:rsidRDefault="004A4044" w:rsidP="00951692">
            <w:pPr>
              <w:jc w:val="center"/>
              <w:rPr>
                <w:lang w:eastAsia="en-US"/>
              </w:rPr>
            </w:pPr>
            <w:r w:rsidRPr="00904D10">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904D10" w:rsidRDefault="004A4044" w:rsidP="007D2D4E">
            <w:pPr>
              <w:rPr>
                <w:lang w:eastAsia="en-US"/>
              </w:rPr>
            </w:pPr>
            <w:r w:rsidRPr="00904D10">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904D10" w:rsidRDefault="004A4044" w:rsidP="00951692">
            <w:pPr>
              <w:rPr>
                <w:lang w:eastAsia="en-US"/>
              </w:rPr>
            </w:pPr>
            <w:r w:rsidRPr="00904D10">
              <w:t>Nav</w:t>
            </w:r>
          </w:p>
        </w:tc>
      </w:tr>
    </w:tbl>
    <w:p w14:paraId="7CD99BAC" w14:textId="65AFFAAD" w:rsidR="002957E9" w:rsidRPr="00904D10" w:rsidRDefault="002957E9" w:rsidP="00951692"/>
    <w:p w14:paraId="2B30A461" w14:textId="7EF42A39" w:rsidR="00E3440A" w:rsidRPr="00904D10" w:rsidRDefault="00E3440A" w:rsidP="00951692"/>
    <w:p w14:paraId="43360CFF" w14:textId="77777777" w:rsidR="0046182A" w:rsidRPr="00904D10" w:rsidRDefault="0046182A" w:rsidP="00951692"/>
    <w:p w14:paraId="1517E1E9" w14:textId="77777777" w:rsidR="00897452" w:rsidRPr="00904D10" w:rsidRDefault="00897452" w:rsidP="00951692">
      <w:pPr>
        <w:tabs>
          <w:tab w:val="left" w:pos="6480"/>
          <w:tab w:val="right" w:pos="9000"/>
        </w:tabs>
        <w:ind w:right="71"/>
      </w:pPr>
    </w:p>
    <w:p w14:paraId="05E7AA28" w14:textId="77777777" w:rsidR="00897452" w:rsidRPr="00904D10" w:rsidRDefault="00897452" w:rsidP="00951692">
      <w:pPr>
        <w:tabs>
          <w:tab w:val="left" w:pos="6480"/>
          <w:tab w:val="right" w:pos="9000"/>
        </w:tabs>
        <w:ind w:right="71"/>
      </w:pPr>
    </w:p>
    <w:p w14:paraId="4F7A9C26" w14:textId="77777777" w:rsidR="0088746A" w:rsidRPr="0088746A" w:rsidRDefault="0088746A" w:rsidP="0088746A">
      <w:pPr>
        <w:tabs>
          <w:tab w:val="center" w:pos="4153"/>
          <w:tab w:val="right" w:pos="8306"/>
        </w:tabs>
        <w:rPr>
          <w:color w:val="000000"/>
          <w:lang w:val="en-GB" w:eastAsia="en-US"/>
        </w:rPr>
      </w:pPr>
    </w:p>
    <w:p w14:paraId="2DC5310D" w14:textId="3424C4AA" w:rsidR="0088746A" w:rsidRPr="0088746A" w:rsidRDefault="0088746A" w:rsidP="0088746A">
      <w:pPr>
        <w:tabs>
          <w:tab w:val="center" w:pos="4153"/>
          <w:tab w:val="right" w:pos="8306"/>
        </w:tabs>
        <w:rPr>
          <w:color w:val="000000"/>
          <w:lang w:val="en-GB" w:eastAsia="en-US"/>
        </w:rPr>
      </w:pPr>
      <w:r w:rsidRPr="0088746A">
        <w:rPr>
          <w:color w:val="000000"/>
          <w:lang w:val="en-GB" w:eastAsia="en-US"/>
        </w:rPr>
        <w:t>Aizsardzības ministra vietā</w:t>
      </w:r>
      <w:r w:rsidR="00445193">
        <w:rPr>
          <w:color w:val="000000"/>
          <w:lang w:val="en-GB" w:eastAsia="en-US"/>
        </w:rPr>
        <w:t xml:space="preserve"> -</w:t>
      </w:r>
      <w:bookmarkStart w:id="0" w:name="_GoBack"/>
      <w:bookmarkEnd w:id="0"/>
    </w:p>
    <w:p w14:paraId="00F79200" w14:textId="77777777" w:rsidR="0088746A" w:rsidRPr="0088746A" w:rsidRDefault="0088746A" w:rsidP="0088746A">
      <w:pPr>
        <w:tabs>
          <w:tab w:val="center" w:pos="4153"/>
          <w:tab w:val="right" w:pos="8306"/>
        </w:tabs>
        <w:rPr>
          <w:color w:val="000000"/>
          <w:lang w:val="en-GB" w:eastAsia="en-US"/>
        </w:rPr>
      </w:pPr>
      <w:r w:rsidRPr="0088746A">
        <w:rPr>
          <w:color w:val="000000"/>
          <w:lang w:val="en-GB" w:eastAsia="en-US"/>
        </w:rPr>
        <w:t>satiksmes ministrs</w:t>
      </w:r>
      <w:r w:rsidRPr="0088746A">
        <w:rPr>
          <w:color w:val="000000"/>
          <w:lang w:val="en-GB" w:eastAsia="en-US"/>
        </w:rPr>
        <w:tab/>
      </w:r>
      <w:r w:rsidRPr="0088746A">
        <w:rPr>
          <w:color w:val="000000"/>
          <w:lang w:val="en-GB" w:eastAsia="en-US"/>
        </w:rPr>
        <w:tab/>
        <w:t>Uldis Augulis</w:t>
      </w:r>
    </w:p>
    <w:p w14:paraId="3C5CD6DA" w14:textId="77777777" w:rsidR="00897452" w:rsidRPr="00904D10" w:rsidRDefault="00897452" w:rsidP="00897452"/>
    <w:p w14:paraId="0D649CD3" w14:textId="682719B6" w:rsidR="00897452" w:rsidRPr="00904D10" w:rsidRDefault="00897452" w:rsidP="00897452"/>
    <w:p w14:paraId="34DB2296" w14:textId="77777777" w:rsidR="00897452" w:rsidRPr="00904D10" w:rsidRDefault="00897452" w:rsidP="00897452">
      <w:pPr>
        <w:pStyle w:val="Header"/>
      </w:pPr>
    </w:p>
    <w:p w14:paraId="7C049CC4" w14:textId="77777777" w:rsidR="00897452" w:rsidRPr="00904D10" w:rsidRDefault="00897452" w:rsidP="00897452">
      <w:pPr>
        <w:pStyle w:val="Header"/>
        <w:rPr>
          <w:sz w:val="20"/>
          <w:szCs w:val="20"/>
        </w:rPr>
      </w:pPr>
    </w:p>
    <w:p w14:paraId="6EE4F334" w14:textId="77777777" w:rsidR="00897452" w:rsidRPr="00904D10" w:rsidRDefault="00897452" w:rsidP="00897452">
      <w:pPr>
        <w:pStyle w:val="Header"/>
        <w:rPr>
          <w:sz w:val="20"/>
          <w:szCs w:val="20"/>
        </w:rPr>
      </w:pPr>
    </w:p>
    <w:p w14:paraId="2DA1840F" w14:textId="77777777" w:rsidR="00897452" w:rsidRPr="00904D10" w:rsidRDefault="00897452" w:rsidP="00897452">
      <w:pPr>
        <w:pStyle w:val="Header"/>
        <w:rPr>
          <w:sz w:val="20"/>
          <w:szCs w:val="20"/>
        </w:rPr>
      </w:pPr>
    </w:p>
    <w:p w14:paraId="51FED01B" w14:textId="55260115" w:rsidR="00897452" w:rsidRPr="00904D10" w:rsidRDefault="00897452" w:rsidP="00897452">
      <w:pPr>
        <w:pStyle w:val="Header"/>
      </w:pPr>
      <w:r w:rsidRPr="00904D10">
        <w:t>Medaljē</w:t>
      </w:r>
      <w:r w:rsidR="00647553" w:rsidRPr="00904D10">
        <w:t xml:space="preserve"> </w:t>
      </w:r>
      <w:r w:rsidRPr="00904D10">
        <w:t>67335177</w:t>
      </w:r>
    </w:p>
    <w:p w14:paraId="37828FCC" w14:textId="3BD05F41" w:rsidR="00897452" w:rsidRPr="00904D10" w:rsidRDefault="00445193" w:rsidP="00897452">
      <w:pPr>
        <w:pStyle w:val="Header"/>
      </w:pPr>
      <w:hyperlink r:id="rId8" w:history="1">
        <w:r w:rsidR="00897452" w:rsidRPr="00904D10">
          <w:rPr>
            <w:rStyle w:val="Hyperlink"/>
          </w:rPr>
          <w:t>Artis.Medalje@mod.gov.lv</w:t>
        </w:r>
      </w:hyperlink>
    </w:p>
    <w:p w14:paraId="6D0DD039" w14:textId="77777777" w:rsidR="00897452" w:rsidRPr="00904D10" w:rsidRDefault="00897452" w:rsidP="00897452">
      <w:pPr>
        <w:pStyle w:val="Header"/>
        <w:spacing w:before="120"/>
        <w:rPr>
          <w:sz w:val="20"/>
          <w:szCs w:val="20"/>
        </w:rPr>
      </w:pPr>
    </w:p>
    <w:sectPr w:rsidR="00897452" w:rsidRPr="00904D10" w:rsidSect="000A337F">
      <w:headerReference w:type="even" r:id="rId9"/>
      <w:headerReference w:type="default" r:id="rId10"/>
      <w:footerReference w:type="default" r:id="rId11"/>
      <w:footerReference w:type="first" r:id="rId12"/>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2FA6" w14:textId="186171A0" w:rsidR="000A337F" w:rsidRPr="000A337F" w:rsidRDefault="000A337F">
    <w:pPr>
      <w:pStyle w:val="Footer"/>
      <w:rPr>
        <w:sz w:val="20"/>
        <w:szCs w:val="20"/>
      </w:rPr>
    </w:pPr>
    <w:r w:rsidRPr="000A337F">
      <w:rPr>
        <w:sz w:val="20"/>
        <w:szCs w:val="20"/>
      </w:rPr>
      <w:t>A</w:t>
    </w:r>
    <w:r w:rsidR="001934E2">
      <w:rPr>
        <w:sz w:val="20"/>
        <w:szCs w:val="20"/>
      </w:rPr>
      <w:t>I</w:t>
    </w:r>
    <w:r w:rsidR="0088746A">
      <w:rPr>
        <w:sz w:val="20"/>
        <w:szCs w:val="20"/>
      </w:rPr>
      <w:t>MAnot_2310</w:t>
    </w:r>
    <w:r w:rsidR="009D662E">
      <w:rPr>
        <w:sz w:val="20"/>
        <w:szCs w:val="20"/>
      </w:rPr>
      <w:t>18_NAVSTAR_6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885" w14:textId="6E004BFD" w:rsidR="000A337F" w:rsidRPr="000A337F" w:rsidRDefault="000A337F">
    <w:pPr>
      <w:pStyle w:val="Footer"/>
      <w:rPr>
        <w:sz w:val="20"/>
        <w:szCs w:val="20"/>
      </w:rPr>
    </w:pPr>
    <w:r w:rsidRPr="000A337F">
      <w:rPr>
        <w:sz w:val="20"/>
        <w:szCs w:val="20"/>
      </w:rPr>
      <w:t>A</w:t>
    </w:r>
    <w:r w:rsidR="001934E2">
      <w:rPr>
        <w:sz w:val="20"/>
        <w:szCs w:val="20"/>
      </w:rPr>
      <w:t>I</w:t>
    </w:r>
    <w:r w:rsidR="0088746A">
      <w:rPr>
        <w:sz w:val="20"/>
        <w:szCs w:val="20"/>
      </w:rPr>
      <w:t>MAnot_2310</w:t>
    </w:r>
    <w:r w:rsidR="009D662E">
      <w:rPr>
        <w:sz w:val="20"/>
        <w:szCs w:val="20"/>
      </w:rPr>
      <w:t>18_NAVSTAR_6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00603141"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193">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0">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0">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0">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D1"/>
    <w:rsid w:val="000007BA"/>
    <w:rsid w:val="0000371D"/>
    <w:rsid w:val="0000436E"/>
    <w:rsid w:val="00006F58"/>
    <w:rsid w:val="00016A46"/>
    <w:rsid w:val="00017F4C"/>
    <w:rsid w:val="00022DF8"/>
    <w:rsid w:val="000233E3"/>
    <w:rsid w:val="0002346D"/>
    <w:rsid w:val="00042F84"/>
    <w:rsid w:val="00043D88"/>
    <w:rsid w:val="000452CE"/>
    <w:rsid w:val="00045D44"/>
    <w:rsid w:val="00047640"/>
    <w:rsid w:val="000521A4"/>
    <w:rsid w:val="00055970"/>
    <w:rsid w:val="0006471F"/>
    <w:rsid w:val="000703CD"/>
    <w:rsid w:val="00072E47"/>
    <w:rsid w:val="00076D50"/>
    <w:rsid w:val="00081DBA"/>
    <w:rsid w:val="0008330B"/>
    <w:rsid w:val="000865C9"/>
    <w:rsid w:val="00093D78"/>
    <w:rsid w:val="00094954"/>
    <w:rsid w:val="000A337F"/>
    <w:rsid w:val="000B0ACF"/>
    <w:rsid w:val="000B0F96"/>
    <w:rsid w:val="000B4956"/>
    <w:rsid w:val="000B7D99"/>
    <w:rsid w:val="000D362E"/>
    <w:rsid w:val="000E2965"/>
    <w:rsid w:val="000F2DDD"/>
    <w:rsid w:val="00106BBE"/>
    <w:rsid w:val="001113C2"/>
    <w:rsid w:val="0011358B"/>
    <w:rsid w:val="00131D75"/>
    <w:rsid w:val="00133575"/>
    <w:rsid w:val="00134F93"/>
    <w:rsid w:val="0014176F"/>
    <w:rsid w:val="00152163"/>
    <w:rsid w:val="001525AD"/>
    <w:rsid w:val="00153FBC"/>
    <w:rsid w:val="00165A34"/>
    <w:rsid w:val="00173FE4"/>
    <w:rsid w:val="001746D1"/>
    <w:rsid w:val="00180C1B"/>
    <w:rsid w:val="0018561B"/>
    <w:rsid w:val="001861DF"/>
    <w:rsid w:val="00186537"/>
    <w:rsid w:val="00190353"/>
    <w:rsid w:val="0019110D"/>
    <w:rsid w:val="001934E2"/>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35CFF"/>
    <w:rsid w:val="002477E0"/>
    <w:rsid w:val="00251141"/>
    <w:rsid w:val="00265B47"/>
    <w:rsid w:val="00271274"/>
    <w:rsid w:val="00283C8C"/>
    <w:rsid w:val="00290FA9"/>
    <w:rsid w:val="002957E9"/>
    <w:rsid w:val="002A3E7F"/>
    <w:rsid w:val="002B1218"/>
    <w:rsid w:val="002B1989"/>
    <w:rsid w:val="002C18AC"/>
    <w:rsid w:val="002C33DB"/>
    <w:rsid w:val="002C545B"/>
    <w:rsid w:val="002C68E6"/>
    <w:rsid w:val="002C73EF"/>
    <w:rsid w:val="002C79FB"/>
    <w:rsid w:val="002C7DE6"/>
    <w:rsid w:val="002D21CA"/>
    <w:rsid w:val="002D7006"/>
    <w:rsid w:val="002D70D1"/>
    <w:rsid w:val="002E3757"/>
    <w:rsid w:val="002E5C86"/>
    <w:rsid w:val="002F5C25"/>
    <w:rsid w:val="002F5C68"/>
    <w:rsid w:val="00302A1C"/>
    <w:rsid w:val="003045D2"/>
    <w:rsid w:val="00307019"/>
    <w:rsid w:val="003144C2"/>
    <w:rsid w:val="00316BE8"/>
    <w:rsid w:val="00320399"/>
    <w:rsid w:val="00324382"/>
    <w:rsid w:val="0032456E"/>
    <w:rsid w:val="00327A93"/>
    <w:rsid w:val="00340485"/>
    <w:rsid w:val="00340D88"/>
    <w:rsid w:val="00346262"/>
    <w:rsid w:val="00351DA8"/>
    <w:rsid w:val="00354592"/>
    <w:rsid w:val="0035526A"/>
    <w:rsid w:val="003568D8"/>
    <w:rsid w:val="00357C34"/>
    <w:rsid w:val="00362EE0"/>
    <w:rsid w:val="0036332B"/>
    <w:rsid w:val="003678E5"/>
    <w:rsid w:val="003731F5"/>
    <w:rsid w:val="00375530"/>
    <w:rsid w:val="00380401"/>
    <w:rsid w:val="003847FF"/>
    <w:rsid w:val="0038711F"/>
    <w:rsid w:val="00391BF9"/>
    <w:rsid w:val="0039537C"/>
    <w:rsid w:val="003960C4"/>
    <w:rsid w:val="00396D46"/>
    <w:rsid w:val="003A05A2"/>
    <w:rsid w:val="003A42ED"/>
    <w:rsid w:val="003A6632"/>
    <w:rsid w:val="003B2197"/>
    <w:rsid w:val="003B6863"/>
    <w:rsid w:val="003C0709"/>
    <w:rsid w:val="003C12C0"/>
    <w:rsid w:val="003C42D8"/>
    <w:rsid w:val="003C4FEE"/>
    <w:rsid w:val="003D2964"/>
    <w:rsid w:val="003E1757"/>
    <w:rsid w:val="003E453F"/>
    <w:rsid w:val="003E6106"/>
    <w:rsid w:val="003F0949"/>
    <w:rsid w:val="003F4D83"/>
    <w:rsid w:val="0040096F"/>
    <w:rsid w:val="00401BE1"/>
    <w:rsid w:val="00402139"/>
    <w:rsid w:val="00423F44"/>
    <w:rsid w:val="004369FA"/>
    <w:rsid w:val="0044020E"/>
    <w:rsid w:val="0044042C"/>
    <w:rsid w:val="00445193"/>
    <w:rsid w:val="00452307"/>
    <w:rsid w:val="0046182A"/>
    <w:rsid w:val="00462B83"/>
    <w:rsid w:val="00464245"/>
    <w:rsid w:val="00464699"/>
    <w:rsid w:val="004674FE"/>
    <w:rsid w:val="0047207F"/>
    <w:rsid w:val="00485090"/>
    <w:rsid w:val="0049095B"/>
    <w:rsid w:val="00490C6D"/>
    <w:rsid w:val="004A0FDF"/>
    <w:rsid w:val="004A4044"/>
    <w:rsid w:val="004B310E"/>
    <w:rsid w:val="004B4D17"/>
    <w:rsid w:val="004C3EE6"/>
    <w:rsid w:val="004D3D85"/>
    <w:rsid w:val="004D4853"/>
    <w:rsid w:val="004D6BD4"/>
    <w:rsid w:val="004E15DE"/>
    <w:rsid w:val="004E424C"/>
    <w:rsid w:val="004F20FC"/>
    <w:rsid w:val="004F43F1"/>
    <w:rsid w:val="004F760D"/>
    <w:rsid w:val="00507259"/>
    <w:rsid w:val="00512B43"/>
    <w:rsid w:val="00531D2F"/>
    <w:rsid w:val="005344EF"/>
    <w:rsid w:val="00536C79"/>
    <w:rsid w:val="00541A46"/>
    <w:rsid w:val="00543EC4"/>
    <w:rsid w:val="00550123"/>
    <w:rsid w:val="00554BF0"/>
    <w:rsid w:val="00556C0F"/>
    <w:rsid w:val="005570E8"/>
    <w:rsid w:val="0056325F"/>
    <w:rsid w:val="005653E7"/>
    <w:rsid w:val="00570E39"/>
    <w:rsid w:val="00570FC9"/>
    <w:rsid w:val="00586A29"/>
    <w:rsid w:val="00592235"/>
    <w:rsid w:val="005A71BE"/>
    <w:rsid w:val="005B40FE"/>
    <w:rsid w:val="005B61AA"/>
    <w:rsid w:val="005C67D1"/>
    <w:rsid w:val="005D1157"/>
    <w:rsid w:val="005D2ACF"/>
    <w:rsid w:val="005D41F1"/>
    <w:rsid w:val="005E00C8"/>
    <w:rsid w:val="005E30C3"/>
    <w:rsid w:val="005E6923"/>
    <w:rsid w:val="005F5381"/>
    <w:rsid w:val="005F5782"/>
    <w:rsid w:val="006014D4"/>
    <w:rsid w:val="00602A9E"/>
    <w:rsid w:val="0060783D"/>
    <w:rsid w:val="00614AD0"/>
    <w:rsid w:val="00625237"/>
    <w:rsid w:val="00627EF7"/>
    <w:rsid w:val="006355EA"/>
    <w:rsid w:val="00643092"/>
    <w:rsid w:val="006453B6"/>
    <w:rsid w:val="00645737"/>
    <w:rsid w:val="00647553"/>
    <w:rsid w:val="00655AA8"/>
    <w:rsid w:val="00660F14"/>
    <w:rsid w:val="00662C17"/>
    <w:rsid w:val="00666EA2"/>
    <w:rsid w:val="00675D6C"/>
    <w:rsid w:val="00682E04"/>
    <w:rsid w:val="0069347B"/>
    <w:rsid w:val="00697829"/>
    <w:rsid w:val="00697CB8"/>
    <w:rsid w:val="006A1496"/>
    <w:rsid w:val="006A1D29"/>
    <w:rsid w:val="006A28C0"/>
    <w:rsid w:val="006A401B"/>
    <w:rsid w:val="006C4905"/>
    <w:rsid w:val="006C682B"/>
    <w:rsid w:val="006C6FA4"/>
    <w:rsid w:val="006E4DB7"/>
    <w:rsid w:val="006F358D"/>
    <w:rsid w:val="00702148"/>
    <w:rsid w:val="00704EC4"/>
    <w:rsid w:val="00705E28"/>
    <w:rsid w:val="00713139"/>
    <w:rsid w:val="007158A9"/>
    <w:rsid w:val="00717D3D"/>
    <w:rsid w:val="0072174D"/>
    <w:rsid w:val="007219BD"/>
    <w:rsid w:val="00725661"/>
    <w:rsid w:val="007516E6"/>
    <w:rsid w:val="00751EAE"/>
    <w:rsid w:val="00766CF8"/>
    <w:rsid w:val="007735E0"/>
    <w:rsid w:val="0077386B"/>
    <w:rsid w:val="00783558"/>
    <w:rsid w:val="00786682"/>
    <w:rsid w:val="0079003B"/>
    <w:rsid w:val="007909E4"/>
    <w:rsid w:val="0079365D"/>
    <w:rsid w:val="007A111F"/>
    <w:rsid w:val="007A1298"/>
    <w:rsid w:val="007A3EAD"/>
    <w:rsid w:val="007B3FE9"/>
    <w:rsid w:val="007B4BBA"/>
    <w:rsid w:val="007B52D7"/>
    <w:rsid w:val="007B5D26"/>
    <w:rsid w:val="007C0202"/>
    <w:rsid w:val="007C31B4"/>
    <w:rsid w:val="007C5843"/>
    <w:rsid w:val="007C7E8B"/>
    <w:rsid w:val="007D18E2"/>
    <w:rsid w:val="007D2AAD"/>
    <w:rsid w:val="007D2D4E"/>
    <w:rsid w:val="007D71E4"/>
    <w:rsid w:val="007F225B"/>
    <w:rsid w:val="00810D14"/>
    <w:rsid w:val="008156C6"/>
    <w:rsid w:val="00833672"/>
    <w:rsid w:val="0083615B"/>
    <w:rsid w:val="0083794A"/>
    <w:rsid w:val="008415D6"/>
    <w:rsid w:val="00853236"/>
    <w:rsid w:val="0085495B"/>
    <w:rsid w:val="00857F8A"/>
    <w:rsid w:val="00864373"/>
    <w:rsid w:val="00866E1B"/>
    <w:rsid w:val="00871C99"/>
    <w:rsid w:val="00872BE3"/>
    <w:rsid w:val="00883284"/>
    <w:rsid w:val="00885338"/>
    <w:rsid w:val="0088746A"/>
    <w:rsid w:val="00887707"/>
    <w:rsid w:val="008933F6"/>
    <w:rsid w:val="00897452"/>
    <w:rsid w:val="008975F1"/>
    <w:rsid w:val="008A797E"/>
    <w:rsid w:val="008B5817"/>
    <w:rsid w:val="008B645E"/>
    <w:rsid w:val="008C15DA"/>
    <w:rsid w:val="008C44A6"/>
    <w:rsid w:val="008D0017"/>
    <w:rsid w:val="008F3879"/>
    <w:rsid w:val="008F5640"/>
    <w:rsid w:val="008F7933"/>
    <w:rsid w:val="00904D10"/>
    <w:rsid w:val="00910526"/>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A7B1A"/>
    <w:rsid w:val="009B5A51"/>
    <w:rsid w:val="009C02D1"/>
    <w:rsid w:val="009D662E"/>
    <w:rsid w:val="009D7B7F"/>
    <w:rsid w:val="009E31A2"/>
    <w:rsid w:val="009E471B"/>
    <w:rsid w:val="009F08EE"/>
    <w:rsid w:val="009F1C30"/>
    <w:rsid w:val="009F327B"/>
    <w:rsid w:val="009F3F2E"/>
    <w:rsid w:val="009F7332"/>
    <w:rsid w:val="009F7B27"/>
    <w:rsid w:val="00A00D4E"/>
    <w:rsid w:val="00A06A34"/>
    <w:rsid w:val="00A070B7"/>
    <w:rsid w:val="00A1143F"/>
    <w:rsid w:val="00A12E42"/>
    <w:rsid w:val="00A16613"/>
    <w:rsid w:val="00A279AF"/>
    <w:rsid w:val="00A31D72"/>
    <w:rsid w:val="00A33656"/>
    <w:rsid w:val="00A37EE0"/>
    <w:rsid w:val="00A41A91"/>
    <w:rsid w:val="00A44AD2"/>
    <w:rsid w:val="00A571D7"/>
    <w:rsid w:val="00A70527"/>
    <w:rsid w:val="00A826CA"/>
    <w:rsid w:val="00A94D8F"/>
    <w:rsid w:val="00A9525C"/>
    <w:rsid w:val="00AA01EE"/>
    <w:rsid w:val="00AA6F50"/>
    <w:rsid w:val="00AB6117"/>
    <w:rsid w:val="00AC14B1"/>
    <w:rsid w:val="00AC2A5C"/>
    <w:rsid w:val="00AC2D46"/>
    <w:rsid w:val="00AC426B"/>
    <w:rsid w:val="00AD21DE"/>
    <w:rsid w:val="00AD2307"/>
    <w:rsid w:val="00AF2437"/>
    <w:rsid w:val="00AF2E12"/>
    <w:rsid w:val="00AF4771"/>
    <w:rsid w:val="00AF5B15"/>
    <w:rsid w:val="00B03A34"/>
    <w:rsid w:val="00B127D5"/>
    <w:rsid w:val="00B13249"/>
    <w:rsid w:val="00B16986"/>
    <w:rsid w:val="00B21510"/>
    <w:rsid w:val="00B21AF0"/>
    <w:rsid w:val="00B22C1C"/>
    <w:rsid w:val="00B23BCA"/>
    <w:rsid w:val="00B26956"/>
    <w:rsid w:val="00B274FE"/>
    <w:rsid w:val="00B31AB3"/>
    <w:rsid w:val="00B328B5"/>
    <w:rsid w:val="00B32BED"/>
    <w:rsid w:val="00B341F6"/>
    <w:rsid w:val="00B369D8"/>
    <w:rsid w:val="00B36A3D"/>
    <w:rsid w:val="00B41BBB"/>
    <w:rsid w:val="00B46259"/>
    <w:rsid w:val="00B563BD"/>
    <w:rsid w:val="00B61FC2"/>
    <w:rsid w:val="00B621AD"/>
    <w:rsid w:val="00B65B90"/>
    <w:rsid w:val="00B74076"/>
    <w:rsid w:val="00B7773B"/>
    <w:rsid w:val="00B82259"/>
    <w:rsid w:val="00B82D24"/>
    <w:rsid w:val="00B87669"/>
    <w:rsid w:val="00B87728"/>
    <w:rsid w:val="00B96340"/>
    <w:rsid w:val="00B96A00"/>
    <w:rsid w:val="00BA32A4"/>
    <w:rsid w:val="00BA3AC4"/>
    <w:rsid w:val="00BB0063"/>
    <w:rsid w:val="00BB3C61"/>
    <w:rsid w:val="00BB6F76"/>
    <w:rsid w:val="00BC0098"/>
    <w:rsid w:val="00BC0C8E"/>
    <w:rsid w:val="00BD05A4"/>
    <w:rsid w:val="00BD0764"/>
    <w:rsid w:val="00BD3581"/>
    <w:rsid w:val="00BE1971"/>
    <w:rsid w:val="00BE2826"/>
    <w:rsid w:val="00C01F5B"/>
    <w:rsid w:val="00C04B37"/>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601ED"/>
    <w:rsid w:val="00C613A3"/>
    <w:rsid w:val="00C6364A"/>
    <w:rsid w:val="00C7482E"/>
    <w:rsid w:val="00C81206"/>
    <w:rsid w:val="00C92DFC"/>
    <w:rsid w:val="00CA6A26"/>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71BE4"/>
    <w:rsid w:val="00D80600"/>
    <w:rsid w:val="00D87A21"/>
    <w:rsid w:val="00DA0C27"/>
    <w:rsid w:val="00DA52CF"/>
    <w:rsid w:val="00DA5CB0"/>
    <w:rsid w:val="00DB1264"/>
    <w:rsid w:val="00DB3AA1"/>
    <w:rsid w:val="00DB4C6C"/>
    <w:rsid w:val="00DB5A50"/>
    <w:rsid w:val="00DC78EB"/>
    <w:rsid w:val="00DD08DC"/>
    <w:rsid w:val="00DD5678"/>
    <w:rsid w:val="00DD713C"/>
    <w:rsid w:val="00DE0E31"/>
    <w:rsid w:val="00DE45DC"/>
    <w:rsid w:val="00DE4F97"/>
    <w:rsid w:val="00DE592A"/>
    <w:rsid w:val="00E00A8E"/>
    <w:rsid w:val="00E04C54"/>
    <w:rsid w:val="00E1240D"/>
    <w:rsid w:val="00E12990"/>
    <w:rsid w:val="00E166A9"/>
    <w:rsid w:val="00E16B26"/>
    <w:rsid w:val="00E17EBA"/>
    <w:rsid w:val="00E21009"/>
    <w:rsid w:val="00E26E55"/>
    <w:rsid w:val="00E302BA"/>
    <w:rsid w:val="00E3440A"/>
    <w:rsid w:val="00E3774D"/>
    <w:rsid w:val="00E40974"/>
    <w:rsid w:val="00E43629"/>
    <w:rsid w:val="00E44307"/>
    <w:rsid w:val="00E44510"/>
    <w:rsid w:val="00E5315E"/>
    <w:rsid w:val="00E54FBD"/>
    <w:rsid w:val="00E626CE"/>
    <w:rsid w:val="00E67196"/>
    <w:rsid w:val="00E7018D"/>
    <w:rsid w:val="00E7665D"/>
    <w:rsid w:val="00E77E6E"/>
    <w:rsid w:val="00E85736"/>
    <w:rsid w:val="00E90067"/>
    <w:rsid w:val="00E92697"/>
    <w:rsid w:val="00E941F5"/>
    <w:rsid w:val="00E944BB"/>
    <w:rsid w:val="00E9469D"/>
    <w:rsid w:val="00E95D3E"/>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51F57"/>
    <w:rsid w:val="00F5418E"/>
    <w:rsid w:val="00F552C8"/>
    <w:rsid w:val="00F560DF"/>
    <w:rsid w:val="00F579DC"/>
    <w:rsid w:val="00F57B34"/>
    <w:rsid w:val="00F60402"/>
    <w:rsid w:val="00F67254"/>
    <w:rsid w:val="00F74C92"/>
    <w:rsid w:val="00F76575"/>
    <w:rsid w:val="00F767C1"/>
    <w:rsid w:val="00F772DB"/>
    <w:rsid w:val="00F807F3"/>
    <w:rsid w:val="00F95C27"/>
    <w:rsid w:val="00FA2FF5"/>
    <w:rsid w:val="00FA478E"/>
    <w:rsid w:val="00FA5469"/>
    <w:rsid w:val="00FA5BD9"/>
    <w:rsid w:val="00FA6464"/>
    <w:rsid w:val="00FA7435"/>
    <w:rsid w:val="00FB44FD"/>
    <w:rsid w:val="00FB5FC8"/>
    <w:rsid w:val="00FC2EE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C7A746B"/>
  <w15:docId w15:val="{F295672E-D7B7-4964-B78F-949B8CEE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600114210">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F50B-7079-4053-98FD-FB326C49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3795</Words>
  <Characters>2164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Medalje</dc:creator>
  <cp:lastModifiedBy>Irēna Kalna</cp:lastModifiedBy>
  <cp:revision>11</cp:revision>
  <cp:lastPrinted>2018-03-02T08:46:00Z</cp:lastPrinted>
  <dcterms:created xsi:type="dcterms:W3CDTF">2018-09-20T11:32:00Z</dcterms:created>
  <dcterms:modified xsi:type="dcterms:W3CDTF">2018-10-24T07:19:00Z</dcterms:modified>
</cp:coreProperties>
</file>