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F87D5C"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874708013"/>
          <w:placeholder>
            <w:docPart w:val="B2513C7936974E769D1103048039203D"/>
          </w:placeholder>
          <w:richText/>
        </w:sdtPr>
        <w:sdtContent>
          <w:r w:rsidRPr="00F87D5C" w:rsidR="00F87D5C">
            <w:rPr>
              <w:rFonts w:ascii="Times New Roman" w:eastAsia="Times New Roman" w:hAnsi="Times New Roman" w:cs="Times New Roman"/>
              <w:b/>
              <w:bCs/>
              <w:sz w:val="28"/>
              <w:szCs w:val="28"/>
              <w:lang w:eastAsia="lv-LV"/>
            </w:rPr>
            <w:t>Ministru kabineta noteikumu</w:t>
          </w:r>
        </w:sdtContent>
      </w:sdt>
      <w:r w:rsidRPr="00F87D5C">
        <w:rPr>
          <w:rFonts w:ascii="Times New Roman" w:eastAsia="Times New Roman" w:hAnsi="Times New Roman" w:cs="Times New Roman"/>
          <w:b/>
          <w:bCs/>
          <w:sz w:val="28"/>
          <w:szCs w:val="28"/>
          <w:lang w:eastAsia="lv-LV"/>
        </w:rPr>
        <w:t xml:space="preserve"> projekta</w:t>
      </w:r>
      <w:r w:rsidRPr="00F87D5C" w:rsidR="00F87D5C">
        <w:rPr>
          <w:rFonts w:ascii="Times New Roman" w:eastAsia="Times New Roman" w:hAnsi="Times New Roman" w:cs="Times New Roman"/>
          <w:b/>
          <w:bCs/>
          <w:sz w:val="28"/>
          <w:szCs w:val="28"/>
          <w:lang w:eastAsia="lv-LV"/>
        </w:rPr>
        <w:t xml:space="preserve"> “</w:t>
      </w:r>
      <w:r w:rsidRPr="00F87D5C" w:rsidR="00F87D5C">
        <w:rPr>
          <w:rFonts w:ascii="Times New Roman" w:hAnsi="Times New Roman" w:cs="Times New Roman"/>
          <w:b/>
          <w:sz w:val="28"/>
          <w:szCs w:val="28"/>
        </w:rPr>
        <w:t>Grozījumi Ministru kabineta 2006. gada 1. augusta noteikumos Nr. 632 “Patērētāju tiesību aizsardzības centra nolikums</w:t>
      </w:r>
      <w:r w:rsidR="00F87D5C">
        <w:rPr>
          <w:rFonts w:ascii="Times New Roman" w:hAnsi="Times New Roman" w:cs="Times New Roman"/>
          <w:b/>
          <w:sz w:val="28"/>
          <w:szCs w:val="28"/>
        </w:rPr>
        <w:t>”</w:t>
      </w:r>
      <w:r w:rsidRPr="00F87D5C" w:rsidR="00F87D5C">
        <w:rPr>
          <w:rFonts w:ascii="Times New Roman" w:eastAsia="Times New Roman" w:hAnsi="Times New Roman" w:cs="Times New Roman"/>
          <w:b/>
          <w:bCs/>
          <w:sz w:val="28"/>
          <w:szCs w:val="28"/>
          <w:lang w:eastAsia="lv-LV"/>
        </w:rPr>
        <w:t>”</w:t>
      </w:r>
      <w:r w:rsidR="00F87D5C">
        <w:rPr>
          <w:rFonts w:ascii="Times New Roman" w:eastAsia="Times New Roman" w:hAnsi="Times New Roman" w:cs="Times New Roman"/>
          <w:b/>
          <w:bCs/>
          <w:sz w:val="28"/>
          <w:szCs w:val="28"/>
          <w:lang w:eastAsia="lv-LV"/>
        </w:rPr>
        <w:t xml:space="preserve"> </w:t>
      </w:r>
      <w:r w:rsidRPr="00F87D5C">
        <w:rPr>
          <w:rFonts w:ascii="Times New Roman" w:eastAsia="Times New Roman" w:hAnsi="Times New Roman" w:cs="Times New Roman"/>
          <w:b/>
          <w:bCs/>
          <w:sz w:val="28"/>
          <w:szCs w:val="28"/>
          <w:lang w:eastAsia="lv-LV"/>
        </w:rPr>
        <w:t>sākotnējās ietekmes novērtējuma ziņojums (anotācija)</w:t>
      </w:r>
    </w:p>
    <w:p w:rsidR="00E5323B" w:rsidRPr="0012264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27"/>
        <w:gridCol w:w="659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032C8" w:rsidP="00E5323B">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CB39D7">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rsidR="00E5323B"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(turpmāk - projekts)</w:t>
            </w:r>
            <w:r w:rsidR="006C315B">
              <w:rPr>
                <w:rFonts w:ascii="Times New Roman" w:eastAsia="Times New Roman" w:hAnsi="Times New Roman" w:cs="Times New Roman"/>
                <w:iCs/>
                <w:sz w:val="24"/>
                <w:szCs w:val="24"/>
                <w:lang w:eastAsia="lv-LV"/>
              </w:rPr>
              <w:t xml:space="preserve"> mērķis ir noteikt</w:t>
            </w:r>
            <w:r>
              <w:rPr>
                <w:rFonts w:ascii="Times New Roman" w:eastAsia="Times New Roman" w:hAnsi="Times New Roman" w:cs="Times New Roman"/>
                <w:iCs/>
                <w:sz w:val="24"/>
                <w:szCs w:val="24"/>
                <w:lang w:eastAsia="lv-LV"/>
              </w:rPr>
              <w:t xml:space="preserve"> </w:t>
            </w:r>
            <w:r w:rsidR="00342142">
              <w:rPr>
                <w:rFonts w:ascii="Times New Roman" w:eastAsia="Times New Roman" w:hAnsi="Times New Roman" w:cs="Times New Roman"/>
                <w:iCs/>
                <w:sz w:val="24"/>
                <w:szCs w:val="24"/>
                <w:lang w:eastAsia="lv-LV"/>
              </w:rPr>
              <w:t xml:space="preserve">atbildīgo iestādi, kas uzrauga </w:t>
            </w:r>
            <w:r w:rsidRPr="00A31FD3">
              <w:rPr>
                <w:rFonts w:ascii="Times New Roman" w:eastAsia="Times New Roman" w:hAnsi="Times New Roman" w:cs="Times New Roman"/>
                <w:iCs/>
                <w:sz w:val="24"/>
                <w:szCs w:val="24"/>
                <w:lang w:eastAsia="lv-LV"/>
              </w:rPr>
              <w:t>Eiropas Parlamenta un Padomes 2018. gada 28. februāra Regula</w:t>
            </w:r>
            <w:r>
              <w:rPr>
                <w:rFonts w:ascii="Times New Roman" w:eastAsia="Times New Roman" w:hAnsi="Times New Roman" w:cs="Times New Roman"/>
                <w:iCs/>
                <w:sz w:val="24"/>
                <w:szCs w:val="24"/>
                <w:lang w:eastAsia="lv-LV"/>
              </w:rPr>
              <w:t>s</w:t>
            </w:r>
            <w:r w:rsidRPr="00A31FD3">
              <w:rPr>
                <w:rFonts w:ascii="Times New Roman" w:eastAsia="Times New Roman" w:hAnsi="Times New Roman" w:cs="Times New Roman"/>
                <w:iCs/>
                <w:sz w:val="24"/>
                <w:szCs w:val="24"/>
                <w:lang w:eastAsia="lv-LV"/>
              </w:rPr>
              <w:t xml:space="preserve"> (ES) 2018/302 ar ko novērš nepamatotu ģeogrāfisko bloķēšanu un citus diskriminācijas veidus iekšējā tirgū valstspiederības, dzīvesvietas vai uzņēmējdarbības veikšanas vietas dēļ un groza Regulas (EK) Nr. 2006/2004 un (ES) 2017/2344 un Direktīvu 2009/22/EK</w:t>
            </w:r>
            <w:r>
              <w:rPr>
                <w:rFonts w:ascii="Times New Roman" w:eastAsia="Times New Roman" w:hAnsi="Times New Roman" w:cs="Times New Roman"/>
                <w:iCs/>
                <w:sz w:val="24"/>
                <w:szCs w:val="24"/>
                <w:lang w:eastAsia="lv-LV"/>
              </w:rPr>
              <w:t xml:space="preserve"> (turpmāk – Regula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ievērošanu.</w:t>
            </w:r>
          </w:p>
          <w:p w:rsidR="002F6E3D"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atbildīgo iest</w:t>
            </w:r>
            <w:r w:rsidR="00CB39D7">
              <w:rPr>
                <w:rFonts w:ascii="Times New Roman" w:eastAsia="Times New Roman" w:hAnsi="Times New Roman" w:cs="Times New Roman"/>
                <w:iCs/>
                <w:sz w:val="24"/>
                <w:szCs w:val="24"/>
                <w:lang w:eastAsia="lv-LV"/>
              </w:rPr>
              <w:t>ādi</w:t>
            </w:r>
            <w:r>
              <w:rPr>
                <w:rFonts w:ascii="Times New Roman" w:eastAsia="Times New Roman" w:hAnsi="Times New Roman" w:cs="Times New Roman"/>
                <w:iCs/>
                <w:sz w:val="24"/>
                <w:szCs w:val="24"/>
                <w:lang w:eastAsia="lv-LV"/>
              </w:rPr>
              <w:t>, kas</w:t>
            </w:r>
            <w:r w:rsidR="00CB39D7">
              <w:rPr>
                <w:rFonts w:ascii="Times New Roman" w:eastAsia="Times New Roman" w:hAnsi="Times New Roman" w:cs="Times New Roman"/>
                <w:iCs/>
                <w:sz w:val="24"/>
                <w:szCs w:val="24"/>
                <w:lang w:eastAsia="lv-LV"/>
              </w:rPr>
              <w:t xml:space="preserve"> uzrauga Regula Nr.</w:t>
            </w:r>
            <w:r w:rsidRPr="00A31FD3" w:rsidR="00CB39D7">
              <w:rPr>
                <w:rFonts w:ascii="Times New Roman" w:eastAsia="Times New Roman" w:hAnsi="Times New Roman" w:cs="Times New Roman"/>
                <w:iCs/>
                <w:sz w:val="24"/>
                <w:szCs w:val="24"/>
                <w:lang w:eastAsia="lv-LV"/>
              </w:rPr>
              <w:t>2018/302</w:t>
            </w:r>
            <w:r w:rsidR="00CB39D7">
              <w:rPr>
                <w:rFonts w:ascii="Times New Roman" w:eastAsia="Times New Roman" w:hAnsi="Times New Roman" w:cs="Times New Roman"/>
                <w:iCs/>
                <w:sz w:val="24"/>
                <w:szCs w:val="24"/>
                <w:lang w:eastAsia="lv-LV"/>
              </w:rPr>
              <w:t xml:space="preserve"> ievērošanu attiecībā uz patērētājiem, tiek noteikts</w:t>
            </w:r>
            <w:r>
              <w:rPr>
                <w:rFonts w:ascii="Times New Roman" w:eastAsia="Times New Roman" w:hAnsi="Times New Roman" w:cs="Times New Roman"/>
                <w:iCs/>
                <w:sz w:val="24"/>
                <w:szCs w:val="24"/>
                <w:lang w:eastAsia="lv-LV"/>
              </w:rPr>
              <w:t xml:space="preserve"> Patērētāju tiesību aizsardz</w:t>
            </w:r>
            <w:r w:rsidR="00CB39D7">
              <w:rPr>
                <w:rFonts w:ascii="Times New Roman" w:eastAsia="Times New Roman" w:hAnsi="Times New Roman" w:cs="Times New Roman"/>
                <w:iCs/>
                <w:sz w:val="24"/>
                <w:szCs w:val="24"/>
                <w:lang w:eastAsia="lv-LV"/>
              </w:rPr>
              <w:t>ības centrs</w:t>
            </w:r>
            <w:r>
              <w:rPr>
                <w:rFonts w:ascii="Times New Roman" w:eastAsia="Times New Roman" w:hAnsi="Times New Roman" w:cs="Times New Roman"/>
                <w:iCs/>
                <w:sz w:val="24"/>
                <w:szCs w:val="24"/>
                <w:lang w:eastAsia="lv-LV"/>
              </w:rPr>
              <w:t xml:space="preserve"> (turpmāk – PTAC)</w:t>
            </w:r>
            <w:r w:rsidR="00B26D69">
              <w:rPr>
                <w:rFonts w:ascii="Times New Roman" w:eastAsia="Times New Roman" w:hAnsi="Times New Roman" w:cs="Times New Roman"/>
                <w:iCs/>
                <w:sz w:val="24"/>
                <w:szCs w:val="24"/>
                <w:lang w:eastAsia="lv-LV"/>
              </w:rPr>
              <w:t xml:space="preserve">, grozot Patērētāju tiesību aizsardzības centra nolikumu </w:t>
            </w:r>
            <w:r w:rsidRPr="00B26D69" w:rsidR="00B26D69">
              <w:rPr>
                <w:rFonts w:ascii="Times New Roman" w:eastAsia="Times New Roman" w:hAnsi="Times New Roman" w:cs="Times New Roman"/>
                <w:iCs/>
                <w:sz w:val="24"/>
                <w:szCs w:val="24"/>
                <w:lang w:eastAsia="lv-LV"/>
              </w:rPr>
              <w:t xml:space="preserve">(turpmāk </w:t>
            </w:r>
            <w:r w:rsidR="00B26D69">
              <w:rPr>
                <w:rFonts w:ascii="Times New Roman" w:eastAsia="Times New Roman" w:hAnsi="Times New Roman" w:cs="Times New Roman"/>
                <w:iCs/>
                <w:sz w:val="24"/>
                <w:szCs w:val="24"/>
                <w:lang w:eastAsia="lv-LV"/>
              </w:rPr>
              <w:t>–</w:t>
            </w:r>
            <w:r w:rsidRPr="00B26D69" w:rsidR="00B26D69">
              <w:rPr>
                <w:rFonts w:ascii="Times New Roman" w:eastAsia="Times New Roman" w:hAnsi="Times New Roman" w:cs="Times New Roman"/>
                <w:iCs/>
                <w:sz w:val="24"/>
                <w:szCs w:val="24"/>
                <w:lang w:eastAsia="lv-LV"/>
              </w:rPr>
              <w:t xml:space="preserve"> Nolikums)</w:t>
            </w:r>
            <w:r w:rsidR="00CB39D7">
              <w:rPr>
                <w:rFonts w:ascii="Times New Roman" w:eastAsia="Times New Roman" w:hAnsi="Times New Roman" w:cs="Times New Roman"/>
                <w:iCs/>
                <w:sz w:val="24"/>
                <w:szCs w:val="24"/>
                <w:lang w:eastAsia="lv-LV"/>
              </w:rPr>
              <w:t>.</w:t>
            </w:r>
          </w:p>
          <w:p w:rsidR="002F6E3D" w:rsidRPr="00A934DA"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stājas spēkā 2018.gada 3.decembrī.</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036"/>
        <w:gridCol w:w="659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 Tiesību akta projekta izstrādes nepieciešamība</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F87D5C" w:rsidP="00F87D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F87D5C">
              <w:rPr>
                <w:rFonts w:ascii="Times New Roman" w:eastAsia="Times New Roman" w:hAnsi="Times New Roman" w:cs="Times New Roman"/>
                <w:iCs/>
                <w:sz w:val="24"/>
                <w:szCs w:val="24"/>
                <w:lang w:eastAsia="lv-LV"/>
              </w:rPr>
              <w:t xml:space="preserve">rojekts izstrādāts, lai </w:t>
            </w:r>
            <w:r w:rsidR="002B5296">
              <w:rPr>
                <w:rFonts w:ascii="Times New Roman" w:eastAsia="Times New Roman" w:hAnsi="Times New Roman" w:cs="Times New Roman"/>
                <w:iCs/>
                <w:sz w:val="24"/>
                <w:szCs w:val="24"/>
                <w:lang w:eastAsia="lv-LV"/>
              </w:rPr>
              <w:t xml:space="preserve">atbilstoši </w:t>
            </w:r>
            <w:r w:rsidR="00CB39D7">
              <w:rPr>
                <w:rFonts w:ascii="Times New Roman" w:eastAsia="Times New Roman" w:hAnsi="Times New Roman" w:cs="Times New Roman"/>
                <w:iCs/>
                <w:sz w:val="24"/>
                <w:szCs w:val="24"/>
                <w:lang w:eastAsia="lv-LV"/>
              </w:rPr>
              <w:t>Regulas Nr.</w:t>
            </w:r>
            <w:r w:rsidRPr="00A31FD3" w:rsidR="00CB39D7">
              <w:rPr>
                <w:rFonts w:ascii="Times New Roman" w:eastAsia="Times New Roman" w:hAnsi="Times New Roman" w:cs="Times New Roman"/>
                <w:iCs/>
                <w:sz w:val="24"/>
                <w:szCs w:val="24"/>
                <w:lang w:eastAsia="lv-LV"/>
              </w:rPr>
              <w:t>2018/302</w:t>
            </w:r>
            <w:r w:rsidR="00A31FD3">
              <w:rPr>
                <w:rFonts w:ascii="Times New Roman" w:eastAsia="Times New Roman" w:hAnsi="Times New Roman" w:cs="Times New Roman"/>
                <w:iCs/>
                <w:sz w:val="24"/>
                <w:szCs w:val="24"/>
                <w:lang w:eastAsia="lv-LV"/>
              </w:rPr>
              <w:t xml:space="preserve"> prasībām norīkotu iestādi, kas ir atbildīga par adekvātu un efektīvu </w:t>
            </w:r>
            <w:r w:rsidR="006A16CC">
              <w:rPr>
                <w:rFonts w:ascii="Times New Roman" w:eastAsia="Times New Roman" w:hAnsi="Times New Roman" w:cs="Times New Roman"/>
                <w:iCs/>
                <w:sz w:val="24"/>
                <w:szCs w:val="24"/>
                <w:lang w:eastAsia="lv-LV"/>
              </w:rPr>
              <w:t>Regulas Nr.</w:t>
            </w:r>
            <w:r w:rsidRPr="00A31FD3" w:rsidR="006A16CC">
              <w:rPr>
                <w:rFonts w:ascii="Times New Roman" w:eastAsia="Times New Roman" w:hAnsi="Times New Roman" w:cs="Times New Roman"/>
                <w:iCs/>
                <w:sz w:val="24"/>
                <w:szCs w:val="24"/>
                <w:lang w:eastAsia="lv-LV"/>
              </w:rPr>
              <w:t>2018/302</w:t>
            </w:r>
            <w:r w:rsidR="006A16CC">
              <w:rPr>
                <w:rFonts w:ascii="Times New Roman" w:eastAsia="Times New Roman" w:hAnsi="Times New Roman" w:cs="Times New Roman"/>
                <w:iCs/>
                <w:sz w:val="24"/>
                <w:szCs w:val="24"/>
                <w:lang w:eastAsia="lv-LV"/>
              </w:rPr>
              <w:t xml:space="preserve"> </w:t>
            </w:r>
            <w:r w:rsidR="00A31FD3">
              <w:rPr>
                <w:rFonts w:ascii="Times New Roman" w:eastAsia="Times New Roman" w:hAnsi="Times New Roman" w:cs="Times New Roman"/>
                <w:iCs/>
                <w:sz w:val="24"/>
                <w:szCs w:val="24"/>
                <w:lang w:eastAsia="lv-LV"/>
              </w:rPr>
              <w:t xml:space="preserve">izpildi. </w:t>
            </w:r>
          </w:p>
        </w:tc>
      </w:tr>
      <w:tr w:rsidTr="002156A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tcPr>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Regulas Nr.2018/302 mērķis ir novērst nepamatotu ģeogrāfisko bloķēšanu un citus diskriminācijas veidus, kuru pamatā ir tiešā vai netiešā klientu diskriminācija pēc trim pazīmēm:</w:t>
            </w:r>
          </w:p>
          <w:p w:rsidR="002156A6" w:rsidRPr="0063138C" w:rsidP="002156A6">
            <w:pPr>
              <w:pStyle w:val="ListParagraph"/>
              <w:numPr>
                <w:ilvl w:val="0"/>
                <w:numId w:val="5"/>
              </w:numPr>
              <w:jc w:val="both"/>
              <w:rPr>
                <w:iCs/>
                <w:color w:val="auto"/>
                <w:lang w:eastAsia="lv-LV"/>
              </w:rPr>
            </w:pPr>
            <w:r w:rsidRPr="0063138C">
              <w:rPr>
                <w:iCs/>
                <w:color w:val="auto"/>
                <w:lang w:eastAsia="lv-LV"/>
              </w:rPr>
              <w:t>Valstspiederība;</w:t>
            </w:r>
          </w:p>
          <w:p w:rsidR="002156A6" w:rsidRPr="0063138C" w:rsidP="002156A6">
            <w:pPr>
              <w:pStyle w:val="ListParagraph"/>
              <w:numPr>
                <w:ilvl w:val="0"/>
                <w:numId w:val="5"/>
              </w:numPr>
              <w:jc w:val="both"/>
              <w:rPr>
                <w:iCs/>
                <w:color w:val="auto"/>
                <w:lang w:eastAsia="lv-LV"/>
              </w:rPr>
            </w:pPr>
            <w:r w:rsidRPr="0063138C">
              <w:rPr>
                <w:iCs/>
                <w:color w:val="auto"/>
                <w:lang w:eastAsia="lv-LV"/>
              </w:rPr>
              <w:t>Dzīvesvieta;</w:t>
            </w:r>
          </w:p>
          <w:p w:rsidR="002156A6" w:rsidRPr="0063138C" w:rsidP="002156A6">
            <w:pPr>
              <w:pStyle w:val="ListParagraph"/>
              <w:numPr>
                <w:ilvl w:val="0"/>
                <w:numId w:val="5"/>
              </w:numPr>
              <w:jc w:val="both"/>
              <w:rPr>
                <w:iCs/>
                <w:color w:val="auto"/>
                <w:lang w:eastAsia="lv-LV"/>
              </w:rPr>
            </w:pPr>
            <w:r w:rsidRPr="0063138C">
              <w:rPr>
                <w:iCs/>
                <w:color w:val="auto"/>
                <w:lang w:eastAsia="lv-LV"/>
              </w:rPr>
              <w:t xml:space="preserve">Uzņēmējdarbības veikšanas vieta. </w:t>
            </w:r>
          </w:p>
          <w:p w:rsidR="00335E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 xml:space="preserve">Par ģeogrāfisko bloķēšanu dēvē praksi, kad tirgotāji, kuri darbojās vienā dalībvalstī, bloķē piekļuvi savām tiešsaistes saskarnēm, piemēram, tīmekļa vietnēm un lietotnēm, citu Eiropas Savienības dalībvalstu (turpmāk - dalībvalsts) klientiem, kuri vēlas veikt pārrobežu darījumus. Tas notiek arī tad, kad konkrēti tirgotāji citu dalībvalstu klientiem piemēro atšķirīgus vispārīgos piekļuves nosacījumus savām precēm un pakalpojumiem gan tiešsaistē, gan bezsaistē. Ģeogrāfiskā bloķēšana attiecās arī uz praksi, kad citas dalībvalsts patērētājam tiek liegts pabeigt pirkumu vai tiek lūgts apmaksāt pirkumu ar citas dalībvalsts maksājumu karti. </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 Nr.2018/302 nodrošina, ka patērētāji, kuri vēlas pirkt preces un pakalpojumus citā dalībvalstī netiek diskriminēti pēc valstspiederības, dzīvesvietas vai uzņēmējdarbības veikšanas vietas trijos gadījumos:</w:t>
            </w:r>
          </w:p>
          <w:p w:rsidR="002156A6" w:rsidRPr="0063138C" w:rsidP="002156A6">
            <w:pPr>
              <w:pStyle w:val="ListParagraph"/>
              <w:numPr>
                <w:ilvl w:val="0"/>
                <w:numId w:val="6"/>
              </w:numPr>
              <w:jc w:val="both"/>
              <w:rPr>
                <w:iCs/>
                <w:color w:val="auto"/>
                <w:lang w:eastAsia="lv-LV"/>
              </w:rPr>
            </w:pPr>
            <w:r w:rsidRPr="0063138C">
              <w:rPr>
                <w:iCs/>
                <w:color w:val="auto"/>
                <w:lang w:eastAsia="lv-LV"/>
              </w:rPr>
              <w:t>Regula aizliedz bloķēt piekļuvi vietnēm vai veikt klienta pārmaršrutēšanu uz citu vietni bez klienta iepriekšējas piekrišanas;</w:t>
            </w:r>
          </w:p>
          <w:p w:rsidR="002156A6" w:rsidRPr="0063138C" w:rsidP="002156A6">
            <w:pPr>
              <w:pStyle w:val="ListParagraph"/>
              <w:numPr>
                <w:ilvl w:val="0"/>
                <w:numId w:val="6"/>
              </w:numPr>
              <w:jc w:val="both"/>
              <w:rPr>
                <w:iCs/>
                <w:color w:val="auto"/>
                <w:lang w:eastAsia="lv-LV"/>
              </w:rPr>
            </w:pPr>
            <w:r w:rsidRPr="0063138C">
              <w:rPr>
                <w:iCs/>
                <w:color w:val="auto"/>
                <w:lang w:eastAsia="lv-LV"/>
              </w:rPr>
              <w:t>Regula nosaka īpašas situācijas, kad atšķirīgi piekļuves nosacījumi precēm un pakalpojumiem nav pamatoti:</w:t>
            </w:r>
          </w:p>
          <w:p w:rsidR="002156A6" w:rsidRPr="0063138C" w:rsidP="002156A6">
            <w:pPr>
              <w:pStyle w:val="ListParagraph"/>
              <w:numPr>
                <w:ilvl w:val="0"/>
                <w:numId w:val="7"/>
              </w:numPr>
              <w:jc w:val="both"/>
              <w:rPr>
                <w:iCs/>
                <w:color w:val="auto"/>
                <w:lang w:eastAsia="lv-LV"/>
              </w:rPr>
            </w:pPr>
            <w:r w:rsidRPr="0063138C">
              <w:rPr>
                <w:iCs/>
                <w:color w:val="auto"/>
                <w:lang w:eastAsia="lv-LV"/>
              </w:rPr>
              <w:t>Iegādājoties preces no tirgotāja, kas neveic piegādi uz klienta dalībvalsti, klientiem no citām dalībvalstīm ir tiesības uz piegādi tirgotāja dalībvalstī pēc identiskiem nosacījumiem kā vietējiem iedzīvotājiem;</w:t>
            </w:r>
          </w:p>
          <w:p w:rsidR="002156A6" w:rsidRPr="0063138C" w:rsidP="002156A6">
            <w:pPr>
              <w:pStyle w:val="ListParagraph"/>
              <w:numPr>
                <w:ilvl w:val="0"/>
                <w:numId w:val="7"/>
              </w:numPr>
              <w:jc w:val="both"/>
              <w:rPr>
                <w:iCs/>
                <w:color w:val="auto"/>
                <w:lang w:eastAsia="lv-LV"/>
              </w:rPr>
            </w:pPr>
            <w:r w:rsidRPr="0063138C">
              <w:rPr>
                <w:iCs/>
                <w:color w:val="auto"/>
                <w:lang w:eastAsia="lv-LV"/>
              </w:rPr>
              <w:t>Iegādājoties elektroniski sniegtus pakalpojumus</w:t>
            </w:r>
            <w:r w:rsidRPr="0063138C">
              <w:rPr>
                <w:color w:val="auto"/>
              </w:rPr>
              <w:t xml:space="preserve"> </w:t>
            </w:r>
            <w:r w:rsidRPr="0063138C">
              <w:rPr>
                <w:iCs/>
                <w:color w:val="auto"/>
                <w:lang w:eastAsia="lv-LV"/>
              </w:rPr>
              <w:t>piemēram, mākoņa pakalpojumus, datu glabāšanu vai vietņu mitināšanu, no tirgotāja, kas reģistrēts citā dalībvalstī;</w:t>
            </w:r>
          </w:p>
          <w:p w:rsidR="002156A6" w:rsidRPr="0063138C" w:rsidP="002156A6">
            <w:pPr>
              <w:pStyle w:val="ListParagraph"/>
              <w:numPr>
                <w:ilvl w:val="0"/>
                <w:numId w:val="7"/>
              </w:numPr>
              <w:jc w:val="both"/>
              <w:rPr>
                <w:iCs/>
                <w:color w:val="auto"/>
                <w:lang w:eastAsia="lv-LV"/>
              </w:rPr>
            </w:pPr>
            <w:r w:rsidRPr="0063138C">
              <w:rPr>
                <w:iCs/>
                <w:color w:val="auto"/>
                <w:lang w:eastAsia="lv-LV"/>
              </w:rPr>
              <w:t xml:space="preserve">Saņemot pakalpojumus tirgotāja fiziskajā atrašanas vietā dalībvalstī, kas nav klienta dalībvalsts, tādējādi Regula Nr.2018/302 attiecās arī uz bezsaistes gadījumiem. Šajā kategorijā ietilpst tādi pakalpojumi kā koncertu biļetes, vasaras naktsmītņu noma un automašīnu noma. </w:t>
            </w:r>
          </w:p>
          <w:p w:rsidR="002156A6" w:rsidRPr="00C31EB9" w:rsidP="002156A6">
            <w:pPr>
              <w:pStyle w:val="ListParagraph"/>
              <w:numPr>
                <w:ilvl w:val="0"/>
                <w:numId w:val="6"/>
              </w:numPr>
              <w:jc w:val="both"/>
              <w:rPr>
                <w:iCs/>
                <w:color w:val="auto"/>
                <w:lang w:eastAsia="lv-LV"/>
              </w:rPr>
            </w:pPr>
            <w:r w:rsidRPr="0063138C">
              <w:rPr>
                <w:iCs/>
                <w:color w:val="auto"/>
                <w:lang w:eastAsia="lv-LV"/>
              </w:rPr>
              <w:t>Regula liedz tirgotājiem noraidīt vai citādi diskriminēt klientus attiecībā uz maksājumu instrumentiem, kas izsniegti citā dalībvalstī, un piemērot atšķirīgus nosacījumus maksājumu darījumiem. Tirgotājs ir brīvs maksājumu līdzekļu noteikšanā, taču nosakot  maksājumu līdzekļus tirgotājam tos ir jāpiemēro bez diskriminācijas.</w:t>
            </w:r>
          </w:p>
          <w:p w:rsidR="00335E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hAnsi="Times New Roman" w:cs="Times New Roman"/>
                <w:sz w:val="24"/>
                <w:szCs w:val="24"/>
              </w:rPr>
              <w:t>Šobrīd vispārīgs diskriminācijas aizliegums pakalpojumu jomā ir noteikts Eiropas Parlamenta un Padomes direktīvas 2006/123/EK par pakalpojumiem iekšējā tirgū 20.pantā un pārņemts Brīvas pakalpojumu sniegšanas likuma 10.panta otrajā daļā, kas nosaka, ka: “</w:t>
            </w:r>
            <w:r w:rsidRPr="0063138C">
              <w:rPr>
                <w:rFonts w:ascii="Times New Roman" w:hAnsi="Times New Roman" w:cs="Times New Roman"/>
                <w:i/>
                <w:sz w:val="24"/>
                <w:szCs w:val="24"/>
              </w:rPr>
              <w:t>Pakalpojuma saņēmējam ir tiesības saņemt tādu pakalpojumu, kas nav diskriminējošs atkarībā no viņa pilsonības (pavalstniecības) vai dzīvesvietas, izņemot gadījumus, kad šādu nosacījumu piemērošana ir skaidri un nepārprotami formulēta, objektīvi pamatota, taisnīga un atklāta</w:t>
            </w:r>
            <w:r w:rsidRPr="0063138C">
              <w:rPr>
                <w:rFonts w:ascii="Times New Roman" w:hAnsi="Times New Roman" w:cs="Times New Roman"/>
                <w:sz w:val="24"/>
                <w:szCs w:val="24"/>
              </w:rPr>
              <w:t>.” Tomēr, neraugoties uz šī nediskriminēšanas principa noteikšanu, ES patērētāji joprojām saskaras ar atteikumu noformēt pirkumu un atšķirīgiem nosacījumiem, iegādājoties preces vai pakalpojumus citās ES Dalībvalstīs. Tas galvenokārt saistīts ar neskaidrību par to, kas ir objektīvi kritēriji, kas attaisnotu pakalpojumu sniedzēju atšķirīgo attieksmi pret patērētājiem no citām ES Dalībvalstīm.</w:t>
            </w:r>
            <w:r w:rsidRPr="0063138C">
              <w:rPr>
                <w:rFonts w:ascii="Times New Roman" w:eastAsia="Times New Roman" w:hAnsi="Times New Roman" w:cs="Times New Roman"/>
                <w:iCs/>
                <w:sz w:val="24"/>
                <w:szCs w:val="24"/>
                <w:lang w:eastAsia="lv-LV"/>
              </w:rPr>
              <w:t xml:space="preserve"> Regula Nr.2018/302 precizē kritērijus, kas nevar būt par attaisnojumu atšķirīgai attieksmei pret patērētājiem no citām ES Dalībvalstīm, sniedzot lielāku juridisko noteiktību.</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 xml:space="preserve">Regulas Nr.2018/302 7.pants paredz, ka dalībvalstīm ir jānorīko iestādi vai iestādes, kas ir atbildīgas par adekvātu un efektīvu Regulas Nr.2018/302 izpildi. Dalībvalstis nosaka noteikumus, kuros paredz pasākumus, kas piemērojami  Regulas Nr.2018/302 noteikumu neievērošanas gadījumā, un nodrošina to īstenošanu.  Savukārt Regulas Nr.2018/302 8.pants nosaka, ka katra dalībvalsts norīko iestādi vai iestādes, kas ir atbildīgas par praktiskās palīdzības sniegšanu patērētājiem gadījumā, ja starp patērētāju un tirgotāju rodas strīds, kas izriet no Regulas </w:t>
            </w:r>
            <w:r w:rsidRPr="0063138C">
              <w:rPr>
                <w:rFonts w:ascii="Times New Roman" w:eastAsia="Times New Roman" w:hAnsi="Times New Roman" w:cs="Times New Roman"/>
                <w:iCs/>
                <w:sz w:val="24"/>
                <w:szCs w:val="24"/>
                <w:lang w:eastAsia="lv-LV"/>
              </w:rPr>
              <w:t xml:space="preserve">Nr.2018/302  piemērošanas. Šāda praktiskā palīdzības sniegšanas var iekļaut: </w:t>
            </w:r>
          </w:p>
          <w:p w:rsidR="002156A6" w:rsidRPr="0063138C" w:rsidP="002156A6">
            <w:pPr>
              <w:pStyle w:val="ListParagraph"/>
              <w:numPr>
                <w:ilvl w:val="0"/>
                <w:numId w:val="3"/>
              </w:numPr>
              <w:jc w:val="both"/>
              <w:rPr>
                <w:iCs/>
                <w:color w:val="auto"/>
                <w:lang w:eastAsia="lv-LV"/>
              </w:rPr>
            </w:pPr>
            <w:r w:rsidRPr="0063138C">
              <w:rPr>
                <w:iCs/>
                <w:color w:val="auto"/>
                <w:lang w:eastAsia="lv-LV"/>
              </w:rPr>
              <w:t xml:space="preserve">Patērētāju tiesību izskaidrošanu; </w:t>
            </w:r>
          </w:p>
          <w:p w:rsidR="002156A6" w:rsidRPr="0063138C" w:rsidP="002156A6">
            <w:pPr>
              <w:pStyle w:val="ListParagraph"/>
              <w:numPr>
                <w:ilvl w:val="0"/>
                <w:numId w:val="3"/>
              </w:numPr>
              <w:jc w:val="both"/>
              <w:rPr>
                <w:iCs/>
                <w:color w:val="auto"/>
                <w:lang w:eastAsia="lv-LV"/>
              </w:rPr>
            </w:pPr>
            <w:r w:rsidRPr="0063138C">
              <w:rPr>
                <w:iCs/>
                <w:color w:val="auto"/>
                <w:lang w:eastAsia="lv-LV"/>
              </w:rPr>
              <w:t>Palīdzību patērētājiem strīdu risināšanā ar tirgotājiem no citām dalībvalstīm;</w:t>
            </w:r>
          </w:p>
          <w:p w:rsidR="002156A6" w:rsidRPr="0063138C" w:rsidP="002156A6">
            <w:pPr>
              <w:pStyle w:val="ListParagraph"/>
              <w:numPr>
                <w:ilvl w:val="0"/>
                <w:numId w:val="3"/>
              </w:numPr>
              <w:jc w:val="both"/>
              <w:rPr>
                <w:iCs/>
                <w:color w:val="auto"/>
                <w:lang w:eastAsia="lv-LV"/>
              </w:rPr>
            </w:pPr>
            <w:r w:rsidRPr="0063138C">
              <w:rPr>
                <w:iCs/>
                <w:color w:val="auto"/>
                <w:lang w:eastAsia="lv-LV"/>
              </w:rPr>
              <w:t>Patērētāju informēšana par iestādēm, kuras var sniegt palīdzību, ja konkrētā iestāde tādu nesniedz.</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Ņemot vēra, ka dalībvalstīm ir jānodrošina tāda normatīvo aktu bāze un praktiskā tiesību normu piemērošana, lai būtu iespējams īstenot no regulu normām izrietošās saistības, ir nepieciešams noteikt nacionālajā normatīvajā aktā iestādi vai iestādes, kas ir atbildīgas par Regulas Nr.2018/302 ievērošanu un praktiskās palīdzības sniegšanu patērētājiem, kā arī iedarbīgus pasākumus, ko atbildīgā iestāde piemēros gadījumos, kad tirgotājs pārkāpj Regulas Nr.2018/302 noteikumus.</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 xml:space="preserve">Regulas Nr.2018/302 noteikumi ir piemērojami gan uz darījumiem ar patērētājiem, gan uz darījumiem starp uzņēmumiem, ciktāl tie notiek, pamatojoties uz vispārējiem piekļuves nosacījumiem un darījumi ir domāti tikai un vienīgi gala patēriņam. Attiecīgi Regulā Nr.2018/302 tiek izdalītas atsevišķas divas definīcijas:  </w:t>
            </w:r>
          </w:p>
          <w:p w:rsidR="002156A6" w:rsidRPr="0063138C" w:rsidP="002156A6">
            <w:pPr>
              <w:pStyle w:val="ListParagraph"/>
              <w:numPr>
                <w:ilvl w:val="0"/>
                <w:numId w:val="3"/>
              </w:numPr>
              <w:jc w:val="both"/>
              <w:rPr>
                <w:iCs/>
                <w:color w:val="auto"/>
                <w:lang w:eastAsia="lv-LV"/>
              </w:rPr>
            </w:pPr>
            <w:r w:rsidRPr="0063138C">
              <w:rPr>
                <w:iCs/>
                <w:color w:val="auto"/>
                <w:lang w:eastAsia="lv-LV"/>
              </w:rPr>
              <w:t>patērētājs ir jebkura fiziska persona, kura rīkojas nolūkos, kas nav saistīti ar tās komercdarbību, uzņēmējdarbību vai profesiju;</w:t>
            </w:r>
          </w:p>
          <w:p w:rsidR="002156A6" w:rsidRPr="00C31EB9" w:rsidP="002156A6">
            <w:pPr>
              <w:pStyle w:val="ListParagraph"/>
              <w:numPr>
                <w:ilvl w:val="0"/>
                <w:numId w:val="3"/>
              </w:numPr>
              <w:jc w:val="both"/>
              <w:rPr>
                <w:iCs/>
                <w:color w:val="auto"/>
                <w:lang w:eastAsia="lv-LV"/>
              </w:rPr>
            </w:pPr>
            <w:r w:rsidRPr="0063138C">
              <w:rPr>
                <w:iCs/>
                <w:color w:val="auto"/>
                <w:lang w:eastAsia="lv-LV"/>
              </w:rPr>
              <w:t>klients ir patērētājs, kurš ir kādas dalībvalsts valstspiederīgais vai viņa dzīvesvieta atrodas dalībvalstī, vai uzņēmums, kura uzņēmējdarbības vieta ir vieta atrodas dalībvalstī vai kurš Savienībā saņem pakalpojumu vai iegādājas vai arī cenšas iegādāties preci tikai gala patēriņam.</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 xml:space="preserve">Atbilstoši Patērētāju tiesību aizsardzības likuma (turpmāk - PTAL) 24.pantam  PTAL un citos normatīvajos aktos noteikto patērētāju tiesību aizsardzības uzraudzību īsteno Patērētāju tiesību aizsardzības centrs. Savukārt PTAL 1.pants nosaka, ka patērētājs ir fiziskā persona, kas izsaka vēlēšanos iegādāties, iegādājas vai varētu iegādāties vai izmantot preci vai pakalpojumu nolūkam, kurš nav saistīts ar tās saimniecisko vai profesionālo darbību. </w:t>
            </w:r>
            <w:r>
              <w:rPr>
                <w:rFonts w:ascii="Times New Roman" w:eastAsia="Times New Roman" w:hAnsi="Times New Roman" w:cs="Times New Roman"/>
                <w:iCs/>
                <w:sz w:val="24"/>
                <w:szCs w:val="24"/>
                <w:lang w:eastAsia="lv-LV"/>
              </w:rPr>
              <w:t>No tā izriet, ka PTAC kompetence attiecās tikai uz fiziskām personām, savukārt u</w:t>
            </w:r>
            <w:r w:rsidRPr="0063138C">
              <w:rPr>
                <w:rFonts w:ascii="Times New Roman" w:eastAsia="Times New Roman" w:hAnsi="Times New Roman" w:cs="Times New Roman"/>
                <w:iCs/>
                <w:sz w:val="24"/>
                <w:szCs w:val="24"/>
                <w:lang w:eastAsia="lv-LV"/>
              </w:rPr>
              <w:t>zņēmumi īsteno savu tiesību aizsardzību civiltiesiskajā kārtībā.</w:t>
            </w:r>
            <w:r>
              <w:rPr>
                <w:rFonts w:ascii="Times New Roman" w:eastAsia="Times New Roman" w:hAnsi="Times New Roman" w:cs="Times New Roman"/>
                <w:iCs/>
                <w:sz w:val="24"/>
                <w:szCs w:val="24"/>
                <w:lang w:eastAsia="lv-LV"/>
              </w:rPr>
              <w:t xml:space="preserve"> Līdz ar to </w:t>
            </w:r>
            <w:r w:rsidRPr="0063138C">
              <w:rPr>
                <w:rFonts w:ascii="Times New Roman" w:eastAsia="Times New Roman" w:hAnsi="Times New Roman" w:cs="Times New Roman"/>
                <w:iCs/>
                <w:sz w:val="24"/>
                <w:szCs w:val="24"/>
                <w:lang w:eastAsia="lv-LV"/>
              </w:rPr>
              <w:t>projekta 1.punkts nosaka, ka PTAC uzrauga Regulas Nr.2018/302 ievērošanu</w:t>
            </w:r>
            <w:r>
              <w:rPr>
                <w:rFonts w:ascii="Times New Roman" w:eastAsia="Times New Roman" w:hAnsi="Times New Roman" w:cs="Times New Roman"/>
                <w:iCs/>
                <w:sz w:val="24"/>
                <w:szCs w:val="24"/>
                <w:lang w:eastAsia="lv-LV"/>
              </w:rPr>
              <w:t xml:space="preserve"> tikai</w:t>
            </w:r>
            <w:r w:rsidRPr="0063138C">
              <w:rPr>
                <w:rFonts w:ascii="Times New Roman" w:eastAsia="Times New Roman" w:hAnsi="Times New Roman" w:cs="Times New Roman"/>
                <w:iCs/>
                <w:sz w:val="24"/>
                <w:szCs w:val="24"/>
                <w:lang w:eastAsia="lv-LV"/>
              </w:rPr>
              <w:t xml:space="preserve"> attiecībā uz patērētājiem.</w:t>
            </w:r>
          </w:p>
          <w:p w:rsidR="003171AE"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nosaka vienīgi PTAC kompetenci </w:t>
            </w:r>
            <w:r w:rsidRPr="0063138C">
              <w:rPr>
                <w:rFonts w:ascii="Times New Roman" w:eastAsia="Times New Roman" w:hAnsi="Times New Roman" w:cs="Times New Roman"/>
                <w:iCs/>
                <w:sz w:val="24"/>
                <w:szCs w:val="24"/>
                <w:lang w:eastAsia="lv-LV"/>
              </w:rPr>
              <w:t>Regulas Nr.2018/302</w:t>
            </w:r>
            <w:r>
              <w:rPr>
                <w:rFonts w:ascii="Times New Roman" w:eastAsia="Times New Roman" w:hAnsi="Times New Roman" w:cs="Times New Roman"/>
                <w:iCs/>
                <w:sz w:val="24"/>
                <w:szCs w:val="24"/>
                <w:lang w:eastAsia="lv-LV"/>
              </w:rPr>
              <w:t xml:space="preserve"> uzraudzībā, bet neatrunā papildus noteikumus, kuros paredzēti pasākumi, kas piemērojami 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neievērošanas gadījumā,</w:t>
            </w:r>
            <w:r w:rsidRPr="0063138C">
              <w:rPr>
                <w:rFonts w:ascii="Times New Roman" w:eastAsia="Times New Roman" w:hAnsi="Times New Roman" w:cs="Times New Roman"/>
                <w:iCs/>
                <w:sz w:val="24"/>
                <w:szCs w:val="24"/>
                <w:lang w:eastAsia="lv-LV"/>
              </w:rPr>
              <w:t xml:space="preserve"> jo nacionālie normatīvie akti jau pašreiz nodrošina PTAC tiesības efektīvi aizsargāt patērētāju tiesības un intereses</w:t>
            </w:r>
            <w:r>
              <w:rPr>
                <w:rFonts w:ascii="Times New Roman" w:eastAsia="Times New Roman" w:hAnsi="Times New Roman" w:cs="Times New Roman"/>
                <w:iCs/>
                <w:sz w:val="24"/>
                <w:szCs w:val="24"/>
                <w:lang w:eastAsia="lv-LV"/>
              </w:rPr>
              <w:t xml:space="preserve"> savas kompetences ietvaros. </w:t>
            </w:r>
            <w:r>
              <w:rPr>
                <w:rFonts w:ascii="Times New Roman" w:eastAsia="Times New Roman" w:hAnsi="Times New Roman" w:cs="Times New Roman"/>
                <w:iCs/>
                <w:sz w:val="24"/>
                <w:szCs w:val="24"/>
                <w:lang w:eastAsia="lv-LV"/>
              </w:rPr>
              <w:t xml:space="preserve">Piemēram, </w:t>
            </w:r>
            <w:r w:rsidR="00FF4BD1">
              <w:rPr>
                <w:rFonts w:ascii="Times New Roman" w:eastAsia="Times New Roman" w:hAnsi="Times New Roman" w:cs="Times New Roman"/>
                <w:iCs/>
                <w:sz w:val="24"/>
                <w:szCs w:val="24"/>
                <w:lang w:eastAsia="lv-LV"/>
              </w:rPr>
              <w:t xml:space="preserve">PTAL 25.panta astotās daļa </w:t>
            </w:r>
            <w:r w:rsidRPr="008716E2" w:rsidR="008716E2">
              <w:rPr>
                <w:rFonts w:ascii="Times New Roman" w:eastAsia="Times New Roman" w:hAnsi="Times New Roman" w:cs="Times New Roman"/>
                <w:iCs/>
                <w:sz w:val="24"/>
                <w:szCs w:val="24"/>
                <w:lang w:eastAsia="lv-LV"/>
              </w:rPr>
              <w:t xml:space="preserve">paredz, ka, ja konstatēts patērētāju tiesību pārkāpums, kas skar patērētāju grupas intereses (patērētāju kolektīvās intereses), un tas var radīt zaudējumus vai kaitējumu patērētājiem, </w:t>
            </w:r>
            <w:r w:rsidRPr="008716E2" w:rsidR="008716E2">
              <w:rPr>
                <w:rFonts w:ascii="Times New Roman" w:eastAsia="Times New Roman" w:hAnsi="Times New Roman" w:cs="Times New Roman"/>
                <w:iCs/>
                <w:sz w:val="24"/>
                <w:szCs w:val="24"/>
                <w:lang w:eastAsia="lv-LV"/>
              </w:rPr>
              <w:t xml:space="preserve">arī atsevišķam patērētājam, </w:t>
            </w:r>
            <w:r w:rsidR="009C5A06">
              <w:rPr>
                <w:rFonts w:ascii="Times New Roman" w:eastAsia="Times New Roman" w:hAnsi="Times New Roman" w:cs="Times New Roman"/>
                <w:iCs/>
                <w:sz w:val="24"/>
                <w:szCs w:val="24"/>
                <w:lang w:eastAsia="lv-LV"/>
              </w:rPr>
              <w:t>PTAC</w:t>
            </w:r>
            <w:r w:rsidRPr="008716E2" w:rsidR="008716E2">
              <w:rPr>
                <w:rFonts w:ascii="Times New Roman" w:eastAsia="Times New Roman" w:hAnsi="Times New Roman" w:cs="Times New Roman"/>
                <w:iCs/>
                <w:sz w:val="24"/>
                <w:szCs w:val="24"/>
                <w:lang w:eastAsia="lv-LV"/>
              </w:rPr>
              <w:t xml:space="preserve">, izvērtējis pārkāpuma raksturu un būtību, kā arī citus aspektus, ir tiesīgs </w:t>
            </w:r>
            <w:r w:rsidRPr="003171AE">
              <w:rPr>
                <w:rFonts w:ascii="Times New Roman" w:eastAsia="Times New Roman" w:hAnsi="Times New Roman" w:cs="Times New Roman"/>
                <w:iCs/>
                <w:sz w:val="24"/>
                <w:szCs w:val="24"/>
                <w:lang w:eastAsia="lv-LV"/>
              </w:rPr>
              <w:t>veikt vienu vai vairākas šādas darbības</w:t>
            </w:r>
            <w:r>
              <w:rPr>
                <w:rFonts w:ascii="Times New Roman" w:eastAsia="Times New Roman" w:hAnsi="Times New Roman" w:cs="Times New Roman"/>
                <w:iCs/>
                <w:sz w:val="24"/>
                <w:szCs w:val="24"/>
                <w:lang w:eastAsia="lv-LV"/>
              </w:rPr>
              <w:t>:</w:t>
            </w:r>
          </w:p>
          <w:p w:rsidR="003171AE" w:rsidRPr="003171AE" w:rsidP="003171AE">
            <w:pPr>
              <w:pStyle w:val="ListParagraph"/>
              <w:numPr>
                <w:ilvl w:val="0"/>
                <w:numId w:val="3"/>
              </w:numPr>
              <w:jc w:val="both"/>
              <w:rPr>
                <w:iCs/>
                <w:lang w:eastAsia="lv-LV"/>
              </w:rPr>
            </w:pPr>
            <w:r w:rsidRPr="003171AE">
              <w:rPr>
                <w:iCs/>
                <w:lang w:eastAsia="lv-LV"/>
              </w:rPr>
              <w:t>ierosināt, lai ražotājs, pārdevējs vai pakalpojuma sniedzējs rakstveidā apņemas noteiktā termiņā novērst izdarīto pārkāpumu;</w:t>
            </w:r>
          </w:p>
          <w:p w:rsidR="003171AE" w:rsidP="003171AE">
            <w:pPr>
              <w:pStyle w:val="ListParagraph"/>
              <w:numPr>
                <w:ilvl w:val="0"/>
                <w:numId w:val="3"/>
              </w:numPr>
              <w:jc w:val="both"/>
              <w:rPr>
                <w:iCs/>
                <w:lang w:eastAsia="lv-LV"/>
              </w:rPr>
            </w:pPr>
            <w:r w:rsidRPr="003171AE">
              <w:rPr>
                <w:iCs/>
                <w:lang w:eastAsia="lv-LV"/>
              </w:rPr>
              <w:t>pieņemt lēmumu, ar kuru uzdod ražotājam, pārdevējam vai pakalpojuma sniedzējam izbeigt pārkāpumu un veikt noteiktas darbības tā ietekmes novēršanai, nosa</w:t>
            </w:r>
            <w:r>
              <w:rPr>
                <w:iCs/>
                <w:lang w:eastAsia="lv-LV"/>
              </w:rPr>
              <w:t>kot termiņu šo darbību izpildei;</w:t>
            </w:r>
          </w:p>
          <w:p w:rsidR="003171AE" w:rsidRPr="003171AE" w:rsidP="003171AE">
            <w:pPr>
              <w:pStyle w:val="ListParagraph"/>
              <w:numPr>
                <w:ilvl w:val="0"/>
                <w:numId w:val="3"/>
              </w:numPr>
              <w:jc w:val="both"/>
              <w:rPr>
                <w:iCs/>
                <w:lang w:eastAsia="lv-LV"/>
              </w:rPr>
            </w:pPr>
            <w:r w:rsidRPr="003171AE">
              <w:rPr>
                <w:iCs/>
                <w:lang w:eastAsia="lv-LV"/>
              </w:rPr>
              <w:t>ražotāja, pārdevēja vai pakalpojuma sniedzēja rakstveida apņemšanos ievietot Patērētāju tiesību aizsardzības centra mājaslapā vai pieņemto lēmumu daļēji vai pilnībā ievietot Patērētāju tiesību aizsardzības centra mājaslapā un publicēt laikrakstā “Latvijas Vēstnesis” (ar publicēšanu saistītos izdevumus sedz ražotājs, pārdevējs vai pakalpojuma sniedzējs).</w:t>
            </w:r>
          </w:p>
          <w:p w:rsidR="008716E2"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ka valstspiederība vai dzīvesvieta nav pazīmes, kas ir unikālas vienai personai, bet attiecās uz personu grupu, </w:t>
            </w:r>
            <w:r w:rsidR="008538F3">
              <w:rPr>
                <w:rFonts w:ascii="Times New Roman" w:eastAsia="Times New Roman" w:hAnsi="Times New Roman" w:cs="Times New Roman"/>
                <w:iCs/>
                <w:sz w:val="24"/>
                <w:szCs w:val="24"/>
                <w:lang w:eastAsia="lv-LV"/>
              </w:rPr>
              <w:t>atsevišķas personas diskriminācija pēc konkrētajām pazīmēm</w:t>
            </w:r>
            <w:r w:rsidR="00ED5112">
              <w:rPr>
                <w:rFonts w:ascii="Times New Roman" w:eastAsia="Times New Roman" w:hAnsi="Times New Roman" w:cs="Times New Roman"/>
                <w:iCs/>
                <w:sz w:val="24"/>
                <w:szCs w:val="24"/>
                <w:lang w:eastAsia="lv-LV"/>
              </w:rPr>
              <w:t xml:space="preserve"> skar </w:t>
            </w:r>
            <w:r w:rsidR="003171AE">
              <w:rPr>
                <w:rFonts w:ascii="Times New Roman" w:eastAsia="Times New Roman" w:hAnsi="Times New Roman" w:cs="Times New Roman"/>
                <w:iCs/>
                <w:sz w:val="24"/>
                <w:szCs w:val="24"/>
                <w:lang w:eastAsia="lv-LV"/>
              </w:rPr>
              <w:t>visas grupas</w:t>
            </w:r>
            <w:r w:rsidR="00ED5112">
              <w:rPr>
                <w:rFonts w:ascii="Times New Roman" w:eastAsia="Times New Roman" w:hAnsi="Times New Roman" w:cs="Times New Roman"/>
                <w:iCs/>
                <w:sz w:val="24"/>
                <w:szCs w:val="24"/>
                <w:lang w:eastAsia="lv-LV"/>
              </w:rPr>
              <w:t xml:space="preserve"> intereses. </w:t>
            </w:r>
          </w:p>
          <w:p w:rsidR="00335EA6" w:rsidRPr="00C31EB9"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3171AE">
              <w:rPr>
                <w:rFonts w:ascii="Times New Roman" w:eastAsia="Times New Roman" w:hAnsi="Times New Roman" w:cs="Times New Roman"/>
                <w:iCs/>
                <w:sz w:val="24"/>
                <w:szCs w:val="24"/>
                <w:lang w:eastAsia="lv-LV"/>
              </w:rPr>
              <w:t>PTAL 25.pa</w:t>
            </w:r>
            <w:r>
              <w:rPr>
                <w:rFonts w:ascii="Times New Roman" w:eastAsia="Times New Roman" w:hAnsi="Times New Roman" w:cs="Times New Roman"/>
                <w:iCs/>
                <w:sz w:val="24"/>
                <w:szCs w:val="24"/>
                <w:lang w:eastAsia="lv-LV"/>
              </w:rPr>
              <w:t xml:space="preserve">nta ceturtās daļas 4.apakšpunktu, </w:t>
            </w:r>
            <w:r w:rsidRPr="003171AE">
              <w:rPr>
                <w:rFonts w:ascii="Times New Roman" w:eastAsia="Times New Roman" w:hAnsi="Times New Roman" w:cs="Times New Roman"/>
                <w:iCs/>
                <w:sz w:val="24"/>
                <w:szCs w:val="24"/>
                <w:lang w:eastAsia="lv-LV"/>
              </w:rPr>
              <w:t>palīdzības sniegšana patērētājiem strīdu risināšanā ar pārdevējiem vai pakalpojumu sniedzējiem ir vien</w:t>
            </w:r>
            <w:r>
              <w:rPr>
                <w:rFonts w:ascii="Times New Roman" w:eastAsia="Times New Roman" w:hAnsi="Times New Roman" w:cs="Times New Roman"/>
                <w:iCs/>
                <w:sz w:val="24"/>
                <w:szCs w:val="24"/>
                <w:lang w:eastAsia="lv-LV"/>
              </w:rPr>
              <w:t>a no PTAC funkcijām. Savukārt a</w:t>
            </w:r>
            <w:r w:rsidRPr="003171AE">
              <w:rPr>
                <w:rFonts w:ascii="Times New Roman" w:eastAsia="Times New Roman" w:hAnsi="Times New Roman" w:cs="Times New Roman"/>
                <w:iCs/>
                <w:sz w:val="24"/>
                <w:szCs w:val="24"/>
                <w:lang w:eastAsia="lv-LV"/>
              </w:rPr>
              <w:t>tbilstoši PTAL 26.panta piektajai daļai, saņemot patērētāja iesniegumu, kurā lūgta informācija vai konsultācija par patērētāja tiesībā</w:t>
            </w:r>
            <w:r w:rsidR="00D622F9">
              <w:rPr>
                <w:rFonts w:ascii="Times New Roman" w:eastAsia="Times New Roman" w:hAnsi="Times New Roman" w:cs="Times New Roman"/>
                <w:iCs/>
                <w:sz w:val="24"/>
                <w:szCs w:val="24"/>
                <w:lang w:eastAsia="lv-LV"/>
              </w:rPr>
              <w:t>m, PTAC</w:t>
            </w:r>
            <w:bookmarkStart w:id="0" w:name="_GoBack"/>
            <w:bookmarkEnd w:id="0"/>
            <w:r w:rsidRPr="003171AE">
              <w:rPr>
                <w:rFonts w:ascii="Times New Roman" w:eastAsia="Times New Roman" w:hAnsi="Times New Roman" w:cs="Times New Roman"/>
                <w:iCs/>
                <w:sz w:val="24"/>
                <w:szCs w:val="24"/>
                <w:lang w:eastAsia="lv-LV"/>
              </w:rPr>
              <w:t xml:space="preserve"> sagatavo atbildi, sniedzot nepieciešamo informāciju.</w:t>
            </w:r>
            <w:r>
              <w:rPr>
                <w:rFonts w:ascii="Times New Roman" w:eastAsia="Times New Roman" w:hAnsi="Times New Roman" w:cs="Times New Roman"/>
                <w:iCs/>
                <w:sz w:val="24"/>
                <w:szCs w:val="24"/>
                <w:lang w:eastAsia="lv-LV"/>
              </w:rPr>
              <w:t xml:space="preserve"> Līdz ar to nacionālie normatīvie akti jau šobrīd paredz, ka PTAC </w:t>
            </w:r>
            <w:r w:rsidRPr="002156A6">
              <w:rPr>
                <w:rFonts w:ascii="Times New Roman" w:eastAsia="Times New Roman" w:hAnsi="Times New Roman" w:cs="Times New Roman"/>
                <w:iCs/>
                <w:sz w:val="24"/>
                <w:szCs w:val="24"/>
                <w:lang w:eastAsia="lv-LV"/>
              </w:rPr>
              <w:t>sniedz praktisko palīdzību patērētājiem</w:t>
            </w:r>
            <w:r>
              <w:rPr>
                <w:rFonts w:ascii="Times New Roman" w:eastAsia="Times New Roman" w:hAnsi="Times New Roman" w:cs="Times New Roman"/>
                <w:iCs/>
                <w:sz w:val="24"/>
                <w:szCs w:val="24"/>
                <w:lang w:eastAsia="lv-LV"/>
              </w:rPr>
              <w:t xml:space="preserve">. </w:t>
            </w:r>
          </w:p>
          <w:p w:rsidR="002156A6" w:rsidRPr="0063138C" w:rsidP="00A7395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63138C">
              <w:rPr>
                <w:rFonts w:ascii="Times New Roman" w:eastAsia="Times New Roman" w:hAnsi="Times New Roman" w:cs="Times New Roman"/>
                <w:iCs/>
                <w:sz w:val="24"/>
                <w:szCs w:val="24"/>
                <w:lang w:eastAsia="lv-LV"/>
              </w:rPr>
              <w:t>rojekts paredz pārejas noteikumus, kuros noteikts, ka šo noteikumu 4.21.</w:t>
            </w:r>
            <w:r w:rsidRPr="0063138C">
              <w:rPr>
                <w:rFonts w:ascii="Times New Roman" w:eastAsia="Times New Roman" w:hAnsi="Times New Roman" w:cs="Times New Roman"/>
                <w:iCs/>
                <w:sz w:val="24"/>
                <w:szCs w:val="24"/>
                <w:vertAlign w:val="superscript"/>
                <w:lang w:eastAsia="lv-LV"/>
              </w:rPr>
              <w:t>1</w:t>
            </w:r>
            <w:r w:rsidRPr="0063138C">
              <w:rPr>
                <w:rFonts w:ascii="Times New Roman" w:eastAsia="Times New Roman" w:hAnsi="Times New Roman" w:cs="Times New Roman"/>
                <w:iCs/>
                <w:sz w:val="24"/>
                <w:szCs w:val="24"/>
                <w:lang w:eastAsia="lv-LV"/>
              </w:rPr>
              <w:t xml:space="preserve"> apakšpunkts stājas spēkā 2018. gada 3. decembrī, jo Regulu Nr.2018/302 piemēro no 2018. gada 3. decembra.</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rsidR="002156A6" w:rsidRPr="00A31FD3" w:rsidP="002156A6">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Ekonomikas ministrija, Patērētāju tiesību aizsardzības centrs</w:t>
            </w:r>
            <w:r>
              <w:rPr>
                <w:rFonts w:ascii="Times New Roman" w:hAnsi="Times New Roman" w:cs="Times New Roman"/>
                <w:sz w:val="24"/>
                <w:szCs w:val="24"/>
              </w:rPr>
              <w:t>.</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2156A6" w:rsidRPr="00A31FD3" w:rsidP="002156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036"/>
        <w:gridCol w:w="659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rsidR="00397212" w:rsidP="002A0913">
            <w:pPr>
              <w:pStyle w:val="ListParagraph"/>
              <w:numPr>
                <w:ilvl w:val="0"/>
                <w:numId w:val="2"/>
              </w:numPr>
              <w:jc w:val="both"/>
              <w:rPr>
                <w:iCs/>
                <w:lang w:eastAsia="lv-LV"/>
              </w:rPr>
            </w:pPr>
            <w:r w:rsidRPr="00397212">
              <w:rPr>
                <w:iCs/>
                <w:lang w:eastAsia="lv-LV"/>
              </w:rPr>
              <w:t xml:space="preserve">Patērētāji (Regula </w:t>
            </w:r>
            <w:r w:rsidRPr="00397212" w:rsidR="009C2CAA">
              <w:rPr>
                <w:iCs/>
                <w:lang w:eastAsia="lv-LV"/>
              </w:rPr>
              <w:t>Nr.</w:t>
            </w:r>
            <w:r w:rsidRPr="00397212">
              <w:rPr>
                <w:iCs/>
                <w:lang w:eastAsia="lv-LV"/>
              </w:rPr>
              <w:t xml:space="preserve">2018/302 skar </w:t>
            </w:r>
            <w:r w:rsidRPr="00397212">
              <w:t xml:space="preserve">~ </w:t>
            </w:r>
            <w:r w:rsidRPr="00397212">
              <w:rPr>
                <w:iCs/>
                <w:lang w:eastAsia="lv-LV"/>
              </w:rPr>
              <w:t>500 miljonus ES patērētāju)</w:t>
            </w:r>
          </w:p>
          <w:p w:rsidR="002A0913" w:rsidRPr="00397212" w:rsidP="002A0913">
            <w:pPr>
              <w:pStyle w:val="ListParagraph"/>
              <w:numPr>
                <w:ilvl w:val="0"/>
                <w:numId w:val="2"/>
              </w:numPr>
              <w:jc w:val="both"/>
              <w:rPr>
                <w:iCs/>
                <w:lang w:eastAsia="lv-LV"/>
              </w:rPr>
            </w:pPr>
            <w:r w:rsidRPr="00397212">
              <w:rPr>
                <w:iCs/>
                <w:lang w:eastAsia="lv-LV"/>
              </w:rPr>
              <w:t>Pārdevēji un pakalpojumu sniedzēji</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 xml:space="preserve">Tiesiskā </w:t>
            </w:r>
            <w:r w:rsidRPr="00E032C8">
              <w:rPr>
                <w:rFonts w:ascii="Times New Roman" w:eastAsia="Times New Roman" w:hAnsi="Times New Roman" w:cs="Times New Roman"/>
                <w:iCs/>
                <w:sz w:val="24"/>
                <w:szCs w:val="24"/>
                <w:lang w:eastAsia="lv-LV"/>
              </w:rPr>
              <w:t>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rsidR="00E5323B" w:rsidRPr="00122645" w:rsidP="00DB5D7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529D9">
              <w:rPr>
                <w:rFonts w:ascii="Times New Roman" w:hAnsi="Times New Roman" w:cs="Times New Roman"/>
                <w:sz w:val="24"/>
              </w:rPr>
              <w:t xml:space="preserve">Noteikumu projekts rada administratīvā sloga pieaugumu PTAC </w:t>
            </w:r>
            <w:r w:rsidRPr="001529D9">
              <w:rPr>
                <w:rFonts w:ascii="Times New Roman" w:hAnsi="Times New Roman" w:cs="Times New Roman"/>
                <w:sz w:val="24"/>
              </w:rPr>
              <w:t>saistībā</w:t>
            </w:r>
            <w:r>
              <w:rPr>
                <w:rFonts w:ascii="Times New Roman" w:hAnsi="Times New Roman" w:cs="Times New Roman"/>
                <w:sz w:val="24"/>
              </w:rPr>
              <w:t xml:space="preserve"> ar papildus funkciju </w:t>
            </w:r>
            <w:r w:rsidR="00AD4C3E">
              <w:rPr>
                <w:rFonts w:ascii="Times New Roman" w:hAnsi="Times New Roman" w:cs="Times New Roman"/>
                <w:sz w:val="24"/>
              </w:rPr>
              <w:t>piešķiršanu</w:t>
            </w:r>
            <w:r w:rsidR="00A85251">
              <w:rPr>
                <w:rFonts w:ascii="Times New Roman" w:hAnsi="Times New Roman" w:cs="Times New Roman"/>
                <w:sz w:val="24"/>
              </w:rPr>
              <w:t xml:space="preserve"> un </w:t>
            </w:r>
            <w:r w:rsidR="00794F47">
              <w:rPr>
                <w:rFonts w:ascii="Times New Roman" w:hAnsi="Times New Roman" w:cs="Times New Roman"/>
                <w:sz w:val="24"/>
              </w:rPr>
              <w:t>uzraudzības jomas</w:t>
            </w:r>
            <w:r w:rsidR="00A85251">
              <w:rPr>
                <w:rFonts w:ascii="Times New Roman" w:hAnsi="Times New Roman" w:cs="Times New Roman"/>
                <w:sz w:val="24"/>
              </w:rPr>
              <w:t xml:space="preserve"> paplašināšanu</w:t>
            </w:r>
            <w:r w:rsidR="00AD4C3E">
              <w:rPr>
                <w:rFonts w:ascii="Times New Roman" w:hAnsi="Times New Roman" w:cs="Times New Roman"/>
                <w:sz w:val="24"/>
              </w:rPr>
              <w:t>.</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ED7C6A"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E032C8" w:rsidR="00E5323B">
              <w:rPr>
                <w:rFonts w:ascii="Times New Roman" w:eastAsia="Times New Roman" w:hAnsi="Times New Roman" w:cs="Times New Roman"/>
                <w:iCs/>
                <w:sz w:val="24"/>
                <w:szCs w:val="24"/>
                <w:lang w:eastAsia="lv-LV"/>
              </w:rPr>
              <w:t>.</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ED7C6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C850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6A" w:rsidRPr="00ED7C6A" w:rsidP="00C85071">
            <w:pPr>
              <w:spacing w:after="0" w:line="240" w:lineRule="auto"/>
              <w:jc w:val="center"/>
              <w:rPr>
                <w:rFonts w:ascii="Times New Roman" w:eastAsia="Times New Roman" w:hAnsi="Times New Roman" w:cs="Times New Roman"/>
                <w:b/>
                <w:bCs/>
                <w:iCs/>
                <w:sz w:val="24"/>
                <w:szCs w:val="24"/>
                <w:lang w:eastAsia="lv-LV"/>
              </w:rPr>
            </w:pPr>
            <w:r w:rsidRPr="00ED7C6A">
              <w:rPr>
                <w:rFonts w:ascii="Times New Roman" w:eastAsia="Times New Roman" w:hAnsi="Times New Roman" w:cs="Times New Roman"/>
                <w:b/>
                <w:bCs/>
                <w:iCs/>
                <w:sz w:val="24"/>
                <w:szCs w:val="24"/>
                <w:lang w:eastAsia="lv-LV"/>
              </w:rPr>
              <w:t>III. Tiesību akta projekta ietekme uz valsts budžetu un pašvaldību budžetiem</w:t>
            </w:r>
          </w:p>
        </w:tc>
      </w:tr>
      <w:tr w:rsidTr="00C850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6A" w:rsidRPr="00ED7C6A" w:rsidP="00C85071">
            <w:pPr>
              <w:spacing w:after="0" w:line="240" w:lineRule="auto"/>
              <w:jc w:val="center"/>
              <w:rPr>
                <w:rFonts w:ascii="Times New Roman" w:eastAsia="Times New Roman" w:hAnsi="Times New Roman" w:cs="Times New Roman"/>
                <w:bCs/>
                <w:iCs/>
                <w:sz w:val="24"/>
                <w:szCs w:val="24"/>
                <w:lang w:eastAsia="lv-LV"/>
              </w:rPr>
            </w:pPr>
            <w:r w:rsidRPr="00ED7C6A">
              <w:rPr>
                <w:rFonts w:ascii="Times New Roman" w:eastAsia="Times New Roman" w:hAnsi="Times New Roman" w:cs="Times New Roman"/>
                <w:bCs/>
                <w:iCs/>
                <w:sz w:val="24"/>
                <w:szCs w:val="24"/>
                <w:lang w:eastAsia="lv-LV"/>
              </w:rPr>
              <w:t>Projekts šo jomu neskar</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DB5D7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87D5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514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032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Eiropas Parlamenta un Padomes 2018. gada 28. februāra Regula (ES) 2018/302 ar ko novērš nepamatotu ģeogrāfisko bloķēšanu un citus diskriminācijas veidus iekšējā tirgū valstspiederības, dzīvesvietas vai uzņēmējdarbības veikšanas vietas dēļ un groza Regulas (EK) Nr. 2006/2004 un (ES) 2017/2344 un Direktīvu 2009/22/EK</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032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91"/>
        <w:gridCol w:w="1994"/>
        <w:gridCol w:w="2178"/>
        <w:gridCol w:w="2458"/>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22645" w:rsidP="00E5323B">
            <w:pPr>
              <w:spacing w:after="0" w:line="240" w:lineRule="auto"/>
              <w:rPr>
                <w:rFonts w:ascii="Times New Roman" w:eastAsia="Times New Roman" w:hAnsi="Times New Roman" w:cs="Times New Roman"/>
                <w:b/>
                <w:bCs/>
                <w:iCs/>
                <w:color w:val="414142"/>
                <w:sz w:val="24"/>
                <w:szCs w:val="24"/>
                <w:lang w:eastAsia="lv-LV"/>
              </w:rPr>
            </w:pPr>
            <w:r w:rsidRPr="00E032C8">
              <w:rPr>
                <w:rFonts w:ascii="Times New Roman" w:eastAsia="Times New Roman" w:hAnsi="Times New Roman" w:cs="Times New Roman"/>
                <w:b/>
                <w:bCs/>
                <w:iCs/>
                <w:sz w:val="24"/>
                <w:szCs w:val="24"/>
                <w:lang w:eastAsia="lv-LV"/>
              </w:rPr>
              <w:t>1. tabula</w:t>
            </w:r>
            <w:r w:rsidRPr="00122645">
              <w:rPr>
                <w:rFonts w:ascii="Times New Roman" w:eastAsia="Times New Roman" w:hAnsi="Times New Roman" w:cs="Times New Roman"/>
                <w:b/>
                <w:bCs/>
                <w:iCs/>
                <w:color w:val="414142"/>
                <w:sz w:val="24"/>
                <w:szCs w:val="24"/>
                <w:lang w:eastAsia="lv-LV"/>
              </w:rPr>
              <w:br/>
            </w:r>
            <w:r w:rsidRPr="00E032C8">
              <w:rPr>
                <w:rFonts w:ascii="Times New Roman" w:eastAsia="Times New Roman" w:hAnsi="Times New Roman" w:cs="Times New Roman"/>
                <w:b/>
                <w:bCs/>
                <w:iCs/>
                <w:sz w:val="24"/>
                <w:szCs w:val="24"/>
                <w:lang w:eastAsia="lv-LV"/>
              </w:rPr>
              <w:t>Tiesību akta projekta atbilstība ES tiesību aktiem</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E032C8" w:rsidP="00E5323B">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Attiecīgā ES tiesību akta datums, numurs un nosaukums</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122645" w:rsidP="002C6D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31FD3">
              <w:rPr>
                <w:rFonts w:ascii="Times New Roman" w:eastAsia="Times New Roman" w:hAnsi="Times New Roman" w:cs="Times New Roman"/>
                <w:iCs/>
                <w:sz w:val="24"/>
                <w:szCs w:val="24"/>
                <w:lang w:eastAsia="lv-LV"/>
              </w:rPr>
              <w:t>Eiropas Parlamenta un Padomes 2018. gada 28. februāra Regula (ES) 2018/302 ar ko novērš nepamatotu ģeogrāfisko bloķēšanu un citus diskriminācijas veidus iekšējā tirgū valstspiederības, dzīvesvietas vai uzņēmējdarbības veikšanas vietas dēļ un groza Regulas (EK) Nr. 2006/2004 un (ES) 2017/2344 un Direktīvu 2009/22/EK</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A</w:t>
            </w:r>
          </w:p>
        </w:tc>
        <w:tc>
          <w:tcPr>
            <w:tcW w:w="1072"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B</w:t>
            </w:r>
          </w:p>
        </w:tc>
        <w:tc>
          <w:tcPr>
            <w:tcW w:w="1172"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w:t>
            </w:r>
          </w:p>
        </w:tc>
        <w:tc>
          <w:tcPr>
            <w:tcW w:w="1285"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D</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E5323B" w:rsidRPr="002C6D2D" w:rsidP="00022A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7.panta 1.punkts</w:t>
            </w:r>
          </w:p>
        </w:tc>
        <w:tc>
          <w:tcPr>
            <w:tcW w:w="1072" w:type="pct"/>
            <w:tcBorders>
              <w:top w:val="outset" w:sz="6" w:space="0" w:color="auto"/>
              <w:left w:val="outset" w:sz="6" w:space="0" w:color="auto"/>
              <w:bottom w:val="outset" w:sz="6" w:space="0" w:color="auto"/>
              <w:right w:val="outset" w:sz="6" w:space="0" w:color="auto"/>
            </w:tcBorders>
            <w:hideMark/>
          </w:tcPr>
          <w:p w:rsidR="00E5323B" w:rsidRPr="005D4F5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 (Nolikuma 4</w:t>
            </w:r>
            <w:r w:rsidRPr="002C6D2D" w:rsidR="002C6D2D">
              <w:rPr>
                <w:rFonts w:ascii="Times New Roman" w:eastAsia="Times New Roman" w:hAnsi="Times New Roman" w:cs="Times New Roman"/>
                <w:iCs/>
                <w:sz w:val="24"/>
                <w:szCs w:val="24"/>
                <w:lang w:eastAsia="lv-LV"/>
              </w:rPr>
              <w:t>.</w:t>
            </w:r>
            <w:r w:rsidR="002C6D2D">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w:t>
            </w:r>
            <w:r w:rsidR="002C6D2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apakšpunkts)</w:t>
            </w:r>
          </w:p>
        </w:tc>
        <w:tc>
          <w:tcPr>
            <w:tcW w:w="1172" w:type="pct"/>
            <w:tcBorders>
              <w:top w:val="outset" w:sz="6" w:space="0" w:color="auto"/>
              <w:left w:val="outset" w:sz="6" w:space="0" w:color="auto"/>
              <w:bottom w:val="outset" w:sz="6" w:space="0" w:color="auto"/>
              <w:right w:val="outset" w:sz="6" w:space="0" w:color="auto"/>
            </w:tcBorders>
            <w:hideMark/>
          </w:tcPr>
          <w:p w:rsidR="00E5323B" w:rsidP="00DB5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daļēji.</w:t>
            </w:r>
          </w:p>
          <w:p w:rsidR="00DB5D79" w:rsidRPr="00A934DA" w:rsidP="00DB5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neskar iestādes norīkošanu regulas izpildei attiecībā uz </w:t>
            </w:r>
            <w:r>
              <w:rPr>
                <w:rFonts w:ascii="Times New Roman" w:eastAsia="Times New Roman" w:hAnsi="Times New Roman" w:cs="Times New Roman"/>
                <w:iCs/>
                <w:sz w:val="24"/>
                <w:szCs w:val="24"/>
                <w:lang w:eastAsia="lv-LV"/>
              </w:rPr>
              <w:t>klientiem</w:t>
            </w:r>
            <w:r w:rsidR="006C58D0">
              <w:rPr>
                <w:rFonts w:ascii="Times New Roman" w:eastAsia="Times New Roman" w:hAnsi="Times New Roman" w:cs="Times New Roman"/>
                <w:iCs/>
                <w:sz w:val="24"/>
                <w:szCs w:val="24"/>
                <w:lang w:eastAsia="lv-LV"/>
              </w:rPr>
              <w:t>, kas ir uzņēmumi</w:t>
            </w:r>
            <w:r>
              <w:rPr>
                <w:rFonts w:ascii="Times New Roman" w:eastAsia="Times New Roman" w:hAnsi="Times New Roman" w:cs="Times New Roman"/>
                <w:iCs/>
                <w:sz w:val="24"/>
                <w:szCs w:val="24"/>
                <w:lang w:eastAsia="lv-LV"/>
              </w:rPr>
              <w:t xml:space="preserve">. </w:t>
            </w:r>
          </w:p>
        </w:tc>
        <w:tc>
          <w:tcPr>
            <w:tcW w:w="1285" w:type="pct"/>
            <w:tcBorders>
              <w:top w:val="outset" w:sz="6" w:space="0" w:color="auto"/>
              <w:left w:val="outset" w:sz="6" w:space="0" w:color="auto"/>
              <w:bottom w:val="outset" w:sz="6" w:space="0" w:color="auto"/>
              <w:right w:val="outset" w:sz="6" w:space="0" w:color="auto"/>
            </w:tcBorders>
            <w:hideMark/>
          </w:tcPr>
          <w:p w:rsidR="00E5323B" w:rsidRPr="00A934D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nav paredzētas.</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3171AE" w:rsidP="00022A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7.panta 2.punkts</w:t>
            </w:r>
          </w:p>
        </w:tc>
        <w:tc>
          <w:tcPr>
            <w:tcW w:w="1072" w:type="pct"/>
            <w:tcBorders>
              <w:top w:val="outset" w:sz="6" w:space="0" w:color="auto"/>
              <w:left w:val="outset" w:sz="6" w:space="0" w:color="auto"/>
              <w:bottom w:val="outset" w:sz="6" w:space="0" w:color="auto"/>
              <w:right w:val="outset" w:sz="6" w:space="0" w:color="auto"/>
            </w:tcBorders>
          </w:tcPr>
          <w:p w:rsidR="003171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PTAL 25.panta astotā</w:t>
            </w:r>
            <w:r>
              <w:rPr>
                <w:rFonts w:ascii="Times New Roman" w:eastAsia="Times New Roman" w:hAnsi="Times New Roman" w:cs="Times New Roman"/>
                <w:iCs/>
                <w:sz w:val="24"/>
                <w:szCs w:val="24"/>
                <w:lang w:eastAsia="lv-LV"/>
              </w:rPr>
              <w:t xml:space="preserve"> daļa</w:t>
            </w:r>
          </w:p>
        </w:tc>
        <w:tc>
          <w:tcPr>
            <w:tcW w:w="1172" w:type="pct"/>
            <w:tcBorders>
              <w:top w:val="outset" w:sz="6" w:space="0" w:color="auto"/>
              <w:left w:val="outset" w:sz="6" w:space="0" w:color="auto"/>
              <w:bottom w:val="outset" w:sz="6" w:space="0" w:color="auto"/>
              <w:right w:val="outset" w:sz="6" w:space="0" w:color="auto"/>
            </w:tcBorders>
          </w:tcPr>
          <w:p w:rsidR="003171AE" w:rsidP="00DB5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daļēji. PTAC ir tiesīgs piemērot pasākumus, konstatējot patērētāju tiesību pārkāpumu, līdz ar to klientu, kas i</w:t>
            </w:r>
            <w:r w:rsidR="0022119D">
              <w:rPr>
                <w:rFonts w:ascii="Times New Roman" w:eastAsia="Times New Roman" w:hAnsi="Times New Roman" w:cs="Times New Roman"/>
                <w:iCs/>
                <w:sz w:val="24"/>
                <w:szCs w:val="24"/>
                <w:lang w:eastAsia="lv-LV"/>
              </w:rPr>
              <w:t>r uzņēmumi, tiesību aizsardzību</w:t>
            </w:r>
            <w:r>
              <w:rPr>
                <w:rFonts w:ascii="Times New Roman" w:eastAsia="Times New Roman" w:hAnsi="Times New Roman" w:cs="Times New Roman"/>
                <w:iCs/>
                <w:sz w:val="24"/>
                <w:szCs w:val="24"/>
                <w:lang w:eastAsia="lv-LV"/>
              </w:rPr>
              <w:t xml:space="preserve"> </w:t>
            </w:r>
            <w:r w:rsidR="0022119D">
              <w:rPr>
                <w:rFonts w:ascii="Times New Roman" w:eastAsia="Times New Roman" w:hAnsi="Times New Roman" w:cs="Times New Roman"/>
                <w:iCs/>
                <w:sz w:val="24"/>
                <w:szCs w:val="24"/>
                <w:lang w:eastAsia="lv-LV"/>
              </w:rPr>
              <w:t>PTAC nenodrošina</w:t>
            </w:r>
            <w:r>
              <w:rPr>
                <w:rFonts w:ascii="Times New Roman" w:eastAsia="Times New Roman" w:hAnsi="Times New Roman" w:cs="Times New Roman"/>
                <w:iCs/>
                <w:sz w:val="24"/>
                <w:szCs w:val="24"/>
                <w:lang w:eastAsia="lv-LV"/>
              </w:rPr>
              <w:t>.</w:t>
            </w:r>
          </w:p>
        </w:tc>
        <w:tc>
          <w:tcPr>
            <w:tcW w:w="1285" w:type="pct"/>
            <w:tcBorders>
              <w:top w:val="outset" w:sz="6" w:space="0" w:color="auto"/>
              <w:left w:val="outset" w:sz="6" w:space="0" w:color="auto"/>
              <w:bottom w:val="outset" w:sz="6" w:space="0" w:color="auto"/>
              <w:right w:val="outset" w:sz="6" w:space="0" w:color="auto"/>
            </w:tcBorders>
          </w:tcPr>
          <w:p w:rsidR="003171AE" w:rsidP="00E5323B">
            <w:pPr>
              <w:spacing w:after="0" w:line="240" w:lineRule="auto"/>
              <w:rPr>
                <w:rFonts w:ascii="Times New Roman" w:eastAsia="Times New Roman" w:hAnsi="Times New Roman" w:cs="Times New Roman"/>
                <w:iCs/>
                <w:sz w:val="24"/>
                <w:szCs w:val="24"/>
                <w:lang w:eastAsia="lv-LV"/>
              </w:rPr>
            </w:pPr>
            <w:r w:rsidRPr="000E3E23">
              <w:rPr>
                <w:rFonts w:ascii="Times New Roman" w:eastAsia="Times New Roman" w:hAnsi="Times New Roman" w:cs="Times New Roman"/>
                <w:iCs/>
                <w:sz w:val="24"/>
                <w:szCs w:val="24"/>
                <w:lang w:eastAsia="lv-LV"/>
              </w:rPr>
              <w:t>Stingrākas prasības nav paredzētas.</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4744A0" w:rsidP="00022A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7.panta 2.punkts</w:t>
            </w:r>
          </w:p>
        </w:tc>
        <w:tc>
          <w:tcPr>
            <w:tcW w:w="1072" w:type="pct"/>
            <w:tcBorders>
              <w:top w:val="outset" w:sz="6" w:space="0" w:color="auto"/>
              <w:left w:val="outset" w:sz="6" w:space="0" w:color="auto"/>
              <w:bottom w:val="outset" w:sz="6" w:space="0" w:color="auto"/>
              <w:right w:val="outset" w:sz="6" w:space="0" w:color="auto"/>
            </w:tcBorders>
          </w:tcPr>
          <w:p w:rsidR="004744A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PTAL 25.panta ceturtās daļas 4.punkts</w:t>
            </w:r>
          </w:p>
        </w:tc>
        <w:tc>
          <w:tcPr>
            <w:tcW w:w="1172" w:type="pct"/>
            <w:tcBorders>
              <w:top w:val="outset" w:sz="6" w:space="0" w:color="auto"/>
              <w:left w:val="outset" w:sz="6" w:space="0" w:color="auto"/>
              <w:bottom w:val="outset" w:sz="6" w:space="0" w:color="auto"/>
              <w:right w:val="outset" w:sz="6" w:space="0" w:color="auto"/>
            </w:tcBorders>
          </w:tcPr>
          <w:p w:rsidR="004744A0" w:rsidP="00DB5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285" w:type="pct"/>
            <w:tcBorders>
              <w:top w:val="outset" w:sz="6" w:space="0" w:color="auto"/>
              <w:left w:val="outset" w:sz="6" w:space="0" w:color="auto"/>
              <w:bottom w:val="outset" w:sz="6" w:space="0" w:color="auto"/>
              <w:right w:val="outset" w:sz="6" w:space="0" w:color="auto"/>
            </w:tcBorders>
          </w:tcPr>
          <w:p w:rsidR="004744A0" w:rsidRPr="000E3E23" w:rsidP="00E5323B">
            <w:pPr>
              <w:spacing w:after="0" w:line="240" w:lineRule="auto"/>
              <w:rPr>
                <w:rFonts w:ascii="Times New Roman" w:eastAsia="Times New Roman" w:hAnsi="Times New Roman" w:cs="Times New Roman"/>
                <w:iCs/>
                <w:sz w:val="24"/>
                <w:szCs w:val="24"/>
                <w:lang w:eastAsia="lv-LV"/>
              </w:rPr>
            </w:pPr>
            <w:r w:rsidRPr="000E3E23">
              <w:rPr>
                <w:rFonts w:ascii="Times New Roman" w:eastAsia="Times New Roman" w:hAnsi="Times New Roman" w:cs="Times New Roman"/>
                <w:iCs/>
                <w:sz w:val="24"/>
                <w:szCs w:val="24"/>
                <w:lang w:eastAsia="lv-LV"/>
              </w:rPr>
              <w:t>Stingrākas prasības nav paredzētas.</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794F4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0C4DB5" w:rsidP="00A934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3F3E43" w:rsidP="00A934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7.pantu 3.punktu dalībvalstis paziņo Komi</w:t>
            </w:r>
            <w:r w:rsidR="00554E3E">
              <w:rPr>
                <w:rFonts w:ascii="Times New Roman" w:eastAsia="Times New Roman" w:hAnsi="Times New Roman" w:cs="Times New Roman"/>
                <w:iCs/>
                <w:sz w:val="24"/>
                <w:szCs w:val="24"/>
                <w:lang w:eastAsia="lv-LV"/>
              </w:rPr>
              <w:t>sijai un dara publiski pieejamu</w:t>
            </w:r>
            <w:r>
              <w:rPr>
                <w:rFonts w:ascii="Times New Roman" w:eastAsia="Times New Roman" w:hAnsi="Times New Roman" w:cs="Times New Roman"/>
                <w:iCs/>
                <w:sz w:val="24"/>
                <w:szCs w:val="24"/>
                <w:lang w:eastAsia="lv-LV"/>
              </w:rPr>
              <w:t xml:space="preserve"> Komisijas tīmekļa vietnē</w:t>
            </w:r>
            <w:r w:rsidR="00554E3E">
              <w:rPr>
                <w:rFonts w:ascii="Times New Roman" w:eastAsia="Times New Roman" w:hAnsi="Times New Roman" w:cs="Times New Roman"/>
                <w:iCs/>
                <w:sz w:val="24"/>
                <w:szCs w:val="24"/>
                <w:lang w:eastAsia="lv-LV"/>
              </w:rPr>
              <w:t xml:space="preserve"> informāciju par pasākumiem, kas piemērojami Regulas noteikumu neievērošanas gadījumā.</w:t>
            </w:r>
          </w:p>
        </w:tc>
      </w:tr>
      <w:tr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FD1C49" w:rsidP="00FD1C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neierobežo personu tiesības īstenot savu tiesību aizsardzību civiltiesiskajā kārtībā tiesā.  </w:t>
            </w:r>
            <w:r w:rsidR="000E3E23">
              <w:rPr>
                <w:rFonts w:ascii="Times New Roman" w:eastAsia="Times New Roman" w:hAnsi="Times New Roman" w:cs="Times New Roman"/>
                <w:iCs/>
                <w:sz w:val="24"/>
                <w:szCs w:val="24"/>
                <w:lang w:eastAsia="lv-LV"/>
              </w:rPr>
              <w:t>Klientu, kas ir uzņēmumi, tiesību aizsardz</w:t>
            </w:r>
            <w:r>
              <w:rPr>
                <w:rFonts w:ascii="Times New Roman" w:eastAsia="Times New Roman" w:hAnsi="Times New Roman" w:cs="Times New Roman"/>
                <w:iCs/>
                <w:sz w:val="24"/>
                <w:szCs w:val="24"/>
                <w:lang w:eastAsia="lv-LV"/>
              </w:rPr>
              <w:t>ība</w:t>
            </w:r>
            <w:r w:rsidR="000E3E23">
              <w:rPr>
                <w:rFonts w:ascii="Times New Roman" w:eastAsia="Times New Roman" w:hAnsi="Times New Roman" w:cs="Times New Roman"/>
                <w:iCs/>
                <w:sz w:val="24"/>
                <w:szCs w:val="24"/>
                <w:lang w:eastAsia="lv-LV"/>
              </w:rPr>
              <w:t xml:space="preserve"> tiek nodrošin</w:t>
            </w:r>
            <w:r>
              <w:rPr>
                <w:rFonts w:ascii="Times New Roman" w:eastAsia="Times New Roman" w:hAnsi="Times New Roman" w:cs="Times New Roman"/>
                <w:iCs/>
                <w:sz w:val="24"/>
                <w:szCs w:val="24"/>
                <w:lang w:eastAsia="lv-LV"/>
              </w:rPr>
              <w:t>āta, pamatojoties uz Latvijas Administratīvo pārkāpumu kodeksa (turpmāk - LAPK) 204.</w:t>
            </w:r>
            <w:r>
              <w:rPr>
                <w:rFonts w:ascii="Times New Roman" w:eastAsia="Times New Roman" w:hAnsi="Times New Roman" w:cs="Times New Roman"/>
                <w:iCs/>
                <w:sz w:val="24"/>
                <w:szCs w:val="24"/>
                <w:vertAlign w:val="superscript"/>
                <w:lang w:eastAsia="lv-LV"/>
              </w:rPr>
              <w:t>17</w:t>
            </w:r>
            <w:r>
              <w:rPr>
                <w:rFonts w:ascii="Times New Roman" w:eastAsia="Times New Roman" w:hAnsi="Times New Roman" w:cs="Times New Roman"/>
                <w:iCs/>
                <w:sz w:val="24"/>
                <w:szCs w:val="24"/>
                <w:lang w:eastAsia="lv-LV"/>
              </w:rPr>
              <w:t xml:space="preserve">pantu, kas aizliedz diskrimināciju. </w:t>
            </w:r>
            <w:r w:rsidRPr="00FD1C49">
              <w:rPr>
                <w:rFonts w:ascii="Times New Roman" w:eastAsia="Times New Roman" w:hAnsi="Times New Roman" w:cs="Times New Roman"/>
                <w:iCs/>
                <w:sz w:val="24"/>
                <w:szCs w:val="24"/>
                <w:lang w:eastAsia="lv-LV"/>
              </w:rPr>
              <w:t>Par normatīvajos aktos noteiktā diskrim</w:t>
            </w:r>
            <w:r>
              <w:rPr>
                <w:rFonts w:ascii="Times New Roman" w:eastAsia="Times New Roman" w:hAnsi="Times New Roman" w:cs="Times New Roman"/>
                <w:iCs/>
                <w:sz w:val="24"/>
                <w:szCs w:val="24"/>
                <w:lang w:eastAsia="lv-LV"/>
              </w:rPr>
              <w:t>inācijas aizlieguma pārkāpšanu</w:t>
            </w:r>
            <w:r w:rsidRPr="00FD1C49">
              <w:rPr>
                <w:rFonts w:ascii="Times New Roman" w:eastAsia="Times New Roman" w:hAnsi="Times New Roman" w:cs="Times New Roman"/>
                <w:iCs/>
                <w:sz w:val="24"/>
                <w:szCs w:val="24"/>
                <w:lang w:eastAsia="lv-LV"/>
              </w:rPr>
              <w:t xml:space="preserve"> uzliek naudas sodu no simt četrdesmit līdz septiņsimt </w:t>
            </w:r>
            <w:r w:rsidRPr="00FD1C49">
              <w:rPr>
                <w:rFonts w:ascii="Times New Roman" w:eastAsia="Times New Roman" w:hAnsi="Times New Roman" w:cs="Times New Roman"/>
                <w:i/>
                <w:iCs/>
                <w:sz w:val="24"/>
                <w:szCs w:val="24"/>
                <w:lang w:eastAsia="lv-LV"/>
              </w:rPr>
              <w:t>euro</w:t>
            </w:r>
            <w:r w:rsidRPr="00FD1C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17A5D">
              <w:rPr>
                <w:rFonts w:ascii="Times New Roman" w:eastAsia="Times New Roman" w:hAnsi="Times New Roman" w:cs="Times New Roman"/>
                <w:iCs/>
                <w:sz w:val="24"/>
                <w:szCs w:val="24"/>
                <w:lang w:eastAsia="lv-LV"/>
              </w:rPr>
              <w:t xml:space="preserve">LAPK 213.pants nosaka, ka </w:t>
            </w:r>
            <w:r w:rsidRPr="00917A5D" w:rsidR="00917A5D">
              <w:rPr>
                <w:rFonts w:ascii="Times New Roman" w:eastAsia="Times New Roman" w:hAnsi="Times New Roman" w:cs="Times New Roman"/>
                <w:iCs/>
                <w:sz w:val="24"/>
                <w:szCs w:val="24"/>
                <w:lang w:eastAsia="lv-LV"/>
              </w:rPr>
              <w:t xml:space="preserve"> 204.</w:t>
            </w:r>
            <w:r w:rsidRPr="00875CFA" w:rsidR="00917A5D">
              <w:rPr>
                <w:rFonts w:ascii="Times New Roman" w:eastAsia="Times New Roman" w:hAnsi="Times New Roman" w:cs="Times New Roman"/>
                <w:iCs/>
                <w:sz w:val="24"/>
                <w:szCs w:val="24"/>
                <w:vertAlign w:val="superscript"/>
                <w:lang w:eastAsia="lv-LV"/>
              </w:rPr>
              <w:t>17</w:t>
            </w:r>
            <w:r w:rsidRPr="00917A5D" w:rsidR="00917A5D">
              <w:rPr>
                <w:rFonts w:ascii="Times New Roman" w:eastAsia="Times New Roman" w:hAnsi="Times New Roman" w:cs="Times New Roman"/>
                <w:iCs/>
                <w:sz w:val="24"/>
                <w:szCs w:val="24"/>
                <w:lang w:eastAsia="lv-LV"/>
              </w:rPr>
              <w:t>pantā (izņemot lietas par pārkāpumiem darba tiesisko attiecību jomā) paredzēto adminis</w:t>
            </w:r>
            <w:r w:rsidR="00917A5D">
              <w:rPr>
                <w:rFonts w:ascii="Times New Roman" w:eastAsia="Times New Roman" w:hAnsi="Times New Roman" w:cs="Times New Roman"/>
                <w:iCs/>
                <w:sz w:val="24"/>
                <w:szCs w:val="24"/>
                <w:lang w:eastAsia="lv-LV"/>
              </w:rPr>
              <w:t>tratīvo pārkāpumu lietas izskata r</w:t>
            </w:r>
            <w:r w:rsidRPr="00917A5D" w:rsidR="00917A5D">
              <w:rPr>
                <w:rFonts w:ascii="Times New Roman" w:eastAsia="Times New Roman" w:hAnsi="Times New Roman" w:cs="Times New Roman"/>
                <w:iCs/>
                <w:sz w:val="24"/>
                <w:szCs w:val="24"/>
                <w:lang w:eastAsia="lv-LV"/>
              </w:rPr>
              <w:t>ajonu (pilsētu) tiesu tiesneši</w:t>
            </w:r>
            <w:r w:rsidR="00917A5D">
              <w:rPr>
                <w:rFonts w:ascii="Times New Roman" w:eastAsia="Times New Roman" w:hAnsi="Times New Roman" w:cs="Times New Roman"/>
                <w:iCs/>
                <w:sz w:val="24"/>
                <w:szCs w:val="24"/>
                <w:lang w:eastAsia="lv-LV"/>
              </w:rPr>
              <w:t>.</w:t>
            </w:r>
          </w:p>
        </w:tc>
      </w:tr>
    </w:tbl>
    <w:p w:rsidR="00956602"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 Sabiedrības līdzdalība un komunikācijas aktivitātes</w:t>
            </w:r>
          </w:p>
        </w:tc>
      </w:tr>
      <w:tr w:rsidTr="00A934D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 xml:space="preserve">Plānotās sabiedrības </w:t>
            </w:r>
            <w:r w:rsidRPr="00A31FD3">
              <w:rPr>
                <w:rFonts w:ascii="Times New Roman" w:eastAsia="Times New Roman" w:hAnsi="Times New Roman" w:cs="Times New Roman"/>
                <w:iCs/>
                <w:sz w:val="24"/>
                <w:szCs w:val="24"/>
                <w:lang w:eastAsia="lv-LV"/>
              </w:rPr>
              <w:t>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A934DA" w:rsidRPr="001529D9" w:rsidP="00A934DA">
            <w:pPr>
              <w:pStyle w:val="naiskr"/>
              <w:spacing w:before="0" w:after="0"/>
              <w:ind w:right="57"/>
              <w:jc w:val="both"/>
              <w:rPr>
                <w:iCs/>
                <w:color w:val="auto"/>
              </w:rPr>
            </w:pPr>
            <w:r w:rsidRPr="001529D9">
              <w:rPr>
                <w:rStyle w:val="st1"/>
                <w:bCs/>
                <w:color w:val="auto"/>
              </w:rPr>
              <w:t>S</w:t>
            </w:r>
            <w:r w:rsidRPr="001529D9">
              <w:rPr>
                <w:iCs/>
                <w:color w:val="auto"/>
              </w:rPr>
              <w:t xml:space="preserve">abiedrības informēšana un līdzdalība likumprojekta </w:t>
            </w:r>
            <w:r w:rsidRPr="001529D9">
              <w:rPr>
                <w:iCs/>
                <w:color w:val="auto"/>
              </w:rPr>
              <w:t>izstrādē tiks nodrošināta:</w:t>
            </w:r>
          </w:p>
          <w:p w:rsidR="00E5323B" w:rsidP="00E5323B">
            <w:pPr>
              <w:pStyle w:val="ListParagraph"/>
              <w:numPr>
                <w:ilvl w:val="0"/>
                <w:numId w:val="1"/>
              </w:numPr>
              <w:jc w:val="both"/>
              <w:rPr>
                <w:color w:val="auto"/>
                <w:lang w:eastAsia="lv-LV"/>
              </w:rPr>
            </w:pPr>
            <w:r w:rsidRPr="001529D9">
              <w:rPr>
                <w:color w:val="auto"/>
                <w:lang w:eastAsia="lv-LV"/>
              </w:rPr>
              <w:t>publicējot to Ekonomikas ministrijas mājaslapā;</w:t>
            </w:r>
          </w:p>
          <w:p w:rsidR="00A934DA" w:rsidRPr="00A934DA" w:rsidP="00E5323B">
            <w:pPr>
              <w:pStyle w:val="ListParagraph"/>
              <w:numPr>
                <w:ilvl w:val="0"/>
                <w:numId w:val="1"/>
              </w:numPr>
              <w:jc w:val="both"/>
              <w:rPr>
                <w:color w:val="auto"/>
                <w:lang w:eastAsia="lv-LV"/>
              </w:rPr>
            </w:pPr>
            <w:r w:rsidRPr="001529D9">
              <w:rPr>
                <w:color w:val="auto"/>
                <w:lang w:eastAsia="lv-LV"/>
              </w:rPr>
              <w:t>nosūtot to</w:t>
            </w:r>
            <w:r>
              <w:rPr>
                <w:color w:val="auto"/>
                <w:lang w:eastAsia="lv-LV"/>
              </w:rPr>
              <w:t xml:space="preserve"> Latvijas Darba devēju konfederācijai, Latvijas Tirdzniecības un rūpniecības kamerai, Latvijas Tirgotāju asociācijai, Latvijas Mazo un vidējo uzņēmumu asociācijai, Latvijas Start-up uzņēmumu asociācijai, Latvijas Patērētāju interešu aizstāvības asociācijai, Latvijas Komercbanku asociācijai, Latvijas Interneta asociācijai, Latvijas Informācijas un komunikācijas tehnoloģiju asociācijai.</w:t>
            </w:r>
          </w:p>
        </w:tc>
      </w:tr>
      <w:tr w:rsidTr="00A934DA">
        <w:tblPrEx>
          <w:tblW w:w="5000" w:type="pct"/>
          <w:tblCellSpacing w:w="15" w:type="dxa"/>
          <w:tblCellMar>
            <w:top w:w="30" w:type="dxa"/>
            <w:left w:w="30" w:type="dxa"/>
            <w:bottom w:w="30" w:type="dxa"/>
            <w:right w:w="30" w:type="dxa"/>
          </w:tblCellMar>
          <w:tblLook w:val="04A0"/>
        </w:tblPrEx>
        <w:trPr>
          <w:trHeight w:val="147"/>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A934DA" w:rsidP="001E5FD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2018.gada 23.jūlijā </w:t>
            </w:r>
            <w:r w:rsidRPr="001529D9" w:rsidR="00A934DA">
              <w:rPr>
                <w:rFonts w:ascii="Times New Roman" w:hAnsi="Times New Roman" w:cs="Times New Roman"/>
                <w:sz w:val="24"/>
                <w:szCs w:val="24"/>
                <w:lang w:eastAsia="lv-LV"/>
              </w:rPr>
              <w:t>noteikumu projekts</w:t>
            </w:r>
            <w:r w:rsidR="00FF4BD1">
              <w:rPr>
                <w:rFonts w:ascii="Times New Roman" w:hAnsi="Times New Roman" w:cs="Times New Roman"/>
                <w:sz w:val="24"/>
                <w:szCs w:val="24"/>
                <w:lang w:eastAsia="lv-LV"/>
              </w:rPr>
              <w:t xml:space="preserve"> tika</w:t>
            </w:r>
            <w:r w:rsidRPr="001529D9" w:rsidR="00A934DA">
              <w:rPr>
                <w:rFonts w:ascii="Times New Roman" w:hAnsi="Times New Roman" w:cs="Times New Roman"/>
                <w:sz w:val="24"/>
                <w:szCs w:val="24"/>
                <w:lang w:eastAsia="lv-LV"/>
              </w:rPr>
              <w:t xml:space="preserve"> publicēts Ekonomikas ministrijas mājaslapā - sadaļā “Sabiedrības līdzdalība”, kā arī nosūtīts</w:t>
            </w:r>
            <w:r>
              <w:rPr>
                <w:rFonts w:ascii="Times New Roman" w:hAnsi="Times New Roman" w:cs="Times New Roman"/>
                <w:sz w:val="24"/>
                <w:szCs w:val="24"/>
                <w:lang w:eastAsia="lv-LV"/>
              </w:rPr>
              <w:t xml:space="preserve"> </w:t>
            </w:r>
            <w:r w:rsidRPr="001E5FD6">
              <w:rPr>
                <w:rFonts w:ascii="Times New Roman" w:hAnsi="Times New Roman" w:cs="Times New Roman"/>
                <w:sz w:val="24"/>
                <w:szCs w:val="24"/>
                <w:lang w:eastAsia="lv-LV"/>
              </w:rPr>
              <w:t>Latvijas Darba devēju konfederācijai, Latvijas Tirdzniecības un rūpniecības kamerai, Latvijas Tirgotāju asociācijai, Latvijas Mazo un vidējo uzņēmumu asociācijai, Latvijas Start-up uzņēmumu asociācijai, Latvijas Patērētāju interešu aizstāvības asociācijai, Latvijas Komercbanku asociācijai, Latvijas Interneta asociācijai, Latvijas Informācijas un komunikācijas tehnoloģiju asociācijai</w:t>
            </w:r>
            <w:r>
              <w:rPr>
                <w:rFonts w:ascii="Times New Roman" w:hAnsi="Times New Roman" w:cs="Times New Roman"/>
                <w:sz w:val="24"/>
                <w:szCs w:val="24"/>
                <w:lang w:eastAsia="lv-LV"/>
              </w:rPr>
              <w:t>.</w:t>
            </w:r>
            <w:r w:rsidR="00A934DA">
              <w:rPr>
                <w:rFonts w:ascii="Times New Roman" w:hAnsi="Times New Roman" w:cs="Times New Roman"/>
                <w:sz w:val="24"/>
                <w:szCs w:val="24"/>
                <w:lang w:eastAsia="lv-LV"/>
              </w:rPr>
              <w:t xml:space="preserve"> </w:t>
            </w:r>
            <w:r w:rsidR="00FF4BD1">
              <w:rPr>
                <w:rFonts w:ascii="Times New Roman" w:hAnsi="Times New Roman" w:cs="Times New Roman"/>
                <w:sz w:val="24"/>
                <w:szCs w:val="24"/>
                <w:lang w:eastAsia="lv-LV"/>
              </w:rPr>
              <w:t>Ekonomikas ministrija aicināja</w:t>
            </w:r>
            <w:r w:rsidRPr="001529D9" w:rsidR="00A934DA">
              <w:rPr>
                <w:rFonts w:ascii="Times New Roman" w:hAnsi="Times New Roman" w:cs="Times New Roman"/>
                <w:sz w:val="24"/>
                <w:szCs w:val="24"/>
                <w:lang w:eastAsia="lv-LV"/>
              </w:rPr>
              <w:t xml:space="preserve"> sniegt rak</w:t>
            </w:r>
            <w:r w:rsidR="00A934DA">
              <w:rPr>
                <w:rFonts w:ascii="Times New Roman" w:hAnsi="Times New Roman" w:cs="Times New Roman"/>
                <w:sz w:val="24"/>
                <w:szCs w:val="24"/>
                <w:lang w:eastAsia="lv-LV"/>
              </w:rPr>
              <w:t xml:space="preserve">stisku viedokli </w:t>
            </w:r>
            <w:r>
              <w:rPr>
                <w:rFonts w:ascii="Times New Roman" w:hAnsi="Times New Roman" w:cs="Times New Roman"/>
                <w:sz w:val="24"/>
                <w:szCs w:val="24"/>
                <w:lang w:eastAsia="lv-LV"/>
              </w:rPr>
              <w:t>līdz 2018.gada 3.augustam.</w:t>
            </w:r>
            <w:r w:rsidRPr="001529D9" w:rsidR="00A934DA">
              <w:rPr>
                <w:rFonts w:ascii="Times New Roman" w:hAnsi="Times New Roman" w:cs="Times New Roman"/>
                <w:sz w:val="24"/>
                <w:szCs w:val="24"/>
                <w:lang w:eastAsia="lv-LV"/>
              </w:rPr>
              <w:t xml:space="preserve"> Noteikumu projekts tiks izsludināts Valsts sekretāru sanāksmē </w:t>
            </w:r>
            <w:r>
              <w:rPr>
                <w:rFonts w:ascii="Times New Roman" w:hAnsi="Times New Roman" w:cs="Times New Roman"/>
                <w:sz w:val="24"/>
                <w:szCs w:val="24"/>
                <w:lang w:eastAsia="lv-LV"/>
              </w:rPr>
              <w:t>2018.gada 9.augustā.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D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Priekšlikumu vai iebildumu par projektu nav</w:t>
            </w:r>
          </w:p>
        </w:tc>
      </w:tr>
      <w:tr w:rsidTr="00A934D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A934D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31FD3" w:rsidP="00E5323B">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C4DB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izpildes ietekme uz pārvaldes funkcijām un institucionālo struktūru.</w:t>
            </w:r>
            <w:r w:rsidRPr="00A31F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P="002C6D2D">
            <w:pPr>
              <w:spacing w:after="0" w:line="240" w:lineRule="auto"/>
              <w:jc w:val="both"/>
              <w:rPr>
                <w:rFonts w:ascii="Times New Roman" w:hAnsi="Times New Roman" w:cs="Times New Roman"/>
                <w:sz w:val="24"/>
                <w:szCs w:val="24"/>
                <w:lang w:eastAsia="lv-LV"/>
              </w:rPr>
            </w:pPr>
            <w:r w:rsidRPr="001529D9">
              <w:rPr>
                <w:rFonts w:ascii="Times New Roman" w:hAnsi="Times New Roman" w:cs="Times New Roman"/>
                <w:sz w:val="24"/>
                <w:szCs w:val="24"/>
                <w:lang w:eastAsia="lv-LV"/>
              </w:rPr>
              <w:t xml:space="preserve">Pārvaldes institucionālā struktūra nemainās. Noteikumu projekts neparedz jaunu valsts institūciju izveidi, </w:t>
            </w:r>
            <w:r w:rsidRPr="001529D9">
              <w:rPr>
                <w:rFonts w:ascii="Times New Roman" w:hAnsi="Times New Roman" w:cs="Times New Roman"/>
                <w:sz w:val="24"/>
                <w:szCs w:val="24"/>
              </w:rPr>
              <w:t>esošu institūciju likvidāciju vai reorga</w:t>
            </w:r>
            <w:r w:rsidRPr="001529D9">
              <w:rPr>
                <w:rFonts w:ascii="Times New Roman" w:hAnsi="Times New Roman" w:cs="Times New Roman"/>
                <w:sz w:val="24"/>
                <w:szCs w:val="24"/>
              </w:rPr>
              <w:softHyphen/>
              <w:t>nizāciju, kā arī neatstāj ietekmi uz institūciju cilvēkresursiem</w:t>
            </w:r>
            <w:r w:rsidRPr="001529D9">
              <w:rPr>
                <w:rFonts w:ascii="Times New Roman" w:hAnsi="Times New Roman" w:cs="Times New Roman"/>
                <w:sz w:val="24"/>
                <w:szCs w:val="24"/>
                <w:lang w:eastAsia="lv-LV"/>
              </w:rPr>
              <w:t>.</w:t>
            </w:r>
          </w:p>
          <w:p w:rsidR="002C6D2D" w:rsidRPr="003F3E43" w:rsidP="002C6D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piešķir </w:t>
            </w:r>
            <w:r w:rsidR="00A85251">
              <w:rPr>
                <w:rFonts w:ascii="Times New Roman" w:eastAsia="Times New Roman" w:hAnsi="Times New Roman" w:cs="Times New Roman"/>
                <w:iCs/>
                <w:sz w:val="24"/>
                <w:szCs w:val="24"/>
                <w:lang w:eastAsia="lv-LV"/>
              </w:rPr>
              <w:t>PTAC</w:t>
            </w:r>
            <w:r>
              <w:rPr>
                <w:rFonts w:ascii="Times New Roman" w:eastAsia="Times New Roman" w:hAnsi="Times New Roman" w:cs="Times New Roman"/>
                <w:iCs/>
                <w:sz w:val="24"/>
                <w:szCs w:val="24"/>
                <w:lang w:eastAsia="lv-LV"/>
              </w:rPr>
              <w:t xml:space="preserve"> papildus funkcijas ģeogrāfiskās bloķēšanas uzraudzībai</w:t>
            </w:r>
            <w:r w:rsidR="00A85251">
              <w:rPr>
                <w:rFonts w:ascii="Times New Roman" w:eastAsia="Times New Roman" w:hAnsi="Times New Roman" w:cs="Times New Roman"/>
                <w:iCs/>
                <w:sz w:val="24"/>
                <w:szCs w:val="24"/>
                <w:lang w:eastAsia="lv-LV"/>
              </w:rPr>
              <w:t xml:space="preserve"> attiecībā uz patērētājiem, tādējādi paplašinot PTAC kompetenci</w:t>
            </w:r>
            <w:r>
              <w:rPr>
                <w:rFonts w:ascii="Times New Roman" w:eastAsia="Times New Roman" w:hAnsi="Times New Roman" w:cs="Times New Roman"/>
                <w:iCs/>
                <w:sz w:val="24"/>
                <w:szCs w:val="24"/>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4473" w:rsidP="005F4A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PTAC </w:t>
            </w:r>
            <w:r w:rsidR="005F4A8F">
              <w:rPr>
                <w:rFonts w:ascii="Times New Roman" w:eastAsia="Times New Roman" w:hAnsi="Times New Roman" w:cs="Times New Roman"/>
                <w:iCs/>
                <w:sz w:val="24"/>
                <w:szCs w:val="24"/>
                <w:lang w:eastAsia="lv-LV"/>
              </w:rPr>
              <w:t xml:space="preserve">ģeogrāfiskās bloķēšanas uzraudzības funkciju </w:t>
            </w:r>
            <w:r>
              <w:rPr>
                <w:rFonts w:ascii="Times New Roman" w:eastAsia="Times New Roman" w:hAnsi="Times New Roman" w:cs="Times New Roman"/>
                <w:iCs/>
                <w:sz w:val="24"/>
                <w:szCs w:val="24"/>
                <w:lang w:eastAsia="lv-LV"/>
              </w:rPr>
              <w:t>īstenošana tiks nodrošināta esošo cilvēkresursu un finanšu resursu ietvaros.</w:t>
            </w:r>
          </w:p>
        </w:tc>
      </w:tr>
    </w:tbl>
    <w:p w:rsidR="00C25B49"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ED4473" w:rsidRPr="001529D9" w:rsidP="00ED4473">
      <w:pPr>
        <w:pStyle w:val="Heading1"/>
        <w:jc w:val="both"/>
        <w:rPr>
          <w:sz w:val="24"/>
          <w:szCs w:val="24"/>
        </w:rPr>
      </w:pPr>
      <w:r w:rsidRPr="001529D9">
        <w:rPr>
          <w:sz w:val="24"/>
          <w:szCs w:val="24"/>
        </w:rPr>
        <w:t>Ministru prezidenta biedrs, ekonomikas ministrs</w:t>
      </w:r>
      <w:r w:rsidRPr="001529D9">
        <w:rPr>
          <w:sz w:val="24"/>
          <w:szCs w:val="24"/>
        </w:rPr>
        <w:tab/>
      </w:r>
      <w:r w:rsidRPr="001529D9">
        <w:rPr>
          <w:sz w:val="24"/>
          <w:szCs w:val="24"/>
        </w:rPr>
        <w:tab/>
        <w:t xml:space="preserve">          A. Ašeradens</w:t>
      </w:r>
    </w:p>
    <w:p w:rsidR="00ED4473" w:rsidRPr="001529D9" w:rsidP="00ED4473">
      <w:pPr>
        <w:spacing w:after="0"/>
        <w:rPr>
          <w:rFonts w:ascii="Times New Roman" w:hAnsi="Times New Roman" w:cs="Times New Roman"/>
          <w:sz w:val="24"/>
          <w:szCs w:val="24"/>
        </w:rPr>
      </w:pPr>
    </w:p>
    <w:p w:rsidR="00ED4473" w:rsidRPr="001529D9" w:rsidP="00ED4473">
      <w:pPr>
        <w:tabs>
          <w:tab w:val="left" w:pos="6237"/>
        </w:tabs>
        <w:spacing w:after="0"/>
        <w:rPr>
          <w:rFonts w:ascii="Times New Roman" w:hAnsi="Times New Roman" w:cs="Times New Roman"/>
          <w:bCs/>
          <w:sz w:val="24"/>
          <w:szCs w:val="24"/>
        </w:rPr>
      </w:pPr>
    </w:p>
    <w:p w:rsidR="00ED4473" w:rsidRPr="001529D9" w:rsidP="00ED4473">
      <w:pPr>
        <w:tabs>
          <w:tab w:val="left" w:pos="6237"/>
        </w:tabs>
        <w:spacing w:after="0"/>
        <w:rPr>
          <w:rFonts w:ascii="Times New Roman" w:hAnsi="Times New Roman" w:cs="Times New Roman"/>
          <w:bCs/>
          <w:sz w:val="24"/>
          <w:szCs w:val="24"/>
        </w:rPr>
      </w:pPr>
    </w:p>
    <w:p w:rsidR="00ED4473" w:rsidRPr="001529D9" w:rsidP="00ED4473">
      <w:pPr>
        <w:spacing w:after="0"/>
        <w:jc w:val="both"/>
        <w:rPr>
          <w:rFonts w:ascii="Times New Roman" w:hAnsi="Times New Roman" w:cs="Times New Roman"/>
          <w:sz w:val="24"/>
          <w:szCs w:val="24"/>
        </w:rPr>
      </w:pPr>
      <w:r w:rsidRPr="001529D9">
        <w:rPr>
          <w:rFonts w:ascii="Times New Roman" w:hAnsi="Times New Roman" w:cs="Times New Roman"/>
          <w:bCs/>
          <w:sz w:val="24"/>
          <w:szCs w:val="24"/>
        </w:rPr>
        <w:t xml:space="preserve">Vīza: Valsts sekretārs </w:t>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t xml:space="preserve">     Ē. Eglītis</w:t>
      </w:r>
      <w:r w:rsidRPr="001529D9">
        <w:rPr>
          <w:rFonts w:ascii="Times New Roman" w:hAnsi="Times New Roman" w:cs="Times New Roman"/>
          <w:bCs/>
          <w:sz w:val="24"/>
          <w:szCs w:val="24"/>
        </w:rPr>
        <w:tab/>
      </w:r>
    </w:p>
    <w:p w:rsidR="00ED4473" w:rsidRPr="001529D9" w:rsidP="00ED4473">
      <w:pPr>
        <w:spacing w:after="0"/>
        <w:jc w:val="both"/>
        <w:rPr>
          <w:rFonts w:ascii="Times New Roman" w:hAnsi="Times New Roman" w:cs="Times New Roman"/>
          <w:sz w:val="24"/>
          <w:szCs w:val="24"/>
        </w:rPr>
      </w:pPr>
    </w:p>
    <w:p w:rsidR="00ED4473" w:rsidRPr="001529D9" w:rsidP="00ED4473">
      <w:pPr>
        <w:spacing w:after="0"/>
        <w:jc w:val="both"/>
        <w:rPr>
          <w:rFonts w:ascii="Times New Roman" w:hAnsi="Times New Roman" w:cs="Times New Roman"/>
          <w:sz w:val="24"/>
          <w:szCs w:val="24"/>
        </w:rPr>
      </w:pPr>
    </w:p>
    <w:p w:rsidR="00ED4473" w:rsidRPr="001529D9" w:rsidP="00ED4473">
      <w:pPr>
        <w:spacing w:after="0"/>
        <w:jc w:val="both"/>
        <w:rPr>
          <w:rFonts w:ascii="Times New Roman" w:hAnsi="Times New Roman" w:cs="Times New Roman"/>
          <w:sz w:val="24"/>
          <w:szCs w:val="24"/>
        </w:rPr>
      </w:pPr>
    </w:p>
    <w:p w:rsidR="00ED4473" w:rsidRPr="001529D9" w:rsidP="00ED4473">
      <w:pPr>
        <w:spacing w:after="0"/>
        <w:jc w:val="both"/>
        <w:rPr>
          <w:rFonts w:ascii="Times New Roman" w:hAnsi="Times New Roman" w:cs="Times New Roman"/>
          <w:sz w:val="20"/>
          <w:szCs w:val="20"/>
        </w:rPr>
      </w:pPr>
      <w:r w:rsidRPr="001529D9">
        <w:rPr>
          <w:rFonts w:ascii="Times New Roman" w:hAnsi="Times New Roman" w:cs="Times New Roman"/>
          <w:sz w:val="20"/>
          <w:szCs w:val="20"/>
        </w:rPr>
        <w:t>Latišenko, 67013230</w:t>
      </w:r>
    </w:p>
    <w:p w:rsidR="00ED4473" w:rsidRPr="001529D9" w:rsidP="00ED4473">
      <w:pPr>
        <w:spacing w:after="0"/>
        <w:jc w:val="both"/>
        <w:rPr>
          <w:rFonts w:ascii="Times New Roman" w:hAnsi="Times New Roman" w:cs="Times New Roman"/>
          <w:sz w:val="20"/>
          <w:szCs w:val="20"/>
        </w:rPr>
      </w:pPr>
      <w:r>
        <w:fldChar w:fldCharType="begin"/>
      </w:r>
      <w:r>
        <w:instrText xml:space="preserve"> HYPERLINK "mailto:Arnis.Latisenko@em.gov.lv" </w:instrText>
      </w:r>
      <w:r>
        <w:fldChar w:fldCharType="separate"/>
      </w:r>
      <w:r w:rsidRPr="001529D9">
        <w:rPr>
          <w:rStyle w:val="Hyperlink"/>
          <w:rFonts w:ascii="Times New Roman" w:hAnsi="Times New Roman" w:cs="Times New Roman"/>
          <w:color w:val="auto"/>
          <w:sz w:val="20"/>
          <w:szCs w:val="20"/>
        </w:rPr>
        <w:t>Arnis.Latisenko@em.gov.lv</w:t>
      </w:r>
      <w:r>
        <w:fldChar w:fldCharType="end"/>
      </w:r>
    </w:p>
    <w:p w:rsidR="00894C55" w:rsidRPr="00894C55" w:rsidP="00ED4473">
      <w:pPr>
        <w:tabs>
          <w:tab w:val="left" w:pos="6237"/>
        </w:tabs>
        <w:spacing w:after="0" w:line="240" w:lineRule="auto"/>
        <w:ind w:firstLine="720"/>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ED4473" w:rsidP="00ED4473">
    <w:pPr>
      <w:pStyle w:val="Footer"/>
      <w:rPr>
        <w:rFonts w:ascii="Times New Roman" w:hAnsi="Times New Roman" w:cs="Times New Roman"/>
        <w:sz w:val="20"/>
        <w:szCs w:val="20"/>
      </w:rPr>
    </w:pPr>
    <w:r>
      <w:rPr>
        <w:rFonts w:ascii="Times New Roman" w:hAnsi="Times New Roman" w:cs="Times New Roman"/>
        <w:sz w:val="20"/>
        <w:szCs w:val="20"/>
      </w:rPr>
      <w:t>EMAnot_</w:t>
    </w:r>
    <w:r w:rsidR="00D375EA">
      <w:rPr>
        <w:rFonts w:ascii="Times New Roman" w:hAnsi="Times New Roman" w:cs="Times New Roman"/>
        <w:sz w:val="20"/>
        <w:szCs w:val="20"/>
      </w:rPr>
      <w:t>180718</w:t>
    </w:r>
    <w:r>
      <w:rPr>
        <w:rFonts w:ascii="Times New Roman" w:hAnsi="Times New Roman" w:cs="Times New Roman"/>
        <w:sz w:val="20"/>
        <w:szCs w:val="20"/>
      </w:rPr>
      <w:t xml:space="preserve">_geoblokings.docx; </w:t>
    </w:r>
    <w:r w:rsidRPr="00ED4473">
      <w:rPr>
        <w:rFonts w:ascii="Times New Roman" w:hAnsi="Times New Roman" w:cs="Times New Roman"/>
        <w:sz w:val="20"/>
        <w:szCs w:val="20"/>
      </w:rPr>
      <w:t>Ministru kabineta noteikumu projekta “Grozījumi Ministru kabineta 2006. gada 1. augusta noteikumos Nr. 632 “Patērētāju tiesību aizsardzības centra nolikums””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EMA</w:t>
    </w:r>
    <w:r>
      <w:rPr>
        <w:rFonts w:ascii="Times New Roman" w:hAnsi="Times New Roman" w:cs="Times New Roman"/>
        <w:sz w:val="20"/>
        <w:szCs w:val="20"/>
      </w:rPr>
      <w:t>not_</w:t>
    </w:r>
    <w:r>
      <w:rPr>
        <w:rFonts w:ascii="Times New Roman" w:hAnsi="Times New Roman" w:cs="Times New Roman"/>
        <w:sz w:val="20"/>
        <w:szCs w:val="20"/>
      </w:rPr>
      <w:t>datums</w:t>
    </w:r>
    <w:r>
      <w:rPr>
        <w:rFonts w:ascii="Times New Roman" w:hAnsi="Times New Roman" w:cs="Times New Roman"/>
        <w:sz w:val="20"/>
        <w:szCs w:val="20"/>
      </w:rPr>
      <w:t>_</w:t>
    </w:r>
    <w:r>
      <w:rPr>
        <w:rFonts w:ascii="Times New Roman" w:hAnsi="Times New Roman" w:cs="Times New Roman"/>
        <w:sz w:val="20"/>
        <w:szCs w:val="20"/>
      </w:rPr>
      <w:t xml:space="preserve">geoblokings.docx; </w:t>
    </w:r>
    <w:r w:rsidRPr="00ED4473">
      <w:rPr>
        <w:rFonts w:ascii="Times New Roman" w:hAnsi="Times New Roman" w:cs="Times New Roman"/>
        <w:sz w:val="20"/>
        <w:szCs w:val="20"/>
      </w:rPr>
      <w:t>Ministru kabineta noteikumu projekta “Grozījumi Ministru kabineta 2006. gada 1. augusta noteikumos Nr. 632 “Patērētāju tiesību aizsardzības centra nolikums””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0916225"/>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22F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0C5D03"/>
    <w:multiLevelType w:val="hybridMultilevel"/>
    <w:tmpl w:val="BDAA927C"/>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120328DA"/>
    <w:multiLevelType w:val="hybridMultilevel"/>
    <w:tmpl w:val="BD4206D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1">
    <w:nsid w:val="14B40486"/>
    <w:multiLevelType w:val="hybridMultilevel"/>
    <w:tmpl w:val="819012D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21501F4B"/>
    <w:multiLevelType w:val="hybridMultilevel"/>
    <w:tmpl w:val="3B0E06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26251A36"/>
    <w:multiLevelType w:val="hybridMultilevel"/>
    <w:tmpl w:val="2F5AD702"/>
    <w:lvl w:ilvl="0">
      <w:start w:val="1"/>
      <w:numFmt w:val="bullet"/>
      <w:lvlText w:val="-"/>
      <w:lvlJc w:val="left"/>
      <w:pPr>
        <w:ind w:left="1069" w:hanging="360"/>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5" w15:restartNumberingAfterBreak="1">
    <w:nsid w:val="2A751006"/>
    <w:multiLevelType w:val="hybridMultilevel"/>
    <w:tmpl w:val="7E7AB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30F2126"/>
    <w:multiLevelType w:val="hybridMultilevel"/>
    <w:tmpl w:val="D84C8912"/>
    <w:lvl w:ilvl="0">
      <w:start w:val="1"/>
      <w:numFmt w:val="decimal"/>
      <w:lvlText w:val="%1."/>
      <w:lvlJc w:val="left"/>
      <w:pPr>
        <w:ind w:left="927" w:hanging="360"/>
      </w:pPr>
      <w:rPr>
        <w:rFonts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 w15:restartNumberingAfterBreak="1">
    <w:nsid w:val="693B4805"/>
    <w:multiLevelType w:val="hybridMultilevel"/>
    <w:tmpl w:val="F8EABA6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6FD34DC7"/>
    <w:multiLevelType w:val="hybridMultilevel"/>
    <w:tmpl w:val="806AD3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7CD2513A"/>
    <w:multiLevelType w:val="hybridMultilevel"/>
    <w:tmpl w:val="CF16093A"/>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AA6"/>
    <w:rsid w:val="00027D86"/>
    <w:rsid w:val="00045F69"/>
    <w:rsid w:val="000A4B39"/>
    <w:rsid w:val="000B2F6B"/>
    <w:rsid w:val="000B2FFF"/>
    <w:rsid w:val="000B6468"/>
    <w:rsid w:val="000C4DB5"/>
    <w:rsid w:val="000D0995"/>
    <w:rsid w:val="000E3E23"/>
    <w:rsid w:val="00122645"/>
    <w:rsid w:val="00147AA5"/>
    <w:rsid w:val="001529D9"/>
    <w:rsid w:val="001E5FD6"/>
    <w:rsid w:val="002156A6"/>
    <w:rsid w:val="0022119D"/>
    <w:rsid w:val="00243426"/>
    <w:rsid w:val="002676EE"/>
    <w:rsid w:val="002A0913"/>
    <w:rsid w:val="002B1209"/>
    <w:rsid w:val="002B5296"/>
    <w:rsid w:val="002C6D2D"/>
    <w:rsid w:val="002D31DE"/>
    <w:rsid w:val="002E1C05"/>
    <w:rsid w:val="002F6028"/>
    <w:rsid w:val="002F6E3D"/>
    <w:rsid w:val="003171AE"/>
    <w:rsid w:val="00335EA6"/>
    <w:rsid w:val="00342142"/>
    <w:rsid w:val="003555A7"/>
    <w:rsid w:val="00397212"/>
    <w:rsid w:val="003A1F18"/>
    <w:rsid w:val="003A622F"/>
    <w:rsid w:val="003B0BF9"/>
    <w:rsid w:val="003E0791"/>
    <w:rsid w:val="003F28AC"/>
    <w:rsid w:val="003F3E43"/>
    <w:rsid w:val="004403EB"/>
    <w:rsid w:val="004454FE"/>
    <w:rsid w:val="00456036"/>
    <w:rsid w:val="00456E40"/>
    <w:rsid w:val="00471F27"/>
    <w:rsid w:val="004744A0"/>
    <w:rsid w:val="004946A1"/>
    <w:rsid w:val="0050178F"/>
    <w:rsid w:val="00554E3E"/>
    <w:rsid w:val="005647A1"/>
    <w:rsid w:val="00576DBE"/>
    <w:rsid w:val="005D4F5C"/>
    <w:rsid w:val="005F4A8F"/>
    <w:rsid w:val="005F549F"/>
    <w:rsid w:val="0063138C"/>
    <w:rsid w:val="00642D01"/>
    <w:rsid w:val="00655F2C"/>
    <w:rsid w:val="00687FE2"/>
    <w:rsid w:val="00695A81"/>
    <w:rsid w:val="006A16CC"/>
    <w:rsid w:val="006C19AC"/>
    <w:rsid w:val="006C315B"/>
    <w:rsid w:val="006C58D0"/>
    <w:rsid w:val="006E1081"/>
    <w:rsid w:val="007030DD"/>
    <w:rsid w:val="00704310"/>
    <w:rsid w:val="00711E44"/>
    <w:rsid w:val="007139E3"/>
    <w:rsid w:val="00720585"/>
    <w:rsid w:val="00773AF6"/>
    <w:rsid w:val="00794F47"/>
    <w:rsid w:val="00795F71"/>
    <w:rsid w:val="00796197"/>
    <w:rsid w:val="007970FF"/>
    <w:rsid w:val="007B4F23"/>
    <w:rsid w:val="007C30C5"/>
    <w:rsid w:val="007D0856"/>
    <w:rsid w:val="007E1753"/>
    <w:rsid w:val="007E5F7A"/>
    <w:rsid w:val="007E73AB"/>
    <w:rsid w:val="00816C11"/>
    <w:rsid w:val="00822638"/>
    <w:rsid w:val="00827422"/>
    <w:rsid w:val="008538F3"/>
    <w:rsid w:val="008716E2"/>
    <w:rsid w:val="00875CFA"/>
    <w:rsid w:val="00894C55"/>
    <w:rsid w:val="008A0580"/>
    <w:rsid w:val="008A4C06"/>
    <w:rsid w:val="008E5B63"/>
    <w:rsid w:val="00917A5D"/>
    <w:rsid w:val="00926EAF"/>
    <w:rsid w:val="00935B54"/>
    <w:rsid w:val="00956602"/>
    <w:rsid w:val="009A2654"/>
    <w:rsid w:val="009A484C"/>
    <w:rsid w:val="009C2CAA"/>
    <w:rsid w:val="009C5A06"/>
    <w:rsid w:val="00A01378"/>
    <w:rsid w:val="00A04815"/>
    <w:rsid w:val="00A10FC3"/>
    <w:rsid w:val="00A31FD3"/>
    <w:rsid w:val="00A6073E"/>
    <w:rsid w:val="00A70D88"/>
    <w:rsid w:val="00A73452"/>
    <w:rsid w:val="00A7395B"/>
    <w:rsid w:val="00A85251"/>
    <w:rsid w:val="00A92C1D"/>
    <w:rsid w:val="00A934DA"/>
    <w:rsid w:val="00AC6663"/>
    <w:rsid w:val="00AD4936"/>
    <w:rsid w:val="00AD4C3E"/>
    <w:rsid w:val="00AD720D"/>
    <w:rsid w:val="00AE5567"/>
    <w:rsid w:val="00AF1239"/>
    <w:rsid w:val="00B02706"/>
    <w:rsid w:val="00B16480"/>
    <w:rsid w:val="00B2165C"/>
    <w:rsid w:val="00B26D69"/>
    <w:rsid w:val="00B42C5D"/>
    <w:rsid w:val="00B80C41"/>
    <w:rsid w:val="00B97F1A"/>
    <w:rsid w:val="00BA20AA"/>
    <w:rsid w:val="00BA368C"/>
    <w:rsid w:val="00BA7BFE"/>
    <w:rsid w:val="00BC5E29"/>
    <w:rsid w:val="00BD4425"/>
    <w:rsid w:val="00C032E3"/>
    <w:rsid w:val="00C110D9"/>
    <w:rsid w:val="00C11EEC"/>
    <w:rsid w:val="00C25B49"/>
    <w:rsid w:val="00C31EB9"/>
    <w:rsid w:val="00C51487"/>
    <w:rsid w:val="00C67935"/>
    <w:rsid w:val="00C8265E"/>
    <w:rsid w:val="00C85071"/>
    <w:rsid w:val="00CB39D7"/>
    <w:rsid w:val="00CB7E20"/>
    <w:rsid w:val="00CC0D2D"/>
    <w:rsid w:val="00CD6DBD"/>
    <w:rsid w:val="00CE5657"/>
    <w:rsid w:val="00D133F8"/>
    <w:rsid w:val="00D14A3E"/>
    <w:rsid w:val="00D271E2"/>
    <w:rsid w:val="00D30A9B"/>
    <w:rsid w:val="00D375EA"/>
    <w:rsid w:val="00D57BFC"/>
    <w:rsid w:val="00D622F9"/>
    <w:rsid w:val="00D72F1C"/>
    <w:rsid w:val="00DB5D79"/>
    <w:rsid w:val="00E032C8"/>
    <w:rsid w:val="00E1601E"/>
    <w:rsid w:val="00E3716B"/>
    <w:rsid w:val="00E5323B"/>
    <w:rsid w:val="00E54D4D"/>
    <w:rsid w:val="00E83BFA"/>
    <w:rsid w:val="00E8749E"/>
    <w:rsid w:val="00E90C01"/>
    <w:rsid w:val="00E9296C"/>
    <w:rsid w:val="00EA486E"/>
    <w:rsid w:val="00EB07D8"/>
    <w:rsid w:val="00ED4473"/>
    <w:rsid w:val="00ED5112"/>
    <w:rsid w:val="00ED7C6A"/>
    <w:rsid w:val="00EE6FAA"/>
    <w:rsid w:val="00EE718F"/>
    <w:rsid w:val="00F346D1"/>
    <w:rsid w:val="00F57B0C"/>
    <w:rsid w:val="00F87D5C"/>
    <w:rsid w:val="00FA2A53"/>
    <w:rsid w:val="00FD0EAF"/>
    <w:rsid w:val="00FD1C49"/>
    <w:rsid w:val="00FF4BD1"/>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3798F2-0A25-444B-9BBC-8A06F869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qFormat/>
    <w:rsid w:val="00ED4473"/>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ED4473"/>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934DA"/>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A934DA"/>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A9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091610"/>
    <w:rsid w:val="00344186"/>
    <w:rsid w:val="00472F39"/>
    <w:rsid w:val="00523A63"/>
    <w:rsid w:val="00564CC2"/>
    <w:rsid w:val="005D106A"/>
    <w:rsid w:val="006105C7"/>
    <w:rsid w:val="00702429"/>
    <w:rsid w:val="008774C4"/>
    <w:rsid w:val="00892D32"/>
    <w:rsid w:val="008B623B"/>
    <w:rsid w:val="008D39C9"/>
    <w:rsid w:val="009448D0"/>
    <w:rsid w:val="009467A6"/>
    <w:rsid w:val="009C1B4C"/>
    <w:rsid w:val="00A617AC"/>
    <w:rsid w:val="00A875E1"/>
    <w:rsid w:val="00AA37DE"/>
    <w:rsid w:val="00AA4449"/>
    <w:rsid w:val="00AD4A2F"/>
    <w:rsid w:val="00B3767C"/>
    <w:rsid w:val="00C00671"/>
    <w:rsid w:val="00C6411A"/>
    <w:rsid w:val="00D71427"/>
    <w:rsid w:val="00F3565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10433</Words>
  <Characters>5947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Latišenko</cp:lastModifiedBy>
  <cp:revision>42</cp:revision>
  <cp:lastPrinted>2018-07-20T11:05:00Z</cp:lastPrinted>
  <dcterms:created xsi:type="dcterms:W3CDTF">2017-12-06T07:22:00Z</dcterms:created>
  <dcterms:modified xsi:type="dcterms:W3CDTF">2018-09-26T08:27:00Z</dcterms:modified>
</cp:coreProperties>
</file>