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B211" w14:textId="06BED010" w:rsidR="007463BA" w:rsidRPr="00326444" w:rsidRDefault="00326444" w:rsidP="001C5690">
      <w:pPr>
        <w:jc w:val="right"/>
        <w:rPr>
          <w:sz w:val="28"/>
          <w:szCs w:val="28"/>
          <w:lang w:eastAsia="lv-LV"/>
        </w:rPr>
      </w:pPr>
      <w:r>
        <w:rPr>
          <w:sz w:val="28"/>
          <w:szCs w:val="28"/>
          <w:lang w:eastAsia="lv-LV"/>
        </w:rPr>
        <w:t>(</w:t>
      </w:r>
      <w:r w:rsidR="006420DA" w:rsidRPr="00326444">
        <w:rPr>
          <w:sz w:val="28"/>
          <w:szCs w:val="28"/>
          <w:lang w:eastAsia="lv-LV"/>
        </w:rPr>
        <w:t>Apstiprināts ar</w:t>
      </w:r>
    </w:p>
    <w:p w14:paraId="0FEDB212" w14:textId="77777777" w:rsidR="007463BA" w:rsidRPr="00326444" w:rsidRDefault="00070E1F" w:rsidP="001C5690">
      <w:pPr>
        <w:jc w:val="right"/>
        <w:rPr>
          <w:sz w:val="28"/>
          <w:szCs w:val="28"/>
          <w:lang w:eastAsia="lv-LV"/>
        </w:rPr>
      </w:pPr>
      <w:r w:rsidRPr="00326444">
        <w:rPr>
          <w:sz w:val="28"/>
          <w:szCs w:val="28"/>
          <w:lang w:eastAsia="lv-LV"/>
        </w:rPr>
        <w:t>Ministru kabineta</w:t>
      </w:r>
    </w:p>
    <w:p w14:paraId="2E0CB2E2" w14:textId="507A3578" w:rsidR="00326444" w:rsidRPr="00326444" w:rsidRDefault="00326444" w:rsidP="001C5690">
      <w:pPr>
        <w:jc w:val="right"/>
        <w:rPr>
          <w:sz w:val="28"/>
          <w:szCs w:val="28"/>
        </w:rPr>
      </w:pPr>
      <w:r w:rsidRPr="00326444">
        <w:rPr>
          <w:sz w:val="28"/>
          <w:szCs w:val="28"/>
        </w:rPr>
        <w:t xml:space="preserve">2018. gada </w:t>
      </w:r>
      <w:r w:rsidR="00451B83">
        <w:rPr>
          <w:sz w:val="28"/>
          <w:szCs w:val="28"/>
        </w:rPr>
        <w:t>14. novembr</w:t>
      </w:r>
      <w:r w:rsidR="00451B83">
        <w:rPr>
          <w:sz w:val="28"/>
          <w:szCs w:val="28"/>
        </w:rPr>
        <w:t>a</w:t>
      </w:r>
    </w:p>
    <w:p w14:paraId="38374FE2" w14:textId="63EB1ADD" w:rsidR="00326444" w:rsidRPr="00326444" w:rsidRDefault="00326444" w:rsidP="001C5690">
      <w:pPr>
        <w:jc w:val="right"/>
        <w:rPr>
          <w:sz w:val="28"/>
          <w:szCs w:val="28"/>
        </w:rPr>
      </w:pPr>
      <w:r w:rsidRPr="00326444">
        <w:rPr>
          <w:sz w:val="28"/>
          <w:szCs w:val="28"/>
        </w:rPr>
        <w:t>rīkojum</w:t>
      </w:r>
      <w:r w:rsidR="001C5690">
        <w:rPr>
          <w:sz w:val="28"/>
          <w:szCs w:val="28"/>
        </w:rPr>
        <w:t>u</w:t>
      </w:r>
      <w:r w:rsidRPr="00326444">
        <w:rPr>
          <w:sz w:val="28"/>
          <w:szCs w:val="28"/>
        </w:rPr>
        <w:t xml:space="preserve"> Nr. </w:t>
      </w:r>
      <w:r w:rsidR="00451B83">
        <w:rPr>
          <w:sz w:val="28"/>
          <w:szCs w:val="28"/>
        </w:rPr>
        <w:t>599</w:t>
      </w:r>
      <w:bookmarkStart w:id="0" w:name="_GoBack"/>
      <w:bookmarkEnd w:id="0"/>
      <w:r>
        <w:rPr>
          <w:sz w:val="28"/>
          <w:szCs w:val="28"/>
        </w:rPr>
        <w:t>)</w:t>
      </w:r>
    </w:p>
    <w:p w14:paraId="0FEDB215" w14:textId="77777777" w:rsidR="007463BA" w:rsidRPr="00943C9B" w:rsidRDefault="007463BA" w:rsidP="001C5690">
      <w:pPr>
        <w:pStyle w:val="VPBody"/>
        <w:spacing w:after="0" w:line="240" w:lineRule="auto"/>
        <w:jc w:val="center"/>
        <w:rPr>
          <w:b/>
          <w:szCs w:val="24"/>
        </w:rPr>
      </w:pPr>
    </w:p>
    <w:p w14:paraId="1CC30CD8" w14:textId="02F2EAFC" w:rsidR="006420DA" w:rsidRDefault="00070E1F" w:rsidP="001C5690">
      <w:pPr>
        <w:jc w:val="center"/>
        <w:rPr>
          <w:b/>
          <w:sz w:val="28"/>
          <w:szCs w:val="28"/>
        </w:rPr>
      </w:pPr>
      <w:r>
        <w:rPr>
          <w:b/>
          <w:sz w:val="28"/>
          <w:szCs w:val="28"/>
        </w:rPr>
        <w:t xml:space="preserve">Ārējās tirdzniecības statistikas datu apstrādes sistēma </w:t>
      </w:r>
    </w:p>
    <w:p w14:paraId="0FEDB216" w14:textId="33D4A8CB" w:rsidR="007463BA" w:rsidRPr="009173C9" w:rsidRDefault="006420DA" w:rsidP="001C5690">
      <w:pPr>
        <w:jc w:val="center"/>
        <w:rPr>
          <w:b/>
          <w:sz w:val="28"/>
          <w:szCs w:val="28"/>
        </w:rPr>
      </w:pPr>
      <w:r>
        <w:rPr>
          <w:b/>
          <w:sz w:val="28"/>
          <w:szCs w:val="28"/>
        </w:rPr>
        <w:t>P</w:t>
      </w:r>
      <w:r w:rsidR="00070E1F" w:rsidRPr="009173C9">
        <w:rPr>
          <w:b/>
          <w:sz w:val="28"/>
          <w:szCs w:val="28"/>
        </w:rPr>
        <w:t>rojekta aprakst</w:t>
      </w:r>
      <w:r w:rsidR="00070E1F">
        <w:rPr>
          <w:b/>
          <w:sz w:val="28"/>
          <w:szCs w:val="28"/>
        </w:rPr>
        <w:t>s (kopsavilkums)</w:t>
      </w:r>
      <w:r w:rsidR="00070E1F" w:rsidRPr="009173C9">
        <w:rPr>
          <w:b/>
          <w:sz w:val="28"/>
          <w:szCs w:val="28"/>
        </w:rPr>
        <w:t xml:space="preserve"> </w:t>
      </w:r>
    </w:p>
    <w:p w14:paraId="0FEDB217" w14:textId="77777777" w:rsidR="007463BA" w:rsidRPr="009173C9" w:rsidRDefault="007463BA" w:rsidP="001C5690">
      <w:pPr>
        <w:pStyle w:val="VPBody"/>
        <w:spacing w:after="0" w:line="240" w:lineRule="auto"/>
        <w:rPr>
          <w:rFonts w:cstheme="minorBidi"/>
          <w:b/>
          <w:bCs/>
          <w:sz w:val="28"/>
          <w:szCs w:val="28"/>
        </w:rPr>
      </w:pPr>
    </w:p>
    <w:p w14:paraId="0FEDB218" w14:textId="7AB9C0EA" w:rsidR="007463BA" w:rsidRPr="00C43ABF" w:rsidRDefault="00070E1F" w:rsidP="00C43ABF">
      <w:pPr>
        <w:pStyle w:val="VPBody"/>
        <w:spacing w:after="0" w:line="240" w:lineRule="auto"/>
        <w:ind w:firstLine="709"/>
        <w:jc w:val="both"/>
        <w:rPr>
          <w:sz w:val="24"/>
          <w:szCs w:val="24"/>
        </w:rPr>
      </w:pPr>
      <w:r w:rsidRPr="00C43ABF">
        <w:rPr>
          <w:b/>
          <w:sz w:val="24"/>
          <w:szCs w:val="24"/>
        </w:rPr>
        <w:t>Projekta mērķis</w:t>
      </w:r>
      <w:r w:rsidRPr="00C43ABF">
        <w:rPr>
          <w:sz w:val="24"/>
          <w:szCs w:val="24"/>
        </w:rPr>
        <w:t xml:space="preserve"> ir izveidot preču ārējās tirdzniecības statistikas </w:t>
      </w:r>
      <w:r w:rsidRPr="00A949B2">
        <w:rPr>
          <w:sz w:val="24"/>
          <w:szCs w:val="24"/>
        </w:rPr>
        <w:t>(</w:t>
      </w:r>
      <w:r w:rsidR="002D75E9" w:rsidRPr="00A949B2">
        <w:rPr>
          <w:sz w:val="24"/>
          <w:szCs w:val="24"/>
        </w:rPr>
        <w:t xml:space="preserve">turpmāk – </w:t>
      </w:r>
      <w:r w:rsidRPr="00A949B2">
        <w:rPr>
          <w:sz w:val="24"/>
          <w:szCs w:val="24"/>
        </w:rPr>
        <w:t>ĀTS)</w:t>
      </w:r>
      <w:r w:rsidRPr="00C43ABF">
        <w:rPr>
          <w:sz w:val="24"/>
          <w:szCs w:val="24"/>
        </w:rPr>
        <w:t xml:space="preserve"> datu apstrādes sistēmu </w:t>
      </w:r>
      <w:r w:rsidR="002D75E9">
        <w:rPr>
          <w:sz w:val="24"/>
          <w:szCs w:val="24"/>
        </w:rPr>
        <w:t>"</w:t>
      </w:r>
      <w:r w:rsidRPr="00C43ABF">
        <w:rPr>
          <w:sz w:val="24"/>
          <w:szCs w:val="24"/>
        </w:rPr>
        <w:t>VIESIS</w:t>
      </w:r>
      <w:r w:rsidR="002D75E9">
        <w:rPr>
          <w:sz w:val="24"/>
          <w:szCs w:val="24"/>
        </w:rPr>
        <w:t>"</w:t>
      </w:r>
      <w:r w:rsidRPr="00C43ABF">
        <w:rPr>
          <w:sz w:val="24"/>
          <w:szCs w:val="24"/>
        </w:rPr>
        <w:t xml:space="preserve"> (Vienotā </w:t>
      </w:r>
      <w:r w:rsidR="00C43ABF">
        <w:rPr>
          <w:sz w:val="24"/>
          <w:szCs w:val="24"/>
        </w:rPr>
        <w:t>i</w:t>
      </w:r>
      <w:r w:rsidRPr="00C43ABF">
        <w:rPr>
          <w:sz w:val="24"/>
          <w:szCs w:val="24"/>
        </w:rPr>
        <w:t xml:space="preserve">mporta </w:t>
      </w:r>
      <w:r w:rsidR="00C43ABF">
        <w:rPr>
          <w:sz w:val="24"/>
          <w:szCs w:val="24"/>
        </w:rPr>
        <w:t>e</w:t>
      </w:r>
      <w:r w:rsidRPr="00C43ABF">
        <w:rPr>
          <w:sz w:val="24"/>
          <w:szCs w:val="24"/>
        </w:rPr>
        <w:t xml:space="preserve">ksporta </w:t>
      </w:r>
      <w:r w:rsidR="00C43ABF">
        <w:rPr>
          <w:sz w:val="24"/>
          <w:szCs w:val="24"/>
        </w:rPr>
        <w:t>s</w:t>
      </w:r>
      <w:r w:rsidRPr="00C43ABF">
        <w:rPr>
          <w:sz w:val="24"/>
          <w:szCs w:val="24"/>
        </w:rPr>
        <w:t xml:space="preserve">tatistiskās </w:t>
      </w:r>
      <w:r w:rsidR="00C43ABF">
        <w:rPr>
          <w:sz w:val="24"/>
          <w:szCs w:val="24"/>
        </w:rPr>
        <w:t>i</w:t>
      </w:r>
      <w:r w:rsidRPr="00C43ABF">
        <w:rPr>
          <w:sz w:val="24"/>
          <w:szCs w:val="24"/>
        </w:rPr>
        <w:t xml:space="preserve">nformācijas </w:t>
      </w:r>
      <w:r w:rsidR="00C43ABF">
        <w:rPr>
          <w:sz w:val="24"/>
          <w:szCs w:val="24"/>
        </w:rPr>
        <w:t>s</w:t>
      </w:r>
      <w:r w:rsidRPr="00C43ABF">
        <w:rPr>
          <w:sz w:val="24"/>
          <w:szCs w:val="24"/>
        </w:rPr>
        <w:t>istēma), kas:</w:t>
      </w:r>
    </w:p>
    <w:p w14:paraId="0FEDB219" w14:textId="2206B835" w:rsidR="007463BA" w:rsidRPr="00C43ABF" w:rsidRDefault="00C43ABF" w:rsidP="00C43ABF">
      <w:pPr>
        <w:pStyle w:val="VPBody"/>
        <w:tabs>
          <w:tab w:val="left" w:pos="0"/>
        </w:tabs>
        <w:suppressAutoHyphens w:val="0"/>
        <w:spacing w:after="0" w:line="240" w:lineRule="auto"/>
        <w:ind w:firstLine="709"/>
        <w:jc w:val="both"/>
        <w:rPr>
          <w:sz w:val="24"/>
          <w:szCs w:val="24"/>
        </w:rPr>
      </w:pPr>
      <w:r>
        <w:rPr>
          <w:sz w:val="24"/>
          <w:szCs w:val="24"/>
        </w:rPr>
        <w:t>1) </w:t>
      </w:r>
      <w:r w:rsidR="00070E1F" w:rsidRPr="00C43ABF">
        <w:rPr>
          <w:sz w:val="24"/>
          <w:szCs w:val="24"/>
        </w:rPr>
        <w:t>būs balstīta uz savstarpēji saistītu moduļu sistēmu, optimizējot esošos darbības procesus;</w:t>
      </w:r>
    </w:p>
    <w:p w14:paraId="0FEDB21A" w14:textId="01C494CD" w:rsidR="007463BA" w:rsidRPr="00C43ABF" w:rsidRDefault="00C43ABF" w:rsidP="00C43ABF">
      <w:pPr>
        <w:pStyle w:val="VPBody"/>
        <w:tabs>
          <w:tab w:val="left" w:pos="0"/>
        </w:tabs>
        <w:suppressAutoHyphens w:val="0"/>
        <w:spacing w:after="0" w:line="240" w:lineRule="auto"/>
        <w:ind w:firstLine="709"/>
        <w:jc w:val="both"/>
        <w:rPr>
          <w:sz w:val="24"/>
          <w:szCs w:val="24"/>
        </w:rPr>
      </w:pPr>
      <w:r>
        <w:rPr>
          <w:sz w:val="24"/>
          <w:szCs w:val="24"/>
        </w:rPr>
        <w:t>2) </w:t>
      </w:r>
      <w:r w:rsidR="00070E1F" w:rsidRPr="00C43ABF">
        <w:rPr>
          <w:sz w:val="24"/>
          <w:szCs w:val="24"/>
        </w:rPr>
        <w:t>izveidos jaunus, efektīvus un modernus sistēmas funkcionalitātes risinājumus</w:t>
      </w:r>
      <w:r>
        <w:rPr>
          <w:sz w:val="24"/>
          <w:szCs w:val="24"/>
        </w:rPr>
        <w:t>, lai apstrādātu un analizētu</w:t>
      </w:r>
      <w:r w:rsidR="00070E1F" w:rsidRPr="00C43ABF">
        <w:rPr>
          <w:sz w:val="24"/>
          <w:szCs w:val="24"/>
        </w:rPr>
        <w:t xml:space="preserve"> no citām dalībvalstīm saņemto</w:t>
      </w:r>
      <w:r w:rsidR="002D75E9">
        <w:rPr>
          <w:sz w:val="24"/>
          <w:szCs w:val="24"/>
        </w:rPr>
        <w:t>s</w:t>
      </w:r>
      <w:r w:rsidR="00070E1F" w:rsidRPr="00C43ABF">
        <w:rPr>
          <w:sz w:val="24"/>
          <w:szCs w:val="24"/>
        </w:rPr>
        <w:t xml:space="preserve"> mikrodatu</w:t>
      </w:r>
      <w:r w:rsidR="002D75E9">
        <w:rPr>
          <w:sz w:val="24"/>
          <w:szCs w:val="24"/>
        </w:rPr>
        <w:t>s</w:t>
      </w:r>
      <w:r w:rsidR="00070E1F" w:rsidRPr="00C43ABF">
        <w:rPr>
          <w:sz w:val="24"/>
          <w:szCs w:val="24"/>
        </w:rPr>
        <w:t xml:space="preserve"> par preču eksportu;</w:t>
      </w:r>
    </w:p>
    <w:p w14:paraId="0FEDB21B" w14:textId="3BA04461" w:rsidR="007463BA" w:rsidRPr="00C43ABF" w:rsidRDefault="00C43ABF" w:rsidP="002D75E9">
      <w:pPr>
        <w:pStyle w:val="VPBody"/>
        <w:tabs>
          <w:tab w:val="left" w:pos="0"/>
        </w:tabs>
        <w:suppressAutoHyphens w:val="0"/>
        <w:spacing w:after="0" w:line="240" w:lineRule="auto"/>
        <w:ind w:firstLine="709"/>
        <w:jc w:val="both"/>
        <w:rPr>
          <w:sz w:val="24"/>
          <w:szCs w:val="24"/>
        </w:rPr>
      </w:pPr>
      <w:r>
        <w:rPr>
          <w:sz w:val="24"/>
          <w:szCs w:val="24"/>
        </w:rPr>
        <w:t>3) </w:t>
      </w:r>
      <w:r w:rsidR="00070E1F" w:rsidRPr="00C43ABF">
        <w:rPr>
          <w:sz w:val="24"/>
          <w:szCs w:val="24"/>
        </w:rPr>
        <w:t xml:space="preserve">paaugstinās kopējo Centrālās statistikas pārvaldes </w:t>
      </w:r>
      <w:r w:rsidR="00070E1F" w:rsidRPr="00A949B2">
        <w:rPr>
          <w:sz w:val="24"/>
          <w:szCs w:val="24"/>
        </w:rPr>
        <w:t>(</w:t>
      </w:r>
      <w:r w:rsidR="00355B5E" w:rsidRPr="00A949B2">
        <w:rPr>
          <w:sz w:val="24"/>
          <w:szCs w:val="24"/>
        </w:rPr>
        <w:t>turpmāk – p</w:t>
      </w:r>
      <w:r w:rsidR="00070E1F" w:rsidRPr="00A949B2">
        <w:rPr>
          <w:sz w:val="24"/>
          <w:szCs w:val="24"/>
        </w:rPr>
        <w:t>ārvalde)</w:t>
      </w:r>
      <w:r w:rsidR="00070E1F" w:rsidRPr="00C43ABF">
        <w:rPr>
          <w:sz w:val="24"/>
          <w:szCs w:val="24"/>
        </w:rPr>
        <w:t xml:space="preserve"> darbības efektivitāti, uzlabojot datu vākšanas, apstrādes, analīzes un izplatīšanas iespējas;</w:t>
      </w:r>
    </w:p>
    <w:p w14:paraId="0FEDB21C" w14:textId="0F071F76" w:rsidR="007463BA" w:rsidRPr="00C43ABF" w:rsidRDefault="00C43ABF" w:rsidP="002D75E9">
      <w:pPr>
        <w:pStyle w:val="VPBody"/>
        <w:tabs>
          <w:tab w:val="left" w:pos="0"/>
        </w:tabs>
        <w:suppressAutoHyphens w:val="0"/>
        <w:spacing w:after="0" w:line="240" w:lineRule="auto"/>
        <w:ind w:firstLine="709"/>
        <w:jc w:val="both"/>
        <w:rPr>
          <w:sz w:val="24"/>
          <w:szCs w:val="24"/>
        </w:rPr>
      </w:pPr>
      <w:r>
        <w:rPr>
          <w:sz w:val="24"/>
          <w:szCs w:val="24"/>
        </w:rPr>
        <w:t>4) </w:t>
      </w:r>
      <w:r w:rsidR="00070E1F" w:rsidRPr="00C43ABF">
        <w:rPr>
          <w:sz w:val="24"/>
          <w:szCs w:val="24"/>
        </w:rPr>
        <w:t xml:space="preserve">ļaus izmantot papildu datu avotus (no citām dalībvalstīm saņemto informāciju par preču eksportu uz Latviju), samazinot </w:t>
      </w:r>
      <w:proofErr w:type="spellStart"/>
      <w:r w:rsidR="00070E1F" w:rsidRPr="002D75E9">
        <w:rPr>
          <w:i/>
          <w:sz w:val="24"/>
          <w:szCs w:val="24"/>
        </w:rPr>
        <w:t>Intrastat</w:t>
      </w:r>
      <w:proofErr w:type="spellEnd"/>
      <w:r w:rsidR="00070E1F" w:rsidRPr="00C43ABF">
        <w:rPr>
          <w:sz w:val="24"/>
          <w:szCs w:val="24"/>
        </w:rPr>
        <w:t xml:space="preserve"> (</w:t>
      </w:r>
      <w:r w:rsidR="00070E1F" w:rsidRPr="00C43ABF">
        <w:rPr>
          <w:sz w:val="24"/>
          <w:szCs w:val="24"/>
          <w:lang w:eastAsia="lv-LV"/>
        </w:rPr>
        <w:t>Preču ārējās tirdzniecības statistika starp dalībvalstīm)</w:t>
      </w:r>
      <w:r w:rsidR="00070E1F" w:rsidRPr="00C43ABF">
        <w:rPr>
          <w:sz w:val="24"/>
          <w:szCs w:val="24"/>
        </w:rPr>
        <w:t xml:space="preserve"> respondentu noslodzi un vienlaikus saglabājot ārējās tirdzniecības statistikas datu kvalitāti.</w:t>
      </w:r>
    </w:p>
    <w:p w14:paraId="1F87AC50" w14:textId="77777777" w:rsidR="002D75E9" w:rsidRDefault="002D75E9" w:rsidP="00C43ABF">
      <w:pPr>
        <w:overflowPunct w:val="0"/>
        <w:autoSpaceDE w:val="0"/>
        <w:autoSpaceDN w:val="0"/>
        <w:jc w:val="both"/>
        <w:textAlignment w:val="baseline"/>
        <w:rPr>
          <w:b/>
          <w:u w:val="single"/>
          <w:lang w:eastAsia="lv-LV"/>
        </w:rPr>
      </w:pPr>
    </w:p>
    <w:p w14:paraId="0FEDB21D" w14:textId="4C98E380" w:rsidR="007463BA" w:rsidRDefault="00070E1F" w:rsidP="002D75E9">
      <w:pPr>
        <w:overflowPunct w:val="0"/>
        <w:autoSpaceDE w:val="0"/>
        <w:autoSpaceDN w:val="0"/>
        <w:ind w:firstLine="709"/>
        <w:jc w:val="both"/>
        <w:textAlignment w:val="baseline"/>
        <w:rPr>
          <w:b/>
          <w:lang w:eastAsia="lv-LV"/>
        </w:rPr>
      </w:pPr>
      <w:r w:rsidRPr="002D75E9">
        <w:rPr>
          <w:b/>
          <w:lang w:eastAsia="lv-LV"/>
        </w:rPr>
        <w:t xml:space="preserve">Darbības projekta mērķu sasniegšanai </w:t>
      </w:r>
    </w:p>
    <w:p w14:paraId="205C7753" w14:textId="77777777" w:rsidR="002D75E9" w:rsidRPr="002D75E9" w:rsidRDefault="002D75E9" w:rsidP="002D75E9">
      <w:pPr>
        <w:overflowPunct w:val="0"/>
        <w:autoSpaceDE w:val="0"/>
        <w:autoSpaceDN w:val="0"/>
        <w:ind w:firstLine="709"/>
        <w:jc w:val="both"/>
        <w:textAlignment w:val="baseline"/>
        <w:rPr>
          <w:b/>
          <w:lang w:eastAsia="lv-LV"/>
        </w:rPr>
      </w:pPr>
    </w:p>
    <w:p w14:paraId="0FEDB21E" w14:textId="78FCD110" w:rsidR="007463BA" w:rsidRPr="00C43ABF" w:rsidRDefault="00070E1F" w:rsidP="002D75E9">
      <w:pPr>
        <w:pStyle w:val="VPBody"/>
        <w:spacing w:after="0" w:line="240" w:lineRule="auto"/>
        <w:ind w:firstLine="709"/>
        <w:jc w:val="both"/>
        <w:rPr>
          <w:sz w:val="24"/>
          <w:szCs w:val="24"/>
        </w:rPr>
      </w:pPr>
      <w:r w:rsidRPr="00C43ABF">
        <w:rPr>
          <w:sz w:val="24"/>
          <w:szCs w:val="24"/>
        </w:rPr>
        <w:t xml:space="preserve">Lai risinātu esošās problēmas un sasniegtu noteiktos </w:t>
      </w:r>
      <w:r w:rsidR="002D75E9">
        <w:rPr>
          <w:sz w:val="24"/>
          <w:szCs w:val="24"/>
        </w:rPr>
        <w:t>p</w:t>
      </w:r>
      <w:r w:rsidRPr="00C43ABF">
        <w:rPr>
          <w:sz w:val="24"/>
          <w:szCs w:val="24"/>
        </w:rPr>
        <w:t xml:space="preserve">rojekta mērķus, tiks veidota jauna </w:t>
      </w:r>
      <w:r w:rsidR="002D75E9">
        <w:rPr>
          <w:sz w:val="24"/>
          <w:szCs w:val="24"/>
        </w:rPr>
        <w:t>ā</w:t>
      </w:r>
      <w:r w:rsidRPr="00C43ABF">
        <w:rPr>
          <w:sz w:val="24"/>
          <w:szCs w:val="24"/>
        </w:rPr>
        <w:t xml:space="preserve">rējās tirdzniecības statistikas datu apstrādes sistēma </w:t>
      </w:r>
      <w:r w:rsidR="00326444" w:rsidRPr="00C43ABF">
        <w:rPr>
          <w:sz w:val="24"/>
          <w:szCs w:val="24"/>
        </w:rPr>
        <w:t>"</w:t>
      </w:r>
      <w:r w:rsidRPr="00C43ABF">
        <w:rPr>
          <w:sz w:val="24"/>
          <w:szCs w:val="24"/>
        </w:rPr>
        <w:t>VIESIS</w:t>
      </w:r>
      <w:r w:rsidR="00326444" w:rsidRPr="00C43ABF">
        <w:rPr>
          <w:sz w:val="24"/>
          <w:szCs w:val="24"/>
        </w:rPr>
        <w:t>"</w:t>
      </w:r>
      <w:r w:rsidR="00424335">
        <w:rPr>
          <w:sz w:val="24"/>
          <w:szCs w:val="24"/>
        </w:rPr>
        <w:t xml:space="preserve"> (turpmāk – VIESIS)</w:t>
      </w:r>
      <w:r w:rsidRPr="00C43ABF">
        <w:rPr>
          <w:sz w:val="24"/>
          <w:szCs w:val="24"/>
        </w:rPr>
        <w:t xml:space="preserve">, </w:t>
      </w:r>
      <w:r w:rsidR="002D75E9">
        <w:rPr>
          <w:sz w:val="24"/>
          <w:szCs w:val="24"/>
        </w:rPr>
        <w:t>kas</w:t>
      </w:r>
      <w:r w:rsidRPr="00C43ABF">
        <w:rPr>
          <w:sz w:val="24"/>
          <w:szCs w:val="24"/>
        </w:rPr>
        <w:t xml:space="preserve"> sastāvēs no savstarpēji saistītiem moduļiem. </w:t>
      </w:r>
      <w:r w:rsidR="002D75E9">
        <w:rPr>
          <w:sz w:val="24"/>
          <w:szCs w:val="24"/>
        </w:rPr>
        <w:t>Minētā</w:t>
      </w:r>
      <w:r w:rsidRPr="00C43ABF">
        <w:rPr>
          <w:sz w:val="24"/>
          <w:szCs w:val="24"/>
        </w:rPr>
        <w:t xml:space="preserve"> sistēma nodrošinās efektīvāku, ātrdarbīgāku preču ārējās tirdzniecības statistikas nodrošināšanai nepieciešamo datu apstrādi, datu vākšanas, analīzes un izplatīšanas iespējas, ieskaitot mikrodatu </w:t>
      </w:r>
      <w:r w:rsidR="002D75E9" w:rsidRPr="00C43ABF">
        <w:rPr>
          <w:sz w:val="24"/>
          <w:szCs w:val="24"/>
        </w:rPr>
        <w:t xml:space="preserve">sagatavošanu un nosūtīšanu </w:t>
      </w:r>
      <w:r w:rsidRPr="00C43ABF">
        <w:rPr>
          <w:sz w:val="24"/>
          <w:szCs w:val="24"/>
        </w:rPr>
        <w:t xml:space="preserve">par Eiropas Savienības (ES) iekšējās preču tirdzniecības eksportu. Optimizējot statistikas datu sagatavošanas procesus, sistēmā, kur tas iespējams un ir lietderīgi, tiks ietverta procesu un procedūru automatizācija, lai ietaupītu laiku uz regulāri veicamām darbībām. </w:t>
      </w:r>
    </w:p>
    <w:p w14:paraId="0FEDB21F" w14:textId="21B4C95D" w:rsidR="007463BA" w:rsidRPr="00C43ABF" w:rsidRDefault="00070E1F" w:rsidP="002D75E9">
      <w:pPr>
        <w:ind w:firstLine="709"/>
        <w:jc w:val="both"/>
        <w:rPr>
          <w:bCs/>
        </w:rPr>
      </w:pPr>
      <w:r w:rsidRPr="00C43ABF">
        <w:rPr>
          <w:bCs/>
        </w:rPr>
        <w:t xml:space="preserve">Projekta </w:t>
      </w:r>
      <w:r w:rsidR="002D75E9">
        <w:rPr>
          <w:bCs/>
        </w:rPr>
        <w:t xml:space="preserve">īstenošanas </w:t>
      </w:r>
      <w:r w:rsidRPr="00C43ABF">
        <w:rPr>
          <w:bCs/>
        </w:rPr>
        <w:t>gaitā tiks pilnveidoti vai izveidoti no jauna šādi procesi: ĀTS datu vākšana, ĀTS datu apstrāde, analīze un sagatavošana izplatīšanai un publicēšanai, ĀTS mikrodatu apmaiņas nodrošināšana ar citām dalībvalstīm, izveidojot vienotu</w:t>
      </w:r>
      <w:r w:rsidR="0053747A">
        <w:rPr>
          <w:bCs/>
        </w:rPr>
        <w:t>,</w:t>
      </w:r>
      <w:r w:rsidRPr="00C43ABF">
        <w:rPr>
          <w:bCs/>
        </w:rPr>
        <w:t xml:space="preserve"> uz savstarpēji saistītiem moduļiem balstītu </w:t>
      </w:r>
      <w:r w:rsidR="002D75E9">
        <w:rPr>
          <w:bCs/>
        </w:rPr>
        <w:t>ā</w:t>
      </w:r>
      <w:r w:rsidRPr="00C43ABF">
        <w:rPr>
          <w:bCs/>
        </w:rPr>
        <w:t>rējās tirdzniecības statistikas datu apstrādes sistēmu.</w:t>
      </w:r>
    </w:p>
    <w:p w14:paraId="65314BB8" w14:textId="77777777" w:rsidR="002D75E9" w:rsidRDefault="002D75E9" w:rsidP="001C5690">
      <w:pPr>
        <w:overflowPunct w:val="0"/>
        <w:autoSpaceDE w:val="0"/>
        <w:autoSpaceDN w:val="0"/>
        <w:adjustRightInd w:val="0"/>
        <w:jc w:val="both"/>
        <w:textAlignment w:val="baseline"/>
        <w:rPr>
          <w:rFonts w:eastAsia="MS Mincho"/>
          <w:b/>
          <w:bCs/>
          <w:u w:val="single"/>
        </w:rPr>
      </w:pPr>
    </w:p>
    <w:p w14:paraId="0FEDB220" w14:textId="31A2913F" w:rsidR="007463BA" w:rsidRPr="00355B5E" w:rsidRDefault="00070E1F" w:rsidP="00355B5E">
      <w:pPr>
        <w:overflowPunct w:val="0"/>
        <w:autoSpaceDE w:val="0"/>
        <w:autoSpaceDN w:val="0"/>
        <w:adjustRightInd w:val="0"/>
        <w:ind w:firstLine="709"/>
        <w:jc w:val="both"/>
        <w:textAlignment w:val="baseline"/>
        <w:rPr>
          <w:rFonts w:eastAsia="MS Mincho"/>
          <w:b/>
          <w:bCs/>
        </w:rPr>
      </w:pPr>
      <w:r w:rsidRPr="00355B5E">
        <w:rPr>
          <w:rFonts w:eastAsia="MS Mincho"/>
          <w:b/>
          <w:bCs/>
        </w:rPr>
        <w:t>Projekta rezultāta rādītāji</w:t>
      </w:r>
    </w:p>
    <w:p w14:paraId="44AAE1B2" w14:textId="77777777" w:rsidR="00355B5E" w:rsidRPr="00C43ABF" w:rsidRDefault="00355B5E" w:rsidP="001C5690">
      <w:pPr>
        <w:overflowPunct w:val="0"/>
        <w:autoSpaceDE w:val="0"/>
        <w:autoSpaceDN w:val="0"/>
        <w:adjustRightInd w:val="0"/>
        <w:jc w:val="both"/>
        <w:textAlignment w:val="baseline"/>
        <w:rPr>
          <w:rFonts w:eastAsia="MS Mincho"/>
          <w:b/>
          <w:bCs/>
          <w:u w:val="single"/>
        </w:rPr>
      </w:pPr>
    </w:p>
    <w:tbl>
      <w:tblPr>
        <w:tblStyle w:val="TableGrid"/>
        <w:tblW w:w="9360" w:type="dxa"/>
        <w:tblInd w:w="-113" w:type="dxa"/>
        <w:tblLook w:val="04A0" w:firstRow="1" w:lastRow="0" w:firstColumn="1" w:lastColumn="0" w:noHBand="0" w:noVBand="1"/>
      </w:tblPr>
      <w:tblGrid>
        <w:gridCol w:w="817"/>
        <w:gridCol w:w="3119"/>
        <w:gridCol w:w="1323"/>
        <w:gridCol w:w="1163"/>
        <w:gridCol w:w="1469"/>
        <w:gridCol w:w="1469"/>
      </w:tblGrid>
      <w:tr w:rsidR="00260C02" w14:paraId="0FEDB227" w14:textId="77777777" w:rsidTr="00355B5E">
        <w:tc>
          <w:tcPr>
            <w:tcW w:w="817" w:type="dxa"/>
            <w:vAlign w:val="center"/>
          </w:tcPr>
          <w:p w14:paraId="3998A31B" w14:textId="77777777" w:rsidR="007463BA" w:rsidRDefault="00355B5E" w:rsidP="00355B5E">
            <w:pPr>
              <w:tabs>
                <w:tab w:val="left" w:pos="0"/>
              </w:tabs>
              <w:spacing w:before="0"/>
              <w:jc w:val="center"/>
              <w:rPr>
                <w:bCs/>
                <w:lang w:eastAsia="lv-LV"/>
              </w:rPr>
            </w:pPr>
            <w:r>
              <w:rPr>
                <w:bCs/>
                <w:lang w:eastAsia="lv-LV"/>
              </w:rPr>
              <w:t>Nr.</w:t>
            </w:r>
          </w:p>
          <w:p w14:paraId="0FEDB221" w14:textId="5BB064D5" w:rsidR="00355B5E" w:rsidRPr="00054EDA" w:rsidRDefault="00355B5E" w:rsidP="00355B5E">
            <w:pPr>
              <w:tabs>
                <w:tab w:val="left" w:pos="0"/>
              </w:tabs>
              <w:spacing w:before="0"/>
              <w:jc w:val="center"/>
              <w:rPr>
                <w:bCs/>
                <w:lang w:eastAsia="lv-LV"/>
              </w:rPr>
            </w:pPr>
            <w:r>
              <w:rPr>
                <w:bCs/>
                <w:lang w:eastAsia="lv-LV"/>
              </w:rPr>
              <w:t>p. k.</w:t>
            </w:r>
          </w:p>
        </w:tc>
        <w:tc>
          <w:tcPr>
            <w:tcW w:w="3119" w:type="dxa"/>
            <w:vAlign w:val="center"/>
          </w:tcPr>
          <w:p w14:paraId="0FEDB222" w14:textId="77777777" w:rsidR="007463BA" w:rsidRPr="00054EDA" w:rsidRDefault="00070E1F" w:rsidP="00355B5E">
            <w:pPr>
              <w:tabs>
                <w:tab w:val="left" w:pos="0"/>
              </w:tabs>
              <w:spacing w:before="0"/>
              <w:jc w:val="center"/>
              <w:rPr>
                <w:bCs/>
                <w:lang w:eastAsia="lv-LV"/>
              </w:rPr>
            </w:pPr>
            <w:r w:rsidRPr="00054EDA">
              <w:rPr>
                <w:bCs/>
                <w:lang w:eastAsia="lv-LV"/>
              </w:rPr>
              <w:t>Rezultāta rādītājs</w:t>
            </w:r>
          </w:p>
        </w:tc>
        <w:tc>
          <w:tcPr>
            <w:tcW w:w="1323" w:type="dxa"/>
            <w:vAlign w:val="center"/>
          </w:tcPr>
          <w:p w14:paraId="0FEDB223" w14:textId="77777777" w:rsidR="007463BA" w:rsidRPr="00054EDA" w:rsidRDefault="00070E1F" w:rsidP="00355B5E">
            <w:pPr>
              <w:tabs>
                <w:tab w:val="left" w:pos="0"/>
              </w:tabs>
              <w:spacing w:before="0"/>
              <w:jc w:val="center"/>
              <w:rPr>
                <w:bCs/>
                <w:lang w:eastAsia="lv-LV"/>
              </w:rPr>
            </w:pPr>
            <w:r w:rsidRPr="00054EDA">
              <w:rPr>
                <w:bCs/>
                <w:lang w:eastAsia="lv-LV"/>
              </w:rPr>
              <w:t>Mērvienība</w:t>
            </w:r>
          </w:p>
        </w:tc>
        <w:tc>
          <w:tcPr>
            <w:tcW w:w="1163" w:type="dxa"/>
            <w:vAlign w:val="center"/>
          </w:tcPr>
          <w:p w14:paraId="0FEDB224" w14:textId="77777777" w:rsidR="007463BA" w:rsidRPr="00054EDA" w:rsidRDefault="00070E1F" w:rsidP="00355B5E">
            <w:pPr>
              <w:tabs>
                <w:tab w:val="left" w:pos="0"/>
              </w:tabs>
              <w:spacing w:before="0"/>
              <w:jc w:val="center"/>
              <w:rPr>
                <w:bCs/>
                <w:lang w:eastAsia="lv-LV"/>
              </w:rPr>
            </w:pPr>
            <w:r w:rsidRPr="00054EDA">
              <w:rPr>
                <w:bCs/>
                <w:lang w:eastAsia="lv-LV"/>
              </w:rPr>
              <w:t>Sākotnējā vērtība</w:t>
            </w:r>
          </w:p>
        </w:tc>
        <w:tc>
          <w:tcPr>
            <w:tcW w:w="1469" w:type="dxa"/>
            <w:vAlign w:val="center"/>
          </w:tcPr>
          <w:p w14:paraId="0FEDB225" w14:textId="23790B91" w:rsidR="007463BA" w:rsidRPr="00054EDA" w:rsidRDefault="00070E1F" w:rsidP="00355B5E">
            <w:pPr>
              <w:tabs>
                <w:tab w:val="left" w:pos="0"/>
              </w:tabs>
              <w:spacing w:before="0"/>
              <w:jc w:val="center"/>
              <w:rPr>
                <w:bCs/>
                <w:lang w:eastAsia="lv-LV"/>
              </w:rPr>
            </w:pPr>
            <w:r w:rsidRPr="00054EDA">
              <w:rPr>
                <w:bCs/>
                <w:lang w:eastAsia="lv-LV"/>
              </w:rPr>
              <w:t xml:space="preserve">Sasniedzamā vērtība </w:t>
            </w:r>
            <w:r w:rsidR="00355B5E">
              <w:rPr>
                <w:bCs/>
                <w:lang w:eastAsia="lv-LV"/>
              </w:rPr>
              <w:t>divus</w:t>
            </w:r>
            <w:r w:rsidRPr="00054EDA">
              <w:rPr>
                <w:bCs/>
                <w:lang w:eastAsia="lv-LV"/>
              </w:rPr>
              <w:t xml:space="preserve"> gadus pēc projekta beigām</w:t>
            </w:r>
          </w:p>
        </w:tc>
        <w:tc>
          <w:tcPr>
            <w:tcW w:w="1469" w:type="dxa"/>
            <w:vAlign w:val="center"/>
          </w:tcPr>
          <w:p w14:paraId="0FEDB226" w14:textId="70ED8E31" w:rsidR="007463BA" w:rsidRPr="00054EDA" w:rsidRDefault="00070E1F" w:rsidP="00355B5E">
            <w:pPr>
              <w:tabs>
                <w:tab w:val="left" w:pos="0"/>
              </w:tabs>
              <w:spacing w:before="0"/>
              <w:jc w:val="center"/>
              <w:rPr>
                <w:bCs/>
                <w:lang w:eastAsia="lv-LV"/>
              </w:rPr>
            </w:pPr>
            <w:r w:rsidRPr="00054EDA">
              <w:rPr>
                <w:bCs/>
                <w:lang w:eastAsia="lv-LV"/>
              </w:rPr>
              <w:t xml:space="preserve">Sasniedzamā vērtība </w:t>
            </w:r>
            <w:r w:rsidR="00355B5E">
              <w:rPr>
                <w:bCs/>
                <w:lang w:eastAsia="lv-LV"/>
              </w:rPr>
              <w:t>trīs</w:t>
            </w:r>
            <w:r w:rsidRPr="00054EDA">
              <w:rPr>
                <w:bCs/>
                <w:lang w:eastAsia="lv-LV"/>
              </w:rPr>
              <w:t xml:space="preserve"> gadus pēc projekta beigām</w:t>
            </w:r>
          </w:p>
        </w:tc>
      </w:tr>
      <w:tr w:rsidR="00260C02" w14:paraId="0FEDB22E" w14:textId="77777777" w:rsidTr="00355B5E">
        <w:tc>
          <w:tcPr>
            <w:tcW w:w="817" w:type="dxa"/>
          </w:tcPr>
          <w:p w14:paraId="0FEDB228" w14:textId="77777777" w:rsidR="007463BA" w:rsidRPr="00AB0C64" w:rsidRDefault="00070E1F" w:rsidP="001C5690">
            <w:pPr>
              <w:tabs>
                <w:tab w:val="left" w:pos="0"/>
              </w:tabs>
              <w:spacing w:before="0"/>
              <w:jc w:val="both"/>
              <w:rPr>
                <w:bCs/>
              </w:rPr>
            </w:pPr>
            <w:r>
              <w:rPr>
                <w:bCs/>
              </w:rPr>
              <w:t>1.</w:t>
            </w:r>
          </w:p>
        </w:tc>
        <w:tc>
          <w:tcPr>
            <w:tcW w:w="3119" w:type="dxa"/>
          </w:tcPr>
          <w:p w14:paraId="0FEDB229" w14:textId="65C6B6AB" w:rsidR="007463BA" w:rsidRPr="00AB0C64" w:rsidRDefault="00070E1F" w:rsidP="001C5690">
            <w:pPr>
              <w:tabs>
                <w:tab w:val="left" w:pos="0"/>
              </w:tabs>
              <w:spacing w:before="0"/>
              <w:rPr>
                <w:bCs/>
              </w:rPr>
            </w:pPr>
            <w:r w:rsidRPr="008256B1">
              <w:rPr>
                <w:bCs/>
              </w:rPr>
              <w:t>J</w:t>
            </w:r>
            <w:r>
              <w:rPr>
                <w:bCs/>
              </w:rPr>
              <w:t>aunā preču ārējās tirdzniecības statistikas datu apstrādes sistēma nodrošina preču ārējās tirdzniecības statistikas datu apstrādi, analīzi</w:t>
            </w:r>
            <w:r w:rsidR="00355B5E">
              <w:rPr>
                <w:bCs/>
              </w:rPr>
              <w:t xml:space="preserve"> un</w:t>
            </w:r>
            <w:r>
              <w:rPr>
                <w:bCs/>
              </w:rPr>
              <w:t xml:space="preserve"> publiskošanu </w:t>
            </w:r>
            <w:r>
              <w:rPr>
                <w:bCs/>
              </w:rPr>
              <w:lastRenderedPageBreak/>
              <w:t>saskaņā ar normatīvo aktu prasībām</w:t>
            </w:r>
          </w:p>
        </w:tc>
        <w:tc>
          <w:tcPr>
            <w:tcW w:w="1323" w:type="dxa"/>
          </w:tcPr>
          <w:p w14:paraId="0FEDB22A" w14:textId="77777777" w:rsidR="007463BA" w:rsidRPr="00AB0C64" w:rsidRDefault="00070E1F" w:rsidP="00355B5E">
            <w:pPr>
              <w:tabs>
                <w:tab w:val="left" w:pos="0"/>
              </w:tabs>
              <w:spacing w:before="0"/>
              <w:jc w:val="center"/>
              <w:rPr>
                <w:bCs/>
              </w:rPr>
            </w:pPr>
            <w:r>
              <w:rPr>
                <w:bCs/>
              </w:rPr>
              <w:lastRenderedPageBreak/>
              <w:t>%</w:t>
            </w:r>
          </w:p>
        </w:tc>
        <w:tc>
          <w:tcPr>
            <w:tcW w:w="1163" w:type="dxa"/>
          </w:tcPr>
          <w:p w14:paraId="0FEDB22B" w14:textId="051F6397" w:rsidR="007463BA" w:rsidRPr="00AB0C64" w:rsidRDefault="00070E1F" w:rsidP="00355B5E">
            <w:pPr>
              <w:tabs>
                <w:tab w:val="left" w:pos="0"/>
              </w:tabs>
              <w:spacing w:before="0"/>
              <w:jc w:val="center"/>
              <w:rPr>
                <w:bCs/>
              </w:rPr>
            </w:pPr>
            <w:r>
              <w:rPr>
                <w:bCs/>
              </w:rPr>
              <w:t>0</w:t>
            </w:r>
            <w:r w:rsidR="00355B5E">
              <w:rPr>
                <w:bCs/>
              </w:rPr>
              <w:t> </w:t>
            </w:r>
            <w:r>
              <w:rPr>
                <w:bCs/>
              </w:rPr>
              <w:t>%</w:t>
            </w:r>
          </w:p>
        </w:tc>
        <w:tc>
          <w:tcPr>
            <w:tcW w:w="1469" w:type="dxa"/>
          </w:tcPr>
          <w:p w14:paraId="0FEDB22C" w14:textId="0ADEB6AF" w:rsidR="007463BA" w:rsidRPr="00AB0C64" w:rsidRDefault="00070E1F" w:rsidP="00355B5E">
            <w:pPr>
              <w:tabs>
                <w:tab w:val="left" w:pos="0"/>
              </w:tabs>
              <w:spacing w:before="0"/>
              <w:jc w:val="center"/>
              <w:rPr>
                <w:bCs/>
              </w:rPr>
            </w:pPr>
            <w:r>
              <w:rPr>
                <w:bCs/>
              </w:rPr>
              <w:t>100</w:t>
            </w:r>
            <w:r w:rsidR="00355B5E">
              <w:rPr>
                <w:bCs/>
              </w:rPr>
              <w:t> </w:t>
            </w:r>
            <w:r>
              <w:rPr>
                <w:bCs/>
              </w:rPr>
              <w:t>%</w:t>
            </w:r>
          </w:p>
        </w:tc>
        <w:tc>
          <w:tcPr>
            <w:tcW w:w="1469" w:type="dxa"/>
          </w:tcPr>
          <w:p w14:paraId="0FEDB22D" w14:textId="38E936CC" w:rsidR="007463BA" w:rsidRPr="00AB0C64" w:rsidRDefault="00070E1F" w:rsidP="00355B5E">
            <w:pPr>
              <w:tabs>
                <w:tab w:val="left" w:pos="0"/>
              </w:tabs>
              <w:spacing w:before="0"/>
              <w:jc w:val="center"/>
              <w:rPr>
                <w:bCs/>
              </w:rPr>
            </w:pPr>
            <w:r>
              <w:rPr>
                <w:bCs/>
              </w:rPr>
              <w:t>100</w:t>
            </w:r>
            <w:r w:rsidR="00355B5E">
              <w:rPr>
                <w:bCs/>
              </w:rPr>
              <w:t> </w:t>
            </w:r>
            <w:r>
              <w:rPr>
                <w:bCs/>
              </w:rPr>
              <w:t>%</w:t>
            </w:r>
          </w:p>
        </w:tc>
      </w:tr>
      <w:tr w:rsidR="00260C02" w14:paraId="0FEDB235" w14:textId="77777777" w:rsidTr="00355B5E">
        <w:tc>
          <w:tcPr>
            <w:tcW w:w="817" w:type="dxa"/>
          </w:tcPr>
          <w:p w14:paraId="0FEDB22F" w14:textId="77777777" w:rsidR="007463BA" w:rsidRPr="00AB0C64" w:rsidRDefault="00070E1F" w:rsidP="001C5690">
            <w:pPr>
              <w:tabs>
                <w:tab w:val="left" w:pos="0"/>
              </w:tabs>
              <w:spacing w:before="0"/>
              <w:jc w:val="both"/>
              <w:rPr>
                <w:bCs/>
              </w:rPr>
            </w:pPr>
            <w:r>
              <w:rPr>
                <w:bCs/>
              </w:rPr>
              <w:t>2.</w:t>
            </w:r>
          </w:p>
        </w:tc>
        <w:tc>
          <w:tcPr>
            <w:tcW w:w="3119" w:type="dxa"/>
          </w:tcPr>
          <w:p w14:paraId="0FEDB230" w14:textId="3C39D10C" w:rsidR="007463BA" w:rsidRPr="003026E1" w:rsidRDefault="00070E1F" w:rsidP="001C5690">
            <w:pPr>
              <w:tabs>
                <w:tab w:val="left" w:pos="0"/>
              </w:tabs>
              <w:spacing w:before="0"/>
              <w:rPr>
                <w:bCs/>
                <w:highlight w:val="yellow"/>
              </w:rPr>
            </w:pPr>
            <w:r w:rsidRPr="0003610C">
              <w:rPr>
                <w:bCs/>
              </w:rPr>
              <w:t>No citām dalībvalstīm saņemto mikrodatu par preču eksportu</w:t>
            </w:r>
            <w:r>
              <w:rPr>
                <w:bCs/>
              </w:rPr>
              <w:t xml:space="preserve"> </w:t>
            </w:r>
            <w:r w:rsidR="00D540D0">
              <w:rPr>
                <w:bCs/>
              </w:rPr>
              <w:t>(</w:t>
            </w:r>
            <w:r>
              <w:rPr>
                <w:bCs/>
              </w:rPr>
              <w:t>vērtības izteiksmē</w:t>
            </w:r>
            <w:r w:rsidR="00D540D0">
              <w:rPr>
                <w:bCs/>
              </w:rPr>
              <w:t>)</w:t>
            </w:r>
            <w:r w:rsidRPr="0003610C">
              <w:rPr>
                <w:bCs/>
              </w:rPr>
              <w:t xml:space="preserve"> </w:t>
            </w:r>
            <w:r>
              <w:rPr>
                <w:bCs/>
              </w:rPr>
              <w:t>izmantošanas īpatsvars importa datu kompilēšanai*</w:t>
            </w:r>
          </w:p>
        </w:tc>
        <w:tc>
          <w:tcPr>
            <w:tcW w:w="1323" w:type="dxa"/>
          </w:tcPr>
          <w:p w14:paraId="0FEDB231" w14:textId="77777777" w:rsidR="007463BA" w:rsidRPr="00AB0C64" w:rsidRDefault="00070E1F" w:rsidP="00355B5E">
            <w:pPr>
              <w:tabs>
                <w:tab w:val="left" w:pos="0"/>
              </w:tabs>
              <w:spacing w:before="0"/>
              <w:jc w:val="center"/>
              <w:rPr>
                <w:bCs/>
              </w:rPr>
            </w:pPr>
            <w:r>
              <w:rPr>
                <w:bCs/>
              </w:rPr>
              <w:t>%</w:t>
            </w:r>
          </w:p>
        </w:tc>
        <w:tc>
          <w:tcPr>
            <w:tcW w:w="1163" w:type="dxa"/>
          </w:tcPr>
          <w:p w14:paraId="0FEDB232" w14:textId="3DD8F565" w:rsidR="007463BA" w:rsidRPr="00AB0C64" w:rsidRDefault="00070E1F" w:rsidP="00355B5E">
            <w:pPr>
              <w:tabs>
                <w:tab w:val="left" w:pos="0"/>
              </w:tabs>
              <w:spacing w:before="0"/>
              <w:jc w:val="center"/>
              <w:rPr>
                <w:bCs/>
              </w:rPr>
            </w:pPr>
            <w:r>
              <w:rPr>
                <w:bCs/>
              </w:rPr>
              <w:t>0</w:t>
            </w:r>
            <w:r w:rsidR="00355B5E">
              <w:rPr>
                <w:bCs/>
              </w:rPr>
              <w:t> </w:t>
            </w:r>
            <w:r>
              <w:rPr>
                <w:bCs/>
              </w:rPr>
              <w:t>%</w:t>
            </w:r>
          </w:p>
        </w:tc>
        <w:tc>
          <w:tcPr>
            <w:tcW w:w="1469" w:type="dxa"/>
          </w:tcPr>
          <w:p w14:paraId="0FEDB233" w14:textId="70DD4726" w:rsidR="007463BA" w:rsidRPr="00AB0C64" w:rsidRDefault="00070E1F" w:rsidP="00355B5E">
            <w:pPr>
              <w:tabs>
                <w:tab w:val="left" w:pos="0"/>
              </w:tabs>
              <w:spacing w:before="0"/>
              <w:jc w:val="center"/>
              <w:rPr>
                <w:bCs/>
              </w:rPr>
            </w:pPr>
            <w:r>
              <w:rPr>
                <w:bCs/>
              </w:rPr>
              <w:t>10</w:t>
            </w:r>
            <w:r w:rsidR="00355B5E">
              <w:rPr>
                <w:bCs/>
              </w:rPr>
              <w:t> </w:t>
            </w:r>
            <w:r>
              <w:rPr>
                <w:bCs/>
              </w:rPr>
              <w:t>%</w:t>
            </w:r>
          </w:p>
        </w:tc>
        <w:tc>
          <w:tcPr>
            <w:tcW w:w="1469" w:type="dxa"/>
          </w:tcPr>
          <w:p w14:paraId="0FEDB234" w14:textId="2902E92E" w:rsidR="007463BA" w:rsidRPr="00AB0C64" w:rsidRDefault="00070E1F" w:rsidP="00355B5E">
            <w:pPr>
              <w:tabs>
                <w:tab w:val="left" w:pos="0"/>
              </w:tabs>
              <w:spacing w:before="0"/>
              <w:jc w:val="center"/>
              <w:rPr>
                <w:bCs/>
              </w:rPr>
            </w:pPr>
            <w:r>
              <w:rPr>
                <w:bCs/>
              </w:rPr>
              <w:t>20</w:t>
            </w:r>
            <w:r w:rsidR="00355B5E">
              <w:rPr>
                <w:bCs/>
              </w:rPr>
              <w:t> </w:t>
            </w:r>
            <w:r>
              <w:rPr>
                <w:bCs/>
              </w:rPr>
              <w:t>%</w:t>
            </w:r>
          </w:p>
        </w:tc>
      </w:tr>
      <w:tr w:rsidR="00260C02" w14:paraId="0FEDB23C" w14:textId="77777777" w:rsidTr="00355B5E">
        <w:tc>
          <w:tcPr>
            <w:tcW w:w="817" w:type="dxa"/>
          </w:tcPr>
          <w:p w14:paraId="0FEDB236" w14:textId="77777777" w:rsidR="007463BA" w:rsidRDefault="00070E1F" w:rsidP="001C5690">
            <w:pPr>
              <w:tabs>
                <w:tab w:val="left" w:pos="0"/>
              </w:tabs>
              <w:spacing w:before="0"/>
              <w:jc w:val="both"/>
              <w:rPr>
                <w:bCs/>
              </w:rPr>
            </w:pPr>
            <w:r>
              <w:rPr>
                <w:bCs/>
              </w:rPr>
              <w:t>3.</w:t>
            </w:r>
          </w:p>
        </w:tc>
        <w:tc>
          <w:tcPr>
            <w:tcW w:w="3119" w:type="dxa"/>
          </w:tcPr>
          <w:p w14:paraId="0FEDB237" w14:textId="77777777" w:rsidR="007463BA" w:rsidRPr="0003610C" w:rsidRDefault="00070E1F" w:rsidP="001C5690">
            <w:pPr>
              <w:tabs>
                <w:tab w:val="left" w:pos="0"/>
              </w:tabs>
              <w:spacing w:before="0"/>
              <w:rPr>
                <w:bCs/>
              </w:rPr>
            </w:pPr>
            <w:proofErr w:type="gramStart"/>
            <w:r>
              <w:rPr>
                <w:bCs/>
              </w:rPr>
              <w:t xml:space="preserve">Uz </w:t>
            </w:r>
            <w:r w:rsidRPr="00355B5E">
              <w:rPr>
                <w:bCs/>
                <w:i/>
              </w:rPr>
              <w:t>Eurostat</w:t>
            </w:r>
            <w:r>
              <w:rPr>
                <w:bCs/>
              </w:rPr>
              <w:t xml:space="preserve"> nosūtāmo publicējamo datu kopu sagatavošana un validēšana </w:t>
            </w:r>
            <w:r w:rsidRPr="00DA784B">
              <w:rPr>
                <w:bCs/>
              </w:rPr>
              <w:t>atbilstoši</w:t>
            </w:r>
            <w:proofErr w:type="gramEnd"/>
            <w:r w:rsidRPr="00DA784B">
              <w:rPr>
                <w:bCs/>
              </w:rPr>
              <w:t xml:space="preserve"> </w:t>
            </w:r>
            <w:r w:rsidRPr="00AE4DB6">
              <w:rPr>
                <w:bCs/>
              </w:rPr>
              <w:t>ISO 17369:2013</w:t>
            </w:r>
            <w:r>
              <w:rPr>
                <w:bCs/>
              </w:rPr>
              <w:t xml:space="preserve"> standartam (SDMX)</w:t>
            </w:r>
          </w:p>
        </w:tc>
        <w:tc>
          <w:tcPr>
            <w:tcW w:w="1323" w:type="dxa"/>
          </w:tcPr>
          <w:p w14:paraId="0FEDB238" w14:textId="77777777" w:rsidR="007463BA" w:rsidRDefault="00070E1F" w:rsidP="00355B5E">
            <w:pPr>
              <w:tabs>
                <w:tab w:val="left" w:pos="0"/>
              </w:tabs>
              <w:spacing w:before="0"/>
              <w:jc w:val="center"/>
              <w:rPr>
                <w:bCs/>
              </w:rPr>
            </w:pPr>
            <w:r>
              <w:rPr>
                <w:bCs/>
              </w:rPr>
              <w:t>%</w:t>
            </w:r>
          </w:p>
        </w:tc>
        <w:tc>
          <w:tcPr>
            <w:tcW w:w="1163" w:type="dxa"/>
          </w:tcPr>
          <w:p w14:paraId="0FEDB239" w14:textId="4149D4C1" w:rsidR="007463BA" w:rsidRDefault="00070E1F" w:rsidP="00355B5E">
            <w:pPr>
              <w:tabs>
                <w:tab w:val="left" w:pos="0"/>
              </w:tabs>
              <w:spacing w:before="0"/>
              <w:jc w:val="center"/>
              <w:rPr>
                <w:bCs/>
              </w:rPr>
            </w:pPr>
            <w:r>
              <w:rPr>
                <w:bCs/>
              </w:rPr>
              <w:t>0</w:t>
            </w:r>
            <w:r w:rsidR="00355B5E">
              <w:rPr>
                <w:bCs/>
              </w:rPr>
              <w:t> </w:t>
            </w:r>
            <w:r>
              <w:rPr>
                <w:bCs/>
              </w:rPr>
              <w:t>%</w:t>
            </w:r>
          </w:p>
        </w:tc>
        <w:tc>
          <w:tcPr>
            <w:tcW w:w="1469" w:type="dxa"/>
          </w:tcPr>
          <w:p w14:paraId="0FEDB23A" w14:textId="07EFCD61" w:rsidR="007463BA" w:rsidRDefault="00070E1F" w:rsidP="00355B5E">
            <w:pPr>
              <w:tabs>
                <w:tab w:val="left" w:pos="0"/>
              </w:tabs>
              <w:spacing w:before="0"/>
              <w:jc w:val="center"/>
              <w:rPr>
                <w:bCs/>
              </w:rPr>
            </w:pPr>
            <w:r>
              <w:rPr>
                <w:bCs/>
              </w:rPr>
              <w:t>100</w:t>
            </w:r>
            <w:r w:rsidR="00355B5E">
              <w:rPr>
                <w:bCs/>
              </w:rPr>
              <w:t> </w:t>
            </w:r>
            <w:r>
              <w:rPr>
                <w:bCs/>
              </w:rPr>
              <w:t>%</w:t>
            </w:r>
          </w:p>
        </w:tc>
        <w:tc>
          <w:tcPr>
            <w:tcW w:w="1469" w:type="dxa"/>
          </w:tcPr>
          <w:p w14:paraId="0FEDB23B" w14:textId="1E30A73C" w:rsidR="007463BA" w:rsidRDefault="00070E1F" w:rsidP="00355B5E">
            <w:pPr>
              <w:tabs>
                <w:tab w:val="left" w:pos="0"/>
              </w:tabs>
              <w:spacing w:before="0"/>
              <w:jc w:val="center"/>
              <w:rPr>
                <w:bCs/>
              </w:rPr>
            </w:pPr>
            <w:r>
              <w:rPr>
                <w:bCs/>
              </w:rPr>
              <w:t>100</w:t>
            </w:r>
            <w:r w:rsidR="00355B5E">
              <w:rPr>
                <w:bCs/>
              </w:rPr>
              <w:t> </w:t>
            </w:r>
            <w:r>
              <w:rPr>
                <w:bCs/>
              </w:rPr>
              <w:t>%</w:t>
            </w:r>
          </w:p>
        </w:tc>
      </w:tr>
      <w:tr w:rsidR="00260C02" w14:paraId="0FEDB243" w14:textId="77777777" w:rsidTr="00355B5E">
        <w:tc>
          <w:tcPr>
            <w:tcW w:w="817" w:type="dxa"/>
          </w:tcPr>
          <w:p w14:paraId="0FEDB23D" w14:textId="77777777" w:rsidR="007463BA" w:rsidRPr="00684BCD" w:rsidRDefault="00070E1F" w:rsidP="001C5690">
            <w:pPr>
              <w:tabs>
                <w:tab w:val="left" w:pos="0"/>
              </w:tabs>
              <w:spacing w:before="0"/>
              <w:jc w:val="both"/>
              <w:rPr>
                <w:bCs/>
              </w:rPr>
            </w:pPr>
            <w:r>
              <w:rPr>
                <w:bCs/>
              </w:rPr>
              <w:t>4.</w:t>
            </w:r>
          </w:p>
        </w:tc>
        <w:tc>
          <w:tcPr>
            <w:tcW w:w="3119" w:type="dxa"/>
          </w:tcPr>
          <w:p w14:paraId="0FEDB23E" w14:textId="77777777" w:rsidR="007463BA" w:rsidRDefault="00070E1F" w:rsidP="001C5690">
            <w:pPr>
              <w:tabs>
                <w:tab w:val="left" w:pos="0"/>
              </w:tabs>
              <w:spacing w:before="0"/>
              <w:rPr>
                <w:bCs/>
              </w:rPr>
            </w:pPr>
            <w:r w:rsidRPr="00F93E5D">
              <w:rPr>
                <w:bCs/>
              </w:rPr>
              <w:t>Oficiālo paziņojumu, kuri attieksies uz Paziņošanas likumu, nosūtīšana respondentiem, kas pieslēgušies</w:t>
            </w:r>
            <w:r>
              <w:rPr>
                <w:bCs/>
              </w:rPr>
              <w:t xml:space="preserve"> </w:t>
            </w:r>
            <w:r w:rsidRPr="00D02026">
              <w:rPr>
                <w:bCs/>
              </w:rPr>
              <w:t>Publiskās pārvaldes dokumentu pārvaldības sistēmu integrācijas vides</w:t>
            </w:r>
            <w:r w:rsidRPr="00F93E5D">
              <w:rPr>
                <w:bCs/>
              </w:rPr>
              <w:t xml:space="preserve"> </w:t>
            </w:r>
            <w:r>
              <w:rPr>
                <w:bCs/>
              </w:rPr>
              <w:t>(</w:t>
            </w:r>
            <w:r w:rsidRPr="00F93E5D">
              <w:rPr>
                <w:bCs/>
              </w:rPr>
              <w:t>DIV</w:t>
            </w:r>
            <w:r>
              <w:rPr>
                <w:bCs/>
              </w:rPr>
              <w:t>)</w:t>
            </w:r>
            <w:r w:rsidRPr="00F93E5D">
              <w:rPr>
                <w:bCs/>
              </w:rPr>
              <w:t xml:space="preserve"> sistēmai</w:t>
            </w:r>
            <w:r w:rsidRPr="00DA784B">
              <w:rPr>
                <w:bCs/>
              </w:rPr>
              <w:t xml:space="preserve"> </w:t>
            </w:r>
          </w:p>
        </w:tc>
        <w:tc>
          <w:tcPr>
            <w:tcW w:w="1323" w:type="dxa"/>
          </w:tcPr>
          <w:p w14:paraId="0FEDB23F" w14:textId="77777777" w:rsidR="007463BA" w:rsidRDefault="00070E1F" w:rsidP="00355B5E">
            <w:pPr>
              <w:tabs>
                <w:tab w:val="left" w:pos="0"/>
              </w:tabs>
              <w:spacing w:before="0"/>
              <w:jc w:val="center"/>
              <w:rPr>
                <w:bCs/>
              </w:rPr>
            </w:pPr>
            <w:r>
              <w:rPr>
                <w:bCs/>
              </w:rPr>
              <w:t>%</w:t>
            </w:r>
          </w:p>
        </w:tc>
        <w:tc>
          <w:tcPr>
            <w:tcW w:w="1163" w:type="dxa"/>
          </w:tcPr>
          <w:p w14:paraId="0FEDB240" w14:textId="63C5ED35" w:rsidR="007463BA" w:rsidRDefault="00070E1F" w:rsidP="00355B5E">
            <w:pPr>
              <w:tabs>
                <w:tab w:val="left" w:pos="0"/>
              </w:tabs>
              <w:spacing w:before="0"/>
              <w:jc w:val="center"/>
              <w:rPr>
                <w:bCs/>
              </w:rPr>
            </w:pPr>
            <w:r>
              <w:rPr>
                <w:bCs/>
              </w:rPr>
              <w:t>0</w:t>
            </w:r>
            <w:r w:rsidR="00355B5E">
              <w:rPr>
                <w:bCs/>
              </w:rPr>
              <w:t> </w:t>
            </w:r>
            <w:r>
              <w:rPr>
                <w:bCs/>
              </w:rPr>
              <w:t>%</w:t>
            </w:r>
          </w:p>
        </w:tc>
        <w:tc>
          <w:tcPr>
            <w:tcW w:w="1469" w:type="dxa"/>
          </w:tcPr>
          <w:p w14:paraId="0FEDB241" w14:textId="30F11A6C" w:rsidR="007463BA" w:rsidRDefault="00070E1F" w:rsidP="00355B5E">
            <w:pPr>
              <w:tabs>
                <w:tab w:val="left" w:pos="0"/>
              </w:tabs>
              <w:spacing w:before="0"/>
              <w:jc w:val="center"/>
              <w:rPr>
                <w:bCs/>
              </w:rPr>
            </w:pPr>
            <w:r>
              <w:rPr>
                <w:bCs/>
              </w:rPr>
              <w:t>100</w:t>
            </w:r>
            <w:r w:rsidR="00355B5E">
              <w:rPr>
                <w:bCs/>
              </w:rPr>
              <w:t> </w:t>
            </w:r>
            <w:r>
              <w:rPr>
                <w:bCs/>
              </w:rPr>
              <w:t>%</w:t>
            </w:r>
          </w:p>
        </w:tc>
        <w:tc>
          <w:tcPr>
            <w:tcW w:w="1469" w:type="dxa"/>
          </w:tcPr>
          <w:p w14:paraId="0FEDB242" w14:textId="4CE672C1" w:rsidR="007463BA" w:rsidRDefault="00070E1F" w:rsidP="00355B5E">
            <w:pPr>
              <w:tabs>
                <w:tab w:val="left" w:pos="0"/>
              </w:tabs>
              <w:spacing w:before="0"/>
              <w:jc w:val="center"/>
              <w:rPr>
                <w:bCs/>
              </w:rPr>
            </w:pPr>
            <w:r>
              <w:rPr>
                <w:bCs/>
              </w:rPr>
              <w:t>100</w:t>
            </w:r>
            <w:r w:rsidR="00355B5E">
              <w:rPr>
                <w:bCs/>
              </w:rPr>
              <w:t> </w:t>
            </w:r>
            <w:r>
              <w:rPr>
                <w:bCs/>
              </w:rPr>
              <w:t>%</w:t>
            </w:r>
          </w:p>
        </w:tc>
      </w:tr>
      <w:tr w:rsidR="00260C02" w14:paraId="0FEDB24A" w14:textId="77777777" w:rsidTr="00355B5E">
        <w:tc>
          <w:tcPr>
            <w:tcW w:w="817" w:type="dxa"/>
          </w:tcPr>
          <w:p w14:paraId="0FEDB244" w14:textId="77777777" w:rsidR="007463BA" w:rsidRDefault="00070E1F" w:rsidP="001C5690">
            <w:pPr>
              <w:tabs>
                <w:tab w:val="left" w:pos="0"/>
              </w:tabs>
              <w:spacing w:before="0"/>
              <w:jc w:val="both"/>
              <w:rPr>
                <w:bCs/>
              </w:rPr>
            </w:pPr>
            <w:r>
              <w:rPr>
                <w:bCs/>
              </w:rPr>
              <w:t>5.</w:t>
            </w:r>
          </w:p>
        </w:tc>
        <w:tc>
          <w:tcPr>
            <w:tcW w:w="3119" w:type="dxa"/>
          </w:tcPr>
          <w:p w14:paraId="0FEDB245" w14:textId="77777777" w:rsidR="007463BA" w:rsidRPr="00F93E5D" w:rsidRDefault="00070E1F" w:rsidP="001C5690">
            <w:pPr>
              <w:tabs>
                <w:tab w:val="left" w:pos="0"/>
              </w:tabs>
              <w:spacing w:before="0"/>
              <w:rPr>
                <w:bCs/>
              </w:rPr>
            </w:pPr>
            <w:proofErr w:type="spellStart"/>
            <w:r w:rsidRPr="00355B5E">
              <w:rPr>
                <w:bCs/>
                <w:i/>
              </w:rPr>
              <w:t>Intrastat</w:t>
            </w:r>
            <w:proofErr w:type="spellEnd"/>
            <w:r w:rsidRPr="008F3D08">
              <w:rPr>
                <w:bCs/>
              </w:rPr>
              <w:t xml:space="preserve"> respondentu patērētais laiks pārskatu aizpildīšanai (importa plūsmai)</w:t>
            </w:r>
          </w:p>
        </w:tc>
        <w:tc>
          <w:tcPr>
            <w:tcW w:w="1323" w:type="dxa"/>
          </w:tcPr>
          <w:p w14:paraId="0FEDB246" w14:textId="77777777" w:rsidR="007463BA" w:rsidRDefault="00070E1F" w:rsidP="00355B5E">
            <w:pPr>
              <w:tabs>
                <w:tab w:val="left" w:pos="0"/>
              </w:tabs>
              <w:spacing w:before="0"/>
              <w:jc w:val="center"/>
              <w:rPr>
                <w:bCs/>
              </w:rPr>
            </w:pPr>
            <w:r>
              <w:rPr>
                <w:bCs/>
              </w:rPr>
              <w:t>stundas</w:t>
            </w:r>
            <w:r>
              <w:rPr>
                <w:sz w:val="20"/>
                <w:szCs w:val="20"/>
              </w:rPr>
              <w:t xml:space="preserve"> </w:t>
            </w:r>
            <w:r w:rsidRPr="00355B5E">
              <w:t>gadā</w:t>
            </w:r>
          </w:p>
        </w:tc>
        <w:tc>
          <w:tcPr>
            <w:tcW w:w="1163" w:type="dxa"/>
          </w:tcPr>
          <w:p w14:paraId="0FEDB247" w14:textId="36C191F3" w:rsidR="007463BA" w:rsidRDefault="00070E1F" w:rsidP="00355B5E">
            <w:pPr>
              <w:tabs>
                <w:tab w:val="left" w:pos="0"/>
              </w:tabs>
              <w:spacing w:before="0"/>
              <w:jc w:val="center"/>
              <w:rPr>
                <w:bCs/>
              </w:rPr>
            </w:pPr>
            <w:r>
              <w:rPr>
                <w:bCs/>
              </w:rPr>
              <w:t>261</w:t>
            </w:r>
            <w:r w:rsidR="00355B5E">
              <w:rPr>
                <w:bCs/>
              </w:rPr>
              <w:t> </w:t>
            </w:r>
            <w:r>
              <w:rPr>
                <w:bCs/>
              </w:rPr>
              <w:t>000</w:t>
            </w:r>
          </w:p>
        </w:tc>
        <w:tc>
          <w:tcPr>
            <w:tcW w:w="1469" w:type="dxa"/>
          </w:tcPr>
          <w:p w14:paraId="0FEDB248" w14:textId="77777777" w:rsidR="007463BA" w:rsidRDefault="00070E1F" w:rsidP="00355B5E">
            <w:pPr>
              <w:tabs>
                <w:tab w:val="left" w:pos="0"/>
              </w:tabs>
              <w:spacing w:before="0"/>
              <w:jc w:val="center"/>
              <w:rPr>
                <w:bCs/>
              </w:rPr>
            </w:pPr>
            <w:r>
              <w:rPr>
                <w:bCs/>
              </w:rPr>
              <w:t>203 000</w:t>
            </w:r>
          </w:p>
        </w:tc>
        <w:tc>
          <w:tcPr>
            <w:tcW w:w="1469" w:type="dxa"/>
          </w:tcPr>
          <w:p w14:paraId="0FEDB249" w14:textId="77777777" w:rsidR="007463BA" w:rsidRDefault="00070E1F" w:rsidP="00355B5E">
            <w:pPr>
              <w:tabs>
                <w:tab w:val="left" w:pos="0"/>
              </w:tabs>
              <w:spacing w:before="0"/>
              <w:jc w:val="center"/>
              <w:rPr>
                <w:bCs/>
              </w:rPr>
            </w:pPr>
            <w:r>
              <w:rPr>
                <w:bCs/>
              </w:rPr>
              <w:t>159 500</w:t>
            </w:r>
          </w:p>
        </w:tc>
      </w:tr>
      <w:tr w:rsidR="00260C02" w14:paraId="0FEDB251" w14:textId="77777777" w:rsidTr="00355B5E">
        <w:tc>
          <w:tcPr>
            <w:tcW w:w="817" w:type="dxa"/>
          </w:tcPr>
          <w:p w14:paraId="0FEDB24B" w14:textId="77777777" w:rsidR="007463BA" w:rsidRDefault="00070E1F" w:rsidP="001C5690">
            <w:pPr>
              <w:tabs>
                <w:tab w:val="left" w:pos="0"/>
              </w:tabs>
              <w:spacing w:before="0"/>
              <w:jc w:val="both"/>
              <w:rPr>
                <w:bCs/>
              </w:rPr>
            </w:pPr>
            <w:r>
              <w:rPr>
                <w:bCs/>
              </w:rPr>
              <w:t>6.</w:t>
            </w:r>
          </w:p>
        </w:tc>
        <w:tc>
          <w:tcPr>
            <w:tcW w:w="3119" w:type="dxa"/>
          </w:tcPr>
          <w:p w14:paraId="0FEDB24C" w14:textId="1ED3F0C2" w:rsidR="007463BA" w:rsidRPr="00F93E5D" w:rsidRDefault="00070E1F" w:rsidP="001C5690">
            <w:pPr>
              <w:tabs>
                <w:tab w:val="left" w:pos="0"/>
              </w:tabs>
              <w:spacing w:before="0"/>
              <w:rPr>
                <w:bCs/>
              </w:rPr>
            </w:pPr>
            <w:r w:rsidRPr="008F3D08">
              <w:rPr>
                <w:bCs/>
              </w:rPr>
              <w:t xml:space="preserve">Pārvaldes patērētais laiks </w:t>
            </w:r>
            <w:proofErr w:type="spellStart"/>
            <w:r w:rsidRPr="00355B5E">
              <w:rPr>
                <w:bCs/>
                <w:i/>
              </w:rPr>
              <w:t>Intrastat</w:t>
            </w:r>
            <w:proofErr w:type="spellEnd"/>
            <w:r w:rsidRPr="008F3D08">
              <w:rPr>
                <w:bCs/>
              </w:rPr>
              <w:t xml:space="preserve"> pārskatu vākšanai un apstrādei (importa plūsmai)</w:t>
            </w:r>
            <w:r>
              <w:rPr>
                <w:bCs/>
              </w:rPr>
              <w:t>**</w:t>
            </w:r>
          </w:p>
        </w:tc>
        <w:tc>
          <w:tcPr>
            <w:tcW w:w="1323" w:type="dxa"/>
          </w:tcPr>
          <w:p w14:paraId="0FEDB24D" w14:textId="77777777" w:rsidR="007463BA" w:rsidRDefault="00070E1F" w:rsidP="00355B5E">
            <w:pPr>
              <w:tabs>
                <w:tab w:val="left" w:pos="0"/>
              </w:tabs>
              <w:spacing w:before="0"/>
              <w:jc w:val="center"/>
              <w:rPr>
                <w:bCs/>
              </w:rPr>
            </w:pPr>
            <w:r>
              <w:rPr>
                <w:bCs/>
              </w:rPr>
              <w:t>stundas</w:t>
            </w:r>
            <w:r>
              <w:rPr>
                <w:sz w:val="20"/>
                <w:szCs w:val="20"/>
              </w:rPr>
              <w:t xml:space="preserve"> </w:t>
            </w:r>
            <w:r w:rsidRPr="00355B5E">
              <w:t>gadā</w:t>
            </w:r>
          </w:p>
        </w:tc>
        <w:tc>
          <w:tcPr>
            <w:tcW w:w="1163" w:type="dxa"/>
          </w:tcPr>
          <w:p w14:paraId="0FEDB24E" w14:textId="77777777" w:rsidR="007463BA" w:rsidRDefault="00070E1F" w:rsidP="00355B5E">
            <w:pPr>
              <w:tabs>
                <w:tab w:val="left" w:pos="0"/>
              </w:tabs>
              <w:spacing w:before="0"/>
              <w:jc w:val="center"/>
              <w:rPr>
                <w:bCs/>
              </w:rPr>
            </w:pPr>
            <w:r>
              <w:rPr>
                <w:bCs/>
              </w:rPr>
              <w:t>12 600</w:t>
            </w:r>
          </w:p>
        </w:tc>
        <w:tc>
          <w:tcPr>
            <w:tcW w:w="1469" w:type="dxa"/>
          </w:tcPr>
          <w:p w14:paraId="0FEDB24F" w14:textId="77777777" w:rsidR="007463BA" w:rsidRDefault="00070E1F" w:rsidP="00355B5E">
            <w:pPr>
              <w:tabs>
                <w:tab w:val="left" w:pos="0"/>
              </w:tabs>
              <w:spacing w:before="0"/>
              <w:jc w:val="center"/>
              <w:rPr>
                <w:bCs/>
              </w:rPr>
            </w:pPr>
            <w:r>
              <w:rPr>
                <w:bCs/>
              </w:rPr>
              <w:t>9 800</w:t>
            </w:r>
          </w:p>
        </w:tc>
        <w:tc>
          <w:tcPr>
            <w:tcW w:w="1469" w:type="dxa"/>
          </w:tcPr>
          <w:p w14:paraId="0FEDB250" w14:textId="77777777" w:rsidR="007463BA" w:rsidRDefault="00070E1F" w:rsidP="00355B5E">
            <w:pPr>
              <w:tabs>
                <w:tab w:val="left" w:pos="0"/>
              </w:tabs>
              <w:spacing w:before="0"/>
              <w:jc w:val="center"/>
              <w:rPr>
                <w:bCs/>
              </w:rPr>
            </w:pPr>
            <w:r>
              <w:rPr>
                <w:bCs/>
              </w:rPr>
              <w:t>7 700</w:t>
            </w:r>
          </w:p>
        </w:tc>
      </w:tr>
    </w:tbl>
    <w:p w14:paraId="6B17CB1A" w14:textId="77777777" w:rsidR="00355B5E" w:rsidRDefault="00355B5E" w:rsidP="001C5690">
      <w:pPr>
        <w:jc w:val="both"/>
        <w:rPr>
          <w:b/>
          <w:bCs/>
          <w:i/>
          <w:sz w:val="16"/>
          <w:szCs w:val="16"/>
          <w:lang w:eastAsia="lv-LV"/>
        </w:rPr>
      </w:pPr>
    </w:p>
    <w:p w14:paraId="62D82AC0" w14:textId="2D7E036E" w:rsidR="00355B5E" w:rsidRPr="00355B5E" w:rsidRDefault="00355B5E" w:rsidP="00716E1E">
      <w:pPr>
        <w:ind w:firstLine="709"/>
        <w:jc w:val="both"/>
        <w:rPr>
          <w:bCs/>
          <w:sz w:val="20"/>
          <w:szCs w:val="20"/>
          <w:lang w:eastAsia="lv-LV"/>
        </w:rPr>
      </w:pPr>
      <w:r w:rsidRPr="00355B5E">
        <w:rPr>
          <w:bCs/>
          <w:sz w:val="20"/>
          <w:szCs w:val="20"/>
          <w:lang w:eastAsia="lv-LV"/>
        </w:rPr>
        <w:t>Piezīmes.</w:t>
      </w:r>
    </w:p>
    <w:p w14:paraId="0FEDB252" w14:textId="6B03B3B6" w:rsidR="007463BA" w:rsidRPr="00355B5E" w:rsidRDefault="00070E1F" w:rsidP="00716E1E">
      <w:pPr>
        <w:ind w:firstLine="709"/>
        <w:jc w:val="both"/>
        <w:rPr>
          <w:sz w:val="20"/>
          <w:szCs w:val="20"/>
        </w:rPr>
      </w:pPr>
      <w:r w:rsidRPr="00355B5E">
        <w:rPr>
          <w:b/>
          <w:bCs/>
          <w:i/>
          <w:sz w:val="20"/>
          <w:szCs w:val="20"/>
          <w:lang w:eastAsia="lv-LV"/>
        </w:rPr>
        <w:t xml:space="preserve">* </w:t>
      </w:r>
      <w:r w:rsidRPr="00355B5E">
        <w:rPr>
          <w:sz w:val="20"/>
          <w:szCs w:val="20"/>
        </w:rPr>
        <w:t>Divus gadus pēc projekta beigām ir paredzēts no Latvijas respondentiem savāktos datus daļēji aizstāt ar datiem, kas tiks saņemti no citām dalībvalstīm par eksportu uz Latviju (plānots aizstāt 10</w:t>
      </w:r>
      <w:r w:rsidR="00716E1E">
        <w:rPr>
          <w:sz w:val="20"/>
          <w:szCs w:val="20"/>
        </w:rPr>
        <w:t> </w:t>
      </w:r>
      <w:r w:rsidRPr="00355B5E">
        <w:rPr>
          <w:sz w:val="20"/>
          <w:szCs w:val="20"/>
        </w:rPr>
        <w:t xml:space="preserve">% importa apjoma </w:t>
      </w:r>
      <w:r w:rsidR="00D540D0">
        <w:rPr>
          <w:sz w:val="20"/>
          <w:szCs w:val="20"/>
        </w:rPr>
        <w:t>(</w:t>
      </w:r>
      <w:r w:rsidRPr="00355B5E">
        <w:rPr>
          <w:sz w:val="20"/>
          <w:szCs w:val="20"/>
        </w:rPr>
        <w:t>preču vērtības izteiksmē)</w:t>
      </w:r>
      <w:r w:rsidR="00D540D0">
        <w:rPr>
          <w:sz w:val="20"/>
          <w:szCs w:val="20"/>
        </w:rPr>
        <w:t>)</w:t>
      </w:r>
      <w:r w:rsidRPr="00355B5E">
        <w:rPr>
          <w:sz w:val="20"/>
          <w:szCs w:val="20"/>
        </w:rPr>
        <w:t>. Trīs gadus pēc projekta beigām šo īpatsvaru ir plānots palielināt līdz 20</w:t>
      </w:r>
      <w:r w:rsidR="00716E1E">
        <w:rPr>
          <w:sz w:val="20"/>
          <w:szCs w:val="20"/>
        </w:rPr>
        <w:t> </w:t>
      </w:r>
      <w:r w:rsidRPr="00355B5E">
        <w:rPr>
          <w:sz w:val="20"/>
          <w:szCs w:val="20"/>
        </w:rPr>
        <w:t>%.</w:t>
      </w:r>
    </w:p>
    <w:p w14:paraId="0FEDB253" w14:textId="0BB46893" w:rsidR="007463BA" w:rsidRPr="00355B5E" w:rsidRDefault="00070E1F" w:rsidP="00716E1E">
      <w:pPr>
        <w:ind w:firstLine="709"/>
        <w:jc w:val="both"/>
        <w:rPr>
          <w:b/>
          <w:bCs/>
          <w:i/>
          <w:sz w:val="20"/>
          <w:szCs w:val="20"/>
          <w:lang w:eastAsia="lv-LV"/>
        </w:rPr>
      </w:pPr>
      <w:r w:rsidRPr="00355B5E">
        <w:rPr>
          <w:sz w:val="20"/>
          <w:szCs w:val="20"/>
        </w:rPr>
        <w:t>**</w:t>
      </w:r>
      <w:r w:rsidR="0053747A">
        <w:rPr>
          <w:sz w:val="20"/>
          <w:szCs w:val="20"/>
        </w:rPr>
        <w:t> </w:t>
      </w:r>
      <w:r w:rsidRPr="00355B5E">
        <w:rPr>
          <w:sz w:val="20"/>
          <w:szCs w:val="20"/>
        </w:rPr>
        <w:t xml:space="preserve">Ietaupītie </w:t>
      </w:r>
      <w:r w:rsidR="00716E1E">
        <w:rPr>
          <w:sz w:val="20"/>
          <w:szCs w:val="20"/>
        </w:rPr>
        <w:t>p</w:t>
      </w:r>
      <w:r w:rsidRPr="00355B5E">
        <w:rPr>
          <w:sz w:val="20"/>
          <w:szCs w:val="20"/>
        </w:rPr>
        <w:t xml:space="preserve">ārvaldes resursi tiks izmantoti jaunu funkciju veikšanai, lai noteiktos termiņos nodrošinātu citas dalībvalstis ar pārbaudītiem un kvalitatīviem mikrodatiem, kā arī lai pārliecinātos par </w:t>
      </w:r>
      <w:r w:rsidR="00716E1E" w:rsidRPr="00355B5E">
        <w:rPr>
          <w:sz w:val="20"/>
          <w:szCs w:val="20"/>
        </w:rPr>
        <w:t>datu kvalitāti</w:t>
      </w:r>
      <w:r w:rsidR="00716E1E">
        <w:rPr>
          <w:sz w:val="20"/>
          <w:szCs w:val="20"/>
        </w:rPr>
        <w:t xml:space="preserve">, kas saņemti </w:t>
      </w:r>
      <w:r w:rsidRPr="00355B5E">
        <w:rPr>
          <w:sz w:val="20"/>
          <w:szCs w:val="20"/>
        </w:rPr>
        <w:t>no citām dalībvalstīm</w:t>
      </w:r>
      <w:r w:rsidR="00716E1E">
        <w:rPr>
          <w:sz w:val="20"/>
          <w:szCs w:val="20"/>
        </w:rPr>
        <w:t xml:space="preserve"> un tiek</w:t>
      </w:r>
      <w:r w:rsidRPr="00355B5E">
        <w:rPr>
          <w:sz w:val="20"/>
          <w:szCs w:val="20"/>
        </w:rPr>
        <w:t xml:space="preserve"> izmanto</w:t>
      </w:r>
      <w:r w:rsidR="00716E1E">
        <w:rPr>
          <w:sz w:val="20"/>
          <w:szCs w:val="20"/>
        </w:rPr>
        <w:t>ti</w:t>
      </w:r>
      <w:r w:rsidRPr="00355B5E">
        <w:rPr>
          <w:sz w:val="20"/>
          <w:szCs w:val="20"/>
        </w:rPr>
        <w:t xml:space="preserve"> importa statistikas sagatavošanai.</w:t>
      </w:r>
    </w:p>
    <w:p w14:paraId="7C12220E" w14:textId="77777777" w:rsidR="00716E1E" w:rsidRDefault="00716E1E" w:rsidP="001C5690">
      <w:pPr>
        <w:pStyle w:val="VPMessage"/>
        <w:spacing w:before="0" w:after="0"/>
        <w:rPr>
          <w:rFonts w:cs="Times New Roman"/>
          <w:b w:val="0"/>
          <w:bCs/>
          <w:i w:val="0"/>
          <w:sz w:val="24"/>
          <w:szCs w:val="24"/>
          <w:lang w:eastAsia="lv-LV"/>
        </w:rPr>
      </w:pPr>
    </w:p>
    <w:p w14:paraId="0FEDB254" w14:textId="3E82774F" w:rsidR="007463BA" w:rsidRDefault="00070E1F" w:rsidP="00716E1E">
      <w:pPr>
        <w:pStyle w:val="VPMessage"/>
        <w:spacing w:before="0" w:after="0"/>
        <w:ind w:firstLine="709"/>
        <w:rPr>
          <w:rFonts w:cs="Times New Roman"/>
          <w:b w:val="0"/>
          <w:bCs/>
          <w:i w:val="0"/>
          <w:sz w:val="24"/>
          <w:szCs w:val="24"/>
          <w:lang w:eastAsia="lv-LV"/>
        </w:rPr>
      </w:pPr>
      <w:r w:rsidRPr="00054EDA">
        <w:rPr>
          <w:rFonts w:cs="Times New Roman"/>
          <w:b w:val="0"/>
          <w:bCs/>
          <w:i w:val="0"/>
          <w:sz w:val="24"/>
          <w:szCs w:val="24"/>
          <w:lang w:eastAsia="lv-LV"/>
        </w:rPr>
        <w:t xml:space="preserve">Ir sagaidāms, ka 1., 3. un 4. punktā </w:t>
      </w:r>
      <w:r>
        <w:rPr>
          <w:rFonts w:cs="Times New Roman"/>
          <w:b w:val="0"/>
          <w:bCs/>
          <w:i w:val="0"/>
          <w:sz w:val="24"/>
          <w:szCs w:val="24"/>
          <w:lang w:eastAsia="lv-LV"/>
        </w:rPr>
        <w:t xml:space="preserve">minētie projekta rezultāta rādītāji </w:t>
      </w:r>
      <w:r w:rsidRPr="00054EDA">
        <w:rPr>
          <w:rFonts w:cs="Times New Roman"/>
          <w:b w:val="0"/>
          <w:bCs/>
          <w:i w:val="0"/>
          <w:sz w:val="24"/>
          <w:szCs w:val="24"/>
          <w:lang w:eastAsia="lv-LV"/>
        </w:rPr>
        <w:t>tiks sasniegt</w:t>
      </w:r>
      <w:r>
        <w:rPr>
          <w:rFonts w:cs="Times New Roman"/>
          <w:b w:val="0"/>
          <w:bCs/>
          <w:i w:val="0"/>
          <w:sz w:val="24"/>
          <w:szCs w:val="24"/>
          <w:lang w:eastAsia="lv-LV"/>
        </w:rPr>
        <w:t>i</w:t>
      </w:r>
      <w:r w:rsidRPr="00054EDA">
        <w:rPr>
          <w:rFonts w:cs="Times New Roman"/>
          <w:b w:val="0"/>
          <w:bCs/>
          <w:i w:val="0"/>
          <w:sz w:val="24"/>
          <w:szCs w:val="24"/>
          <w:lang w:eastAsia="lv-LV"/>
        </w:rPr>
        <w:t xml:space="preserve"> pēc projekta </w:t>
      </w:r>
      <w:r w:rsidR="00716E1E">
        <w:rPr>
          <w:rFonts w:cs="Times New Roman"/>
          <w:b w:val="0"/>
          <w:bCs/>
          <w:i w:val="0"/>
          <w:sz w:val="24"/>
          <w:szCs w:val="24"/>
          <w:lang w:eastAsia="lv-LV"/>
        </w:rPr>
        <w:t xml:space="preserve">īstenošanas </w:t>
      </w:r>
      <w:r w:rsidRPr="00054EDA">
        <w:rPr>
          <w:rFonts w:cs="Times New Roman"/>
          <w:b w:val="0"/>
          <w:bCs/>
          <w:i w:val="0"/>
          <w:sz w:val="24"/>
          <w:szCs w:val="24"/>
          <w:lang w:eastAsia="lv-LV"/>
        </w:rPr>
        <w:t>beigām</w:t>
      </w:r>
      <w:r>
        <w:rPr>
          <w:rFonts w:cs="Times New Roman"/>
          <w:b w:val="0"/>
          <w:bCs/>
          <w:i w:val="0"/>
          <w:sz w:val="24"/>
          <w:szCs w:val="24"/>
          <w:lang w:eastAsia="lv-LV"/>
        </w:rPr>
        <w:t>.</w:t>
      </w:r>
    </w:p>
    <w:p w14:paraId="0FEDB255" w14:textId="77777777" w:rsidR="007463BA" w:rsidRPr="00CB4ED0" w:rsidRDefault="007463BA" w:rsidP="001C5690">
      <w:pPr>
        <w:jc w:val="both"/>
        <w:rPr>
          <w:i/>
          <w:color w:val="31849B" w:themeColor="accent5" w:themeShade="BF"/>
        </w:rPr>
      </w:pPr>
    </w:p>
    <w:p w14:paraId="0FEDB256" w14:textId="494EC6E6" w:rsidR="007463BA" w:rsidRDefault="00070E1F" w:rsidP="00716E1E">
      <w:pPr>
        <w:overflowPunct w:val="0"/>
        <w:autoSpaceDE w:val="0"/>
        <w:autoSpaceDN w:val="0"/>
        <w:adjustRightInd w:val="0"/>
        <w:ind w:firstLine="709"/>
        <w:jc w:val="both"/>
        <w:textAlignment w:val="baseline"/>
        <w:rPr>
          <w:rFonts w:eastAsia="MS Mincho"/>
          <w:b/>
          <w:bCs/>
        </w:rPr>
      </w:pPr>
      <w:r w:rsidRPr="00716E1E">
        <w:rPr>
          <w:rFonts w:eastAsia="MS Mincho"/>
          <w:b/>
          <w:bCs/>
        </w:rPr>
        <w:t>Projekta iznākuma rādītāji</w:t>
      </w:r>
    </w:p>
    <w:p w14:paraId="6E313799" w14:textId="77777777" w:rsidR="00A85C82" w:rsidRPr="00716E1E" w:rsidRDefault="00A85C82" w:rsidP="00716E1E">
      <w:pPr>
        <w:overflowPunct w:val="0"/>
        <w:autoSpaceDE w:val="0"/>
        <w:autoSpaceDN w:val="0"/>
        <w:adjustRightInd w:val="0"/>
        <w:ind w:firstLine="709"/>
        <w:jc w:val="both"/>
        <w:textAlignment w:val="baseline"/>
        <w:rPr>
          <w:rFonts w:eastAsia="MS Mincho"/>
          <w:b/>
          <w:bCs/>
        </w:rPr>
      </w:pPr>
    </w:p>
    <w:tbl>
      <w:tblPr>
        <w:tblStyle w:val="TableGrid"/>
        <w:tblW w:w="5003" w:type="pct"/>
        <w:tblLayout w:type="fixed"/>
        <w:tblLook w:val="04A0" w:firstRow="1" w:lastRow="0" w:firstColumn="1" w:lastColumn="0" w:noHBand="0" w:noVBand="1"/>
      </w:tblPr>
      <w:tblGrid>
        <w:gridCol w:w="676"/>
        <w:gridCol w:w="5568"/>
        <w:gridCol w:w="1163"/>
        <w:gridCol w:w="1886"/>
      </w:tblGrid>
      <w:tr w:rsidR="00260C02" w:rsidRPr="00716E1E" w14:paraId="0FEDB25B" w14:textId="77777777" w:rsidTr="00716E1E">
        <w:tc>
          <w:tcPr>
            <w:tcW w:w="363" w:type="pct"/>
            <w:vAlign w:val="center"/>
          </w:tcPr>
          <w:p w14:paraId="37B6B318" w14:textId="77777777" w:rsidR="007463BA" w:rsidRPr="00716E1E" w:rsidRDefault="00716E1E" w:rsidP="00716E1E">
            <w:pPr>
              <w:tabs>
                <w:tab w:val="left" w:pos="0"/>
              </w:tabs>
              <w:spacing w:before="0"/>
              <w:jc w:val="center"/>
              <w:rPr>
                <w:bCs/>
              </w:rPr>
            </w:pPr>
            <w:r w:rsidRPr="00716E1E">
              <w:rPr>
                <w:bCs/>
              </w:rPr>
              <w:t>Nr.</w:t>
            </w:r>
          </w:p>
          <w:p w14:paraId="0FEDB257" w14:textId="496A9F93" w:rsidR="00716E1E" w:rsidRPr="00716E1E" w:rsidRDefault="00716E1E" w:rsidP="00716E1E">
            <w:pPr>
              <w:tabs>
                <w:tab w:val="left" w:pos="0"/>
              </w:tabs>
              <w:spacing w:before="0"/>
              <w:jc w:val="center"/>
              <w:rPr>
                <w:bCs/>
              </w:rPr>
            </w:pPr>
            <w:r w:rsidRPr="00716E1E">
              <w:rPr>
                <w:bCs/>
              </w:rPr>
              <w:t>p. k.</w:t>
            </w:r>
          </w:p>
        </w:tc>
        <w:tc>
          <w:tcPr>
            <w:tcW w:w="2996" w:type="pct"/>
            <w:vAlign w:val="center"/>
          </w:tcPr>
          <w:p w14:paraId="0FEDB258" w14:textId="77777777" w:rsidR="007463BA" w:rsidRPr="00716E1E" w:rsidRDefault="00070E1F" w:rsidP="00716E1E">
            <w:pPr>
              <w:tabs>
                <w:tab w:val="left" w:pos="0"/>
              </w:tabs>
              <w:spacing w:before="0"/>
              <w:jc w:val="center"/>
              <w:rPr>
                <w:bCs/>
              </w:rPr>
            </w:pPr>
            <w:r w:rsidRPr="00716E1E">
              <w:rPr>
                <w:bCs/>
              </w:rPr>
              <w:t>Iznākuma rādītājs</w:t>
            </w:r>
          </w:p>
        </w:tc>
        <w:tc>
          <w:tcPr>
            <w:tcW w:w="626" w:type="pct"/>
            <w:vAlign w:val="center"/>
          </w:tcPr>
          <w:p w14:paraId="0FEDB259" w14:textId="3E7A46F4" w:rsidR="007463BA" w:rsidRPr="00716E1E" w:rsidRDefault="00070E1F" w:rsidP="00716E1E">
            <w:pPr>
              <w:tabs>
                <w:tab w:val="left" w:pos="0"/>
              </w:tabs>
              <w:spacing w:before="0"/>
              <w:jc w:val="center"/>
              <w:rPr>
                <w:bCs/>
              </w:rPr>
            </w:pPr>
            <w:r w:rsidRPr="00716E1E">
              <w:rPr>
                <w:bCs/>
              </w:rPr>
              <w:t>Mērvie</w:t>
            </w:r>
            <w:r w:rsidR="00716E1E" w:rsidRPr="00716E1E">
              <w:rPr>
                <w:bCs/>
              </w:rPr>
              <w:softHyphen/>
            </w:r>
            <w:r w:rsidRPr="00716E1E">
              <w:rPr>
                <w:bCs/>
              </w:rPr>
              <w:t>nība</w:t>
            </w:r>
          </w:p>
        </w:tc>
        <w:tc>
          <w:tcPr>
            <w:tcW w:w="1015" w:type="pct"/>
            <w:vAlign w:val="center"/>
          </w:tcPr>
          <w:p w14:paraId="0FEDB25A" w14:textId="77777777" w:rsidR="007463BA" w:rsidRPr="00716E1E" w:rsidRDefault="00070E1F" w:rsidP="00716E1E">
            <w:pPr>
              <w:tabs>
                <w:tab w:val="left" w:pos="0"/>
              </w:tabs>
              <w:spacing w:before="0"/>
              <w:jc w:val="center"/>
              <w:rPr>
                <w:bCs/>
              </w:rPr>
            </w:pPr>
            <w:r w:rsidRPr="00716E1E">
              <w:rPr>
                <w:bCs/>
              </w:rPr>
              <w:t>Sasniedzamā vērtība projekta beigās</w:t>
            </w:r>
          </w:p>
        </w:tc>
      </w:tr>
      <w:tr w:rsidR="00260C02" w14:paraId="0FEDB260" w14:textId="77777777" w:rsidTr="00A85C82">
        <w:tc>
          <w:tcPr>
            <w:tcW w:w="363" w:type="pct"/>
          </w:tcPr>
          <w:p w14:paraId="0FEDB25C" w14:textId="77777777" w:rsidR="007463BA" w:rsidRPr="00A72B56" w:rsidRDefault="00070E1F" w:rsidP="001C5690">
            <w:pPr>
              <w:tabs>
                <w:tab w:val="left" w:pos="0"/>
              </w:tabs>
              <w:spacing w:before="0"/>
              <w:jc w:val="both"/>
              <w:rPr>
                <w:bCs/>
              </w:rPr>
            </w:pPr>
            <w:r w:rsidRPr="00A72B56">
              <w:rPr>
                <w:bCs/>
              </w:rPr>
              <w:t>1</w:t>
            </w:r>
            <w:r>
              <w:rPr>
                <w:bCs/>
              </w:rPr>
              <w:t>.</w:t>
            </w:r>
          </w:p>
        </w:tc>
        <w:tc>
          <w:tcPr>
            <w:tcW w:w="2996" w:type="pct"/>
          </w:tcPr>
          <w:p w14:paraId="0FEDB25D" w14:textId="7F00DE5D" w:rsidR="007463BA" w:rsidRPr="00A72B56" w:rsidRDefault="00070E1F" w:rsidP="00716E1E">
            <w:pPr>
              <w:tabs>
                <w:tab w:val="left" w:pos="0"/>
              </w:tabs>
              <w:spacing w:before="0"/>
              <w:rPr>
                <w:bCs/>
              </w:rPr>
            </w:pPr>
            <w:r>
              <w:rPr>
                <w:bCs/>
              </w:rPr>
              <w:t xml:space="preserve">Izveidota preču ārējās tirdzniecības statistikas apstrādes sistēma, </w:t>
            </w:r>
            <w:r w:rsidR="00A85C82">
              <w:rPr>
                <w:bCs/>
              </w:rPr>
              <w:t xml:space="preserve">kas </w:t>
            </w:r>
            <w:r>
              <w:rPr>
                <w:bCs/>
              </w:rPr>
              <w:t>balstīta uz savstarpēji saistītu moduļu sistēmu</w:t>
            </w:r>
          </w:p>
        </w:tc>
        <w:tc>
          <w:tcPr>
            <w:tcW w:w="626" w:type="pct"/>
          </w:tcPr>
          <w:p w14:paraId="0FEDB25E" w14:textId="77777777" w:rsidR="007463BA" w:rsidRPr="00A72B56" w:rsidRDefault="00070E1F" w:rsidP="00A85C82">
            <w:pPr>
              <w:tabs>
                <w:tab w:val="left" w:pos="0"/>
              </w:tabs>
              <w:spacing w:before="0"/>
              <w:jc w:val="center"/>
              <w:rPr>
                <w:bCs/>
              </w:rPr>
            </w:pPr>
            <w:r>
              <w:rPr>
                <w:bCs/>
              </w:rPr>
              <w:t>skaits</w:t>
            </w:r>
          </w:p>
        </w:tc>
        <w:tc>
          <w:tcPr>
            <w:tcW w:w="1015" w:type="pct"/>
          </w:tcPr>
          <w:p w14:paraId="0FEDB25F" w14:textId="77777777" w:rsidR="007463BA" w:rsidRPr="00A72B56" w:rsidRDefault="00070E1F" w:rsidP="00A85C82">
            <w:pPr>
              <w:tabs>
                <w:tab w:val="left" w:pos="0"/>
              </w:tabs>
              <w:spacing w:before="0"/>
              <w:jc w:val="center"/>
              <w:rPr>
                <w:bCs/>
              </w:rPr>
            </w:pPr>
            <w:r>
              <w:rPr>
                <w:bCs/>
              </w:rPr>
              <w:t>1</w:t>
            </w:r>
          </w:p>
        </w:tc>
      </w:tr>
      <w:tr w:rsidR="00260C02" w14:paraId="0FEDB265" w14:textId="77777777" w:rsidTr="00A85C82">
        <w:tc>
          <w:tcPr>
            <w:tcW w:w="363" w:type="pct"/>
          </w:tcPr>
          <w:p w14:paraId="0FEDB261" w14:textId="77777777" w:rsidR="007463BA" w:rsidRPr="00A72B56" w:rsidRDefault="00070E1F" w:rsidP="001C5690">
            <w:pPr>
              <w:tabs>
                <w:tab w:val="left" w:pos="0"/>
              </w:tabs>
              <w:spacing w:before="0"/>
              <w:jc w:val="both"/>
              <w:rPr>
                <w:bCs/>
              </w:rPr>
            </w:pPr>
            <w:r>
              <w:rPr>
                <w:bCs/>
              </w:rPr>
              <w:t>2.</w:t>
            </w:r>
          </w:p>
        </w:tc>
        <w:tc>
          <w:tcPr>
            <w:tcW w:w="2996" w:type="pct"/>
          </w:tcPr>
          <w:p w14:paraId="0FEDB262" w14:textId="77777777" w:rsidR="007463BA" w:rsidRDefault="00070E1F" w:rsidP="00716E1E">
            <w:pPr>
              <w:tabs>
                <w:tab w:val="left" w:pos="0"/>
              </w:tabs>
              <w:spacing w:before="0"/>
              <w:rPr>
                <w:bCs/>
              </w:rPr>
            </w:pPr>
            <w:r>
              <w:rPr>
                <w:bCs/>
              </w:rPr>
              <w:t>S</w:t>
            </w:r>
            <w:r w:rsidRPr="003D2DD3">
              <w:rPr>
                <w:bCs/>
              </w:rPr>
              <w:t>agatavota</w:t>
            </w:r>
            <w:r>
              <w:rPr>
                <w:bCs/>
              </w:rPr>
              <w:t xml:space="preserve"> mikrodatu apmaiņas apakšsistēma, kas nodrošina drošu konfidenciālas informācijas apmaiņu ar citām ES dalībvalstīm par preču eksportu </w:t>
            </w:r>
          </w:p>
        </w:tc>
        <w:tc>
          <w:tcPr>
            <w:tcW w:w="626" w:type="pct"/>
          </w:tcPr>
          <w:p w14:paraId="0FEDB263" w14:textId="77777777" w:rsidR="007463BA" w:rsidRDefault="00070E1F" w:rsidP="00A85C82">
            <w:pPr>
              <w:tabs>
                <w:tab w:val="left" w:pos="0"/>
              </w:tabs>
              <w:spacing w:before="0"/>
              <w:jc w:val="center"/>
              <w:rPr>
                <w:bCs/>
              </w:rPr>
            </w:pPr>
            <w:r>
              <w:rPr>
                <w:bCs/>
              </w:rPr>
              <w:t>skaits</w:t>
            </w:r>
          </w:p>
        </w:tc>
        <w:tc>
          <w:tcPr>
            <w:tcW w:w="1015" w:type="pct"/>
          </w:tcPr>
          <w:p w14:paraId="0FEDB264" w14:textId="77777777" w:rsidR="007463BA" w:rsidRPr="00A72B56" w:rsidRDefault="00070E1F" w:rsidP="00A85C82">
            <w:pPr>
              <w:tabs>
                <w:tab w:val="left" w:pos="0"/>
              </w:tabs>
              <w:spacing w:before="0"/>
              <w:jc w:val="center"/>
              <w:rPr>
                <w:bCs/>
              </w:rPr>
            </w:pPr>
            <w:r>
              <w:rPr>
                <w:bCs/>
              </w:rPr>
              <w:t>1</w:t>
            </w:r>
          </w:p>
        </w:tc>
      </w:tr>
      <w:tr w:rsidR="00260C02" w14:paraId="0FEDB26D" w14:textId="77777777" w:rsidTr="00A85C82">
        <w:tc>
          <w:tcPr>
            <w:tcW w:w="363" w:type="pct"/>
          </w:tcPr>
          <w:p w14:paraId="0FEDB266" w14:textId="77777777" w:rsidR="007463BA" w:rsidRPr="00070E1F" w:rsidRDefault="00070E1F" w:rsidP="001C5690">
            <w:pPr>
              <w:tabs>
                <w:tab w:val="left" w:pos="0"/>
              </w:tabs>
              <w:spacing w:before="0"/>
              <w:jc w:val="both"/>
              <w:rPr>
                <w:bCs/>
              </w:rPr>
            </w:pPr>
            <w:r w:rsidRPr="00070E1F">
              <w:rPr>
                <w:bCs/>
              </w:rPr>
              <w:t>3.</w:t>
            </w:r>
          </w:p>
        </w:tc>
        <w:tc>
          <w:tcPr>
            <w:tcW w:w="2996" w:type="pct"/>
          </w:tcPr>
          <w:p w14:paraId="0FEDB267" w14:textId="571EEF56" w:rsidR="007463BA" w:rsidRDefault="00070E1F" w:rsidP="00716E1E">
            <w:pPr>
              <w:tabs>
                <w:tab w:val="left" w:pos="0"/>
              </w:tabs>
              <w:spacing w:before="0"/>
              <w:rPr>
                <w:bCs/>
              </w:rPr>
            </w:pPr>
            <w:r w:rsidRPr="003D2DD3">
              <w:rPr>
                <w:bCs/>
              </w:rPr>
              <w:t>Pilnveidoti</w:t>
            </w:r>
            <w:r w:rsidR="00A85C82">
              <w:rPr>
                <w:bCs/>
              </w:rPr>
              <w:t xml:space="preserve"> </w:t>
            </w:r>
            <w:r w:rsidR="00BA3C61">
              <w:rPr>
                <w:bCs/>
              </w:rPr>
              <w:t xml:space="preserve">vai </w:t>
            </w:r>
            <w:r w:rsidRPr="003D2DD3">
              <w:rPr>
                <w:bCs/>
              </w:rPr>
              <w:t>izveidoti no jauna</w:t>
            </w:r>
            <w:r w:rsidR="00A85C82">
              <w:rPr>
                <w:bCs/>
              </w:rPr>
              <w:t xml:space="preserve"> šādi</w:t>
            </w:r>
            <w:r w:rsidRPr="003D2DD3">
              <w:rPr>
                <w:bCs/>
              </w:rPr>
              <w:t xml:space="preserve"> darbības procesi</w:t>
            </w:r>
            <w:r>
              <w:rPr>
                <w:bCs/>
              </w:rPr>
              <w:t>:</w:t>
            </w:r>
          </w:p>
          <w:p w14:paraId="0FEDB268" w14:textId="242AE519" w:rsidR="007463BA" w:rsidRPr="00716E1E" w:rsidRDefault="00716E1E" w:rsidP="00A85C82">
            <w:pPr>
              <w:tabs>
                <w:tab w:val="left" w:pos="0"/>
              </w:tabs>
              <w:ind w:firstLine="317"/>
              <w:jc w:val="both"/>
              <w:rPr>
                <w:bCs/>
              </w:rPr>
            </w:pPr>
            <w:r>
              <w:rPr>
                <w:bCs/>
              </w:rPr>
              <w:lastRenderedPageBreak/>
              <w:t>1) </w:t>
            </w:r>
            <w:r w:rsidR="00070E1F" w:rsidRPr="00716E1E">
              <w:rPr>
                <w:bCs/>
              </w:rPr>
              <w:t>ĀTS datu vākšana (no respondentiem</w:t>
            </w:r>
            <w:r w:rsidR="00A85C82">
              <w:rPr>
                <w:bCs/>
              </w:rPr>
              <w:t>,</w:t>
            </w:r>
            <w:r w:rsidR="00070E1F" w:rsidRPr="00716E1E">
              <w:rPr>
                <w:bCs/>
              </w:rPr>
              <w:t xml:space="preserve"> no administratīviem datu avotiem </w:t>
            </w:r>
            <w:r w:rsidR="00A85C82">
              <w:rPr>
                <w:bCs/>
              </w:rPr>
              <w:t>saskaņā ar</w:t>
            </w:r>
            <w:r w:rsidR="00070E1F" w:rsidRPr="00716E1E">
              <w:rPr>
                <w:bCs/>
              </w:rPr>
              <w:t xml:space="preserve"> projekta laikā panākt</w:t>
            </w:r>
            <w:r w:rsidR="00A85C82">
              <w:rPr>
                <w:bCs/>
              </w:rPr>
              <w:t>o</w:t>
            </w:r>
            <w:r w:rsidR="00070E1F" w:rsidRPr="00716E1E">
              <w:rPr>
                <w:bCs/>
              </w:rPr>
              <w:t xml:space="preserve"> vienošan</w:t>
            </w:r>
            <w:r w:rsidR="00A85C82">
              <w:rPr>
                <w:bCs/>
              </w:rPr>
              <w:t>os</w:t>
            </w:r>
            <w:r w:rsidR="00070E1F" w:rsidRPr="00716E1E">
              <w:rPr>
                <w:bCs/>
              </w:rPr>
              <w:t>);</w:t>
            </w:r>
          </w:p>
          <w:p w14:paraId="0FEDB269" w14:textId="1AF022A8" w:rsidR="007463BA" w:rsidRPr="00716E1E" w:rsidRDefault="00716E1E" w:rsidP="00A85C82">
            <w:pPr>
              <w:tabs>
                <w:tab w:val="left" w:pos="0"/>
              </w:tabs>
              <w:ind w:firstLine="317"/>
              <w:jc w:val="both"/>
              <w:rPr>
                <w:bCs/>
              </w:rPr>
            </w:pPr>
            <w:r>
              <w:rPr>
                <w:bCs/>
              </w:rPr>
              <w:t>2) </w:t>
            </w:r>
            <w:r w:rsidR="00070E1F" w:rsidRPr="00716E1E">
              <w:rPr>
                <w:bCs/>
              </w:rPr>
              <w:t xml:space="preserve">ĀTS mikrodatu apmaiņas </w:t>
            </w:r>
            <w:r w:rsidR="00A85C82" w:rsidRPr="00716E1E">
              <w:rPr>
                <w:bCs/>
              </w:rPr>
              <w:t xml:space="preserve">nodrošināšana </w:t>
            </w:r>
            <w:r w:rsidR="00070E1F" w:rsidRPr="00716E1E">
              <w:rPr>
                <w:bCs/>
              </w:rPr>
              <w:t>ar citām dalībvalstīm;</w:t>
            </w:r>
          </w:p>
          <w:p w14:paraId="0FEDB26A" w14:textId="69CE94A4" w:rsidR="007463BA" w:rsidRPr="00716E1E" w:rsidRDefault="00716E1E" w:rsidP="00A85C82">
            <w:pPr>
              <w:tabs>
                <w:tab w:val="left" w:pos="0"/>
              </w:tabs>
              <w:ind w:firstLine="317"/>
              <w:jc w:val="both"/>
              <w:rPr>
                <w:bCs/>
              </w:rPr>
            </w:pPr>
            <w:r>
              <w:rPr>
                <w:bCs/>
              </w:rPr>
              <w:t>3) </w:t>
            </w:r>
            <w:r w:rsidR="00070E1F" w:rsidRPr="00716E1E">
              <w:rPr>
                <w:bCs/>
              </w:rPr>
              <w:t>ĀTS datu apstrāde, analīze un sagatavošana izplatīšanai</w:t>
            </w:r>
            <w:r w:rsidR="00A85C82">
              <w:rPr>
                <w:bCs/>
              </w:rPr>
              <w:t xml:space="preserve"> un</w:t>
            </w:r>
            <w:r w:rsidR="00070E1F" w:rsidRPr="00716E1E">
              <w:rPr>
                <w:bCs/>
              </w:rPr>
              <w:t xml:space="preserve"> publicēšanai</w:t>
            </w:r>
          </w:p>
        </w:tc>
        <w:tc>
          <w:tcPr>
            <w:tcW w:w="626" w:type="pct"/>
          </w:tcPr>
          <w:p w14:paraId="0FEDB26B" w14:textId="77777777" w:rsidR="007463BA" w:rsidRPr="003D2DD3" w:rsidRDefault="00070E1F" w:rsidP="00A85C82">
            <w:pPr>
              <w:tabs>
                <w:tab w:val="left" w:pos="0"/>
              </w:tabs>
              <w:spacing w:before="0"/>
              <w:jc w:val="center"/>
              <w:rPr>
                <w:bCs/>
              </w:rPr>
            </w:pPr>
            <w:r>
              <w:rPr>
                <w:bCs/>
              </w:rPr>
              <w:lastRenderedPageBreak/>
              <w:t>skaits</w:t>
            </w:r>
          </w:p>
        </w:tc>
        <w:tc>
          <w:tcPr>
            <w:tcW w:w="1015" w:type="pct"/>
          </w:tcPr>
          <w:p w14:paraId="0FEDB26C" w14:textId="77777777" w:rsidR="007463BA" w:rsidRPr="003D2DD3" w:rsidRDefault="00070E1F" w:rsidP="00A85C82">
            <w:pPr>
              <w:tabs>
                <w:tab w:val="left" w:pos="0"/>
              </w:tabs>
              <w:spacing w:before="0"/>
              <w:jc w:val="center"/>
              <w:rPr>
                <w:bCs/>
              </w:rPr>
            </w:pPr>
            <w:r>
              <w:rPr>
                <w:bCs/>
              </w:rPr>
              <w:t>3</w:t>
            </w:r>
          </w:p>
        </w:tc>
      </w:tr>
    </w:tbl>
    <w:p w14:paraId="0FEDB26E" w14:textId="77777777" w:rsidR="007463BA" w:rsidRDefault="007463BA" w:rsidP="001C5690">
      <w:pPr>
        <w:ind w:hanging="5"/>
        <w:jc w:val="both"/>
        <w:rPr>
          <w:bCs/>
          <w:lang w:eastAsia="lv-LV"/>
        </w:rPr>
      </w:pPr>
    </w:p>
    <w:p w14:paraId="0FEDB26F" w14:textId="53D7584C" w:rsidR="007463BA" w:rsidRPr="00B54286" w:rsidRDefault="00070E1F" w:rsidP="00A85C82">
      <w:pPr>
        <w:ind w:firstLine="709"/>
        <w:jc w:val="both"/>
        <w:rPr>
          <w:bCs/>
          <w:lang w:eastAsia="lv-LV"/>
        </w:rPr>
      </w:pPr>
      <w:r w:rsidRPr="00B54286">
        <w:rPr>
          <w:bCs/>
          <w:lang w:eastAsia="lv-LV"/>
        </w:rPr>
        <w:t xml:space="preserve">Projekta kopējais plānotais finansējuma apjoms ir </w:t>
      </w:r>
      <w:r>
        <w:rPr>
          <w:bCs/>
          <w:lang w:eastAsia="lv-LV"/>
        </w:rPr>
        <w:t>425</w:t>
      </w:r>
      <w:r w:rsidR="00424335">
        <w:rPr>
          <w:bCs/>
          <w:lang w:eastAsia="lv-LV"/>
        </w:rPr>
        <w:t> </w:t>
      </w:r>
      <w:r>
        <w:rPr>
          <w:bCs/>
          <w:lang w:eastAsia="lv-LV"/>
        </w:rPr>
        <w:t>000</w:t>
      </w:r>
      <w:r w:rsidRPr="00B54286">
        <w:rPr>
          <w:bCs/>
          <w:lang w:eastAsia="lv-LV"/>
        </w:rPr>
        <w:t xml:space="preserve"> </w:t>
      </w:r>
      <w:proofErr w:type="spellStart"/>
      <w:r w:rsidRPr="003A7E49">
        <w:rPr>
          <w:bCs/>
          <w:i/>
          <w:lang w:eastAsia="lv-LV"/>
        </w:rPr>
        <w:t>euro</w:t>
      </w:r>
      <w:proofErr w:type="spellEnd"/>
      <w:r w:rsidRPr="00B54286">
        <w:rPr>
          <w:bCs/>
          <w:lang w:eastAsia="lv-LV"/>
        </w:rPr>
        <w:t xml:space="preserve">, </w:t>
      </w:r>
      <w:r w:rsidR="00424335">
        <w:rPr>
          <w:bCs/>
          <w:lang w:eastAsia="lv-LV"/>
        </w:rPr>
        <w:t>tai skaitā</w:t>
      </w:r>
      <w:r w:rsidRPr="00B54286">
        <w:rPr>
          <w:bCs/>
          <w:lang w:eastAsia="lv-LV"/>
        </w:rPr>
        <w:t xml:space="preserve"> </w:t>
      </w:r>
      <w:r>
        <w:rPr>
          <w:bCs/>
          <w:lang w:eastAsia="lv-LV"/>
        </w:rPr>
        <w:t>361</w:t>
      </w:r>
      <w:r w:rsidR="00424335">
        <w:rPr>
          <w:bCs/>
          <w:lang w:eastAsia="lv-LV"/>
        </w:rPr>
        <w:t> </w:t>
      </w:r>
      <w:r>
        <w:rPr>
          <w:bCs/>
          <w:lang w:eastAsia="lv-LV"/>
        </w:rPr>
        <w:t>250</w:t>
      </w:r>
      <w:r w:rsidR="00424335">
        <w:rPr>
          <w:bCs/>
          <w:lang w:eastAsia="lv-LV"/>
        </w:rPr>
        <w:t> </w:t>
      </w:r>
      <w:proofErr w:type="spellStart"/>
      <w:r w:rsidRPr="003A7E49">
        <w:rPr>
          <w:bCs/>
          <w:i/>
          <w:lang w:eastAsia="lv-LV"/>
        </w:rPr>
        <w:t>euro</w:t>
      </w:r>
      <w:proofErr w:type="spellEnd"/>
      <w:r w:rsidRPr="00B54286">
        <w:rPr>
          <w:bCs/>
          <w:lang w:eastAsia="lv-LV"/>
        </w:rPr>
        <w:t xml:space="preserve"> ir </w:t>
      </w:r>
      <w:r w:rsidRPr="00D02026">
        <w:rPr>
          <w:bCs/>
          <w:lang w:eastAsia="lv-LV"/>
        </w:rPr>
        <w:t>Eiropas Reģionālās attīstības fonda</w:t>
      </w:r>
      <w:r w:rsidRPr="00B54286">
        <w:rPr>
          <w:bCs/>
          <w:lang w:eastAsia="lv-LV"/>
        </w:rPr>
        <w:t xml:space="preserve"> </w:t>
      </w:r>
      <w:r>
        <w:rPr>
          <w:bCs/>
          <w:lang w:eastAsia="lv-LV"/>
        </w:rPr>
        <w:t>(</w:t>
      </w:r>
      <w:r w:rsidRPr="00B54286">
        <w:rPr>
          <w:bCs/>
          <w:lang w:eastAsia="lv-LV"/>
        </w:rPr>
        <w:t>ERAF</w:t>
      </w:r>
      <w:r>
        <w:rPr>
          <w:bCs/>
          <w:lang w:eastAsia="lv-LV"/>
        </w:rPr>
        <w:t>)</w:t>
      </w:r>
      <w:r w:rsidRPr="00B54286">
        <w:rPr>
          <w:bCs/>
          <w:lang w:eastAsia="lv-LV"/>
        </w:rPr>
        <w:t xml:space="preserve"> finansējums (85 %) un </w:t>
      </w:r>
      <w:r>
        <w:rPr>
          <w:bCs/>
          <w:lang w:eastAsia="lv-LV"/>
        </w:rPr>
        <w:t>63</w:t>
      </w:r>
      <w:r w:rsidR="00424335">
        <w:rPr>
          <w:bCs/>
          <w:lang w:eastAsia="lv-LV"/>
        </w:rPr>
        <w:t> </w:t>
      </w:r>
      <w:r>
        <w:rPr>
          <w:bCs/>
          <w:lang w:eastAsia="lv-LV"/>
        </w:rPr>
        <w:t>750</w:t>
      </w:r>
      <w:r w:rsidR="00424335">
        <w:rPr>
          <w:bCs/>
          <w:lang w:eastAsia="lv-LV"/>
        </w:rPr>
        <w:t> </w:t>
      </w:r>
      <w:proofErr w:type="spellStart"/>
      <w:r w:rsidRPr="00424335">
        <w:rPr>
          <w:bCs/>
          <w:i/>
          <w:lang w:eastAsia="lv-LV"/>
        </w:rPr>
        <w:t>euro</w:t>
      </w:r>
      <w:proofErr w:type="spellEnd"/>
      <w:r w:rsidRPr="00B54286">
        <w:rPr>
          <w:bCs/>
          <w:lang w:eastAsia="lv-LV"/>
        </w:rPr>
        <w:t xml:space="preserve"> ir valsts budžeta līdzfinansējums (15 %).</w:t>
      </w:r>
    </w:p>
    <w:p w14:paraId="0FEDB270" w14:textId="77777777" w:rsidR="007463BA" w:rsidRDefault="00070E1F" w:rsidP="00424335">
      <w:pPr>
        <w:ind w:firstLine="709"/>
        <w:jc w:val="both"/>
        <w:rPr>
          <w:bCs/>
          <w:lang w:eastAsia="lv-LV"/>
        </w:rPr>
      </w:pPr>
      <w:r w:rsidRPr="00B54286">
        <w:rPr>
          <w:bCs/>
          <w:lang w:eastAsia="lv-LV"/>
        </w:rPr>
        <w:t>Projekt</w:t>
      </w:r>
      <w:r>
        <w:rPr>
          <w:bCs/>
          <w:lang w:eastAsia="lv-LV"/>
        </w:rPr>
        <w:t>a</w:t>
      </w:r>
      <w:r w:rsidRPr="00B54286">
        <w:rPr>
          <w:bCs/>
          <w:lang w:eastAsia="lv-LV"/>
        </w:rPr>
        <w:t xml:space="preserve"> plānot</w:t>
      </w:r>
      <w:r>
        <w:rPr>
          <w:bCs/>
          <w:lang w:eastAsia="lv-LV"/>
        </w:rPr>
        <w:t>ais</w:t>
      </w:r>
      <w:r w:rsidRPr="00B54286">
        <w:rPr>
          <w:bCs/>
          <w:lang w:eastAsia="lv-LV"/>
        </w:rPr>
        <w:t xml:space="preserve"> īsteno</w:t>
      </w:r>
      <w:r>
        <w:rPr>
          <w:bCs/>
          <w:lang w:eastAsia="lv-LV"/>
        </w:rPr>
        <w:t>šanas laiks ir 24 mēneši.</w:t>
      </w:r>
      <w:r w:rsidRPr="00B54286">
        <w:rPr>
          <w:bCs/>
          <w:lang w:eastAsia="lv-LV"/>
        </w:rPr>
        <w:t xml:space="preserve">  </w:t>
      </w:r>
    </w:p>
    <w:p w14:paraId="0FEDB271" w14:textId="39BBC79D" w:rsidR="007463BA" w:rsidRPr="00874DF8" w:rsidRDefault="00070E1F" w:rsidP="00424335">
      <w:pPr>
        <w:ind w:firstLine="709"/>
        <w:jc w:val="both"/>
      </w:pPr>
      <w:r w:rsidRPr="00874DF8">
        <w:t>Indikatīvi</w:t>
      </w:r>
      <w:r>
        <w:t xml:space="preserve"> aprēķinot, VIESIS izmaksas (izstrādes un uzturēšanas) 10 gadu laikā veidos 425 000 + </w:t>
      </w:r>
      <w:r w:rsidR="00F80183">
        <w:t>1</w:t>
      </w:r>
      <w:r>
        <w:t>5 000</w:t>
      </w:r>
      <w:r w:rsidR="00424335">
        <w:t xml:space="preserve"> x </w:t>
      </w:r>
      <w:r>
        <w:t>10</w:t>
      </w:r>
      <w:r w:rsidR="00424335">
        <w:t xml:space="preserve"> </w:t>
      </w:r>
      <w:r>
        <w:t xml:space="preserve">= </w:t>
      </w:r>
      <w:r w:rsidR="00F80183">
        <w:t>57</w:t>
      </w:r>
      <w:r>
        <w:t xml:space="preserve">5 000 </w:t>
      </w:r>
      <w:proofErr w:type="spellStart"/>
      <w:r w:rsidRPr="003A7E49">
        <w:rPr>
          <w:i/>
        </w:rPr>
        <w:t>euro</w:t>
      </w:r>
      <w:proofErr w:type="spellEnd"/>
      <w:r>
        <w:t xml:space="preserve">. Administratīvā sloga samazinājums </w:t>
      </w:r>
      <w:proofErr w:type="spellStart"/>
      <w:r w:rsidRPr="00424335">
        <w:rPr>
          <w:i/>
        </w:rPr>
        <w:t>Intrastat</w:t>
      </w:r>
      <w:proofErr w:type="spellEnd"/>
      <w:r>
        <w:t xml:space="preserve"> respondentiem 10 gadu laikā samazina uzņēmumu izmaksas par 5 202 600 </w:t>
      </w:r>
      <w:proofErr w:type="spellStart"/>
      <w:r w:rsidRPr="003A7E49">
        <w:rPr>
          <w:i/>
        </w:rPr>
        <w:t>euro</w:t>
      </w:r>
      <w:proofErr w:type="spellEnd"/>
      <w:r>
        <w:t xml:space="preserve">. Tādējādi jāpieņem, ka projekta īstenošanas sociālekonomiskais ieguvums 10 gadu laikā ir </w:t>
      </w:r>
      <w:r w:rsidR="00424335">
        <w:t>apmēram</w:t>
      </w:r>
      <w:r>
        <w:t xml:space="preserve"> 4,</w:t>
      </w:r>
      <w:r w:rsidR="00F80183">
        <w:t>6</w:t>
      </w:r>
      <w:r w:rsidR="00424335">
        <w:t> </w:t>
      </w:r>
      <w:r>
        <w:t xml:space="preserve">milj. </w:t>
      </w:r>
      <w:proofErr w:type="spellStart"/>
      <w:r w:rsidRPr="003A7E49">
        <w:rPr>
          <w:i/>
        </w:rPr>
        <w:t>euro</w:t>
      </w:r>
      <w:proofErr w:type="spellEnd"/>
      <w:r>
        <w:t>.</w:t>
      </w:r>
    </w:p>
    <w:p w14:paraId="0FEDB272" w14:textId="77777777" w:rsidR="007463BA" w:rsidRPr="00B54286" w:rsidRDefault="007463BA" w:rsidP="001C5690">
      <w:pPr>
        <w:ind w:hanging="5"/>
        <w:jc w:val="both"/>
        <w:rPr>
          <w:bCs/>
          <w:lang w:eastAsia="lv-LV"/>
        </w:rPr>
      </w:pPr>
    </w:p>
    <w:p w14:paraId="0FEDB273" w14:textId="46E31A09" w:rsidR="007463BA" w:rsidRPr="00424335" w:rsidRDefault="00070E1F" w:rsidP="00424335">
      <w:pPr>
        <w:tabs>
          <w:tab w:val="left" w:pos="0"/>
        </w:tabs>
        <w:jc w:val="center"/>
        <w:rPr>
          <w:rFonts w:eastAsia="MS Mincho"/>
          <w:b/>
          <w:bCs/>
        </w:rPr>
      </w:pPr>
      <w:r w:rsidRPr="00424335">
        <w:rPr>
          <w:rFonts w:eastAsia="MS Mincho"/>
          <w:b/>
          <w:bCs/>
        </w:rPr>
        <w:t>Saistība ar iepriekšējā plānošanas perioda projektiem, projekta lietderība un ieguldījums specifiskā atbalsta mērķa rezultāta rādītājos</w:t>
      </w:r>
    </w:p>
    <w:p w14:paraId="0FEDB274" w14:textId="77777777" w:rsidR="007463BA" w:rsidRDefault="007463BA" w:rsidP="00424335">
      <w:pPr>
        <w:jc w:val="center"/>
        <w:rPr>
          <w:b/>
        </w:rPr>
      </w:pPr>
    </w:p>
    <w:p w14:paraId="0FEDB275" w14:textId="0C75100B" w:rsidR="007463BA" w:rsidRPr="00424335" w:rsidRDefault="00070E1F" w:rsidP="00C87D8F">
      <w:pPr>
        <w:ind w:firstLine="709"/>
        <w:rPr>
          <w:b/>
        </w:rPr>
      </w:pPr>
      <w:r w:rsidRPr="00424335">
        <w:rPr>
          <w:b/>
        </w:rPr>
        <w:t xml:space="preserve">Ieguldījums </w:t>
      </w:r>
      <w:r w:rsidR="00424335" w:rsidRPr="00424335">
        <w:rPr>
          <w:rFonts w:eastAsia="MS Mincho"/>
          <w:b/>
          <w:bCs/>
        </w:rPr>
        <w:t>specifiskā atbalsta mērķa</w:t>
      </w:r>
      <w:r w:rsidRPr="00424335">
        <w:rPr>
          <w:b/>
        </w:rPr>
        <w:t xml:space="preserve"> rezultāta rādītāju sasniegšanā</w:t>
      </w:r>
    </w:p>
    <w:p w14:paraId="0FEDB276" w14:textId="4BD55D9C" w:rsidR="007463BA" w:rsidRPr="00424335" w:rsidRDefault="00070E1F" w:rsidP="00C87D8F">
      <w:pPr>
        <w:ind w:firstLine="709"/>
        <w:jc w:val="both"/>
      </w:pPr>
      <w:r w:rsidRPr="00424335">
        <w:t xml:space="preserve">Ministru kabineta 2015. gada 17. novembra noteikumu Nr. 653 </w:t>
      </w:r>
      <w:r w:rsidR="00C87D8F">
        <w:t>"</w:t>
      </w:r>
      <w:r w:rsidRPr="00424335">
        <w:t xml:space="preserve">Darbības programmas </w:t>
      </w:r>
      <w:r w:rsidR="00326444" w:rsidRPr="00424335">
        <w:t>"</w:t>
      </w:r>
      <w:r w:rsidRPr="00424335">
        <w:t>Izaugsme un nodarbinātība</w:t>
      </w:r>
      <w:r w:rsidR="00326444" w:rsidRPr="00424335">
        <w:t>"</w:t>
      </w:r>
      <w:r w:rsidRPr="00424335">
        <w:t xml:space="preserve"> 2.2.1. specifiskā atbalsta mērķa </w:t>
      </w:r>
      <w:r w:rsidR="00326444" w:rsidRPr="00424335">
        <w:t>"</w:t>
      </w:r>
      <w:r w:rsidRPr="00424335">
        <w:t>Nodrošināt publisko datu atkalizmantošanas pieaugumu un efektīvu publiskās pārvaldes un privātā sektora mijiedarbību</w:t>
      </w:r>
      <w:r w:rsidR="00326444" w:rsidRPr="00424335">
        <w:t>"</w:t>
      </w:r>
      <w:r w:rsidRPr="00424335">
        <w:t xml:space="preserve"> 2.2.1.1. pasākuma </w:t>
      </w:r>
      <w:r w:rsidR="00326444" w:rsidRPr="00424335">
        <w:t>"</w:t>
      </w:r>
      <w:r w:rsidRPr="00424335">
        <w:t>Centralizētu publiskās pārvaldes IKT platformu izveide, publiskās pārvaldes procesu optimizēšana un attīstība</w:t>
      </w:r>
      <w:r w:rsidR="00326444" w:rsidRPr="00424335">
        <w:t>"</w:t>
      </w:r>
      <w:r w:rsidRPr="00424335">
        <w:t xml:space="preserve"> īstenošanas noteikumi</w:t>
      </w:r>
      <w:r w:rsidR="00326444" w:rsidRPr="00424335">
        <w:t>"</w:t>
      </w:r>
      <w:r w:rsidR="00AB4EB0">
        <w:t xml:space="preserve"> (turpmāk noteikumi Nr. 653)</w:t>
      </w:r>
      <w:r w:rsidRPr="00424335">
        <w:t xml:space="preserve"> 7.1.</w:t>
      </w:r>
      <w:r w:rsidR="00C87D8F">
        <w:t> </w:t>
      </w:r>
      <w:r w:rsidRPr="00424335">
        <w:t xml:space="preserve">apakšpunktā </w:t>
      </w:r>
      <w:r w:rsidR="00C87D8F">
        <w:t xml:space="preserve">ir noteikts, ka </w:t>
      </w:r>
      <w:r w:rsidRPr="00424335">
        <w:t xml:space="preserve">darbības programmas </w:t>
      </w:r>
      <w:r w:rsidR="00326444" w:rsidRPr="00424335">
        <w:t>"</w:t>
      </w:r>
      <w:r w:rsidRPr="00424335">
        <w:t>Izaugsme un nodarbinātība</w:t>
      </w:r>
      <w:r w:rsidR="00326444" w:rsidRPr="00424335">
        <w:t>"</w:t>
      </w:r>
      <w:r w:rsidRPr="00424335">
        <w:t xml:space="preserve"> prioritārā virziena </w:t>
      </w:r>
      <w:r w:rsidR="00326444" w:rsidRPr="00424335">
        <w:t>"</w:t>
      </w:r>
      <w:r w:rsidRPr="00424335">
        <w:t>IKT pieejamība, e-pārvalde un pakalpojumi</w:t>
      </w:r>
      <w:r w:rsidR="00326444" w:rsidRPr="00424335">
        <w:t>"</w:t>
      </w:r>
      <w:r w:rsidRPr="00424335">
        <w:t xml:space="preserve"> 2.2.1.</w:t>
      </w:r>
      <w:r w:rsidR="00613EF6">
        <w:t> </w:t>
      </w:r>
      <w:r w:rsidRPr="00424335">
        <w:t xml:space="preserve">specifiskā atbalsta mērķa </w:t>
      </w:r>
      <w:r w:rsidR="00326444" w:rsidRPr="00424335">
        <w:t>"</w:t>
      </w:r>
      <w:r w:rsidRPr="00424335">
        <w:t>Nodrošināt publisko datu atkalizmantošanas pieaugumu un efektīvu publiskās pārvaldes un privātā sektora mijiedarbību</w:t>
      </w:r>
      <w:r w:rsidR="00326444" w:rsidRPr="00424335">
        <w:t>"</w:t>
      </w:r>
      <w:r w:rsidRPr="00424335">
        <w:t xml:space="preserve"> 2.2.1.1. pasākuma </w:t>
      </w:r>
      <w:r w:rsidR="00326444" w:rsidRPr="00424335">
        <w:t>"</w:t>
      </w:r>
      <w:r w:rsidRPr="00424335">
        <w:t>Centralizētu publiskās pārvaldes IKT platformu izveide, publiskās pārvaldes procesu optimizēšana un attīstība</w:t>
      </w:r>
      <w:r w:rsidR="00326444" w:rsidRPr="00424335">
        <w:t>"</w:t>
      </w:r>
      <w:r w:rsidRPr="00424335">
        <w:t xml:space="preserve"> iznākuma rādītāji līdz 2023.</w:t>
      </w:r>
      <w:r w:rsidR="00C87D8F">
        <w:t> </w:t>
      </w:r>
      <w:r w:rsidRPr="00424335">
        <w:t xml:space="preserve">gada 31. decembrim </w:t>
      </w:r>
      <w:r w:rsidR="00C87D8F">
        <w:t>ir</w:t>
      </w:r>
      <w:r w:rsidRPr="00424335">
        <w:t xml:space="preserve"> 190 pilnveidot</w:t>
      </w:r>
      <w:r w:rsidR="00C87D8F">
        <w:t>i</w:t>
      </w:r>
      <w:r w:rsidRPr="00424335">
        <w:t xml:space="preserve"> darbības proces</w:t>
      </w:r>
      <w:r w:rsidR="00C87D8F">
        <w:t>i</w:t>
      </w:r>
      <w:r w:rsidRPr="00424335">
        <w:t xml:space="preserve"> un 17 centralizētas atvērtas informācijas sistēmu platformas.</w:t>
      </w:r>
    </w:p>
    <w:p w14:paraId="0FEDB277" w14:textId="4E1AD3B9" w:rsidR="007463BA" w:rsidRPr="00424335" w:rsidRDefault="00070E1F" w:rsidP="00C87D8F">
      <w:pPr>
        <w:ind w:firstLine="851"/>
        <w:jc w:val="both"/>
      </w:pPr>
      <w:r w:rsidRPr="00424335">
        <w:t>Pārvalde</w:t>
      </w:r>
      <w:r w:rsidR="00AB4EB0">
        <w:t>, īstenojot</w:t>
      </w:r>
      <w:r w:rsidRPr="00424335">
        <w:t xml:space="preserve"> projekt</w:t>
      </w:r>
      <w:r w:rsidR="00AB4EB0">
        <w:t>u,</w:t>
      </w:r>
      <w:r w:rsidRPr="00424335">
        <w:t xml:space="preserve"> plāno no jauna </w:t>
      </w:r>
      <w:r w:rsidR="00AB4EB0">
        <w:t>izveidot vienu darbības procesu</w:t>
      </w:r>
      <w:r w:rsidRPr="00424335">
        <w:t xml:space="preserve"> un pilnveidot </w:t>
      </w:r>
      <w:r w:rsidR="00AB4EB0">
        <w:t>divus</w:t>
      </w:r>
      <w:r w:rsidRPr="00424335">
        <w:t xml:space="preserve"> darbības procesus, tādējādi sniedzot 1,6 % ieguldījumu </w:t>
      </w:r>
      <w:r w:rsidR="00AB4EB0">
        <w:t xml:space="preserve">noteikumu Nr. 653 </w:t>
      </w:r>
      <w:r w:rsidRPr="00424335">
        <w:t xml:space="preserve">7.1.1. apakšpunktā minētā iznākuma rādītāja sasniegšanā un saņemot aptuveni 0,3 % no 2.2.1.1. pasākuma </w:t>
      </w:r>
      <w:r w:rsidR="00326444" w:rsidRPr="00424335">
        <w:t>"</w:t>
      </w:r>
      <w:r w:rsidRPr="00424335">
        <w:t>Centralizētu publiskās pārvaldes IKT platformu izveide, publiskās pārvaldes procesu optimizēšana un attīstība</w:t>
      </w:r>
      <w:r w:rsidR="00326444" w:rsidRPr="00424335">
        <w:t>"</w:t>
      </w:r>
      <w:r w:rsidRPr="00424335">
        <w:t xml:space="preserve"> kopējā attiecināmā finansējuma.</w:t>
      </w:r>
    </w:p>
    <w:p w14:paraId="0FEDB278" w14:textId="77777777" w:rsidR="007463BA" w:rsidRDefault="007463BA" w:rsidP="001C5690">
      <w:pPr>
        <w:jc w:val="both"/>
        <w:rPr>
          <w:b/>
        </w:rPr>
      </w:pPr>
    </w:p>
    <w:p w14:paraId="0FEDB279" w14:textId="77777777" w:rsidR="007463BA" w:rsidRPr="00CA780A" w:rsidRDefault="00070E1F" w:rsidP="00AB4EB0">
      <w:pPr>
        <w:ind w:firstLine="709"/>
        <w:jc w:val="both"/>
        <w:rPr>
          <w:b/>
        </w:rPr>
      </w:pPr>
      <w:r w:rsidRPr="00CA780A">
        <w:rPr>
          <w:b/>
        </w:rPr>
        <w:t>Sociālekonomiskais indikatīvais lietderīgums</w:t>
      </w:r>
    </w:p>
    <w:p w14:paraId="0FEDB27A" w14:textId="6D05F88B" w:rsidR="007463BA" w:rsidRPr="00CA780A" w:rsidRDefault="00070E1F" w:rsidP="00AB4EB0">
      <w:pPr>
        <w:ind w:firstLine="709"/>
        <w:jc w:val="both"/>
      </w:pPr>
      <w:r w:rsidRPr="00CA780A">
        <w:t>Projekta galvenais mērķis ir izveidot jaunu, mūsdienīgu preču ārējās statistikas datu apstrādes sistēmu, kas pilnveidos statisti</w:t>
      </w:r>
      <w:r w:rsidR="00E06F5C">
        <w:t xml:space="preserve">kas </w:t>
      </w:r>
      <w:r w:rsidRPr="00CA780A">
        <w:t>datu iegūšanas procesu</w:t>
      </w:r>
      <w:r w:rsidR="00343DB9">
        <w:t>, lai</w:t>
      </w:r>
      <w:r w:rsidRPr="00CA780A">
        <w:t xml:space="preserve"> paaugstināt</w:t>
      </w:r>
      <w:r w:rsidR="00343DB9">
        <w:t>u</w:t>
      </w:r>
      <w:r w:rsidRPr="00CA780A">
        <w:t xml:space="preserve"> saņemtās informācijas kvalitāti un samazināt</w:t>
      </w:r>
      <w:r w:rsidR="00343DB9">
        <w:t>u</w:t>
      </w:r>
      <w:r w:rsidRPr="00CA780A">
        <w:t xml:space="preserve"> respondentu noslodzi.</w:t>
      </w:r>
    </w:p>
    <w:p w14:paraId="1E0C9C01" w14:textId="77777777" w:rsidR="00343DB9" w:rsidRDefault="00070E1F" w:rsidP="00343DB9">
      <w:pPr>
        <w:ind w:firstLine="709"/>
        <w:jc w:val="both"/>
      </w:pPr>
      <w:r w:rsidRPr="00CA780A">
        <w:t xml:space="preserve">Sociālekonomiskie ieguvumi nosacīti iedalāmi </w:t>
      </w:r>
      <w:r w:rsidR="00343DB9">
        <w:t>trijās</w:t>
      </w:r>
      <w:r w:rsidRPr="00CA780A">
        <w:t xml:space="preserve"> grupās:</w:t>
      </w:r>
      <w:r w:rsidR="00343DB9">
        <w:t xml:space="preserve"> </w:t>
      </w:r>
    </w:p>
    <w:p w14:paraId="7343AA82" w14:textId="184B84B3" w:rsidR="00343DB9" w:rsidRDefault="00343DB9" w:rsidP="00343DB9">
      <w:pPr>
        <w:ind w:firstLine="709"/>
        <w:jc w:val="both"/>
      </w:pPr>
      <w:r>
        <w:t>1)</w:t>
      </w:r>
      <w:r w:rsidR="00070E1F" w:rsidRPr="00CA780A">
        <w:t xml:space="preserve"> </w:t>
      </w:r>
      <w:r>
        <w:t>p</w:t>
      </w:r>
      <w:r w:rsidR="00070E1F" w:rsidRPr="00CA780A">
        <w:t>ārvaldes resursu optimizācija ārējās tirdzniecības statistikas datu sagatavošanai</w:t>
      </w:r>
      <w:r w:rsidR="00E06F5C">
        <w:t>;</w:t>
      </w:r>
      <w:r>
        <w:t xml:space="preserve"> </w:t>
      </w:r>
    </w:p>
    <w:p w14:paraId="6F2029E0" w14:textId="4A47A36D" w:rsidR="00343DB9" w:rsidRDefault="00343DB9" w:rsidP="00343DB9">
      <w:pPr>
        <w:ind w:firstLine="709"/>
        <w:jc w:val="both"/>
      </w:pPr>
      <w:r>
        <w:t>2) </w:t>
      </w:r>
      <w:r w:rsidR="00070E1F" w:rsidRPr="00CA780A">
        <w:t xml:space="preserve">statistikas sniedzēju (respondentu) izdevumu samazināšana </w:t>
      </w:r>
      <w:proofErr w:type="spellStart"/>
      <w:r w:rsidR="00070E1F" w:rsidRPr="00343DB9">
        <w:rPr>
          <w:i/>
        </w:rPr>
        <w:t>Intrastat</w:t>
      </w:r>
      <w:proofErr w:type="spellEnd"/>
      <w:r w:rsidR="00070E1F" w:rsidRPr="00CA780A">
        <w:t xml:space="preserve"> pārskatu aizpildīšanai</w:t>
      </w:r>
      <w:r w:rsidR="00E06F5C">
        <w:t>;</w:t>
      </w:r>
    </w:p>
    <w:p w14:paraId="0FEDB27B" w14:textId="4D394FB3" w:rsidR="007463BA" w:rsidRPr="00CA780A" w:rsidRDefault="00070E1F" w:rsidP="00343DB9">
      <w:pPr>
        <w:ind w:firstLine="709"/>
        <w:jc w:val="both"/>
      </w:pPr>
      <w:r w:rsidRPr="00CA780A">
        <w:lastRenderedPageBreak/>
        <w:t xml:space="preserve"> </w:t>
      </w:r>
      <w:r w:rsidR="00343DB9">
        <w:t xml:space="preserve">3) </w:t>
      </w:r>
      <w:r w:rsidRPr="00CA780A">
        <w:t xml:space="preserve">statistikas lietotāju ieguvumi ārējās tirdzniecības statistikas datu kopu izmantošanai dažādos elektroniskos formātos, </w:t>
      </w:r>
      <w:r w:rsidR="00343DB9">
        <w:t xml:space="preserve">tai skaitā </w:t>
      </w:r>
      <w:r w:rsidRPr="00D02026">
        <w:t>Statistisko datu un metadatu apmaiņas (ISO 17369: 2013) standart</w:t>
      </w:r>
      <w:r>
        <w:t>ā</w:t>
      </w:r>
      <w:r w:rsidRPr="00D02026">
        <w:t xml:space="preserve"> </w:t>
      </w:r>
      <w:r>
        <w:t>(</w:t>
      </w:r>
      <w:r w:rsidRPr="00CA780A">
        <w:t>SDMX</w:t>
      </w:r>
      <w:r>
        <w:t>)</w:t>
      </w:r>
      <w:r w:rsidRPr="00CA780A">
        <w:t xml:space="preserve">. </w:t>
      </w:r>
    </w:p>
    <w:p w14:paraId="0FEDB27C" w14:textId="393A07BD" w:rsidR="007463BA" w:rsidRPr="00343DB9" w:rsidRDefault="00070E1F" w:rsidP="00343DB9">
      <w:pPr>
        <w:pStyle w:val="VPBody"/>
        <w:spacing w:after="0" w:line="240" w:lineRule="auto"/>
        <w:ind w:firstLine="709"/>
        <w:jc w:val="both"/>
        <w:rPr>
          <w:sz w:val="24"/>
          <w:szCs w:val="24"/>
        </w:rPr>
      </w:pPr>
      <w:r w:rsidRPr="00343DB9">
        <w:rPr>
          <w:sz w:val="24"/>
          <w:szCs w:val="24"/>
        </w:rPr>
        <w:t xml:space="preserve">Pēdējos gados strauji pieaug starptautisko organizāciju un citu datu lietotāju prasības, kas saistītas ar dažāda apjoma publicējamu datu kopu apmaiņu un izplatīšanu, </w:t>
      </w:r>
      <w:r w:rsidR="008A4D8C">
        <w:rPr>
          <w:sz w:val="24"/>
          <w:szCs w:val="24"/>
        </w:rPr>
        <w:t>tai skaitā</w:t>
      </w:r>
      <w:r w:rsidRPr="00343DB9">
        <w:rPr>
          <w:sz w:val="24"/>
          <w:szCs w:val="24"/>
        </w:rPr>
        <w:t xml:space="preserve"> mašīnlasāmos formātos. Projekta ietvaros ir paredzēts sagatavot</w:t>
      </w:r>
      <w:r w:rsidR="00973ED6">
        <w:rPr>
          <w:sz w:val="24"/>
          <w:szCs w:val="24"/>
        </w:rPr>
        <w:t xml:space="preserve"> </w:t>
      </w:r>
      <w:r w:rsidR="00973ED6" w:rsidRPr="00343DB9">
        <w:rPr>
          <w:sz w:val="24"/>
          <w:szCs w:val="24"/>
        </w:rPr>
        <w:t xml:space="preserve">publicējamas </w:t>
      </w:r>
      <w:r w:rsidR="00973ED6">
        <w:rPr>
          <w:sz w:val="24"/>
          <w:szCs w:val="24"/>
        </w:rPr>
        <w:t xml:space="preserve">ārējās tirdzniecības </w:t>
      </w:r>
      <w:r w:rsidR="00973ED6" w:rsidRPr="00343DB9">
        <w:rPr>
          <w:sz w:val="24"/>
          <w:szCs w:val="24"/>
        </w:rPr>
        <w:t>statistikas datu kopas</w:t>
      </w:r>
      <w:r w:rsidRPr="00343DB9">
        <w:rPr>
          <w:sz w:val="24"/>
          <w:szCs w:val="24"/>
        </w:rPr>
        <w:t xml:space="preserve"> Kopienas aptvērumam pēc speciālās sistēmas nosūtīšanai </w:t>
      </w:r>
      <w:r w:rsidRPr="00973ED6">
        <w:rPr>
          <w:i/>
          <w:sz w:val="24"/>
          <w:szCs w:val="24"/>
        </w:rPr>
        <w:t>Eurostat</w:t>
      </w:r>
      <w:r w:rsidRPr="00343DB9">
        <w:rPr>
          <w:sz w:val="24"/>
          <w:szCs w:val="24"/>
        </w:rPr>
        <w:t xml:space="preserve"> un </w:t>
      </w:r>
      <w:proofErr w:type="gramStart"/>
      <w:r w:rsidRPr="00343DB9">
        <w:rPr>
          <w:sz w:val="24"/>
          <w:szCs w:val="24"/>
        </w:rPr>
        <w:t>citām starptautisk</w:t>
      </w:r>
      <w:r w:rsidR="00973ED6">
        <w:rPr>
          <w:sz w:val="24"/>
          <w:szCs w:val="24"/>
        </w:rPr>
        <w:t>aj</w:t>
      </w:r>
      <w:r w:rsidRPr="00343DB9">
        <w:rPr>
          <w:sz w:val="24"/>
          <w:szCs w:val="24"/>
        </w:rPr>
        <w:t>ām organizācijām</w:t>
      </w:r>
      <w:proofErr w:type="gramEnd"/>
      <w:r w:rsidRPr="00343DB9">
        <w:rPr>
          <w:sz w:val="24"/>
          <w:szCs w:val="24"/>
        </w:rPr>
        <w:t xml:space="preserve"> SDMX formātā atbilstoši ISO 17369:2013 standartam. Š</w:t>
      </w:r>
      <w:r w:rsidR="00E06F5C">
        <w:rPr>
          <w:sz w:val="24"/>
          <w:szCs w:val="24"/>
        </w:rPr>
        <w:t>ā</w:t>
      </w:r>
      <w:r w:rsidRPr="00343DB9">
        <w:rPr>
          <w:sz w:val="24"/>
          <w:szCs w:val="24"/>
        </w:rPr>
        <w:t xml:space="preserve"> standarta izmantošana ļauj datu lietotājiem ērti izmantot liela apjoma statistikas datu un to metadatu apmaiņu un validēšanu. Lielākie lietotāji ir tādas starptautiskās organizācijas kā Starptautisko norēķinu banka, Eiropas Centrālā banka, </w:t>
      </w:r>
      <w:r w:rsidRPr="00973ED6">
        <w:rPr>
          <w:i/>
          <w:sz w:val="24"/>
          <w:szCs w:val="24"/>
        </w:rPr>
        <w:t>Eurostat</w:t>
      </w:r>
      <w:r w:rsidRPr="00343DB9">
        <w:rPr>
          <w:sz w:val="24"/>
          <w:szCs w:val="24"/>
        </w:rPr>
        <w:t>, Starptautiskais Valūtas fonds, Ekonomiskās sadarbības un attīstības organizācija (OECD), Apvienoto Nāciju Organizācija (ANO) un Pasaules Banka. Š</w:t>
      </w:r>
      <w:r w:rsidR="00E06F5C">
        <w:rPr>
          <w:sz w:val="24"/>
          <w:szCs w:val="24"/>
        </w:rPr>
        <w:t>ā</w:t>
      </w:r>
      <w:r w:rsidRPr="00343DB9">
        <w:rPr>
          <w:sz w:val="24"/>
          <w:szCs w:val="24"/>
        </w:rPr>
        <w:t xml:space="preserve"> projekta ietvaros lietotāju ieguvums netiek vērtēts, jo publicētie dati var vairākkārt tikt izmantoti un precīzu lietderīguma novērtējumu nav iespējams aprēķināt.</w:t>
      </w:r>
    </w:p>
    <w:p w14:paraId="0FEDB27D" w14:textId="57A07856" w:rsidR="007463BA" w:rsidRPr="00343DB9" w:rsidRDefault="00070E1F" w:rsidP="00343DB9">
      <w:pPr>
        <w:pStyle w:val="VPBody"/>
        <w:spacing w:after="0" w:line="240" w:lineRule="auto"/>
        <w:ind w:firstLine="709"/>
        <w:jc w:val="both"/>
        <w:rPr>
          <w:sz w:val="24"/>
          <w:szCs w:val="24"/>
        </w:rPr>
      </w:pPr>
      <w:r w:rsidRPr="00343DB9">
        <w:rPr>
          <w:sz w:val="24"/>
          <w:szCs w:val="24"/>
        </w:rPr>
        <w:t xml:space="preserve">Vērtējot lietderīgumu no statistikas lietotāju puses, var uzsvērt šādus sociālekonomiskā lietderīguma aspektus, kas statistikas lietotājam nodrošina papildu analītisko potenciālu, paaugstina statistikas vērtību, vienlaikus samazinot statistikas iegūšanas izmaksas. Ir plānots, ka preču ārējās tirdzniecības statistikas dati standartizētā veidā tiks publicēti Statistikas portālā (ERAF projekts </w:t>
      </w:r>
      <w:r w:rsidR="00326444" w:rsidRPr="00343DB9">
        <w:rPr>
          <w:sz w:val="24"/>
          <w:szCs w:val="24"/>
        </w:rPr>
        <w:t>"</w:t>
      </w:r>
      <w:r w:rsidRPr="00343DB9">
        <w:rPr>
          <w:sz w:val="24"/>
          <w:szCs w:val="24"/>
        </w:rPr>
        <w:t>Oficiālās statistikas portāls</w:t>
      </w:r>
      <w:r w:rsidR="00326444" w:rsidRPr="00343DB9">
        <w:rPr>
          <w:sz w:val="24"/>
          <w:szCs w:val="24"/>
        </w:rPr>
        <w:t>"</w:t>
      </w:r>
      <w:r w:rsidRPr="00343DB9">
        <w:rPr>
          <w:sz w:val="24"/>
          <w:szCs w:val="24"/>
        </w:rPr>
        <w:t>). ĀTS dati ir vieni no svarīgākajiem statistikas datiem valsts līmenī – tie tiek lietoti dažādu līmeņu ekonomiskās attīstības politiku izstrādē, visās starpvalstu ekonomiskās sadarbības sarunās, līgumos u</w:t>
      </w:r>
      <w:r w:rsidR="00973ED6">
        <w:rPr>
          <w:sz w:val="24"/>
          <w:szCs w:val="24"/>
        </w:rPr>
        <w:t xml:space="preserve">. </w:t>
      </w:r>
      <w:r w:rsidRPr="00343DB9">
        <w:rPr>
          <w:sz w:val="24"/>
          <w:szCs w:val="24"/>
        </w:rPr>
        <w:t>tml. Šo datu augst</w:t>
      </w:r>
      <w:r w:rsidR="00C56F4A">
        <w:rPr>
          <w:sz w:val="24"/>
          <w:szCs w:val="24"/>
        </w:rPr>
        <w:t>ā</w:t>
      </w:r>
      <w:r w:rsidRPr="00343DB9">
        <w:rPr>
          <w:sz w:val="24"/>
          <w:szCs w:val="24"/>
        </w:rPr>
        <w:t xml:space="preserve"> kvalitāte ir objektīvs priekšnoteikums ticamas valsts maksājumu bilances sagatavošanai, iekšzemes kopprodukta apjoma aprēķiniem un nacionālo kontu sistēmas balansēšanai. Tiešs statistikas lietotāju izmaksu ietaupījums netiek rēķināts atsevišķi ĀTS datiem, jo lietderīgums jau ir aprēķināts, balstoties uz visu statistikas datu tvērumu projektā </w:t>
      </w:r>
      <w:r w:rsidR="00326444" w:rsidRPr="00343DB9">
        <w:rPr>
          <w:sz w:val="24"/>
          <w:szCs w:val="24"/>
        </w:rPr>
        <w:t>"</w:t>
      </w:r>
      <w:r w:rsidRPr="00343DB9">
        <w:rPr>
          <w:sz w:val="24"/>
          <w:szCs w:val="24"/>
        </w:rPr>
        <w:t>Oficiālās statistikas portāls</w:t>
      </w:r>
      <w:r w:rsidR="00326444" w:rsidRPr="00343DB9">
        <w:rPr>
          <w:sz w:val="24"/>
          <w:szCs w:val="24"/>
        </w:rPr>
        <w:t>"</w:t>
      </w:r>
      <w:r w:rsidRPr="00343DB9">
        <w:rPr>
          <w:sz w:val="24"/>
          <w:szCs w:val="24"/>
        </w:rPr>
        <w:t xml:space="preserve">. </w:t>
      </w:r>
    </w:p>
    <w:p w14:paraId="0FEDB27E" w14:textId="1DB6BADE" w:rsidR="007463BA" w:rsidRPr="001341A5" w:rsidRDefault="00070E1F" w:rsidP="00343DB9">
      <w:pPr>
        <w:ind w:firstLine="709"/>
        <w:jc w:val="both"/>
      </w:pPr>
      <w:r>
        <w:t xml:space="preserve">Nozīmīgs sociālekonomiskais ieguvums ir paredzēts </w:t>
      </w:r>
      <w:proofErr w:type="spellStart"/>
      <w:r w:rsidRPr="00343DB9">
        <w:rPr>
          <w:i/>
        </w:rPr>
        <w:t>Intrastat</w:t>
      </w:r>
      <w:proofErr w:type="spellEnd"/>
      <w:r>
        <w:t xml:space="preserve"> datu sniedzējiem. </w:t>
      </w:r>
      <w:r w:rsidR="00C56F4A">
        <w:t>Katru</w:t>
      </w:r>
      <w:r>
        <w:t xml:space="preserve"> mēnesi aptuveni 4,5 tūkstoši uzņēmumu sniedz datus par preču </w:t>
      </w:r>
      <w:r w:rsidR="00BA3C61">
        <w:t>ievedumu</w:t>
      </w:r>
      <w:r>
        <w:t xml:space="preserve"> no Eiropas Savienības dalībvalstīm. Lai samazinātu uzņēmumu noslodzi, ir paredzēts, ka divus gadus pēc projekta beigām tiks uzsākta no citām dalībvalstīm saņemto mikrodatu izmantošana. Divus</w:t>
      </w:r>
      <w:r w:rsidRPr="001341A5">
        <w:t xml:space="preserve"> gadus pēc projekta beigām ir paredzēts no Latvijas respondentiem savāktos datus daļēji aizstāt ar datiem, kas tiks saņemti no citām dalībvalstīm par eksportu uz Latviju (plānots aizstāt 10</w:t>
      </w:r>
      <w:r w:rsidR="00C56F4A">
        <w:t> </w:t>
      </w:r>
      <w:r w:rsidRPr="001341A5">
        <w:t xml:space="preserve">% importa apjoma </w:t>
      </w:r>
      <w:r w:rsidR="009D0F90">
        <w:t>(</w:t>
      </w:r>
      <w:r w:rsidRPr="001341A5">
        <w:t>preču vērtības izteiksmē)</w:t>
      </w:r>
      <w:r w:rsidR="009D0F90">
        <w:t>)</w:t>
      </w:r>
      <w:r w:rsidRPr="001341A5">
        <w:t>.</w:t>
      </w:r>
      <w:r>
        <w:t xml:space="preserve"> Trīs</w:t>
      </w:r>
      <w:r w:rsidRPr="001341A5">
        <w:t xml:space="preserve"> gadus pēc projekta beigām šo īpatsvaru ir plānots palielināt līdz 20</w:t>
      </w:r>
      <w:r w:rsidR="00343DB9">
        <w:t> </w:t>
      </w:r>
      <w:r w:rsidRPr="001341A5">
        <w:t xml:space="preserve">%. </w:t>
      </w:r>
    </w:p>
    <w:p w14:paraId="0FEDB27F" w14:textId="77777777" w:rsidR="007463BA" w:rsidRPr="00AF70B0" w:rsidRDefault="00070E1F" w:rsidP="00343DB9">
      <w:pPr>
        <w:ind w:firstLine="709"/>
        <w:jc w:val="both"/>
      </w:pPr>
      <w:r>
        <w:t>Vispirms ir paredzēts samazināt statistisko slodzi tiem respondentiem, kuru vērtības īpatsvars importa apjomā ir mazāks (vairumā gadījumu tie ir mazie un vidējie uzņēmumi). Šo uzņēmumu dati tiks aizvietoti ar informāciju, kas tiks saņemta no citām dalībvalstīm.</w:t>
      </w:r>
    </w:p>
    <w:p w14:paraId="320361C8" w14:textId="77777777" w:rsidR="00343DB9" w:rsidRDefault="00343DB9" w:rsidP="001C5690">
      <w:pPr>
        <w:rPr>
          <w:b/>
        </w:rPr>
      </w:pPr>
    </w:p>
    <w:p w14:paraId="0FEDB280" w14:textId="3E6D8436" w:rsidR="007463BA" w:rsidRDefault="00070E1F" w:rsidP="00343DB9">
      <w:pPr>
        <w:ind w:firstLine="709"/>
        <w:rPr>
          <w:b/>
        </w:rPr>
      </w:pPr>
      <w:r w:rsidRPr="00AF70B0">
        <w:rPr>
          <w:b/>
        </w:rPr>
        <w:t>Sociālekonomiskā ieguvuma aprēķins</w:t>
      </w:r>
    </w:p>
    <w:p w14:paraId="0A75E2EA" w14:textId="77777777" w:rsidR="00343DB9" w:rsidRPr="00AF70B0" w:rsidRDefault="00343DB9" w:rsidP="001C5690">
      <w:pPr>
        <w:rPr>
          <w:b/>
        </w:rPr>
      </w:pPr>
    </w:p>
    <w:tbl>
      <w:tblPr>
        <w:tblStyle w:val="TableGrid"/>
        <w:tblW w:w="9067" w:type="dxa"/>
        <w:tblLook w:val="04A0" w:firstRow="1" w:lastRow="0" w:firstColumn="1" w:lastColumn="0" w:noHBand="0" w:noVBand="1"/>
      </w:tblPr>
      <w:tblGrid>
        <w:gridCol w:w="2292"/>
        <w:gridCol w:w="1870"/>
        <w:gridCol w:w="4905"/>
      </w:tblGrid>
      <w:tr w:rsidR="00853FA2" w14:paraId="28A625B6" w14:textId="77777777" w:rsidTr="00FA6217">
        <w:tc>
          <w:tcPr>
            <w:tcW w:w="2292" w:type="dxa"/>
            <w:vAlign w:val="center"/>
          </w:tcPr>
          <w:p w14:paraId="6E9BA149" w14:textId="77777777" w:rsidR="00853FA2" w:rsidRPr="00AF70B0" w:rsidRDefault="00853FA2" w:rsidP="00FA6217">
            <w:pPr>
              <w:spacing w:before="0"/>
              <w:jc w:val="center"/>
            </w:pPr>
            <w:bookmarkStart w:id="1" w:name="_Hlk529863946"/>
            <w:r w:rsidRPr="00AF70B0">
              <w:t>Sociālekonomiskais ieguvums</w:t>
            </w:r>
          </w:p>
        </w:tc>
        <w:tc>
          <w:tcPr>
            <w:tcW w:w="1870" w:type="dxa"/>
            <w:vAlign w:val="center"/>
          </w:tcPr>
          <w:p w14:paraId="63876195" w14:textId="77777777" w:rsidR="00853FA2" w:rsidRPr="00AF70B0" w:rsidRDefault="00853FA2" w:rsidP="00FA6217">
            <w:pPr>
              <w:spacing w:before="0"/>
              <w:jc w:val="center"/>
            </w:pPr>
            <w:r w:rsidRPr="00AF70B0">
              <w:t>Ekvivalents naudas izteiksmē (</w:t>
            </w:r>
            <w:proofErr w:type="spellStart"/>
            <w:r w:rsidRPr="006420DA">
              <w:rPr>
                <w:i/>
              </w:rPr>
              <w:t>euro</w:t>
            </w:r>
            <w:proofErr w:type="spellEnd"/>
            <w:r w:rsidRPr="00AF70B0">
              <w:t>)</w:t>
            </w:r>
          </w:p>
        </w:tc>
        <w:tc>
          <w:tcPr>
            <w:tcW w:w="4905" w:type="dxa"/>
            <w:vAlign w:val="center"/>
          </w:tcPr>
          <w:p w14:paraId="5BB778E7" w14:textId="77777777" w:rsidR="00853FA2" w:rsidRPr="00AF70B0" w:rsidRDefault="00853FA2" w:rsidP="00FA6217">
            <w:pPr>
              <w:spacing w:before="0"/>
              <w:jc w:val="center"/>
            </w:pPr>
            <w:r w:rsidRPr="00AF70B0">
              <w:t>Aprēķins</w:t>
            </w:r>
          </w:p>
        </w:tc>
      </w:tr>
      <w:tr w:rsidR="00853FA2" w14:paraId="5D676880" w14:textId="77777777" w:rsidTr="00FA6217">
        <w:tc>
          <w:tcPr>
            <w:tcW w:w="2292" w:type="dxa"/>
          </w:tcPr>
          <w:p w14:paraId="09019142" w14:textId="77777777" w:rsidR="00853FA2" w:rsidRPr="00343DB9" w:rsidRDefault="00853FA2" w:rsidP="00FA6217">
            <w:pPr>
              <w:spacing w:before="0"/>
              <w:rPr>
                <w:b/>
              </w:rPr>
            </w:pPr>
            <w:r w:rsidRPr="00343DB9">
              <w:rPr>
                <w:b/>
              </w:rPr>
              <w:t xml:space="preserve">Respondentu izdevumi </w:t>
            </w:r>
            <w:proofErr w:type="spellStart"/>
            <w:r w:rsidRPr="00C56F4A">
              <w:rPr>
                <w:b/>
                <w:i/>
              </w:rPr>
              <w:t>Intrastat</w:t>
            </w:r>
            <w:proofErr w:type="spellEnd"/>
            <w:r w:rsidRPr="00343DB9">
              <w:rPr>
                <w:b/>
              </w:rPr>
              <w:t xml:space="preserve"> datu sagatavošanai</w:t>
            </w:r>
          </w:p>
          <w:p w14:paraId="1C2E5829" w14:textId="77777777" w:rsidR="00853FA2" w:rsidRPr="00343DB9" w:rsidRDefault="00853FA2" w:rsidP="00FA6217">
            <w:pPr>
              <w:spacing w:before="0"/>
            </w:pPr>
            <w:r w:rsidRPr="00343DB9">
              <w:t xml:space="preserve">Citu dalībvalstu mikrodatu izmantošana ļaus samazināt </w:t>
            </w:r>
            <w:proofErr w:type="spellStart"/>
            <w:r w:rsidRPr="00E06F5C">
              <w:rPr>
                <w:i/>
              </w:rPr>
              <w:t>Intrastat</w:t>
            </w:r>
            <w:proofErr w:type="spellEnd"/>
            <w:r w:rsidRPr="00343DB9">
              <w:t xml:space="preserve"> </w:t>
            </w:r>
            <w:r w:rsidRPr="00343DB9">
              <w:lastRenderedPageBreak/>
              <w:t xml:space="preserve">pārskata sagatavošanas izmaksas respondentiem </w:t>
            </w:r>
          </w:p>
          <w:p w14:paraId="38F8E5CD" w14:textId="77777777" w:rsidR="00853FA2" w:rsidRPr="00343DB9" w:rsidRDefault="00853FA2" w:rsidP="00FA6217">
            <w:pPr>
              <w:spacing w:before="0"/>
            </w:pPr>
          </w:p>
          <w:p w14:paraId="3F94B932" w14:textId="77777777" w:rsidR="00853FA2" w:rsidRPr="00343DB9" w:rsidRDefault="00853FA2" w:rsidP="00FA6217">
            <w:pPr>
              <w:spacing w:before="0"/>
            </w:pPr>
          </w:p>
          <w:p w14:paraId="47919731" w14:textId="77777777" w:rsidR="00853FA2" w:rsidRDefault="00853FA2" w:rsidP="00FA6217">
            <w:pPr>
              <w:spacing w:before="0"/>
            </w:pPr>
          </w:p>
          <w:p w14:paraId="37621F73" w14:textId="77777777" w:rsidR="00853FA2" w:rsidRDefault="00853FA2" w:rsidP="00FA6217">
            <w:pPr>
              <w:spacing w:before="0"/>
            </w:pPr>
          </w:p>
          <w:p w14:paraId="4A5D40CA" w14:textId="77777777" w:rsidR="00853FA2" w:rsidRDefault="00853FA2" w:rsidP="00FA6217">
            <w:pPr>
              <w:spacing w:before="0"/>
            </w:pPr>
          </w:p>
          <w:p w14:paraId="768B6031" w14:textId="77777777" w:rsidR="00853FA2" w:rsidRDefault="00853FA2" w:rsidP="00FA6217">
            <w:pPr>
              <w:spacing w:before="0"/>
            </w:pPr>
          </w:p>
          <w:p w14:paraId="5BF63DB2" w14:textId="77777777" w:rsidR="00853FA2" w:rsidRDefault="00853FA2" w:rsidP="00FA6217">
            <w:pPr>
              <w:spacing w:before="0"/>
            </w:pPr>
          </w:p>
          <w:p w14:paraId="10A9C649" w14:textId="77777777" w:rsidR="00853FA2" w:rsidRDefault="00853FA2" w:rsidP="00FA6217">
            <w:pPr>
              <w:spacing w:before="0"/>
            </w:pPr>
          </w:p>
          <w:p w14:paraId="5C289238" w14:textId="77777777" w:rsidR="00853FA2" w:rsidRPr="00343DB9" w:rsidRDefault="00853FA2" w:rsidP="00FA6217">
            <w:pPr>
              <w:spacing w:before="0"/>
            </w:pPr>
            <w:r w:rsidRPr="00343DB9">
              <w:t>Divus gadus pēc projekta beigām ir paredzēts aizstāt 10</w:t>
            </w:r>
            <w:r>
              <w:t> </w:t>
            </w:r>
            <w:r w:rsidRPr="00343DB9">
              <w:t xml:space="preserve">% importa apjoma </w:t>
            </w:r>
            <w:r>
              <w:t>(</w:t>
            </w:r>
            <w:r w:rsidRPr="00343DB9">
              <w:t>vērtības izteiksmē</w:t>
            </w:r>
            <w:r>
              <w:t>)</w:t>
            </w:r>
            <w:r w:rsidRPr="00343DB9">
              <w:t xml:space="preserve"> ar datiem, kas tiks saņemti no citām dalībvalstīm par eksportu uz Latviju </w:t>
            </w:r>
          </w:p>
          <w:p w14:paraId="1B7E54EC" w14:textId="77777777" w:rsidR="00853FA2" w:rsidRPr="00343DB9" w:rsidRDefault="00853FA2" w:rsidP="00FA6217">
            <w:pPr>
              <w:spacing w:before="0"/>
            </w:pPr>
          </w:p>
          <w:p w14:paraId="588CAEC2" w14:textId="77777777" w:rsidR="00853FA2" w:rsidRPr="00343DB9" w:rsidRDefault="00853FA2" w:rsidP="00FA6217">
            <w:pPr>
              <w:spacing w:before="0"/>
            </w:pPr>
          </w:p>
          <w:p w14:paraId="28193E31" w14:textId="77777777" w:rsidR="00853FA2" w:rsidRPr="00343DB9" w:rsidRDefault="00853FA2" w:rsidP="00FA6217">
            <w:pPr>
              <w:spacing w:before="0"/>
            </w:pPr>
            <w:r w:rsidRPr="00343DB9">
              <w:t>Trīs gadus pēc projekta beigām ir paredzēts aizstāt 20</w:t>
            </w:r>
            <w:r>
              <w:t> </w:t>
            </w:r>
            <w:r w:rsidRPr="00343DB9">
              <w:t xml:space="preserve">% importa apjoma </w:t>
            </w:r>
            <w:r>
              <w:t>(</w:t>
            </w:r>
            <w:r w:rsidRPr="00343DB9">
              <w:t>vērtības izteiksmē</w:t>
            </w:r>
            <w:r>
              <w:t>)</w:t>
            </w:r>
            <w:r w:rsidRPr="00343DB9">
              <w:t xml:space="preserve"> ar datiem, kas tiks saņemti no citām dalībvalstīm par eksportu uz Latviju </w:t>
            </w:r>
          </w:p>
        </w:tc>
        <w:tc>
          <w:tcPr>
            <w:tcW w:w="1870" w:type="dxa"/>
          </w:tcPr>
          <w:p w14:paraId="6B739EFC" w14:textId="77777777" w:rsidR="00853FA2" w:rsidRPr="00343DB9" w:rsidRDefault="00853FA2" w:rsidP="00FA6217">
            <w:pPr>
              <w:spacing w:before="0"/>
            </w:pPr>
            <w:r w:rsidRPr="00343DB9">
              <w:lastRenderedPageBreak/>
              <w:t>5 202 600</w:t>
            </w:r>
          </w:p>
        </w:tc>
        <w:tc>
          <w:tcPr>
            <w:tcW w:w="4905" w:type="dxa"/>
          </w:tcPr>
          <w:p w14:paraId="4DA72ACC" w14:textId="77777777" w:rsidR="00853FA2" w:rsidRPr="00343DB9" w:rsidRDefault="00853FA2" w:rsidP="00FA6217">
            <w:pPr>
              <w:spacing w:before="0"/>
            </w:pPr>
            <w:r w:rsidRPr="00343DB9">
              <w:t xml:space="preserve">Respondentu skaits, kas aizpilda </w:t>
            </w:r>
            <w:proofErr w:type="spellStart"/>
            <w:r w:rsidRPr="00C56F4A">
              <w:rPr>
                <w:i/>
              </w:rPr>
              <w:t>Intrastat</w:t>
            </w:r>
            <w:proofErr w:type="spellEnd"/>
            <w:r w:rsidRPr="00C56F4A">
              <w:rPr>
                <w:i/>
              </w:rPr>
              <w:t xml:space="preserve"> </w:t>
            </w:r>
            <w:r w:rsidRPr="00343DB9">
              <w:t xml:space="preserve">pārskatu par preču </w:t>
            </w:r>
            <w:r>
              <w:t>ievedumu</w:t>
            </w:r>
            <w:r w:rsidRPr="00343DB9">
              <w:t xml:space="preserve"> Latvijā no ES dalībvalstīm, ir apmēram 4,5 tūkst. </w:t>
            </w:r>
            <w:proofErr w:type="spellStart"/>
            <w:r w:rsidRPr="00C56F4A">
              <w:rPr>
                <w:i/>
              </w:rPr>
              <w:t>Intrastat</w:t>
            </w:r>
            <w:proofErr w:type="spellEnd"/>
            <w:r w:rsidRPr="00343DB9">
              <w:t xml:space="preserve"> pārskatos ir </w:t>
            </w:r>
            <w:r>
              <w:t>apmēram</w:t>
            </w:r>
            <w:r w:rsidRPr="00343DB9">
              <w:t xml:space="preserve">1,8 milj. </w:t>
            </w:r>
            <w:r>
              <w:t xml:space="preserve"> a</w:t>
            </w:r>
            <w:r w:rsidRPr="00343DB9">
              <w:t>izpildīt</w:t>
            </w:r>
            <w:r>
              <w:t>u</w:t>
            </w:r>
            <w:r w:rsidRPr="00343DB9">
              <w:t xml:space="preserve"> rindu (R). </w:t>
            </w:r>
            <w:r>
              <w:t xml:space="preserve"> </w:t>
            </w:r>
            <w:r w:rsidRPr="00343DB9">
              <w:t>Respondenta vidējais patērētais laiks vienas rindas aizpildīšanai (T) ir 8,7 min. Vidējā grāmatveža alga (2014. g</w:t>
            </w:r>
            <w:r>
              <w:t>ada</w:t>
            </w:r>
            <w:r w:rsidRPr="00343DB9">
              <w:t xml:space="preserve"> oktobris) ir </w:t>
            </w:r>
            <w:r w:rsidRPr="00343DB9">
              <w:lastRenderedPageBreak/>
              <w:t>1</w:t>
            </w:r>
            <w:r>
              <w:t> </w:t>
            </w:r>
            <w:r w:rsidRPr="00343DB9">
              <w:t>101</w:t>
            </w:r>
            <w:r>
              <w:t> </w:t>
            </w:r>
            <w:proofErr w:type="spellStart"/>
            <w:r w:rsidRPr="00343DB9">
              <w:rPr>
                <w:i/>
              </w:rPr>
              <w:t>euro</w:t>
            </w:r>
            <w:proofErr w:type="spellEnd"/>
            <w:r w:rsidRPr="00343DB9">
              <w:t xml:space="preserve"> mēnesī, jeb (I) 5,98 </w:t>
            </w:r>
            <w:proofErr w:type="spellStart"/>
            <w:r w:rsidRPr="00343DB9">
              <w:rPr>
                <w:i/>
              </w:rPr>
              <w:t>euro</w:t>
            </w:r>
            <w:proofErr w:type="spellEnd"/>
            <w:r w:rsidRPr="00343DB9">
              <w:t xml:space="preserve"> stundā.</w:t>
            </w:r>
          </w:p>
          <w:p w14:paraId="2121BAB0" w14:textId="77777777" w:rsidR="00853FA2" w:rsidRPr="00343DB9" w:rsidRDefault="00853FA2" w:rsidP="00FA6217">
            <w:pPr>
              <w:spacing w:before="0"/>
            </w:pPr>
            <w:r w:rsidRPr="00343DB9">
              <w:t xml:space="preserve">Respondentu patērētais laiks </w:t>
            </w:r>
            <w:proofErr w:type="spellStart"/>
            <w:r w:rsidRPr="00C56F4A">
              <w:rPr>
                <w:i/>
              </w:rPr>
              <w:t>Intrastat</w:t>
            </w:r>
            <w:proofErr w:type="spellEnd"/>
            <w:r w:rsidRPr="00343DB9">
              <w:t xml:space="preserve"> pārskatu aizpildīšanai (pārskat</w:t>
            </w:r>
            <w:r>
              <w:t>i</w:t>
            </w:r>
            <w:r w:rsidRPr="00343DB9">
              <w:t xml:space="preserve"> par preču </w:t>
            </w:r>
            <w:r>
              <w:t>ievedumu</w:t>
            </w:r>
            <w:r w:rsidRPr="00343DB9">
              <w:t xml:space="preserve"> Latvijā no ES dalībvalstīm):</w:t>
            </w:r>
          </w:p>
          <w:p w14:paraId="2603BEF7" w14:textId="77777777" w:rsidR="00853FA2" w:rsidRPr="00343DB9" w:rsidRDefault="00853FA2" w:rsidP="00FA6217">
            <w:pPr>
              <w:spacing w:before="0"/>
            </w:pPr>
            <w:r w:rsidRPr="00343DB9">
              <w:t>R</w:t>
            </w:r>
            <w:r>
              <w:t xml:space="preserve"> x </w:t>
            </w:r>
            <w:r w:rsidRPr="00343DB9">
              <w:t>T/60</w:t>
            </w:r>
            <w:r>
              <w:t xml:space="preserve"> </w:t>
            </w:r>
            <w:r w:rsidRPr="00343DB9">
              <w:t>=</w:t>
            </w:r>
            <w:r>
              <w:t xml:space="preserve"> </w:t>
            </w:r>
            <w:r w:rsidRPr="00343DB9">
              <w:t>1 800 000</w:t>
            </w:r>
            <w:r>
              <w:t xml:space="preserve"> x </w:t>
            </w:r>
            <w:r w:rsidRPr="00343DB9">
              <w:t>8,7/60</w:t>
            </w:r>
            <w:r>
              <w:t xml:space="preserve"> </w:t>
            </w:r>
            <w:r w:rsidRPr="00343DB9">
              <w:t>=</w:t>
            </w:r>
            <w:r>
              <w:t xml:space="preserve"> </w:t>
            </w:r>
            <w:r w:rsidRPr="00343DB9">
              <w:t>261 000 stundas gadā</w:t>
            </w:r>
          </w:p>
          <w:p w14:paraId="78C1D914" w14:textId="77777777" w:rsidR="00853FA2" w:rsidRPr="00343DB9" w:rsidRDefault="00853FA2" w:rsidP="00FA6217">
            <w:pPr>
              <w:spacing w:before="0"/>
            </w:pPr>
          </w:p>
          <w:p w14:paraId="3FB1BBD1" w14:textId="77777777" w:rsidR="00853FA2" w:rsidRPr="00343DB9" w:rsidRDefault="00853FA2" w:rsidP="00FA6217">
            <w:pPr>
              <w:spacing w:before="0"/>
            </w:pPr>
            <w:r w:rsidRPr="00343DB9">
              <w:t xml:space="preserve">Respondentu izmaksas </w:t>
            </w:r>
            <w:proofErr w:type="spellStart"/>
            <w:r w:rsidRPr="00D0197E">
              <w:rPr>
                <w:i/>
              </w:rPr>
              <w:t>Intrastat</w:t>
            </w:r>
            <w:proofErr w:type="spellEnd"/>
            <w:r w:rsidRPr="00D0197E">
              <w:rPr>
                <w:i/>
              </w:rPr>
              <w:t xml:space="preserve"> </w:t>
            </w:r>
            <w:r w:rsidRPr="00343DB9">
              <w:t>pārskata aizpildīšanai par preču ievedumu ir:</w:t>
            </w:r>
          </w:p>
          <w:p w14:paraId="207F1BF7" w14:textId="77777777" w:rsidR="00853FA2" w:rsidRPr="00343DB9" w:rsidRDefault="00853FA2" w:rsidP="00FA6217">
            <w:pPr>
              <w:spacing w:before="0"/>
            </w:pPr>
            <w:r w:rsidRPr="00343DB9">
              <w:t>R</w:t>
            </w:r>
            <w:r>
              <w:t xml:space="preserve"> x </w:t>
            </w:r>
            <w:r w:rsidRPr="00343DB9">
              <w:t>T/60</w:t>
            </w:r>
            <w:r>
              <w:t xml:space="preserve"> x </w:t>
            </w:r>
            <w:r w:rsidRPr="00343DB9">
              <w:t>I</w:t>
            </w:r>
            <w:r>
              <w:t xml:space="preserve"> </w:t>
            </w:r>
            <w:r w:rsidRPr="00343DB9">
              <w:t>=</w:t>
            </w:r>
            <w:r>
              <w:t xml:space="preserve"> </w:t>
            </w:r>
            <w:r w:rsidRPr="00343DB9">
              <w:t>(1 800 000</w:t>
            </w:r>
            <w:r>
              <w:t xml:space="preserve"> x </w:t>
            </w:r>
            <w:r w:rsidRPr="00343DB9">
              <w:t>8,7)/60</w:t>
            </w:r>
            <w:r>
              <w:t xml:space="preserve"> x </w:t>
            </w:r>
            <w:r w:rsidRPr="00343DB9">
              <w:t>5,98</w:t>
            </w:r>
            <w:r>
              <w:t xml:space="preserve"> </w:t>
            </w:r>
            <w:r w:rsidRPr="00343DB9">
              <w:t>=</w:t>
            </w:r>
            <w:r>
              <w:t xml:space="preserve"> </w:t>
            </w:r>
            <w:r w:rsidRPr="00343DB9">
              <w:t>1</w:t>
            </w:r>
            <w:r>
              <w:t> </w:t>
            </w:r>
            <w:r w:rsidRPr="00343DB9">
              <w:t xml:space="preserve">560 780 </w:t>
            </w:r>
            <w:proofErr w:type="spellStart"/>
            <w:r w:rsidRPr="00343DB9">
              <w:rPr>
                <w:i/>
              </w:rPr>
              <w:t>euro</w:t>
            </w:r>
            <w:proofErr w:type="spellEnd"/>
          </w:p>
          <w:p w14:paraId="4760A0CE" w14:textId="77777777" w:rsidR="00853FA2" w:rsidRPr="00343DB9" w:rsidRDefault="00853FA2" w:rsidP="00FA6217">
            <w:pPr>
              <w:spacing w:before="0"/>
            </w:pPr>
          </w:p>
          <w:p w14:paraId="6105E303" w14:textId="77777777" w:rsidR="00853FA2" w:rsidRPr="00343DB9" w:rsidRDefault="00853FA2" w:rsidP="00FA6217">
            <w:pPr>
              <w:spacing w:before="0"/>
            </w:pPr>
            <w:r w:rsidRPr="00343DB9">
              <w:t xml:space="preserve">Savākto </w:t>
            </w:r>
            <w:proofErr w:type="spellStart"/>
            <w:r w:rsidRPr="00D0197E">
              <w:rPr>
                <w:i/>
              </w:rPr>
              <w:t>Intrastat</w:t>
            </w:r>
            <w:proofErr w:type="spellEnd"/>
            <w:r w:rsidRPr="00343DB9">
              <w:t xml:space="preserve"> pārskatu importa vērtības samazinājums par 10</w:t>
            </w:r>
            <w:r>
              <w:t> </w:t>
            </w:r>
            <w:r w:rsidRPr="00343DB9">
              <w:t xml:space="preserve">% samazina (R) līdz </w:t>
            </w:r>
            <w:r>
              <w:t xml:space="preserve">apmēram </w:t>
            </w:r>
            <w:r w:rsidRPr="00343DB9">
              <w:t>1,4 milj.</w:t>
            </w:r>
          </w:p>
          <w:p w14:paraId="39E2E4AC" w14:textId="77777777" w:rsidR="00853FA2" w:rsidRPr="00343DB9" w:rsidRDefault="00853FA2" w:rsidP="00FA6217">
            <w:pPr>
              <w:spacing w:before="0"/>
            </w:pPr>
          </w:p>
          <w:p w14:paraId="506B7A9E" w14:textId="77777777" w:rsidR="00853FA2" w:rsidRPr="00343DB9" w:rsidRDefault="00853FA2" w:rsidP="00FA6217">
            <w:pPr>
              <w:spacing w:before="0"/>
            </w:pPr>
            <w:r w:rsidRPr="00343DB9">
              <w:t>R</w:t>
            </w:r>
            <w:r>
              <w:t xml:space="preserve"> x </w:t>
            </w:r>
            <w:r w:rsidRPr="00343DB9">
              <w:t>T/60</w:t>
            </w:r>
            <w:r>
              <w:t xml:space="preserve"> </w:t>
            </w:r>
            <w:r w:rsidRPr="00343DB9">
              <w:t>=</w:t>
            </w:r>
            <w:r>
              <w:t xml:space="preserve"> </w:t>
            </w:r>
            <w:r w:rsidRPr="00343DB9">
              <w:t>1 400 000</w:t>
            </w:r>
            <w:r>
              <w:t xml:space="preserve"> x </w:t>
            </w:r>
            <w:r w:rsidRPr="00343DB9">
              <w:t>8,7/60</w:t>
            </w:r>
            <w:r>
              <w:t xml:space="preserve"> </w:t>
            </w:r>
            <w:r w:rsidRPr="00343DB9">
              <w:t>=</w:t>
            </w:r>
            <w:r>
              <w:t xml:space="preserve"> </w:t>
            </w:r>
            <w:r w:rsidRPr="00343DB9">
              <w:t>203 000 stundas gadā</w:t>
            </w:r>
          </w:p>
          <w:p w14:paraId="464BDAF6" w14:textId="77777777" w:rsidR="00853FA2" w:rsidRPr="00343DB9" w:rsidRDefault="00853FA2" w:rsidP="00FA6217">
            <w:pPr>
              <w:spacing w:before="0"/>
            </w:pPr>
            <w:r w:rsidRPr="00343DB9">
              <w:t>R</w:t>
            </w:r>
            <w:r>
              <w:t xml:space="preserve"> x </w:t>
            </w:r>
            <w:r w:rsidRPr="00343DB9">
              <w:t>T/60</w:t>
            </w:r>
            <w:r>
              <w:t xml:space="preserve"> x </w:t>
            </w:r>
            <w:r w:rsidRPr="00343DB9">
              <w:t>I</w:t>
            </w:r>
            <w:r>
              <w:t xml:space="preserve"> </w:t>
            </w:r>
            <w:r w:rsidRPr="00343DB9">
              <w:t>=</w:t>
            </w:r>
            <w:r>
              <w:t xml:space="preserve"> </w:t>
            </w:r>
            <w:r w:rsidRPr="00343DB9">
              <w:t>(1 400 000</w:t>
            </w:r>
            <w:r>
              <w:t xml:space="preserve"> x </w:t>
            </w:r>
            <w:r w:rsidRPr="00343DB9">
              <w:t>8,7)/60</w:t>
            </w:r>
            <w:r>
              <w:t xml:space="preserve"> x </w:t>
            </w:r>
            <w:r w:rsidRPr="00343DB9">
              <w:t>5,98</w:t>
            </w:r>
            <w:r>
              <w:t xml:space="preserve"> </w:t>
            </w:r>
            <w:r w:rsidRPr="00343DB9">
              <w:t>=</w:t>
            </w:r>
            <w:r>
              <w:t xml:space="preserve"> </w:t>
            </w:r>
            <w:r w:rsidRPr="00343DB9">
              <w:t>1</w:t>
            </w:r>
            <w:r>
              <w:t> </w:t>
            </w:r>
            <w:r w:rsidRPr="00343DB9">
              <w:t xml:space="preserve">213 940 </w:t>
            </w:r>
            <w:proofErr w:type="spellStart"/>
            <w:r w:rsidRPr="00343DB9">
              <w:rPr>
                <w:i/>
              </w:rPr>
              <w:t>euro</w:t>
            </w:r>
            <w:proofErr w:type="spellEnd"/>
          </w:p>
          <w:p w14:paraId="671BE7DB" w14:textId="77777777" w:rsidR="00853FA2" w:rsidRDefault="00853FA2" w:rsidP="00FA6217">
            <w:pPr>
              <w:spacing w:before="0"/>
            </w:pPr>
          </w:p>
          <w:p w14:paraId="349AAA41" w14:textId="77777777" w:rsidR="00853FA2" w:rsidRDefault="00853FA2" w:rsidP="00FA6217">
            <w:pPr>
              <w:spacing w:before="0"/>
            </w:pPr>
          </w:p>
          <w:p w14:paraId="2C825675" w14:textId="77777777" w:rsidR="00853FA2" w:rsidRDefault="00853FA2" w:rsidP="00FA6217">
            <w:pPr>
              <w:spacing w:before="0"/>
            </w:pPr>
          </w:p>
          <w:p w14:paraId="1F3B8DFD" w14:textId="77777777" w:rsidR="00853FA2" w:rsidRPr="00343DB9" w:rsidRDefault="00853FA2" w:rsidP="00FA6217">
            <w:pPr>
              <w:spacing w:before="0"/>
            </w:pPr>
            <w:r w:rsidRPr="00343DB9">
              <w:t xml:space="preserve">Savākto </w:t>
            </w:r>
            <w:proofErr w:type="spellStart"/>
            <w:r w:rsidRPr="00D0197E">
              <w:rPr>
                <w:i/>
              </w:rPr>
              <w:t>Intrastat</w:t>
            </w:r>
            <w:proofErr w:type="spellEnd"/>
            <w:r w:rsidRPr="00343DB9">
              <w:t xml:space="preserve"> pārskatu importa vērtības samazinājums par 20</w:t>
            </w:r>
            <w:r>
              <w:t> </w:t>
            </w:r>
            <w:r w:rsidRPr="00343DB9">
              <w:t xml:space="preserve">% samazina (R) līdz </w:t>
            </w:r>
            <w:r>
              <w:t xml:space="preserve">apmēram </w:t>
            </w:r>
            <w:r w:rsidRPr="00343DB9">
              <w:t>1,1 milj.</w:t>
            </w:r>
          </w:p>
          <w:p w14:paraId="4AC2E153" w14:textId="77777777" w:rsidR="00853FA2" w:rsidRPr="00343DB9" w:rsidRDefault="00853FA2" w:rsidP="00FA6217">
            <w:pPr>
              <w:spacing w:before="0"/>
            </w:pPr>
            <w:r w:rsidRPr="00343DB9">
              <w:t>R</w:t>
            </w:r>
            <w:r>
              <w:t xml:space="preserve"> x </w:t>
            </w:r>
            <w:r w:rsidRPr="00343DB9">
              <w:t>T/60</w:t>
            </w:r>
            <w:r>
              <w:t xml:space="preserve"> </w:t>
            </w:r>
            <w:r w:rsidRPr="00343DB9">
              <w:t>=1 100 000</w:t>
            </w:r>
            <w:r>
              <w:t xml:space="preserve"> x </w:t>
            </w:r>
            <w:r w:rsidRPr="00343DB9">
              <w:t>8,7/60</w:t>
            </w:r>
            <w:r>
              <w:t xml:space="preserve"> </w:t>
            </w:r>
            <w:r w:rsidRPr="00343DB9">
              <w:t>=159 500 stundas gadā</w:t>
            </w:r>
          </w:p>
          <w:p w14:paraId="314B12C2" w14:textId="77777777" w:rsidR="00853FA2" w:rsidRPr="00343DB9" w:rsidRDefault="00853FA2" w:rsidP="00FA6217">
            <w:pPr>
              <w:spacing w:before="0"/>
            </w:pPr>
          </w:p>
          <w:p w14:paraId="281B5BA5" w14:textId="77777777" w:rsidR="00853FA2" w:rsidRPr="00343DB9" w:rsidRDefault="00853FA2" w:rsidP="00FA6217">
            <w:pPr>
              <w:spacing w:before="0"/>
            </w:pPr>
            <w:r w:rsidRPr="00343DB9">
              <w:t>R</w:t>
            </w:r>
            <w:r>
              <w:t xml:space="preserve"> x </w:t>
            </w:r>
            <w:r w:rsidRPr="00343DB9">
              <w:t>T/60</w:t>
            </w:r>
            <w:r>
              <w:t xml:space="preserve"> x </w:t>
            </w:r>
            <w:r w:rsidRPr="00343DB9">
              <w:t>I</w:t>
            </w:r>
            <w:r>
              <w:t xml:space="preserve"> </w:t>
            </w:r>
            <w:r w:rsidRPr="00343DB9">
              <w:t>=</w:t>
            </w:r>
            <w:r>
              <w:t xml:space="preserve"> </w:t>
            </w:r>
            <w:r w:rsidRPr="00343DB9">
              <w:t>(1 100 000</w:t>
            </w:r>
            <w:r>
              <w:t xml:space="preserve"> x </w:t>
            </w:r>
            <w:r w:rsidRPr="00343DB9">
              <w:t>8,7)/60</w:t>
            </w:r>
            <w:r>
              <w:t xml:space="preserve"> x </w:t>
            </w:r>
            <w:r w:rsidRPr="00343DB9">
              <w:t>5,98</w:t>
            </w:r>
            <w:r>
              <w:t xml:space="preserve"> </w:t>
            </w:r>
            <w:r w:rsidRPr="00343DB9">
              <w:t>=</w:t>
            </w:r>
            <w:r>
              <w:t xml:space="preserve"> </w:t>
            </w:r>
            <w:r w:rsidRPr="00343DB9">
              <w:t>953</w:t>
            </w:r>
            <w:r>
              <w:t> </w:t>
            </w:r>
            <w:r w:rsidRPr="00343DB9">
              <w:t xml:space="preserve">810 </w:t>
            </w:r>
            <w:proofErr w:type="spellStart"/>
            <w:r w:rsidRPr="00343DB9">
              <w:rPr>
                <w:i/>
              </w:rPr>
              <w:t>euro</w:t>
            </w:r>
            <w:proofErr w:type="spellEnd"/>
          </w:p>
          <w:p w14:paraId="3C978123" w14:textId="77777777" w:rsidR="00853FA2" w:rsidRPr="00343DB9" w:rsidRDefault="00853FA2" w:rsidP="00FA6217">
            <w:pPr>
              <w:spacing w:before="0"/>
            </w:pPr>
          </w:p>
          <w:p w14:paraId="1B41FE66" w14:textId="77777777" w:rsidR="00853FA2" w:rsidRPr="00343DB9" w:rsidRDefault="00853FA2" w:rsidP="00FA6217">
            <w:pPr>
              <w:spacing w:before="0"/>
            </w:pPr>
            <w:r w:rsidRPr="00343DB9">
              <w:t xml:space="preserve">Respondentu izdevumi </w:t>
            </w:r>
            <w:proofErr w:type="spellStart"/>
            <w:r w:rsidRPr="00D0197E">
              <w:rPr>
                <w:i/>
              </w:rPr>
              <w:t>Intrastat</w:t>
            </w:r>
            <w:proofErr w:type="spellEnd"/>
            <w:r w:rsidRPr="00343DB9">
              <w:t xml:space="preserve"> datu sagatavošanai </w:t>
            </w:r>
            <w:r>
              <w:t>triju</w:t>
            </w:r>
            <w:r w:rsidRPr="00343DB9">
              <w:t xml:space="preserve"> gadu laikā samazināsies par:</w:t>
            </w:r>
          </w:p>
          <w:p w14:paraId="4DC94AFF" w14:textId="77777777" w:rsidR="00853FA2" w:rsidRPr="00343DB9" w:rsidRDefault="00853FA2" w:rsidP="00FA6217">
            <w:pPr>
              <w:spacing w:before="0"/>
            </w:pPr>
            <w:r w:rsidRPr="00343DB9">
              <w:t>(1 560 780</w:t>
            </w:r>
            <w:r>
              <w:t xml:space="preserve"> – </w:t>
            </w:r>
            <w:r w:rsidRPr="00343DB9">
              <w:t>1 213 940)</w:t>
            </w:r>
            <w:r>
              <w:t xml:space="preserve"> </w:t>
            </w:r>
            <w:r w:rsidRPr="00343DB9">
              <w:t>+</w:t>
            </w:r>
            <w:r>
              <w:t xml:space="preserve"> </w:t>
            </w:r>
            <w:r w:rsidRPr="00343DB9">
              <w:t>(1 560 780</w:t>
            </w:r>
            <w:r>
              <w:t xml:space="preserve"> – </w:t>
            </w:r>
            <w:r w:rsidRPr="00343DB9">
              <w:t>953</w:t>
            </w:r>
            <w:r>
              <w:t> </w:t>
            </w:r>
            <w:r w:rsidRPr="00343DB9">
              <w:t>810)</w:t>
            </w:r>
            <w:r>
              <w:t xml:space="preserve"> </w:t>
            </w:r>
            <w:r w:rsidRPr="00343DB9">
              <w:t>=</w:t>
            </w:r>
            <w:r>
              <w:t xml:space="preserve"> </w:t>
            </w:r>
            <w:r w:rsidRPr="00343DB9">
              <w:t>346 840</w:t>
            </w:r>
            <w:r>
              <w:t xml:space="preserve"> </w:t>
            </w:r>
            <w:r w:rsidRPr="00343DB9">
              <w:t>+ 606 970</w:t>
            </w:r>
            <w:r>
              <w:t xml:space="preserve"> </w:t>
            </w:r>
            <w:r w:rsidRPr="00343DB9">
              <w:t>=</w:t>
            </w:r>
            <w:r>
              <w:t xml:space="preserve"> </w:t>
            </w:r>
            <w:r w:rsidRPr="00343DB9">
              <w:t xml:space="preserve">953 810 </w:t>
            </w:r>
            <w:proofErr w:type="spellStart"/>
            <w:r w:rsidRPr="00343DB9">
              <w:rPr>
                <w:i/>
              </w:rPr>
              <w:t>euro</w:t>
            </w:r>
            <w:proofErr w:type="spellEnd"/>
          </w:p>
          <w:p w14:paraId="3E4EFE77" w14:textId="77777777" w:rsidR="00853FA2" w:rsidRPr="00343DB9" w:rsidRDefault="00853FA2" w:rsidP="00FA6217">
            <w:pPr>
              <w:spacing w:before="0"/>
            </w:pPr>
          </w:p>
          <w:p w14:paraId="7784EF4C" w14:textId="77777777" w:rsidR="00853FA2" w:rsidRPr="00343DB9" w:rsidRDefault="00853FA2" w:rsidP="00FA6217">
            <w:pPr>
              <w:spacing w:before="0"/>
            </w:pPr>
            <w:r w:rsidRPr="00343DB9">
              <w:t xml:space="preserve">Respondentu izdevumi </w:t>
            </w:r>
            <w:proofErr w:type="spellStart"/>
            <w:r w:rsidRPr="00D0197E">
              <w:rPr>
                <w:i/>
              </w:rPr>
              <w:t>Intrastat</w:t>
            </w:r>
            <w:proofErr w:type="spellEnd"/>
            <w:r w:rsidRPr="00343DB9">
              <w:t xml:space="preserve"> datu sagatavošanai 10 gadu laikā pēc projekta beigām samazināsies par:</w:t>
            </w:r>
          </w:p>
          <w:p w14:paraId="41DD2F2B" w14:textId="77777777" w:rsidR="00853FA2" w:rsidRPr="00343DB9" w:rsidRDefault="00853FA2" w:rsidP="00FA6217">
            <w:pPr>
              <w:spacing w:before="0"/>
            </w:pPr>
            <w:r w:rsidRPr="00343DB9">
              <w:t>953 810</w:t>
            </w:r>
            <w:r>
              <w:t xml:space="preserve"> </w:t>
            </w:r>
            <w:r w:rsidRPr="00343DB9">
              <w:t>+ 606 970</w:t>
            </w:r>
            <w:r>
              <w:t xml:space="preserve"> x </w:t>
            </w:r>
            <w:r w:rsidRPr="00343DB9">
              <w:t>7</w:t>
            </w:r>
            <w:r>
              <w:t xml:space="preserve"> </w:t>
            </w:r>
            <w:r w:rsidRPr="00343DB9">
              <w:t>=</w:t>
            </w:r>
            <w:r>
              <w:t xml:space="preserve"> </w:t>
            </w:r>
            <w:r w:rsidRPr="00343DB9">
              <w:t xml:space="preserve">5 202 600 </w:t>
            </w:r>
            <w:proofErr w:type="spellStart"/>
            <w:r w:rsidRPr="00343DB9">
              <w:rPr>
                <w:i/>
              </w:rPr>
              <w:t>euro</w:t>
            </w:r>
            <w:proofErr w:type="spellEnd"/>
          </w:p>
        </w:tc>
      </w:tr>
      <w:bookmarkEnd w:id="1"/>
    </w:tbl>
    <w:p w14:paraId="74B398FB" w14:textId="77777777" w:rsidR="00853FA2" w:rsidRDefault="00853FA2" w:rsidP="001C5690">
      <w:pPr>
        <w:jc w:val="both"/>
      </w:pPr>
    </w:p>
    <w:p w14:paraId="0FEDB2A6" w14:textId="38BEE3AE" w:rsidR="007463BA" w:rsidRPr="00874DF8" w:rsidRDefault="00070E1F" w:rsidP="00343DB9">
      <w:pPr>
        <w:ind w:firstLine="709"/>
        <w:jc w:val="both"/>
      </w:pPr>
      <w:r w:rsidRPr="00874DF8">
        <w:t>Indikatīvi</w:t>
      </w:r>
      <w:r>
        <w:t xml:space="preserve"> aprēķinot, VIESIS datu apstrādes sistēmas izmaksas (izstrādes un uzturēšanas) 10 gadu laikā veidos 425 000 + 15 000</w:t>
      </w:r>
      <w:r w:rsidR="00D0197E">
        <w:t xml:space="preserve"> x </w:t>
      </w:r>
      <w:r>
        <w:t>10</w:t>
      </w:r>
      <w:r w:rsidR="00D0197E">
        <w:t xml:space="preserve"> </w:t>
      </w:r>
      <w:r>
        <w:t xml:space="preserve">= 575 000 </w:t>
      </w:r>
      <w:proofErr w:type="spellStart"/>
      <w:r w:rsidRPr="003A7E49">
        <w:rPr>
          <w:i/>
        </w:rPr>
        <w:t>euro</w:t>
      </w:r>
      <w:proofErr w:type="spellEnd"/>
      <w:r>
        <w:t xml:space="preserve">. Administratīvā sloga samazinājums </w:t>
      </w:r>
      <w:proofErr w:type="spellStart"/>
      <w:r w:rsidRPr="00D0197E">
        <w:rPr>
          <w:i/>
        </w:rPr>
        <w:t>Intrastat</w:t>
      </w:r>
      <w:proofErr w:type="spellEnd"/>
      <w:r>
        <w:t xml:space="preserve"> respondentiem 10 gadu laikā samazina uzņēmumu izmaksas par 5 202 600 </w:t>
      </w:r>
      <w:proofErr w:type="spellStart"/>
      <w:r w:rsidRPr="003A7E49">
        <w:rPr>
          <w:i/>
        </w:rPr>
        <w:t>euro</w:t>
      </w:r>
      <w:proofErr w:type="spellEnd"/>
      <w:r>
        <w:t>. Tādējādi jāpieņem, ka projekta īstenošanas sociālekonomiskais ieguvums 10</w:t>
      </w:r>
      <w:r w:rsidR="00D0197E">
        <w:t> </w:t>
      </w:r>
      <w:r>
        <w:t xml:space="preserve">gadu laikā ir </w:t>
      </w:r>
      <w:r w:rsidR="00D0197E">
        <w:t>apmēram</w:t>
      </w:r>
      <w:r>
        <w:t xml:space="preserve"> 4,6 milj. </w:t>
      </w:r>
      <w:proofErr w:type="spellStart"/>
      <w:r w:rsidRPr="003A7E49">
        <w:rPr>
          <w:i/>
        </w:rPr>
        <w:t>euro</w:t>
      </w:r>
      <w:proofErr w:type="spellEnd"/>
      <w:r>
        <w:t>.</w:t>
      </w:r>
    </w:p>
    <w:p w14:paraId="0FEDB2A7" w14:textId="5537B011" w:rsidR="007463BA" w:rsidRDefault="00070E1F" w:rsidP="00D0197E">
      <w:pPr>
        <w:ind w:firstLine="709"/>
        <w:jc w:val="both"/>
      </w:pPr>
      <w:r w:rsidRPr="008B6816">
        <w:t xml:space="preserve">Lai </w:t>
      </w:r>
      <w:r w:rsidR="00D0197E">
        <w:t>gan</w:t>
      </w:r>
      <w:r w:rsidRPr="008B6816">
        <w:t xml:space="preserve"> projekta </w:t>
      </w:r>
      <w:r w:rsidR="001A36D1">
        <w:t xml:space="preserve">īstenošanas </w:t>
      </w:r>
      <w:r w:rsidRPr="008B6816">
        <w:t>rezultātā paredzēts ietaupīt</w:t>
      </w:r>
      <w:r w:rsidR="001A36D1">
        <w:t>, samazinot</w:t>
      </w:r>
      <w:r w:rsidRPr="008B6816">
        <w:t xml:space="preserve"> </w:t>
      </w:r>
      <w:r w:rsidR="001A36D1">
        <w:t>p</w:t>
      </w:r>
      <w:r>
        <w:t>ārvaldes</w:t>
      </w:r>
      <w:r w:rsidRPr="008B6816">
        <w:t xml:space="preserve"> darbinieku darba slodz</w:t>
      </w:r>
      <w:r>
        <w:t>i</w:t>
      </w:r>
      <w:r w:rsidR="001A36D1">
        <w:t xml:space="preserve"> un</w:t>
      </w:r>
      <w:r>
        <w:t xml:space="preserve"> optimizējot ārējās tirdzniecības statistikas datu apstrādes procesu,</w:t>
      </w:r>
      <w:r w:rsidRPr="008B6816">
        <w:t xml:space="preserve"> jā</w:t>
      </w:r>
      <w:r>
        <w:t>ņem vērā</w:t>
      </w:r>
      <w:r w:rsidRPr="008B6816">
        <w:t xml:space="preserve">, ka reāls </w:t>
      </w:r>
      <w:r w:rsidR="001825C6">
        <w:t>p</w:t>
      </w:r>
      <w:r>
        <w:t>ārvaldes</w:t>
      </w:r>
      <w:r w:rsidRPr="008B6816">
        <w:t xml:space="preserve"> darbinieku skaita</w:t>
      </w:r>
      <w:r>
        <w:t xml:space="preserve"> </w:t>
      </w:r>
      <w:r w:rsidRPr="008B6816">
        <w:t>samazinājums š</w:t>
      </w:r>
      <w:r w:rsidR="00E06F5C">
        <w:t>ā</w:t>
      </w:r>
      <w:r w:rsidRPr="008B6816">
        <w:t xml:space="preserve"> projekta</w:t>
      </w:r>
      <w:r w:rsidR="001825C6">
        <w:t xml:space="preserve"> īstenošanas</w:t>
      </w:r>
      <w:r w:rsidRPr="008B6816">
        <w:t xml:space="preserve"> rezultātā nav sagaidāms, jo </w:t>
      </w:r>
      <w:r>
        <w:t xml:space="preserve">obligātas mikrodatu apmaiņas ieviešana starp dalībvalstu </w:t>
      </w:r>
      <w:r>
        <w:lastRenderedPageBreak/>
        <w:t xml:space="preserve">statistikas iestādēm par </w:t>
      </w:r>
      <w:r w:rsidR="001825C6">
        <w:t xml:space="preserve">Eiropas </w:t>
      </w:r>
      <w:r>
        <w:t xml:space="preserve">Savienības iekšējo preču eksportu palielinās darba apjomu statistikas iestādēm. </w:t>
      </w:r>
      <w:r w:rsidR="001825C6">
        <w:t>Ņ</w:t>
      </w:r>
      <w:r>
        <w:t>emot vērā paredzēto ĀTS datu vākšanas apjoma samazinājumu importa plūsmai, sākot ar otro gadu pēc projekta pabeigšanas, var paredzēt resursu ietaupījumu šo datu vākšanai un apstrādei. Pārvaldes izdevumu samazinājums š</w:t>
      </w:r>
      <w:r w:rsidR="00E06F5C">
        <w:t>ā</w:t>
      </w:r>
      <w:r>
        <w:t xml:space="preserve"> procesa nodrošināšanai pirmos divus gadus nav paredzēts, bet trešajā gadā samazinājums plānots 2 800 cilvēkstundas, kas ir 18 004 </w:t>
      </w:r>
      <w:proofErr w:type="spellStart"/>
      <w:r w:rsidRPr="003A7E49">
        <w:rPr>
          <w:i/>
        </w:rPr>
        <w:t>euro</w:t>
      </w:r>
      <w:proofErr w:type="spellEnd"/>
      <w:r>
        <w:t xml:space="preserve"> gadā. Sākot ar trešo gadu, resursu samazinājums importa datu vākšanas un apstrādes funkciju veikšanai ir aprēķināts 4</w:t>
      </w:r>
      <w:r w:rsidR="001825C6">
        <w:t> </w:t>
      </w:r>
      <w:r>
        <w:t>900 cilvēkstundas (statistiķ</w:t>
      </w:r>
      <w:r w:rsidR="001825C6">
        <w:t>is</w:t>
      </w:r>
      <w:r>
        <w:t xml:space="preserve"> – datu vācējs, apstrādātājs), kas gadā </w:t>
      </w:r>
      <w:r w:rsidR="001825C6">
        <w:t>ir</w:t>
      </w:r>
      <w:r>
        <w:t xml:space="preserve"> 31 507 </w:t>
      </w:r>
      <w:proofErr w:type="spellStart"/>
      <w:r w:rsidRPr="003A7E49">
        <w:rPr>
          <w:i/>
        </w:rPr>
        <w:t>euro</w:t>
      </w:r>
      <w:proofErr w:type="spellEnd"/>
      <w:r>
        <w:t xml:space="preserve">. </w:t>
      </w:r>
    </w:p>
    <w:p w14:paraId="0FEDB2A8" w14:textId="77777777" w:rsidR="007463BA" w:rsidRDefault="007463BA" w:rsidP="001C5690">
      <w:pPr>
        <w:rPr>
          <w:b/>
        </w:rPr>
      </w:pPr>
    </w:p>
    <w:p w14:paraId="0FEDB2A9" w14:textId="2E066866" w:rsidR="007463BA" w:rsidRDefault="00070E1F" w:rsidP="00343DB9">
      <w:pPr>
        <w:jc w:val="center"/>
        <w:rPr>
          <w:b/>
        </w:rPr>
      </w:pPr>
      <w:r w:rsidRPr="00AF70B0">
        <w:rPr>
          <w:b/>
        </w:rPr>
        <w:t>Sociālekonomiskā ieguvuma aprēķins</w:t>
      </w:r>
      <w:r>
        <w:rPr>
          <w:b/>
        </w:rPr>
        <w:t xml:space="preserve"> (valsts pārvaldē strādājošo skaita un iestādes uzturēšanas izdevumu samazinājums)</w:t>
      </w:r>
    </w:p>
    <w:p w14:paraId="46DFD637" w14:textId="77777777" w:rsidR="00343DB9" w:rsidRPr="00AF70B0" w:rsidRDefault="00343DB9" w:rsidP="00343DB9">
      <w:pPr>
        <w:jc w:val="center"/>
        <w:rPr>
          <w:b/>
        </w:rPr>
      </w:pPr>
    </w:p>
    <w:tbl>
      <w:tblPr>
        <w:tblStyle w:val="TableGrid"/>
        <w:tblW w:w="9072" w:type="dxa"/>
        <w:tblInd w:w="108" w:type="dxa"/>
        <w:tblLook w:val="04A0" w:firstRow="1" w:lastRow="0" w:firstColumn="1" w:lastColumn="0" w:noHBand="0" w:noVBand="1"/>
      </w:tblPr>
      <w:tblGrid>
        <w:gridCol w:w="2167"/>
        <w:gridCol w:w="2086"/>
        <w:gridCol w:w="4819"/>
      </w:tblGrid>
      <w:tr w:rsidR="001825C6" w14:paraId="0FEDB2AD" w14:textId="77777777" w:rsidTr="001825C6">
        <w:tc>
          <w:tcPr>
            <w:tcW w:w="2167" w:type="dxa"/>
            <w:vAlign w:val="center"/>
          </w:tcPr>
          <w:p w14:paraId="0FEDB2AA" w14:textId="6470B59C" w:rsidR="001825C6" w:rsidRPr="00AF70B0" w:rsidRDefault="001825C6" w:rsidP="002C34BC">
            <w:pPr>
              <w:spacing w:before="0"/>
              <w:jc w:val="center"/>
            </w:pPr>
            <w:r w:rsidRPr="00AF70B0">
              <w:t>Sociālekonomiskais ieguvums</w:t>
            </w:r>
          </w:p>
        </w:tc>
        <w:tc>
          <w:tcPr>
            <w:tcW w:w="2086" w:type="dxa"/>
            <w:vAlign w:val="center"/>
          </w:tcPr>
          <w:p w14:paraId="0FEDB2AB" w14:textId="33A9ECD8" w:rsidR="001825C6" w:rsidRPr="00AF70B0" w:rsidRDefault="001825C6" w:rsidP="002C34BC">
            <w:pPr>
              <w:spacing w:before="0"/>
              <w:jc w:val="center"/>
            </w:pPr>
            <w:r w:rsidRPr="00AF70B0">
              <w:t>Ekvivalents naudas izteiksmē (</w:t>
            </w:r>
            <w:proofErr w:type="spellStart"/>
            <w:r w:rsidRPr="006420DA">
              <w:rPr>
                <w:i/>
              </w:rPr>
              <w:t>euro</w:t>
            </w:r>
            <w:proofErr w:type="spellEnd"/>
            <w:r w:rsidRPr="00AF70B0">
              <w:t>)</w:t>
            </w:r>
          </w:p>
        </w:tc>
        <w:tc>
          <w:tcPr>
            <w:tcW w:w="4819" w:type="dxa"/>
            <w:vAlign w:val="center"/>
          </w:tcPr>
          <w:p w14:paraId="0FEDB2AC" w14:textId="77777777" w:rsidR="001825C6" w:rsidRPr="00AF70B0" w:rsidRDefault="001825C6" w:rsidP="002C34BC">
            <w:pPr>
              <w:spacing w:before="0"/>
              <w:jc w:val="center"/>
            </w:pPr>
            <w:r w:rsidRPr="00AF70B0">
              <w:t>Aprēķins</w:t>
            </w:r>
          </w:p>
        </w:tc>
      </w:tr>
      <w:tr w:rsidR="001825C6" w14:paraId="0FEDB2D8" w14:textId="77777777" w:rsidTr="001825C6">
        <w:tc>
          <w:tcPr>
            <w:tcW w:w="2167" w:type="dxa"/>
          </w:tcPr>
          <w:p w14:paraId="0FEDB2AE" w14:textId="7574BD37" w:rsidR="001825C6" w:rsidRPr="001825C6" w:rsidRDefault="001825C6" w:rsidP="001C5690">
            <w:pPr>
              <w:spacing w:before="0"/>
              <w:rPr>
                <w:b/>
              </w:rPr>
            </w:pPr>
            <w:r w:rsidRPr="001825C6">
              <w:rPr>
                <w:b/>
              </w:rPr>
              <w:t>Importa datu apstrādes procesa nodrošināšanai</w:t>
            </w:r>
            <w:proofErr w:type="gramStart"/>
            <w:r w:rsidRPr="001825C6">
              <w:rPr>
                <w:b/>
              </w:rPr>
              <w:t xml:space="preserve">  </w:t>
            </w:r>
            <w:proofErr w:type="gramEnd"/>
            <w:r w:rsidRPr="001825C6">
              <w:rPr>
                <w:b/>
              </w:rPr>
              <w:t>nepieciešamo resursu ietaupījums</w:t>
            </w:r>
          </w:p>
          <w:p w14:paraId="0FEDB2AF" w14:textId="2C4C00C6" w:rsidR="001825C6" w:rsidRPr="001825C6" w:rsidRDefault="001825C6" w:rsidP="001C5690">
            <w:pPr>
              <w:spacing w:before="0"/>
            </w:pPr>
            <w:r w:rsidRPr="001825C6">
              <w:t xml:space="preserve">Citu dalībvalstu mikrodatu izmantošana ļaus </w:t>
            </w:r>
            <w:r>
              <w:t xml:space="preserve">pārvaldei </w:t>
            </w:r>
            <w:r w:rsidRPr="001825C6">
              <w:t xml:space="preserve">samazināt </w:t>
            </w:r>
            <w:proofErr w:type="spellStart"/>
            <w:r w:rsidRPr="001825C6">
              <w:rPr>
                <w:i/>
              </w:rPr>
              <w:t>Intrastat</w:t>
            </w:r>
            <w:proofErr w:type="spellEnd"/>
            <w:r w:rsidRPr="001825C6">
              <w:rPr>
                <w:i/>
              </w:rPr>
              <w:t xml:space="preserve"> </w:t>
            </w:r>
            <w:r w:rsidRPr="001825C6">
              <w:t xml:space="preserve">pārskata datu vākšanas un apstrādes izmaksas </w:t>
            </w:r>
          </w:p>
          <w:p w14:paraId="0FEDB2B0" w14:textId="77777777" w:rsidR="001825C6" w:rsidRPr="001825C6" w:rsidRDefault="001825C6" w:rsidP="001C5690">
            <w:pPr>
              <w:spacing w:before="0"/>
            </w:pPr>
          </w:p>
          <w:p w14:paraId="0FEDB2B1" w14:textId="77777777" w:rsidR="001825C6" w:rsidRPr="001825C6" w:rsidRDefault="001825C6" w:rsidP="001C5690">
            <w:pPr>
              <w:spacing w:before="0"/>
            </w:pPr>
          </w:p>
          <w:p w14:paraId="0FEDB2B2" w14:textId="77777777" w:rsidR="001825C6" w:rsidRPr="001825C6" w:rsidRDefault="001825C6" w:rsidP="001C5690">
            <w:pPr>
              <w:spacing w:before="0"/>
            </w:pPr>
          </w:p>
          <w:p w14:paraId="0FEDB2B3" w14:textId="77777777" w:rsidR="001825C6" w:rsidRPr="001825C6" w:rsidRDefault="001825C6" w:rsidP="001C5690">
            <w:pPr>
              <w:spacing w:before="0"/>
            </w:pPr>
          </w:p>
          <w:p w14:paraId="0FEDB2B4" w14:textId="77777777" w:rsidR="001825C6" w:rsidRPr="001825C6" w:rsidRDefault="001825C6" w:rsidP="001C5690">
            <w:pPr>
              <w:spacing w:before="0"/>
            </w:pPr>
          </w:p>
          <w:p w14:paraId="0FEDB2B5" w14:textId="77777777" w:rsidR="001825C6" w:rsidRPr="001825C6" w:rsidRDefault="001825C6" w:rsidP="001C5690">
            <w:pPr>
              <w:spacing w:before="0"/>
            </w:pPr>
          </w:p>
          <w:p w14:paraId="42F2795E" w14:textId="77777777" w:rsidR="00E354F7" w:rsidRDefault="00E354F7" w:rsidP="001C5690">
            <w:pPr>
              <w:spacing w:before="0"/>
            </w:pPr>
          </w:p>
          <w:p w14:paraId="2EBA0DF7" w14:textId="77777777" w:rsidR="00E354F7" w:rsidRDefault="00E354F7" w:rsidP="001C5690">
            <w:pPr>
              <w:spacing w:before="0"/>
            </w:pPr>
          </w:p>
          <w:p w14:paraId="64BBEBCB" w14:textId="77777777" w:rsidR="00E354F7" w:rsidRDefault="00E354F7" w:rsidP="001C5690">
            <w:pPr>
              <w:spacing w:before="0"/>
            </w:pPr>
          </w:p>
          <w:p w14:paraId="35EF8615" w14:textId="77777777" w:rsidR="00E354F7" w:rsidRDefault="00E354F7" w:rsidP="001C5690">
            <w:pPr>
              <w:spacing w:before="0"/>
            </w:pPr>
          </w:p>
          <w:p w14:paraId="293EE3A1" w14:textId="77777777" w:rsidR="00E354F7" w:rsidRDefault="00E354F7" w:rsidP="001C5690">
            <w:pPr>
              <w:spacing w:before="0"/>
            </w:pPr>
          </w:p>
          <w:p w14:paraId="64566FB5" w14:textId="77777777" w:rsidR="00E354F7" w:rsidRDefault="00E354F7" w:rsidP="001C5690">
            <w:pPr>
              <w:spacing w:before="0"/>
            </w:pPr>
          </w:p>
          <w:p w14:paraId="0FEDB2B6" w14:textId="6F2B1F23" w:rsidR="001825C6" w:rsidRPr="001825C6" w:rsidRDefault="00D540D0" w:rsidP="001C5690">
            <w:pPr>
              <w:spacing w:before="0"/>
            </w:pPr>
            <w:r>
              <w:t>Divus</w:t>
            </w:r>
            <w:r w:rsidR="001825C6" w:rsidRPr="001825C6">
              <w:t xml:space="preserve"> gadus pēc projekta beigām ir paredzēts aizstāt 10</w:t>
            </w:r>
            <w:r>
              <w:t> </w:t>
            </w:r>
            <w:r w:rsidR="001825C6" w:rsidRPr="001825C6">
              <w:t xml:space="preserve">% importa apjoma </w:t>
            </w:r>
            <w:r>
              <w:t>(</w:t>
            </w:r>
            <w:r w:rsidR="001825C6" w:rsidRPr="001825C6">
              <w:t>vērtības izteiksmē</w:t>
            </w:r>
            <w:r>
              <w:t>)</w:t>
            </w:r>
            <w:r w:rsidR="001825C6" w:rsidRPr="001825C6">
              <w:t xml:space="preserve"> ar datiem, kas tiks saņemti no citām dalībvalstīm par eksportu uz Latviju </w:t>
            </w:r>
          </w:p>
          <w:p w14:paraId="0FEDB2B7" w14:textId="77777777" w:rsidR="001825C6" w:rsidRPr="001825C6" w:rsidRDefault="001825C6" w:rsidP="001C5690">
            <w:pPr>
              <w:spacing w:before="0"/>
            </w:pPr>
          </w:p>
          <w:p w14:paraId="7FB956DA" w14:textId="77777777" w:rsidR="00E354F7" w:rsidRDefault="00E354F7" w:rsidP="001C5690">
            <w:pPr>
              <w:spacing w:before="0"/>
            </w:pPr>
          </w:p>
          <w:p w14:paraId="0FEDB2B8" w14:textId="483ECC9F" w:rsidR="001825C6" w:rsidRPr="001825C6" w:rsidRDefault="00D540D0" w:rsidP="001C5690">
            <w:pPr>
              <w:spacing w:before="0"/>
            </w:pPr>
            <w:r>
              <w:lastRenderedPageBreak/>
              <w:t>Trīs</w:t>
            </w:r>
            <w:r w:rsidR="001825C6" w:rsidRPr="001825C6">
              <w:t xml:space="preserve"> gadus pēc projekta beigām ir paredzēts aizstāt 20</w:t>
            </w:r>
            <w:r>
              <w:t> </w:t>
            </w:r>
            <w:r w:rsidR="001825C6" w:rsidRPr="001825C6">
              <w:t xml:space="preserve">% importa apjoma </w:t>
            </w:r>
            <w:r>
              <w:t>(</w:t>
            </w:r>
            <w:r w:rsidR="001825C6" w:rsidRPr="001825C6">
              <w:t>vērtības izteiksmē</w:t>
            </w:r>
            <w:r>
              <w:t>)</w:t>
            </w:r>
            <w:r w:rsidR="001825C6" w:rsidRPr="001825C6">
              <w:t xml:space="preserve"> ar datiem, kas tiks saņemti no citām dalībvalstīm par eksportu uz Latviju </w:t>
            </w:r>
          </w:p>
        </w:tc>
        <w:tc>
          <w:tcPr>
            <w:tcW w:w="2086" w:type="dxa"/>
          </w:tcPr>
          <w:p w14:paraId="0FEDB2B9" w14:textId="77777777" w:rsidR="001825C6" w:rsidRPr="001825C6" w:rsidRDefault="001825C6" w:rsidP="001C5690">
            <w:pPr>
              <w:spacing w:before="0"/>
            </w:pPr>
            <w:r w:rsidRPr="001825C6">
              <w:lastRenderedPageBreak/>
              <w:t xml:space="preserve">270 060 </w:t>
            </w:r>
            <w:proofErr w:type="spellStart"/>
            <w:r w:rsidRPr="001825C6">
              <w:rPr>
                <w:i/>
              </w:rPr>
              <w:t>euro</w:t>
            </w:r>
            <w:proofErr w:type="spellEnd"/>
          </w:p>
        </w:tc>
        <w:tc>
          <w:tcPr>
            <w:tcW w:w="4819" w:type="dxa"/>
          </w:tcPr>
          <w:p w14:paraId="0FEDB2BA" w14:textId="77777777" w:rsidR="001825C6" w:rsidRPr="001825C6" w:rsidRDefault="001825C6" w:rsidP="001C5690">
            <w:pPr>
              <w:spacing w:before="0"/>
            </w:pPr>
          </w:p>
          <w:p w14:paraId="0FEDB2BB" w14:textId="77777777" w:rsidR="001825C6" w:rsidRPr="001825C6" w:rsidRDefault="001825C6" w:rsidP="001C5690">
            <w:pPr>
              <w:spacing w:before="0"/>
            </w:pPr>
            <w:r w:rsidRPr="001825C6">
              <w:t>Importa datu apstrādes apjoma samazinājums ļauj aprēķināt ietaupītos resursus, balstoties uz analizējamo preču rindu skaitu.</w:t>
            </w:r>
          </w:p>
          <w:p w14:paraId="0FEDB2BD" w14:textId="003C2241" w:rsidR="001825C6" w:rsidRPr="001825C6" w:rsidRDefault="001825C6" w:rsidP="001C5690">
            <w:pPr>
              <w:spacing w:before="0"/>
            </w:pPr>
            <w:r w:rsidRPr="001825C6">
              <w:t>Aprēķins veikts</w:t>
            </w:r>
            <w:r>
              <w:t>,</w:t>
            </w:r>
            <w:r w:rsidRPr="001825C6">
              <w:t xml:space="preserve"> pamatojoties uz pēdējo gadu (2016. g</w:t>
            </w:r>
            <w:r w:rsidR="00D540D0">
              <w:t>ads</w:t>
            </w:r>
            <w:r w:rsidRPr="001825C6">
              <w:t>), par kuru ir pieejami gala dati (t.</w:t>
            </w:r>
            <w:r>
              <w:t xml:space="preserve"> </w:t>
            </w:r>
            <w:r w:rsidRPr="001825C6">
              <w:t>i.</w:t>
            </w:r>
            <w:r>
              <w:t>,</w:t>
            </w:r>
            <w:r w:rsidRPr="001825C6">
              <w:t xml:space="preserve"> revīzijas vairs nav paredzētas).</w:t>
            </w:r>
          </w:p>
          <w:p w14:paraId="0FEDB2BE" w14:textId="00080DF1" w:rsidR="001825C6" w:rsidRPr="001825C6" w:rsidRDefault="001825C6" w:rsidP="001C5690">
            <w:pPr>
              <w:spacing w:before="0"/>
            </w:pPr>
            <w:r w:rsidRPr="001825C6">
              <w:t xml:space="preserve">Pirmo gadu pēc projekta </w:t>
            </w:r>
            <w:r>
              <w:t xml:space="preserve">īstenošanas </w:t>
            </w:r>
            <w:r w:rsidRPr="001825C6">
              <w:t>beigām resursu ietaupījums nav sagaidāms.</w:t>
            </w:r>
          </w:p>
          <w:p w14:paraId="0FEDB2BF" w14:textId="223425EC" w:rsidR="001825C6" w:rsidRPr="001825C6" w:rsidRDefault="001825C6" w:rsidP="001C5690">
            <w:pPr>
              <w:spacing w:before="0"/>
            </w:pPr>
            <w:r w:rsidRPr="001825C6">
              <w:t>Stundas likme datu vākšanas un apstrādes darbiniekam 2016. g</w:t>
            </w:r>
            <w:r>
              <w:t>adā</w:t>
            </w:r>
            <w:r w:rsidRPr="001825C6">
              <w:t xml:space="preserve"> noteikta (I) 6,43</w:t>
            </w:r>
            <w:r>
              <w:t> </w:t>
            </w:r>
            <w:proofErr w:type="spellStart"/>
            <w:r w:rsidRPr="001825C6">
              <w:rPr>
                <w:i/>
              </w:rPr>
              <w:t>euro</w:t>
            </w:r>
            <w:proofErr w:type="spellEnd"/>
            <w:r w:rsidRPr="001825C6">
              <w:t xml:space="preserve">/h. </w:t>
            </w:r>
            <w:proofErr w:type="spellStart"/>
            <w:r w:rsidRPr="001825C6">
              <w:rPr>
                <w:i/>
              </w:rPr>
              <w:t>Intrastat</w:t>
            </w:r>
            <w:proofErr w:type="spellEnd"/>
            <w:r w:rsidRPr="001825C6">
              <w:t xml:space="preserve"> pārskatos </w:t>
            </w:r>
            <w:r>
              <w:t xml:space="preserve">ir apmēram </w:t>
            </w:r>
            <w:r w:rsidRPr="001825C6">
              <w:t>1,8</w:t>
            </w:r>
            <w:r>
              <w:t> </w:t>
            </w:r>
            <w:r w:rsidRPr="001825C6">
              <w:t>milj</w:t>
            </w:r>
            <w:r w:rsidR="00D540D0">
              <w:t>.</w:t>
            </w:r>
            <w:r w:rsidRPr="001825C6">
              <w:t xml:space="preserve"> </w:t>
            </w:r>
            <w:r>
              <w:t>a</w:t>
            </w:r>
            <w:r w:rsidRPr="001825C6">
              <w:t>izpildīt</w:t>
            </w:r>
            <w:r>
              <w:t>u</w:t>
            </w:r>
            <w:r w:rsidRPr="001825C6">
              <w:t xml:space="preserve"> rindu (R)</w:t>
            </w:r>
            <w:r>
              <w:t>.</w:t>
            </w:r>
            <w:r w:rsidRPr="001825C6">
              <w:t xml:space="preserve"> Vienas datu rindas apstrādei vidēji tiek patērēt</w:t>
            </w:r>
            <w:r w:rsidR="00D540D0">
              <w:t>as</w:t>
            </w:r>
            <w:r w:rsidRPr="001825C6">
              <w:t xml:space="preserve"> (T)</w:t>
            </w:r>
            <w:proofErr w:type="gramStart"/>
            <w:r w:rsidRPr="001825C6">
              <w:t xml:space="preserve">  </w:t>
            </w:r>
            <w:proofErr w:type="gramEnd"/>
            <w:r w:rsidRPr="001825C6">
              <w:t>0,42</w:t>
            </w:r>
            <w:r w:rsidR="00D540D0">
              <w:t> </w:t>
            </w:r>
            <w:r w:rsidRPr="001825C6">
              <w:t xml:space="preserve">min. </w:t>
            </w:r>
          </w:p>
          <w:p w14:paraId="0FEDB2C0" w14:textId="3D89C284" w:rsidR="001825C6" w:rsidRPr="001825C6" w:rsidRDefault="001825C6" w:rsidP="001C5690">
            <w:pPr>
              <w:spacing w:before="0"/>
            </w:pPr>
            <w:r w:rsidRPr="001825C6">
              <w:t xml:space="preserve">Pārvaldes patērētais laiks </w:t>
            </w:r>
            <w:proofErr w:type="spellStart"/>
            <w:r w:rsidRPr="00D540D0">
              <w:rPr>
                <w:i/>
              </w:rPr>
              <w:t>Intrastat</w:t>
            </w:r>
            <w:proofErr w:type="spellEnd"/>
            <w:r w:rsidRPr="001825C6">
              <w:t xml:space="preserve"> pārskatu vākšanai un apstrādei (pārskati par preču ievedumu no ES valstīm):</w:t>
            </w:r>
          </w:p>
          <w:p w14:paraId="0FEDB2C1" w14:textId="73E2E485" w:rsidR="001825C6" w:rsidRPr="001825C6" w:rsidRDefault="001825C6" w:rsidP="001C5690">
            <w:pPr>
              <w:spacing w:before="0"/>
            </w:pPr>
            <w:r w:rsidRPr="001825C6">
              <w:t>R</w:t>
            </w:r>
            <w:r w:rsidR="00D540D0">
              <w:t xml:space="preserve"> x </w:t>
            </w:r>
            <w:r w:rsidRPr="001825C6">
              <w:t>T/60</w:t>
            </w:r>
            <w:r w:rsidR="00D540D0">
              <w:t xml:space="preserve"> </w:t>
            </w:r>
            <w:r w:rsidRPr="001825C6">
              <w:t>=</w:t>
            </w:r>
            <w:r w:rsidR="00D540D0">
              <w:t xml:space="preserve"> </w:t>
            </w:r>
            <w:r w:rsidRPr="001825C6">
              <w:t>1 800 000</w:t>
            </w:r>
            <w:r w:rsidR="00D540D0">
              <w:t xml:space="preserve"> x </w:t>
            </w:r>
            <w:r w:rsidRPr="001825C6">
              <w:t>0,42/60</w:t>
            </w:r>
            <w:r w:rsidR="00D540D0">
              <w:t xml:space="preserve"> </w:t>
            </w:r>
            <w:r w:rsidRPr="001825C6">
              <w:t>= 12 600</w:t>
            </w:r>
            <w:r w:rsidR="00D540D0">
              <w:t> </w:t>
            </w:r>
            <w:r w:rsidRPr="001825C6">
              <w:t>stundas gadā</w:t>
            </w:r>
          </w:p>
          <w:p w14:paraId="0FEDB2C2" w14:textId="32D0A0E8" w:rsidR="001825C6" w:rsidRPr="001825C6" w:rsidRDefault="001825C6" w:rsidP="001C5690">
            <w:pPr>
              <w:spacing w:before="0"/>
            </w:pPr>
            <w:r w:rsidRPr="001825C6">
              <w:t xml:space="preserve">Pārvaldes izmaksas </w:t>
            </w:r>
            <w:proofErr w:type="spellStart"/>
            <w:r w:rsidRPr="00D540D0">
              <w:rPr>
                <w:i/>
              </w:rPr>
              <w:t>Intrastat</w:t>
            </w:r>
            <w:proofErr w:type="spellEnd"/>
            <w:r w:rsidRPr="001825C6">
              <w:t xml:space="preserve"> pārskata datu vākšanai un apstrādei par preču </w:t>
            </w:r>
            <w:r w:rsidR="00BA3C61">
              <w:t xml:space="preserve">ievedumu </w:t>
            </w:r>
            <w:r w:rsidRPr="001825C6">
              <w:t>ir:</w:t>
            </w:r>
          </w:p>
          <w:p w14:paraId="0FEDB2C3" w14:textId="7940F482" w:rsidR="001825C6" w:rsidRPr="001825C6" w:rsidRDefault="001825C6" w:rsidP="001C5690">
            <w:pPr>
              <w:spacing w:before="0"/>
            </w:pPr>
            <w:r w:rsidRPr="001825C6">
              <w:t>R</w:t>
            </w:r>
            <w:r w:rsidR="00D540D0">
              <w:t xml:space="preserve"> x </w:t>
            </w:r>
            <w:r w:rsidRPr="001825C6">
              <w:t>T/60</w:t>
            </w:r>
            <w:r w:rsidR="00D540D0">
              <w:t xml:space="preserve"> x </w:t>
            </w:r>
            <w:r w:rsidRPr="001825C6">
              <w:t>I</w:t>
            </w:r>
            <w:r w:rsidR="00D540D0">
              <w:t xml:space="preserve"> </w:t>
            </w:r>
            <w:r w:rsidRPr="001825C6">
              <w:t>=</w:t>
            </w:r>
            <w:r w:rsidR="00D540D0">
              <w:t xml:space="preserve"> </w:t>
            </w:r>
            <w:r w:rsidRPr="001825C6">
              <w:t>(1 800 000</w:t>
            </w:r>
            <w:r w:rsidR="00D540D0">
              <w:t xml:space="preserve"> x </w:t>
            </w:r>
            <w:r w:rsidRPr="001825C6">
              <w:t>0,42)/60</w:t>
            </w:r>
            <w:r w:rsidR="00D540D0">
              <w:t xml:space="preserve"> x </w:t>
            </w:r>
            <w:r w:rsidRPr="001825C6">
              <w:t>6,43</w:t>
            </w:r>
            <w:r w:rsidR="00D540D0">
              <w:t xml:space="preserve"> </w:t>
            </w:r>
            <w:r w:rsidRPr="001825C6">
              <w:t>=</w:t>
            </w:r>
            <w:r w:rsidR="00D540D0">
              <w:t xml:space="preserve"> </w:t>
            </w:r>
            <w:r w:rsidRPr="001825C6">
              <w:t xml:space="preserve">81 018 </w:t>
            </w:r>
            <w:proofErr w:type="spellStart"/>
            <w:r w:rsidRPr="001825C6">
              <w:rPr>
                <w:i/>
              </w:rPr>
              <w:t>euro</w:t>
            </w:r>
            <w:proofErr w:type="spellEnd"/>
          </w:p>
          <w:p w14:paraId="0FEDB2C4" w14:textId="77777777" w:rsidR="001825C6" w:rsidRPr="001825C6" w:rsidRDefault="001825C6" w:rsidP="001C5690">
            <w:pPr>
              <w:spacing w:before="0"/>
            </w:pPr>
          </w:p>
          <w:p w14:paraId="0FEDB2C5" w14:textId="7B9D4E28" w:rsidR="001825C6" w:rsidRPr="001825C6" w:rsidRDefault="001825C6" w:rsidP="001C5690">
            <w:pPr>
              <w:spacing w:before="0"/>
            </w:pPr>
            <w:r w:rsidRPr="001825C6">
              <w:t xml:space="preserve">Savākto </w:t>
            </w:r>
            <w:proofErr w:type="spellStart"/>
            <w:r w:rsidRPr="00D540D0">
              <w:rPr>
                <w:i/>
              </w:rPr>
              <w:t>Intrastat</w:t>
            </w:r>
            <w:proofErr w:type="spellEnd"/>
            <w:r w:rsidRPr="001825C6">
              <w:t xml:space="preserve"> pārskatu importa vērtības samazinājums par 10</w:t>
            </w:r>
            <w:r w:rsidR="00D540D0">
              <w:t xml:space="preserve"> </w:t>
            </w:r>
            <w:r w:rsidRPr="001825C6">
              <w:t xml:space="preserve">% samazina (R) līdz </w:t>
            </w:r>
            <w:r w:rsidR="00D540D0">
              <w:t>apmēram</w:t>
            </w:r>
            <w:r w:rsidRPr="001825C6">
              <w:t>1,4 milj.</w:t>
            </w:r>
          </w:p>
          <w:p w14:paraId="0FEDB2C6" w14:textId="22FCD2CE" w:rsidR="001825C6" w:rsidRPr="001825C6" w:rsidRDefault="001825C6" w:rsidP="001C5690">
            <w:pPr>
              <w:spacing w:before="0"/>
            </w:pPr>
            <w:r w:rsidRPr="001825C6">
              <w:t>R</w:t>
            </w:r>
            <w:r w:rsidR="00D540D0">
              <w:t xml:space="preserve"> x </w:t>
            </w:r>
            <w:r w:rsidRPr="001825C6">
              <w:t>T/60</w:t>
            </w:r>
            <w:r w:rsidR="00D540D0">
              <w:t xml:space="preserve"> </w:t>
            </w:r>
            <w:r w:rsidRPr="001825C6">
              <w:t>=</w:t>
            </w:r>
            <w:r w:rsidR="00D540D0">
              <w:t xml:space="preserve"> </w:t>
            </w:r>
            <w:r w:rsidRPr="001825C6">
              <w:t>1 400 000</w:t>
            </w:r>
            <w:r w:rsidR="00D540D0">
              <w:t xml:space="preserve"> x </w:t>
            </w:r>
            <w:r w:rsidRPr="001825C6">
              <w:t>0,42/60</w:t>
            </w:r>
            <w:r w:rsidR="00D540D0">
              <w:t xml:space="preserve"> </w:t>
            </w:r>
            <w:r w:rsidRPr="001825C6">
              <w:t>= 9</w:t>
            </w:r>
            <w:r w:rsidR="009D0F90">
              <w:t> </w:t>
            </w:r>
            <w:r w:rsidRPr="001825C6">
              <w:t>800</w:t>
            </w:r>
            <w:r w:rsidR="00D540D0">
              <w:t> </w:t>
            </w:r>
            <w:r w:rsidRPr="001825C6">
              <w:t>stundas gadā</w:t>
            </w:r>
          </w:p>
          <w:p w14:paraId="0FEDB2C7" w14:textId="77777777" w:rsidR="001825C6" w:rsidRPr="001825C6" w:rsidRDefault="001825C6" w:rsidP="001C5690">
            <w:pPr>
              <w:spacing w:before="0"/>
            </w:pPr>
          </w:p>
          <w:p w14:paraId="0FEDB2C8" w14:textId="4E3CADF8" w:rsidR="001825C6" w:rsidRPr="001825C6" w:rsidRDefault="001825C6" w:rsidP="001C5690">
            <w:pPr>
              <w:spacing w:before="0"/>
            </w:pPr>
            <w:r w:rsidRPr="001825C6">
              <w:t>R</w:t>
            </w:r>
            <w:r w:rsidR="009D0F90">
              <w:t xml:space="preserve"> x </w:t>
            </w:r>
            <w:r w:rsidRPr="001825C6">
              <w:t>T/60</w:t>
            </w:r>
            <w:r w:rsidR="009D0F90">
              <w:t xml:space="preserve"> x </w:t>
            </w:r>
            <w:r w:rsidRPr="001825C6">
              <w:t>I</w:t>
            </w:r>
            <w:r w:rsidR="009D0F90">
              <w:t xml:space="preserve"> </w:t>
            </w:r>
            <w:r w:rsidRPr="001825C6">
              <w:t>=</w:t>
            </w:r>
            <w:r w:rsidR="009D0F90">
              <w:t xml:space="preserve"> </w:t>
            </w:r>
            <w:r w:rsidRPr="001825C6">
              <w:t>(1 400 000</w:t>
            </w:r>
            <w:r w:rsidR="009D0F90">
              <w:t xml:space="preserve"> x </w:t>
            </w:r>
            <w:r w:rsidRPr="001825C6">
              <w:t>0,42)/60</w:t>
            </w:r>
            <w:r w:rsidR="009D0F90">
              <w:t xml:space="preserve"> x </w:t>
            </w:r>
            <w:r w:rsidRPr="001825C6">
              <w:t>6,43</w:t>
            </w:r>
            <w:r w:rsidR="009D0F90">
              <w:t xml:space="preserve"> </w:t>
            </w:r>
            <w:r w:rsidRPr="001825C6">
              <w:t>=</w:t>
            </w:r>
            <w:r w:rsidR="009D0F90">
              <w:t xml:space="preserve"> </w:t>
            </w:r>
            <w:r w:rsidRPr="001825C6">
              <w:t xml:space="preserve">63 014 </w:t>
            </w:r>
            <w:proofErr w:type="spellStart"/>
            <w:r w:rsidRPr="001825C6">
              <w:rPr>
                <w:i/>
              </w:rPr>
              <w:t>euro</w:t>
            </w:r>
            <w:proofErr w:type="spellEnd"/>
          </w:p>
          <w:p w14:paraId="0FEDB2C9" w14:textId="77777777" w:rsidR="001825C6" w:rsidRPr="001825C6" w:rsidRDefault="001825C6" w:rsidP="001C5690">
            <w:pPr>
              <w:spacing w:before="0"/>
            </w:pPr>
          </w:p>
          <w:p w14:paraId="0FEDB2CA" w14:textId="77777777" w:rsidR="001825C6" w:rsidRPr="001825C6" w:rsidRDefault="001825C6" w:rsidP="001C5690">
            <w:pPr>
              <w:spacing w:before="0"/>
            </w:pPr>
          </w:p>
          <w:p w14:paraId="0FEDB2CB" w14:textId="77777777" w:rsidR="001825C6" w:rsidRPr="001825C6" w:rsidRDefault="001825C6" w:rsidP="001C5690">
            <w:pPr>
              <w:spacing w:before="0"/>
            </w:pPr>
          </w:p>
          <w:p w14:paraId="0FEDB2CC" w14:textId="77777777" w:rsidR="001825C6" w:rsidRPr="001825C6" w:rsidRDefault="001825C6" w:rsidP="001C5690">
            <w:pPr>
              <w:spacing w:before="0"/>
            </w:pPr>
          </w:p>
          <w:p w14:paraId="0FEDB2CE" w14:textId="5781654C" w:rsidR="001825C6" w:rsidRPr="001825C6" w:rsidRDefault="001825C6" w:rsidP="001C5690">
            <w:pPr>
              <w:spacing w:before="0"/>
            </w:pPr>
            <w:r w:rsidRPr="001825C6">
              <w:lastRenderedPageBreak/>
              <w:t>Importa vērtības samazinājums par 20</w:t>
            </w:r>
            <w:r w:rsidR="009D0F90">
              <w:t> </w:t>
            </w:r>
            <w:r w:rsidRPr="001825C6">
              <w:t xml:space="preserve">% samazina (R) līdz </w:t>
            </w:r>
            <w:r w:rsidR="009D0F90">
              <w:t xml:space="preserve">apmēram </w:t>
            </w:r>
            <w:r w:rsidRPr="001825C6">
              <w:t>1,1 milj.</w:t>
            </w:r>
          </w:p>
          <w:p w14:paraId="0FEDB2CF" w14:textId="0BE1C66A" w:rsidR="001825C6" w:rsidRPr="001825C6" w:rsidRDefault="001825C6" w:rsidP="001C5690">
            <w:pPr>
              <w:spacing w:before="0"/>
            </w:pPr>
            <w:r w:rsidRPr="001825C6">
              <w:t>R</w:t>
            </w:r>
            <w:r w:rsidR="009D0F90">
              <w:t xml:space="preserve"> x </w:t>
            </w:r>
            <w:r w:rsidRPr="001825C6">
              <w:t>T/60</w:t>
            </w:r>
            <w:r w:rsidR="009D0F90">
              <w:t xml:space="preserve"> </w:t>
            </w:r>
            <w:r w:rsidRPr="001825C6">
              <w:t>=</w:t>
            </w:r>
            <w:r w:rsidR="009D0F90">
              <w:t xml:space="preserve"> </w:t>
            </w:r>
            <w:r w:rsidRPr="001825C6">
              <w:t>1 100 000</w:t>
            </w:r>
            <w:r w:rsidR="009D0F90">
              <w:t xml:space="preserve"> x </w:t>
            </w:r>
            <w:r w:rsidRPr="001825C6">
              <w:t>0,42/60</w:t>
            </w:r>
            <w:r w:rsidR="009D0F90">
              <w:t xml:space="preserve"> </w:t>
            </w:r>
            <w:r w:rsidRPr="001825C6">
              <w:t>= 7</w:t>
            </w:r>
            <w:r w:rsidR="009D0F90">
              <w:t> </w:t>
            </w:r>
            <w:r w:rsidRPr="001825C6">
              <w:t>700</w:t>
            </w:r>
            <w:r w:rsidR="009D0F90">
              <w:t> </w:t>
            </w:r>
            <w:r w:rsidRPr="001825C6">
              <w:t>stundas gadā</w:t>
            </w:r>
          </w:p>
          <w:p w14:paraId="0FEDB2D0" w14:textId="77777777" w:rsidR="001825C6" w:rsidRPr="001825C6" w:rsidRDefault="001825C6" w:rsidP="001C5690">
            <w:pPr>
              <w:spacing w:before="0"/>
            </w:pPr>
          </w:p>
          <w:p w14:paraId="0FEDB2D1" w14:textId="30BFBAFA" w:rsidR="001825C6" w:rsidRPr="001825C6" w:rsidRDefault="001825C6" w:rsidP="001C5690">
            <w:pPr>
              <w:spacing w:before="0"/>
            </w:pPr>
            <w:r w:rsidRPr="001825C6">
              <w:t>R</w:t>
            </w:r>
            <w:r w:rsidR="009D0F90">
              <w:t xml:space="preserve"> x </w:t>
            </w:r>
            <w:r w:rsidRPr="001825C6">
              <w:t>T/60</w:t>
            </w:r>
            <w:r w:rsidR="009D0F90">
              <w:t xml:space="preserve"> x </w:t>
            </w:r>
            <w:r w:rsidRPr="001825C6">
              <w:t>I</w:t>
            </w:r>
            <w:r w:rsidR="009D0F90">
              <w:t xml:space="preserve"> </w:t>
            </w:r>
            <w:r w:rsidRPr="001825C6">
              <w:t>=</w:t>
            </w:r>
            <w:r w:rsidR="009D0F90">
              <w:t xml:space="preserve"> </w:t>
            </w:r>
            <w:r w:rsidRPr="001825C6">
              <w:t>(1 100 000</w:t>
            </w:r>
            <w:r w:rsidR="009D0F90">
              <w:t xml:space="preserve"> x </w:t>
            </w:r>
            <w:r w:rsidRPr="001825C6">
              <w:t>0,42)/60</w:t>
            </w:r>
            <w:r w:rsidR="009D0F90">
              <w:t xml:space="preserve"> x </w:t>
            </w:r>
            <w:r w:rsidRPr="001825C6">
              <w:t>6,43</w:t>
            </w:r>
            <w:r w:rsidR="009D0F90">
              <w:t xml:space="preserve"> </w:t>
            </w:r>
            <w:r w:rsidRPr="001825C6">
              <w:t>=</w:t>
            </w:r>
            <w:r w:rsidR="009D0F90">
              <w:t xml:space="preserve"> </w:t>
            </w:r>
            <w:r w:rsidRPr="001825C6">
              <w:t xml:space="preserve">49 511 </w:t>
            </w:r>
            <w:proofErr w:type="spellStart"/>
            <w:r w:rsidRPr="001825C6">
              <w:rPr>
                <w:i/>
              </w:rPr>
              <w:t>euro</w:t>
            </w:r>
            <w:proofErr w:type="spellEnd"/>
          </w:p>
          <w:p w14:paraId="0FEDB2D2" w14:textId="77777777" w:rsidR="001825C6" w:rsidRPr="001825C6" w:rsidRDefault="001825C6" w:rsidP="001C5690">
            <w:pPr>
              <w:spacing w:before="0"/>
            </w:pPr>
          </w:p>
          <w:p w14:paraId="39C47D3A" w14:textId="77777777" w:rsidR="00E354F7" w:rsidRDefault="00E354F7" w:rsidP="001C5690">
            <w:pPr>
              <w:spacing w:before="0"/>
            </w:pPr>
          </w:p>
          <w:p w14:paraId="5285FEAC" w14:textId="5BE563FE" w:rsidR="00E354F7" w:rsidRDefault="00E354F7" w:rsidP="001C5690">
            <w:pPr>
              <w:spacing w:before="0"/>
            </w:pPr>
          </w:p>
          <w:p w14:paraId="0A39EADB" w14:textId="77777777" w:rsidR="005A6D21" w:rsidRDefault="005A6D21" w:rsidP="001C5690">
            <w:pPr>
              <w:spacing w:before="0"/>
            </w:pPr>
          </w:p>
          <w:p w14:paraId="0FEDB2D3" w14:textId="20CF79F2" w:rsidR="001825C6" w:rsidRPr="001825C6" w:rsidRDefault="001825C6" w:rsidP="001C5690">
            <w:pPr>
              <w:spacing w:before="0"/>
            </w:pPr>
            <w:r w:rsidRPr="001825C6">
              <w:t xml:space="preserve">Resursu ietaupījums </w:t>
            </w:r>
            <w:proofErr w:type="spellStart"/>
            <w:r w:rsidRPr="009D0F90">
              <w:rPr>
                <w:i/>
              </w:rPr>
              <w:t>Intrastat</w:t>
            </w:r>
            <w:proofErr w:type="spellEnd"/>
            <w:r w:rsidRPr="001825C6">
              <w:t xml:space="preserve"> datu sagatavošanai četru gadu laikā ir:</w:t>
            </w:r>
          </w:p>
          <w:p w14:paraId="0FEDB2D4" w14:textId="7AAFE98D" w:rsidR="001825C6" w:rsidRPr="001825C6" w:rsidRDefault="001825C6" w:rsidP="001C5690">
            <w:pPr>
              <w:spacing w:before="0"/>
            </w:pPr>
            <w:r w:rsidRPr="001825C6">
              <w:t>(81 018</w:t>
            </w:r>
            <w:r w:rsidR="009D0F90">
              <w:t xml:space="preserve"> – </w:t>
            </w:r>
            <w:r w:rsidRPr="001825C6">
              <w:t>63 014)</w:t>
            </w:r>
            <w:r w:rsidR="009D0F90">
              <w:t xml:space="preserve"> </w:t>
            </w:r>
            <w:r w:rsidRPr="001825C6">
              <w:t>+</w:t>
            </w:r>
            <w:r w:rsidR="009D0F90">
              <w:t xml:space="preserve"> </w:t>
            </w:r>
            <w:r w:rsidRPr="001825C6">
              <w:t>( 81 018</w:t>
            </w:r>
            <w:r w:rsidR="009D0F90">
              <w:t xml:space="preserve"> – </w:t>
            </w:r>
            <w:r w:rsidRPr="001825C6">
              <w:t>49 511)</w:t>
            </w:r>
            <w:r w:rsidR="009D0F90">
              <w:t xml:space="preserve"> </w:t>
            </w:r>
            <w:r w:rsidRPr="001825C6">
              <w:t>=</w:t>
            </w:r>
            <w:r w:rsidR="009D0F90">
              <w:t xml:space="preserve"> </w:t>
            </w:r>
            <w:r w:rsidRPr="001825C6">
              <w:t>18</w:t>
            </w:r>
            <w:r w:rsidR="009D0F90">
              <w:t> </w:t>
            </w:r>
            <w:r w:rsidRPr="001825C6">
              <w:t>004</w:t>
            </w:r>
            <w:r w:rsidR="009D0F90">
              <w:t xml:space="preserve"> </w:t>
            </w:r>
            <w:r w:rsidRPr="001825C6">
              <w:t>+</w:t>
            </w:r>
            <w:r w:rsidR="009D0F90">
              <w:t xml:space="preserve"> </w:t>
            </w:r>
            <w:r w:rsidRPr="001825C6">
              <w:t>31 507</w:t>
            </w:r>
            <w:r w:rsidR="009D0F90">
              <w:t xml:space="preserve"> </w:t>
            </w:r>
            <w:r w:rsidRPr="001825C6">
              <w:t>=</w:t>
            </w:r>
            <w:r w:rsidR="009D0F90">
              <w:t xml:space="preserve"> </w:t>
            </w:r>
            <w:r w:rsidRPr="001825C6">
              <w:t xml:space="preserve">49 511 </w:t>
            </w:r>
            <w:proofErr w:type="spellStart"/>
            <w:r w:rsidRPr="001825C6">
              <w:rPr>
                <w:i/>
              </w:rPr>
              <w:t>euro</w:t>
            </w:r>
            <w:proofErr w:type="spellEnd"/>
          </w:p>
          <w:p w14:paraId="0FEDB2D5" w14:textId="77777777" w:rsidR="001825C6" w:rsidRPr="001825C6" w:rsidRDefault="001825C6" w:rsidP="001C5690">
            <w:pPr>
              <w:spacing w:before="0"/>
            </w:pPr>
          </w:p>
          <w:p w14:paraId="0FEDB2D6" w14:textId="6BB80DA8" w:rsidR="001825C6" w:rsidRPr="001825C6" w:rsidRDefault="001825C6" w:rsidP="001C5690">
            <w:pPr>
              <w:spacing w:before="0"/>
            </w:pPr>
            <w:r w:rsidRPr="001825C6">
              <w:t xml:space="preserve">Resursu ietaupījums </w:t>
            </w:r>
            <w:proofErr w:type="spellStart"/>
            <w:r w:rsidRPr="009D0F90">
              <w:rPr>
                <w:i/>
              </w:rPr>
              <w:t>Intrastat</w:t>
            </w:r>
            <w:proofErr w:type="spellEnd"/>
            <w:r w:rsidRPr="001825C6">
              <w:t xml:space="preserve"> datu sagatavošanai 10 gadu laikā pēc projekta beigām ir:</w:t>
            </w:r>
          </w:p>
          <w:p w14:paraId="0FEDB2D7" w14:textId="407A3887" w:rsidR="001825C6" w:rsidRPr="001825C6" w:rsidRDefault="001825C6" w:rsidP="001C5690">
            <w:pPr>
              <w:spacing w:before="0"/>
            </w:pPr>
            <w:r w:rsidRPr="001825C6">
              <w:t>49 511</w:t>
            </w:r>
            <w:r w:rsidR="009D0F90">
              <w:t xml:space="preserve"> </w:t>
            </w:r>
            <w:r w:rsidRPr="001825C6">
              <w:t>+ 31 507</w:t>
            </w:r>
            <w:r w:rsidR="009D0F90">
              <w:t xml:space="preserve"> x </w:t>
            </w:r>
            <w:r w:rsidRPr="001825C6">
              <w:t>7</w:t>
            </w:r>
            <w:r w:rsidR="009D0F90">
              <w:t xml:space="preserve"> </w:t>
            </w:r>
            <w:r w:rsidRPr="001825C6">
              <w:t>=</w:t>
            </w:r>
            <w:r w:rsidR="009D0F90">
              <w:t xml:space="preserve"> </w:t>
            </w:r>
            <w:r w:rsidRPr="001825C6">
              <w:t xml:space="preserve">270 060 </w:t>
            </w:r>
            <w:proofErr w:type="spellStart"/>
            <w:r w:rsidRPr="001825C6">
              <w:rPr>
                <w:i/>
              </w:rPr>
              <w:t>euro</w:t>
            </w:r>
            <w:proofErr w:type="spellEnd"/>
          </w:p>
        </w:tc>
      </w:tr>
    </w:tbl>
    <w:p w14:paraId="600D16FB" w14:textId="77777777" w:rsidR="00343DB9" w:rsidRDefault="00343DB9" w:rsidP="001C5690">
      <w:pPr>
        <w:jc w:val="both"/>
      </w:pPr>
    </w:p>
    <w:p w14:paraId="0FEDB2D9" w14:textId="021D167F" w:rsidR="007463BA" w:rsidRPr="00BA6689" w:rsidRDefault="00070E1F" w:rsidP="001825C6">
      <w:pPr>
        <w:ind w:firstLine="709"/>
        <w:jc w:val="both"/>
        <w:rPr>
          <w:i/>
          <w:color w:val="000000" w:themeColor="text1"/>
        </w:rPr>
      </w:pPr>
      <w:r>
        <w:t xml:space="preserve">Ietaupītie </w:t>
      </w:r>
      <w:r w:rsidR="001825C6">
        <w:t>p</w:t>
      </w:r>
      <w:r>
        <w:t>ārvaldes resursi tiks izmantoti jaunu uzdevumu veikšanai, lai noteiktos termiņos nodrošinātu citas dalībvalstis ar pārbaudītiem un kvalitatīviem mikrodatiem,</w:t>
      </w:r>
      <w:r w:rsidR="001A6BC6">
        <w:t xml:space="preserve"> kā arī</w:t>
      </w:r>
      <w:r>
        <w:t xml:space="preserve"> </w:t>
      </w:r>
      <w:r w:rsidR="001A6BC6" w:rsidRPr="001A6BC6">
        <w:t>lai pārliecinātos par datu kvalitāti, kas saņemti no citām dalībvalstīm un tiek izmantoti importa statistikas sagatavošanai.</w:t>
      </w:r>
      <w:r>
        <w:t xml:space="preserve"> Ņemot vērā iegūtos rezultātus datu apmaiņas iespējamības testēšanā projektā, kas norisinājās no 2014.</w:t>
      </w:r>
      <w:r w:rsidR="001A6BC6">
        <w:t xml:space="preserve"> līdz </w:t>
      </w:r>
      <w:r>
        <w:t>2016</w:t>
      </w:r>
      <w:r w:rsidR="00326444">
        <w:t>. g</w:t>
      </w:r>
      <w:r>
        <w:t xml:space="preserve">adam, konstatēts, ka </w:t>
      </w:r>
      <w:r w:rsidR="001A6BC6">
        <w:t>p</w:t>
      </w:r>
      <w:r>
        <w:t xml:space="preserve">ārvaldes resursu ietaupījums, </w:t>
      </w:r>
      <w:r w:rsidR="001A6BC6">
        <w:t xml:space="preserve">daļēji </w:t>
      </w:r>
      <w:r>
        <w:t xml:space="preserve">atsakoties no importa datu vākšanas, būs ievērojami mazāks nekā darba slodzes pieaugums mikrodatu apstrādei, kas saņemti no citām ES dalībvalstīm.  Ņemot vērā </w:t>
      </w:r>
      <w:r w:rsidR="001A6BC6">
        <w:t>minēto</w:t>
      </w:r>
      <w:r>
        <w:t xml:space="preserve">, resursu ietaupījums </w:t>
      </w:r>
      <w:r w:rsidRPr="00660DB4">
        <w:t xml:space="preserve">270 060 </w:t>
      </w:r>
      <w:proofErr w:type="spellStart"/>
      <w:r w:rsidRPr="003A7E49">
        <w:rPr>
          <w:i/>
        </w:rPr>
        <w:t>euro</w:t>
      </w:r>
      <w:proofErr w:type="spellEnd"/>
      <w:r>
        <w:t xml:space="preserve"> apmērā netiek pievienots kopējam  projekta lietderīguma novērtējumam naudas izteiksmē.</w:t>
      </w:r>
    </w:p>
    <w:p w14:paraId="18E6A2AA" w14:textId="77777777" w:rsidR="001C5690" w:rsidRPr="00D17485" w:rsidRDefault="001C5690" w:rsidP="001C5690">
      <w:pPr>
        <w:ind w:firstLine="709"/>
        <w:jc w:val="both"/>
        <w:rPr>
          <w:rFonts w:eastAsia="Calibri"/>
          <w:sz w:val="28"/>
          <w:szCs w:val="28"/>
        </w:rPr>
      </w:pPr>
    </w:p>
    <w:p w14:paraId="62FB0F40" w14:textId="77777777" w:rsidR="001C5690" w:rsidRPr="00D17485" w:rsidRDefault="001C5690" w:rsidP="001C5690">
      <w:pPr>
        <w:ind w:firstLine="709"/>
        <w:jc w:val="both"/>
        <w:rPr>
          <w:rFonts w:eastAsia="Calibri"/>
          <w:sz w:val="28"/>
          <w:szCs w:val="28"/>
        </w:rPr>
      </w:pPr>
    </w:p>
    <w:p w14:paraId="5484ECA1" w14:textId="77777777" w:rsidR="001C5690" w:rsidRPr="00D17485" w:rsidRDefault="001C5690" w:rsidP="001C5690">
      <w:pPr>
        <w:ind w:firstLine="709"/>
        <w:jc w:val="both"/>
        <w:rPr>
          <w:rFonts w:eastAsia="Calibri"/>
          <w:sz w:val="28"/>
          <w:szCs w:val="28"/>
        </w:rPr>
      </w:pPr>
    </w:p>
    <w:p w14:paraId="0A76C94A" w14:textId="77777777" w:rsidR="001C5690" w:rsidRPr="00D17485" w:rsidRDefault="001C5690" w:rsidP="001C5690">
      <w:pPr>
        <w:ind w:firstLine="709"/>
        <w:jc w:val="both"/>
        <w:rPr>
          <w:rFonts w:eastAsia="Calibri"/>
          <w:sz w:val="28"/>
          <w:szCs w:val="28"/>
        </w:rPr>
      </w:pPr>
      <w:r w:rsidRPr="00D17485">
        <w:rPr>
          <w:rFonts w:eastAsia="Calibri"/>
          <w:sz w:val="28"/>
          <w:szCs w:val="28"/>
        </w:rPr>
        <w:t>Ministru prezidenta biedrs,</w:t>
      </w:r>
    </w:p>
    <w:p w14:paraId="0A14C579" w14:textId="77777777" w:rsidR="001C5690" w:rsidRPr="00D17485" w:rsidRDefault="001C5690" w:rsidP="001C5690">
      <w:pPr>
        <w:tabs>
          <w:tab w:val="left" w:pos="6521"/>
        </w:tabs>
        <w:ind w:firstLine="709"/>
        <w:jc w:val="both"/>
        <w:rPr>
          <w:rFonts w:eastAsia="Calibri"/>
          <w:sz w:val="28"/>
          <w:szCs w:val="28"/>
        </w:rPr>
      </w:pPr>
      <w:r w:rsidRPr="00D17485">
        <w:rPr>
          <w:rFonts w:eastAsia="Calibri"/>
          <w:sz w:val="28"/>
          <w:szCs w:val="28"/>
        </w:rPr>
        <w:t>ekonomikas ministrs</w:t>
      </w:r>
      <w:r w:rsidRPr="00D17485">
        <w:rPr>
          <w:rFonts w:eastAsia="Calibri"/>
          <w:sz w:val="28"/>
          <w:szCs w:val="28"/>
        </w:rPr>
        <w:tab/>
        <w:t xml:space="preserve">Arvils </w:t>
      </w:r>
      <w:proofErr w:type="spellStart"/>
      <w:r w:rsidRPr="00D17485">
        <w:rPr>
          <w:rFonts w:eastAsia="Calibri"/>
          <w:sz w:val="28"/>
          <w:szCs w:val="28"/>
        </w:rPr>
        <w:t>Ašeradens</w:t>
      </w:r>
      <w:proofErr w:type="spellEnd"/>
    </w:p>
    <w:sectPr w:rsidR="001C5690" w:rsidRPr="00D17485" w:rsidSect="00343DB9">
      <w:headerReference w:type="default" r:id="rId7"/>
      <w:footerReference w:type="default" r:id="rId8"/>
      <w:footerReference w:type="first" r:id="rId9"/>
      <w:pgSz w:w="11906" w:h="16838" w:code="9"/>
      <w:pgMar w:top="1418" w:right="1134"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DB2F3" w14:textId="77777777" w:rsidR="00C56F4A" w:rsidRDefault="00C56F4A">
      <w:r>
        <w:separator/>
      </w:r>
    </w:p>
  </w:endnote>
  <w:endnote w:type="continuationSeparator" w:id="0">
    <w:p w14:paraId="0FEDB2F5" w14:textId="77777777" w:rsidR="00C56F4A" w:rsidRDefault="00C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84FF" w14:textId="6B420D2E" w:rsidR="00C56F4A" w:rsidRPr="00326444" w:rsidRDefault="00C56F4A" w:rsidP="00326444">
    <w:pPr>
      <w:pStyle w:val="Footer"/>
      <w:rPr>
        <w:sz w:val="16"/>
        <w:szCs w:val="16"/>
      </w:rPr>
    </w:pPr>
    <w:r>
      <w:rPr>
        <w:sz w:val="16"/>
        <w:szCs w:val="16"/>
      </w:rPr>
      <w:t>R2144_8p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B2EE" w14:textId="4B44CC69" w:rsidR="00C56F4A" w:rsidRPr="00326444" w:rsidRDefault="00C56F4A" w:rsidP="00F139AB">
    <w:pPr>
      <w:pStyle w:val="Footer"/>
      <w:rPr>
        <w:sz w:val="16"/>
        <w:szCs w:val="16"/>
      </w:rPr>
    </w:pPr>
    <w:r>
      <w:rPr>
        <w:sz w:val="16"/>
        <w:szCs w:val="16"/>
      </w:rPr>
      <w:t>R2144_8p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B2EF" w14:textId="77777777" w:rsidR="00C56F4A" w:rsidRDefault="00C56F4A">
      <w:r>
        <w:separator/>
      </w:r>
    </w:p>
  </w:footnote>
  <w:footnote w:type="continuationSeparator" w:id="0">
    <w:p w14:paraId="0FEDB2F1" w14:textId="77777777" w:rsidR="00C56F4A" w:rsidRDefault="00C56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B2E9" w14:textId="2034A7FE" w:rsidR="00C56F4A" w:rsidRDefault="00C56F4A">
    <w:pPr>
      <w:pStyle w:val="Header"/>
      <w:jc w:val="center"/>
    </w:pPr>
    <w:r>
      <w:fldChar w:fldCharType="begin"/>
    </w:r>
    <w:r>
      <w:instrText xml:space="preserve"> PAGE </w:instrText>
    </w:r>
    <w:r>
      <w:fldChar w:fldCharType="separate"/>
    </w:r>
    <w:r w:rsidR="00853FA2">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1">
    <w:nsid w:val="309E4A74"/>
    <w:multiLevelType w:val="hybridMultilevel"/>
    <w:tmpl w:val="682AB49A"/>
    <w:lvl w:ilvl="0" w:tplc="D0386D2E">
      <w:start w:val="1"/>
      <w:numFmt w:val="decimal"/>
      <w:lvlText w:val="%1)"/>
      <w:lvlJc w:val="left"/>
      <w:pPr>
        <w:ind w:left="720" w:hanging="360"/>
      </w:pPr>
      <w:rPr>
        <w:rFonts w:hint="default"/>
      </w:rPr>
    </w:lvl>
    <w:lvl w:ilvl="1" w:tplc="1A5C8CAE" w:tentative="1">
      <w:start w:val="1"/>
      <w:numFmt w:val="lowerLetter"/>
      <w:lvlText w:val="%2."/>
      <w:lvlJc w:val="left"/>
      <w:pPr>
        <w:ind w:left="1440" w:hanging="360"/>
      </w:pPr>
    </w:lvl>
    <w:lvl w:ilvl="2" w:tplc="5BF674D6" w:tentative="1">
      <w:start w:val="1"/>
      <w:numFmt w:val="lowerRoman"/>
      <w:lvlText w:val="%3."/>
      <w:lvlJc w:val="right"/>
      <w:pPr>
        <w:ind w:left="2160" w:hanging="180"/>
      </w:pPr>
    </w:lvl>
    <w:lvl w:ilvl="3" w:tplc="CF64C1DA" w:tentative="1">
      <w:start w:val="1"/>
      <w:numFmt w:val="decimal"/>
      <w:lvlText w:val="%4."/>
      <w:lvlJc w:val="left"/>
      <w:pPr>
        <w:ind w:left="2880" w:hanging="360"/>
      </w:pPr>
    </w:lvl>
    <w:lvl w:ilvl="4" w:tplc="736455CE" w:tentative="1">
      <w:start w:val="1"/>
      <w:numFmt w:val="lowerLetter"/>
      <w:lvlText w:val="%5."/>
      <w:lvlJc w:val="left"/>
      <w:pPr>
        <w:ind w:left="3600" w:hanging="360"/>
      </w:pPr>
    </w:lvl>
    <w:lvl w:ilvl="5" w:tplc="2B06F4D0" w:tentative="1">
      <w:start w:val="1"/>
      <w:numFmt w:val="lowerRoman"/>
      <w:lvlText w:val="%6."/>
      <w:lvlJc w:val="right"/>
      <w:pPr>
        <w:ind w:left="4320" w:hanging="180"/>
      </w:pPr>
    </w:lvl>
    <w:lvl w:ilvl="6" w:tplc="69CEA3D8" w:tentative="1">
      <w:start w:val="1"/>
      <w:numFmt w:val="decimal"/>
      <w:lvlText w:val="%7."/>
      <w:lvlJc w:val="left"/>
      <w:pPr>
        <w:ind w:left="5040" w:hanging="360"/>
      </w:pPr>
    </w:lvl>
    <w:lvl w:ilvl="7" w:tplc="2F1A6A7C" w:tentative="1">
      <w:start w:val="1"/>
      <w:numFmt w:val="lowerLetter"/>
      <w:lvlText w:val="%8."/>
      <w:lvlJc w:val="left"/>
      <w:pPr>
        <w:ind w:left="5760" w:hanging="360"/>
      </w:pPr>
    </w:lvl>
    <w:lvl w:ilvl="8" w:tplc="838C2BEC" w:tentative="1">
      <w:start w:val="1"/>
      <w:numFmt w:val="lowerRoman"/>
      <w:lvlText w:val="%9."/>
      <w:lvlJc w:val="right"/>
      <w:pPr>
        <w:ind w:left="6480" w:hanging="180"/>
      </w:pPr>
    </w:lvl>
  </w:abstractNum>
  <w:abstractNum w:abstractNumId="3" w15:restartNumberingAfterBreak="1">
    <w:nsid w:val="36D83434"/>
    <w:multiLevelType w:val="hybridMultilevel"/>
    <w:tmpl w:val="E9E831E2"/>
    <w:lvl w:ilvl="0" w:tplc="14AC5E18">
      <w:start w:val="1"/>
      <w:numFmt w:val="decimal"/>
      <w:lvlText w:val="%1)"/>
      <w:lvlJc w:val="left"/>
      <w:pPr>
        <w:ind w:left="720" w:hanging="360"/>
      </w:pPr>
      <w:rPr>
        <w:rFonts w:hint="default"/>
      </w:rPr>
    </w:lvl>
    <w:lvl w:ilvl="1" w:tplc="59C2FE12" w:tentative="1">
      <w:start w:val="1"/>
      <w:numFmt w:val="lowerLetter"/>
      <w:lvlText w:val="%2."/>
      <w:lvlJc w:val="left"/>
      <w:pPr>
        <w:ind w:left="1440" w:hanging="360"/>
      </w:pPr>
    </w:lvl>
    <w:lvl w:ilvl="2" w:tplc="8B48F324" w:tentative="1">
      <w:start w:val="1"/>
      <w:numFmt w:val="lowerRoman"/>
      <w:lvlText w:val="%3."/>
      <w:lvlJc w:val="right"/>
      <w:pPr>
        <w:ind w:left="2160" w:hanging="180"/>
      </w:pPr>
    </w:lvl>
    <w:lvl w:ilvl="3" w:tplc="5770D620" w:tentative="1">
      <w:start w:val="1"/>
      <w:numFmt w:val="decimal"/>
      <w:lvlText w:val="%4."/>
      <w:lvlJc w:val="left"/>
      <w:pPr>
        <w:ind w:left="2880" w:hanging="360"/>
      </w:pPr>
    </w:lvl>
    <w:lvl w:ilvl="4" w:tplc="061CA322" w:tentative="1">
      <w:start w:val="1"/>
      <w:numFmt w:val="lowerLetter"/>
      <w:lvlText w:val="%5."/>
      <w:lvlJc w:val="left"/>
      <w:pPr>
        <w:ind w:left="3600" w:hanging="360"/>
      </w:pPr>
    </w:lvl>
    <w:lvl w:ilvl="5" w:tplc="F53EFD1C" w:tentative="1">
      <w:start w:val="1"/>
      <w:numFmt w:val="lowerRoman"/>
      <w:lvlText w:val="%6."/>
      <w:lvlJc w:val="right"/>
      <w:pPr>
        <w:ind w:left="4320" w:hanging="180"/>
      </w:pPr>
    </w:lvl>
    <w:lvl w:ilvl="6" w:tplc="DA0A4DB4" w:tentative="1">
      <w:start w:val="1"/>
      <w:numFmt w:val="decimal"/>
      <w:lvlText w:val="%7."/>
      <w:lvlJc w:val="left"/>
      <w:pPr>
        <w:ind w:left="5040" w:hanging="360"/>
      </w:pPr>
    </w:lvl>
    <w:lvl w:ilvl="7" w:tplc="78AE10C0" w:tentative="1">
      <w:start w:val="1"/>
      <w:numFmt w:val="lowerLetter"/>
      <w:lvlText w:val="%8."/>
      <w:lvlJc w:val="left"/>
      <w:pPr>
        <w:ind w:left="5760" w:hanging="360"/>
      </w:pPr>
    </w:lvl>
    <w:lvl w:ilvl="8" w:tplc="132E1FB6" w:tentative="1">
      <w:start w:val="1"/>
      <w:numFmt w:val="lowerRoman"/>
      <w:lvlText w:val="%9."/>
      <w:lvlJc w:val="right"/>
      <w:pPr>
        <w:ind w:left="6480" w:hanging="180"/>
      </w:pPr>
    </w:lvl>
  </w:abstractNum>
  <w:abstractNum w:abstractNumId="4" w15:restartNumberingAfterBreak="1">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33E31"/>
    <w:rsid w:val="0003610C"/>
    <w:rsid w:val="00054EDA"/>
    <w:rsid w:val="00067DEA"/>
    <w:rsid w:val="00070E1F"/>
    <w:rsid w:val="000C2791"/>
    <w:rsid w:val="000D1208"/>
    <w:rsid w:val="001341A5"/>
    <w:rsid w:val="001825C6"/>
    <w:rsid w:val="001A36D1"/>
    <w:rsid w:val="001A6BC6"/>
    <w:rsid w:val="001C45E5"/>
    <w:rsid w:val="001C5690"/>
    <w:rsid w:val="00260C02"/>
    <w:rsid w:val="00295A39"/>
    <w:rsid w:val="002C34BC"/>
    <w:rsid w:val="002D75E9"/>
    <w:rsid w:val="003026E1"/>
    <w:rsid w:val="00326444"/>
    <w:rsid w:val="00336DED"/>
    <w:rsid w:val="00343DB9"/>
    <w:rsid w:val="00352997"/>
    <w:rsid w:val="00352DE7"/>
    <w:rsid w:val="00355B5E"/>
    <w:rsid w:val="003932A3"/>
    <w:rsid w:val="003A7E49"/>
    <w:rsid w:val="003B63F2"/>
    <w:rsid w:val="003C20E8"/>
    <w:rsid w:val="003D2DD3"/>
    <w:rsid w:val="003F4D13"/>
    <w:rsid w:val="00424335"/>
    <w:rsid w:val="00451B83"/>
    <w:rsid w:val="004E06E5"/>
    <w:rsid w:val="00536626"/>
    <w:rsid w:val="0053747A"/>
    <w:rsid w:val="005A6D21"/>
    <w:rsid w:val="005B36CB"/>
    <w:rsid w:val="005B6906"/>
    <w:rsid w:val="005F0A31"/>
    <w:rsid w:val="00613EF6"/>
    <w:rsid w:val="006223D0"/>
    <w:rsid w:val="006420DA"/>
    <w:rsid w:val="00660DB4"/>
    <w:rsid w:val="006729D6"/>
    <w:rsid w:val="00684BCD"/>
    <w:rsid w:val="006A5BFF"/>
    <w:rsid w:val="007043E7"/>
    <w:rsid w:val="00716E1E"/>
    <w:rsid w:val="007313A2"/>
    <w:rsid w:val="00740092"/>
    <w:rsid w:val="007463BA"/>
    <w:rsid w:val="0075663A"/>
    <w:rsid w:val="0078425C"/>
    <w:rsid w:val="008256B1"/>
    <w:rsid w:val="00853FA2"/>
    <w:rsid w:val="00874DF8"/>
    <w:rsid w:val="008A4D8C"/>
    <w:rsid w:val="008B6816"/>
    <w:rsid w:val="008F3D08"/>
    <w:rsid w:val="009173C9"/>
    <w:rsid w:val="00943C9B"/>
    <w:rsid w:val="00973ED6"/>
    <w:rsid w:val="009D0F90"/>
    <w:rsid w:val="009E1DD3"/>
    <w:rsid w:val="00A72B56"/>
    <w:rsid w:val="00A85C82"/>
    <w:rsid w:val="00A93DB3"/>
    <w:rsid w:val="00A949B2"/>
    <w:rsid w:val="00AB0C64"/>
    <w:rsid w:val="00AB4EB0"/>
    <w:rsid w:val="00AE4DB6"/>
    <w:rsid w:val="00AE6113"/>
    <w:rsid w:val="00AF70B0"/>
    <w:rsid w:val="00B3440F"/>
    <w:rsid w:val="00B54286"/>
    <w:rsid w:val="00B559D5"/>
    <w:rsid w:val="00BA3C61"/>
    <w:rsid w:val="00BA6689"/>
    <w:rsid w:val="00BF540E"/>
    <w:rsid w:val="00C43ABF"/>
    <w:rsid w:val="00C56F4A"/>
    <w:rsid w:val="00C7358A"/>
    <w:rsid w:val="00C87D8F"/>
    <w:rsid w:val="00CA780A"/>
    <w:rsid w:val="00CB4ED0"/>
    <w:rsid w:val="00D0197E"/>
    <w:rsid w:val="00D02026"/>
    <w:rsid w:val="00D31DFA"/>
    <w:rsid w:val="00D5095A"/>
    <w:rsid w:val="00D540D0"/>
    <w:rsid w:val="00D821B2"/>
    <w:rsid w:val="00DA784B"/>
    <w:rsid w:val="00DC77CF"/>
    <w:rsid w:val="00E06F5C"/>
    <w:rsid w:val="00E354F7"/>
    <w:rsid w:val="00EA164F"/>
    <w:rsid w:val="00F139AB"/>
    <w:rsid w:val="00F80183"/>
    <w:rsid w:val="00F93E5D"/>
    <w:rsid w:val="00FB0398"/>
    <w:rsid w:val="00FC1113"/>
    <w:rsid w:val="00FC377D"/>
    <w:rsid w:val="00FD2B8E"/>
    <w:rsid w:val="00FE32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B211"/>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paragraph" w:styleId="ListParagraph">
    <w:name w:val="List Paragraph"/>
    <w:aliases w:val="2"/>
    <w:basedOn w:val="Normal"/>
    <w:link w:val="ListParagraphChar"/>
    <w:uiPriority w:val="34"/>
    <w:qFormat/>
    <w:rsid w:val="00FE32A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FE32A4"/>
    <w:rPr>
      <w:sz w:val="16"/>
      <w:szCs w:val="16"/>
    </w:rPr>
  </w:style>
  <w:style w:type="paragraph" w:styleId="CommentText">
    <w:name w:val="annotation text"/>
    <w:basedOn w:val="Normal"/>
    <w:link w:val="CommentTextChar"/>
    <w:uiPriority w:val="99"/>
    <w:unhideWhenUsed/>
    <w:rsid w:val="00FE32A4"/>
    <w:pPr>
      <w:suppressAutoHyphens w:val="0"/>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E32A4"/>
    <w:rPr>
      <w:sz w:val="20"/>
      <w:szCs w:val="20"/>
    </w:rPr>
  </w:style>
  <w:style w:type="paragraph" w:styleId="BalloonText">
    <w:name w:val="Balloon Text"/>
    <w:basedOn w:val="Normal"/>
    <w:link w:val="BalloonTextChar"/>
    <w:uiPriority w:val="99"/>
    <w:semiHidden/>
    <w:unhideWhenUsed/>
    <w:rsid w:val="00FE3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2A4"/>
    <w:rPr>
      <w:rFonts w:ascii="Segoe UI" w:eastAsia="Times New Roman" w:hAnsi="Segoe UI" w:cs="Segoe UI"/>
      <w:sz w:val="18"/>
      <w:szCs w:val="18"/>
      <w:lang w:eastAsia="zh-CN"/>
    </w:rPr>
  </w:style>
  <w:style w:type="paragraph" w:customStyle="1" w:styleId="VPMessage">
    <w:name w:val="VP Message"/>
    <w:basedOn w:val="Normal"/>
    <w:next w:val="VPBody"/>
    <w:qFormat/>
    <w:rsid w:val="007463BA"/>
    <w:pPr>
      <w:suppressAutoHyphens w:val="0"/>
      <w:spacing w:before="80" w:after="80"/>
    </w:pPr>
    <w:rPr>
      <w:rFonts w:eastAsiaTheme="minorHAnsi" w:cstheme="minorBidi"/>
      <w:b/>
      <w:i/>
      <w:sz w:val="26"/>
      <w:szCs w:val="22"/>
      <w:lang w:eastAsia="en-US"/>
    </w:rPr>
  </w:style>
  <w:style w:type="table" w:styleId="TableGrid">
    <w:name w:val="Table Grid"/>
    <w:basedOn w:val="TableNormal"/>
    <w:uiPriority w:val="39"/>
    <w:rsid w:val="007463BA"/>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rsid w:val="007463BA"/>
  </w:style>
  <w:style w:type="character" w:customStyle="1" w:styleId="name">
    <w:name w:val="name"/>
    <w:rsid w:val="00F1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11050</Words>
  <Characters>6299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41.0 versija - Centrālās statistikas pārvaldes “Ārējās tirdzniecības statistikas datu apstrādes sistēma” izveide)</vt:lpstr>
    </vt:vector>
  </TitlesOfParts>
  <Company>Centrālā statistikas pārvalde</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41.0 versija - Centrālās statistikas pārvaldes “Ārējās tirdzniecības statistikas datu apstrādes sistēma” izveide)</dc:title>
  <dc:subject>Rīkojuma projekta pielikums</dc:subject>
  <dc:creator>Anželika Pavlova</dc:creator>
  <dc:description>67366694, Anzelika.Pavlova@csb.gov.lv</dc:description>
  <cp:lastModifiedBy>Leontine Babkina</cp:lastModifiedBy>
  <cp:revision>17</cp:revision>
  <cp:lastPrinted>2018-11-09T12:16:00Z</cp:lastPrinted>
  <dcterms:created xsi:type="dcterms:W3CDTF">2018-09-05T11:09:00Z</dcterms:created>
  <dcterms:modified xsi:type="dcterms:W3CDTF">2018-11-14T12:49:00Z</dcterms:modified>
</cp:coreProperties>
</file>