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73F9" w14:textId="77777777" w:rsidR="00AC2D12" w:rsidRPr="00967D90" w:rsidRDefault="00AC2D12" w:rsidP="002431AC">
      <w:pPr>
        <w:pStyle w:val="naisf"/>
        <w:spacing w:before="0" w:after="0"/>
        <w:jc w:val="center"/>
        <w:rPr>
          <w:rFonts w:eastAsia="Calibri"/>
          <w:b/>
          <w:bCs/>
          <w:sz w:val="28"/>
          <w:szCs w:val="28"/>
          <w:lang w:eastAsia="x-none"/>
        </w:rPr>
      </w:pPr>
    </w:p>
    <w:p w14:paraId="44D8DB1E" w14:textId="70977A43" w:rsidR="008078B8" w:rsidRPr="00967D90" w:rsidRDefault="008078B8" w:rsidP="002431AC">
      <w:pPr>
        <w:pStyle w:val="naisf"/>
        <w:spacing w:before="0" w:after="0"/>
        <w:jc w:val="center"/>
        <w:rPr>
          <w:rFonts w:eastAsia="Calibri"/>
          <w:b/>
          <w:bCs/>
          <w:sz w:val="28"/>
          <w:szCs w:val="28"/>
          <w:lang w:eastAsia="x-none"/>
        </w:rPr>
      </w:pPr>
      <w:r w:rsidRPr="00967D90">
        <w:rPr>
          <w:rFonts w:eastAsia="Calibri"/>
          <w:b/>
          <w:bCs/>
          <w:sz w:val="28"/>
          <w:szCs w:val="28"/>
          <w:lang w:eastAsia="x-none"/>
        </w:rPr>
        <w:t xml:space="preserve">Likumprojekta „Grozījumi likumā „Par </w:t>
      </w:r>
      <w:r w:rsidR="00F35490" w:rsidRPr="00967D90">
        <w:rPr>
          <w:rFonts w:eastAsia="Calibri"/>
          <w:b/>
          <w:bCs/>
          <w:sz w:val="28"/>
          <w:szCs w:val="28"/>
          <w:lang w:eastAsia="x-none"/>
        </w:rPr>
        <w:t>iedzīvotāju ienākuma nodokli</w:t>
      </w:r>
      <w:r w:rsidRPr="00967D90">
        <w:rPr>
          <w:rFonts w:eastAsia="Calibri"/>
          <w:b/>
          <w:bCs/>
          <w:sz w:val="28"/>
          <w:szCs w:val="28"/>
          <w:lang w:eastAsia="x-none"/>
        </w:rPr>
        <w:t>”” sākotnējās ietekmes novērtējuma ziņojums (anotācija)</w:t>
      </w:r>
    </w:p>
    <w:p w14:paraId="312D79D5" w14:textId="60FD0392" w:rsidR="00FA0501" w:rsidRPr="00967D90" w:rsidRDefault="00FA0501" w:rsidP="002431AC">
      <w:pPr>
        <w:pStyle w:val="naisf"/>
        <w:spacing w:before="0" w:after="0"/>
        <w:jc w:val="center"/>
        <w:rPr>
          <w:rFonts w:eastAsia="Calibri"/>
          <w:b/>
          <w:bCs/>
          <w:sz w:val="28"/>
          <w:szCs w:val="28"/>
          <w:lang w:eastAsia="x-none"/>
        </w:rPr>
      </w:pPr>
    </w:p>
    <w:tbl>
      <w:tblPr>
        <w:tblW w:w="516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5"/>
        <w:gridCol w:w="6522"/>
      </w:tblGrid>
      <w:tr w:rsidR="00967D90" w:rsidRPr="00967D90" w14:paraId="486AB274" w14:textId="77777777" w:rsidTr="003504A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D21E568" w14:textId="77777777" w:rsidR="00FA0501" w:rsidRPr="00967D90" w:rsidRDefault="00FA0501" w:rsidP="003504AB">
            <w:pPr>
              <w:spacing w:before="100" w:beforeAutospacing="1" w:after="100" w:afterAutospacing="1" w:line="360" w:lineRule="auto"/>
              <w:ind w:firstLine="300"/>
              <w:jc w:val="center"/>
              <w:rPr>
                <w:b/>
                <w:bCs/>
              </w:rPr>
            </w:pPr>
            <w:r w:rsidRPr="00967D90">
              <w:rPr>
                <w:b/>
                <w:bCs/>
              </w:rPr>
              <w:t>Tiesību akta projekta anotācijas kopsavilkums</w:t>
            </w:r>
          </w:p>
        </w:tc>
      </w:tr>
      <w:tr w:rsidR="00967D90" w:rsidRPr="00967D90" w14:paraId="16CC774F" w14:textId="77777777" w:rsidTr="003504AB">
        <w:tc>
          <w:tcPr>
            <w:tcW w:w="1515" w:type="pct"/>
            <w:tcBorders>
              <w:top w:val="outset" w:sz="6" w:space="0" w:color="414142"/>
              <w:left w:val="outset" w:sz="6" w:space="0" w:color="414142"/>
              <w:bottom w:val="outset" w:sz="6" w:space="0" w:color="414142"/>
              <w:right w:val="outset" w:sz="6" w:space="0" w:color="414142"/>
            </w:tcBorders>
            <w:hideMark/>
          </w:tcPr>
          <w:p w14:paraId="404CE6BB" w14:textId="77777777" w:rsidR="00FA0501" w:rsidRPr="00967D90" w:rsidRDefault="00FA0501" w:rsidP="003504AB">
            <w:pPr>
              <w:jc w:val="both"/>
            </w:pPr>
            <w:r w:rsidRPr="00967D90">
              <w:t>Mērķis, risinājums un projekta spēkā stāšanās laiks (500 zīmes bez atstarpēm)</w:t>
            </w:r>
          </w:p>
        </w:tc>
        <w:tc>
          <w:tcPr>
            <w:tcW w:w="3485" w:type="pct"/>
            <w:tcBorders>
              <w:top w:val="outset" w:sz="6" w:space="0" w:color="414142"/>
              <w:left w:val="outset" w:sz="6" w:space="0" w:color="414142"/>
              <w:bottom w:val="outset" w:sz="6" w:space="0" w:color="414142"/>
              <w:right w:val="outset" w:sz="6" w:space="0" w:color="414142"/>
            </w:tcBorders>
            <w:hideMark/>
          </w:tcPr>
          <w:p w14:paraId="1E35F388" w14:textId="6A272D31" w:rsidR="00FA0501" w:rsidRPr="00967D90" w:rsidRDefault="00FA0501" w:rsidP="0085094B">
            <w:pPr>
              <w:jc w:val="both"/>
            </w:pPr>
            <w:r w:rsidRPr="00967D90">
              <w:t xml:space="preserve">Likumprojekts </w:t>
            </w:r>
            <w:r w:rsidRPr="00967D90">
              <w:rPr>
                <w:bCs/>
              </w:rPr>
              <w:t>„</w:t>
            </w:r>
            <w:r w:rsidR="00187C9E" w:rsidRPr="00967D90">
              <w:rPr>
                <w:rFonts w:eastAsia="Calibri"/>
                <w:bCs/>
                <w:lang w:eastAsia="x-none"/>
              </w:rPr>
              <w:t>Grozījumi likumā „Par iedzīvotāju ienākuma nodokli</w:t>
            </w:r>
            <w:r w:rsidRPr="00967D90">
              <w:rPr>
                <w:bCs/>
              </w:rPr>
              <w:t xml:space="preserve">” </w:t>
            </w:r>
            <w:r w:rsidR="00155C0C" w:rsidRPr="00967D90">
              <w:t>paredz</w:t>
            </w:r>
            <w:r w:rsidRPr="00967D90">
              <w:t xml:space="preserve"> </w:t>
            </w:r>
            <w:r w:rsidR="00822041" w:rsidRPr="00967D90">
              <w:t xml:space="preserve">iedzīvotāju ienākuma nodokļa </w:t>
            </w:r>
            <w:r w:rsidR="0085094B">
              <w:t>augstākā</w:t>
            </w:r>
            <w:r w:rsidR="0085094B" w:rsidRPr="00967D90">
              <w:t xml:space="preserve"> </w:t>
            </w:r>
            <w:r w:rsidR="00822041" w:rsidRPr="00967D90">
              <w:t>progresijas sliekšņa maiņu</w:t>
            </w:r>
            <w:r w:rsidR="00E337FB" w:rsidRPr="00967D90">
              <w:t xml:space="preserve">, </w:t>
            </w:r>
            <w:r w:rsidR="004A4041">
              <w:t>paredz</w:t>
            </w:r>
            <w:r w:rsidR="004A4041" w:rsidRPr="00967D90">
              <w:t xml:space="preserve"> </w:t>
            </w:r>
            <w:r w:rsidR="00B311A8" w:rsidRPr="00967D90">
              <w:t>kārtību, kādā tiek noteik</w:t>
            </w:r>
            <w:r w:rsidR="007E541F">
              <w:t>t</w:t>
            </w:r>
            <w:r w:rsidR="00B311A8" w:rsidRPr="00967D90">
              <w:t xml:space="preserve">s ienākums no virtuālās valūtas atsavināšanas, kā arī citus precizējumus. </w:t>
            </w:r>
            <w:r w:rsidRPr="00967D90">
              <w:t xml:space="preserve">Likumprojekts stājas spēkā </w:t>
            </w:r>
            <w:r w:rsidR="00187C9E" w:rsidRPr="00967D90">
              <w:t>2019</w:t>
            </w:r>
            <w:r w:rsidRPr="00967D90">
              <w:t xml:space="preserve">.gada 1.janvārī. </w:t>
            </w:r>
          </w:p>
        </w:tc>
      </w:tr>
    </w:tbl>
    <w:p w14:paraId="657EF1B8" w14:textId="77777777" w:rsidR="00FA0501" w:rsidRPr="00967D90" w:rsidRDefault="00FA0501" w:rsidP="002431AC">
      <w:pPr>
        <w:pStyle w:val="naisf"/>
        <w:spacing w:before="0" w:after="0"/>
        <w:jc w:val="center"/>
        <w:rPr>
          <w:rFonts w:eastAsia="Calibri"/>
          <w:b/>
          <w:bCs/>
          <w:sz w:val="28"/>
          <w:szCs w:val="28"/>
          <w:lang w:eastAsia="x-none"/>
        </w:rPr>
      </w:pPr>
    </w:p>
    <w:p w14:paraId="4E5AE890" w14:textId="77777777" w:rsidR="0092720E" w:rsidRPr="00967D90" w:rsidRDefault="0092720E" w:rsidP="00D57F73">
      <w:pPr>
        <w:pStyle w:val="naisf"/>
        <w:spacing w:before="0" w:after="0"/>
        <w:ind w:firstLine="374"/>
        <w:jc w:val="cente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967D90" w:rsidRPr="00967D90" w14:paraId="4C549611" w14:textId="77777777" w:rsidTr="002E0070">
        <w:trPr>
          <w:trHeight w:val="419"/>
        </w:trPr>
        <w:tc>
          <w:tcPr>
            <w:tcW w:w="5000" w:type="pct"/>
            <w:gridSpan w:val="3"/>
            <w:vAlign w:val="center"/>
          </w:tcPr>
          <w:p w14:paraId="1098ADEA" w14:textId="77777777" w:rsidR="008078B8" w:rsidRPr="00967D90" w:rsidRDefault="008078B8" w:rsidP="002431AC">
            <w:pPr>
              <w:pStyle w:val="naisnod"/>
              <w:spacing w:before="0" w:after="0"/>
              <w:ind w:left="57" w:right="57"/>
              <w:rPr>
                <w:b w:val="0"/>
                <w:lang w:val="lv-LV"/>
              </w:rPr>
            </w:pPr>
            <w:r w:rsidRPr="00967D90">
              <w:rPr>
                <w:lang w:val="lv-LV"/>
              </w:rPr>
              <w:t>I. Tiesību akta projekta izstrādes nepieciešamība</w:t>
            </w:r>
          </w:p>
        </w:tc>
      </w:tr>
      <w:tr w:rsidR="00967D90" w:rsidRPr="00967D90" w14:paraId="32150811" w14:textId="77777777" w:rsidTr="002E0070">
        <w:trPr>
          <w:trHeight w:val="415"/>
        </w:trPr>
        <w:tc>
          <w:tcPr>
            <w:tcW w:w="227" w:type="pct"/>
          </w:tcPr>
          <w:p w14:paraId="640DDC85" w14:textId="77777777" w:rsidR="008078B8" w:rsidRPr="00967D90" w:rsidRDefault="008078B8" w:rsidP="002431AC">
            <w:pPr>
              <w:pStyle w:val="naiskr"/>
              <w:spacing w:before="0" w:after="0"/>
              <w:ind w:left="57" w:right="57"/>
              <w:jc w:val="center"/>
            </w:pPr>
            <w:r w:rsidRPr="00967D90">
              <w:t>1.</w:t>
            </w:r>
          </w:p>
        </w:tc>
        <w:tc>
          <w:tcPr>
            <w:tcW w:w="1275" w:type="pct"/>
          </w:tcPr>
          <w:p w14:paraId="02D1CC10" w14:textId="77777777" w:rsidR="008078B8" w:rsidRPr="00967D90" w:rsidRDefault="008078B8" w:rsidP="002431AC">
            <w:pPr>
              <w:pStyle w:val="naiskr"/>
              <w:spacing w:before="0" w:after="0"/>
              <w:ind w:left="57" w:right="57"/>
              <w:jc w:val="both"/>
            </w:pPr>
            <w:r w:rsidRPr="00967D90">
              <w:t>Pamatojums</w:t>
            </w:r>
          </w:p>
        </w:tc>
        <w:tc>
          <w:tcPr>
            <w:tcW w:w="3498" w:type="pct"/>
          </w:tcPr>
          <w:p w14:paraId="31077240" w14:textId="72B76230" w:rsidR="00475BEC" w:rsidRPr="00640800" w:rsidRDefault="00475BEC" w:rsidP="00725051">
            <w:pPr>
              <w:pStyle w:val="Heading3"/>
              <w:numPr>
                <w:ilvl w:val="0"/>
                <w:numId w:val="28"/>
              </w:numPr>
              <w:shd w:val="clear" w:color="auto" w:fill="FFFFFF"/>
              <w:ind w:left="0" w:firstLine="357"/>
              <w:jc w:val="both"/>
              <w:rPr>
                <w:bCs/>
                <w:sz w:val="24"/>
                <w:szCs w:val="24"/>
                <w:lang w:eastAsia="lv-LV"/>
              </w:rPr>
            </w:pPr>
            <w:r>
              <w:rPr>
                <w:bCs/>
                <w:sz w:val="24"/>
                <w:szCs w:val="24"/>
                <w:lang w:eastAsia="lv-LV"/>
              </w:rPr>
              <w:t>2018.gada 25.oktobra likums “</w:t>
            </w:r>
            <w:r w:rsidR="00276027">
              <w:rPr>
                <w:bCs/>
                <w:sz w:val="24"/>
                <w:szCs w:val="24"/>
                <w:lang w:eastAsia="lv-LV"/>
              </w:rPr>
              <w:t>Grozījumi likumā “Par valsts sociālo apdrošināšanu””.</w:t>
            </w:r>
          </w:p>
          <w:p w14:paraId="14BD2B55" w14:textId="4744AF57" w:rsidR="00725051" w:rsidRPr="00967D90" w:rsidRDefault="00725051" w:rsidP="00725051">
            <w:pPr>
              <w:pStyle w:val="Heading3"/>
              <w:numPr>
                <w:ilvl w:val="0"/>
                <w:numId w:val="28"/>
              </w:numPr>
              <w:shd w:val="clear" w:color="auto" w:fill="FFFFFF"/>
              <w:ind w:left="0" w:firstLine="357"/>
              <w:jc w:val="both"/>
              <w:rPr>
                <w:bCs/>
                <w:sz w:val="24"/>
                <w:szCs w:val="24"/>
                <w:lang w:eastAsia="lv-LV"/>
              </w:rPr>
            </w:pPr>
            <w:r w:rsidRPr="00967D90">
              <w:rPr>
                <w:sz w:val="24"/>
                <w:szCs w:val="24"/>
              </w:rPr>
              <w:t>2018.gada 15.februāra likums “</w:t>
            </w:r>
            <w:r w:rsidRPr="00967D90">
              <w:rPr>
                <w:bCs/>
                <w:sz w:val="24"/>
                <w:szCs w:val="24"/>
                <w:lang w:eastAsia="lv-LV"/>
              </w:rPr>
              <w:t>Grozījumi </w:t>
            </w:r>
            <w:hyperlink r:id="rId8" w:tgtFrame="_blank" w:history="1">
              <w:r w:rsidRPr="00967D90">
                <w:rPr>
                  <w:bCs/>
                  <w:sz w:val="24"/>
                  <w:szCs w:val="24"/>
                  <w:lang w:eastAsia="lv-LV"/>
                </w:rPr>
                <w:t>Valsts pārvaldes iestāžu nodarīto zaudējumu atlīdzināšanas likumā</w:t>
              </w:r>
            </w:hyperlink>
            <w:r w:rsidRPr="00967D90">
              <w:rPr>
                <w:bCs/>
                <w:sz w:val="24"/>
                <w:szCs w:val="24"/>
                <w:lang w:eastAsia="lv-LV"/>
              </w:rPr>
              <w:t>” (stājas spēkā 2018.gada 1.martā).</w:t>
            </w:r>
          </w:p>
          <w:p w14:paraId="740A356E" w14:textId="773C3AC8" w:rsidR="00725051" w:rsidRPr="00640800" w:rsidRDefault="00725051" w:rsidP="00725051">
            <w:pPr>
              <w:pStyle w:val="ListParagraph"/>
              <w:numPr>
                <w:ilvl w:val="0"/>
                <w:numId w:val="28"/>
              </w:numPr>
              <w:spacing w:after="0" w:line="240" w:lineRule="auto"/>
              <w:ind w:left="0" w:firstLine="357"/>
              <w:jc w:val="both"/>
              <w:rPr>
                <w:rFonts w:ascii="Times New Roman" w:hAnsi="Times New Roman"/>
                <w:sz w:val="24"/>
                <w:szCs w:val="24"/>
                <w:lang w:val="lv-LV"/>
              </w:rPr>
            </w:pPr>
            <w:r w:rsidRPr="00967D90">
              <w:rPr>
                <w:rFonts w:ascii="Times New Roman" w:hAnsi="Times New Roman"/>
                <w:sz w:val="24"/>
                <w:szCs w:val="24"/>
                <w:lang w:val="lv-LV"/>
              </w:rPr>
              <w:t xml:space="preserve">2017.gada 30.novembra likums </w:t>
            </w:r>
            <w:r w:rsidR="001D052E" w:rsidRPr="00967D90">
              <w:rPr>
                <w:rFonts w:ascii="Times New Roman" w:hAnsi="Times New Roman"/>
                <w:sz w:val="24"/>
                <w:szCs w:val="24"/>
                <w:lang w:val="lv-LV"/>
              </w:rPr>
              <w:t>“</w:t>
            </w:r>
            <w:r w:rsidRPr="00967D90">
              <w:rPr>
                <w:rFonts w:ascii="Times New Roman" w:hAnsi="Times New Roman"/>
                <w:bCs/>
                <w:sz w:val="24"/>
                <w:szCs w:val="24"/>
                <w:shd w:val="clear" w:color="auto" w:fill="FFFFFF"/>
                <w:lang w:val="lv-LV"/>
              </w:rPr>
              <w:t>Kriminālprocesā un administratīvo pārkāpumu lietvedībā nodarītā kaitējuma atlīdzināšanas likums</w:t>
            </w:r>
            <w:r w:rsidR="001D052E" w:rsidRPr="00967D90">
              <w:rPr>
                <w:rFonts w:ascii="Times New Roman" w:hAnsi="Times New Roman"/>
                <w:bCs/>
                <w:sz w:val="24"/>
                <w:szCs w:val="24"/>
                <w:shd w:val="clear" w:color="auto" w:fill="FFFFFF"/>
                <w:lang w:val="lv-LV"/>
              </w:rPr>
              <w:t>”</w:t>
            </w:r>
            <w:r w:rsidRPr="00967D90">
              <w:rPr>
                <w:rFonts w:ascii="Times New Roman" w:hAnsi="Times New Roman"/>
                <w:bCs/>
                <w:sz w:val="24"/>
                <w:szCs w:val="24"/>
                <w:lang w:val="lv-LV" w:eastAsia="lv-LV"/>
              </w:rPr>
              <w:t xml:space="preserve"> </w:t>
            </w:r>
            <w:r w:rsidR="001D052E" w:rsidRPr="00967D90">
              <w:rPr>
                <w:rFonts w:ascii="Times New Roman" w:hAnsi="Times New Roman"/>
                <w:bCs/>
                <w:sz w:val="24"/>
                <w:szCs w:val="24"/>
                <w:lang w:val="lv-LV" w:eastAsia="lv-LV"/>
              </w:rPr>
              <w:t>(</w:t>
            </w:r>
            <w:r w:rsidRPr="00967D90">
              <w:rPr>
                <w:rFonts w:ascii="Times New Roman" w:hAnsi="Times New Roman"/>
                <w:bCs/>
                <w:sz w:val="24"/>
                <w:szCs w:val="24"/>
                <w:lang w:val="lv-LV" w:eastAsia="lv-LV"/>
              </w:rPr>
              <w:t>stājas spēkā 2018.gada 1.martā).</w:t>
            </w:r>
          </w:p>
          <w:p w14:paraId="7A127B67" w14:textId="154E528E" w:rsidR="00725051" w:rsidRPr="00967D90" w:rsidRDefault="00475BEC" w:rsidP="00640800">
            <w:pPr>
              <w:pStyle w:val="ListParagraph"/>
              <w:numPr>
                <w:ilvl w:val="0"/>
                <w:numId w:val="28"/>
              </w:numPr>
              <w:spacing w:after="0" w:line="240" w:lineRule="auto"/>
              <w:ind w:left="0" w:firstLine="357"/>
              <w:jc w:val="both"/>
              <w:rPr>
                <w:lang w:val="lv-LV"/>
              </w:rPr>
            </w:pPr>
            <w:r>
              <w:rPr>
                <w:rFonts w:ascii="Times New Roman" w:hAnsi="Times New Roman"/>
                <w:bCs/>
                <w:sz w:val="24"/>
                <w:szCs w:val="24"/>
                <w:lang w:val="lv-LV" w:eastAsia="lv-LV"/>
              </w:rPr>
              <w:t>Ministru kabineta 2018.gada 14.augusta sēdes protokola Nr.38 48.§ 4.1.apakšpunkts.</w:t>
            </w:r>
          </w:p>
        </w:tc>
      </w:tr>
      <w:tr w:rsidR="00967D90" w:rsidRPr="00967D90" w14:paraId="61500C26" w14:textId="77777777" w:rsidTr="002E0070">
        <w:trPr>
          <w:trHeight w:val="472"/>
        </w:trPr>
        <w:tc>
          <w:tcPr>
            <w:tcW w:w="227" w:type="pct"/>
          </w:tcPr>
          <w:p w14:paraId="6BE35282" w14:textId="77777777" w:rsidR="008078B8" w:rsidRPr="00967D90" w:rsidRDefault="008078B8" w:rsidP="002431AC">
            <w:pPr>
              <w:pStyle w:val="naiskr"/>
              <w:spacing w:before="0" w:after="0"/>
              <w:ind w:left="57" w:right="57"/>
              <w:jc w:val="center"/>
            </w:pPr>
            <w:r w:rsidRPr="00967D90">
              <w:t>2.</w:t>
            </w:r>
          </w:p>
        </w:tc>
        <w:tc>
          <w:tcPr>
            <w:tcW w:w="1275" w:type="pct"/>
          </w:tcPr>
          <w:p w14:paraId="0AE1395E" w14:textId="77777777" w:rsidR="008078B8" w:rsidRPr="00967D90" w:rsidRDefault="008078B8" w:rsidP="002431AC">
            <w:pPr>
              <w:pStyle w:val="naiskr"/>
              <w:tabs>
                <w:tab w:val="left" w:pos="170"/>
              </w:tabs>
              <w:spacing w:before="0" w:after="0"/>
              <w:ind w:left="57" w:right="57"/>
            </w:pPr>
            <w:r w:rsidRPr="00967D90">
              <w:t>Pašreizējā situācija un problēmas, kuru risināšanai tiesību akta projekts izstrādāts, tiesiskā regulējuma mērķis un būtība</w:t>
            </w:r>
          </w:p>
        </w:tc>
        <w:tc>
          <w:tcPr>
            <w:tcW w:w="3498" w:type="pct"/>
          </w:tcPr>
          <w:p w14:paraId="48D00D90" w14:textId="7E4BE29A" w:rsidR="00D269A7" w:rsidRPr="00D269A7" w:rsidRDefault="00D269A7" w:rsidP="00EC60DF">
            <w:pPr>
              <w:widowControl w:val="0"/>
              <w:tabs>
                <w:tab w:val="left" w:pos="284"/>
              </w:tabs>
              <w:jc w:val="both"/>
              <w:rPr>
                <w:i/>
                <w:u w:val="single"/>
              </w:rPr>
            </w:pPr>
            <w:r w:rsidRPr="00D269A7">
              <w:rPr>
                <w:i/>
                <w:u w:val="single"/>
              </w:rPr>
              <w:t xml:space="preserve">Iedzīvotāju ienākuma nodokļa augstākā progresijas sliekšņa (55 000 </w:t>
            </w:r>
            <w:proofErr w:type="spellStart"/>
            <w:r w:rsidRPr="00D269A7">
              <w:rPr>
                <w:i/>
                <w:u w:val="single"/>
              </w:rPr>
              <w:t>euro</w:t>
            </w:r>
            <w:proofErr w:type="spellEnd"/>
            <w:r w:rsidRPr="00D269A7">
              <w:rPr>
                <w:i/>
                <w:u w:val="single"/>
              </w:rPr>
              <w:t>) maiņa</w:t>
            </w:r>
          </w:p>
          <w:p w14:paraId="0403EEE1" w14:textId="77777777" w:rsidR="002460AD" w:rsidRDefault="002460AD" w:rsidP="002460AD">
            <w:pPr>
              <w:ind w:firstLine="680"/>
              <w:jc w:val="both"/>
            </w:pPr>
            <w:r>
              <w:t>V</w:t>
            </w:r>
            <w:r w:rsidRPr="00A74995">
              <w:t>alsts sociālās apdrošināšanas obligāto iemaksu griesti vienlaikus ir arī slieksnis, no kura tiek uzsākta solidaritātes nodokļa maksāšana, kā arī no šī sliekšņa tiek piemērota iedzīvot</w:t>
            </w:r>
            <w:r w:rsidRPr="00F04BD3">
              <w:t>āju ienākuma nodokļa likme 31,4</w:t>
            </w:r>
            <w:r w:rsidRPr="00A74995">
              <w:t xml:space="preserve">% apmērā. </w:t>
            </w:r>
          </w:p>
          <w:p w14:paraId="3C344FCC" w14:textId="2C40DE2F" w:rsidR="002460AD" w:rsidRDefault="002460AD" w:rsidP="002460AD">
            <w:pPr>
              <w:ind w:firstLine="680"/>
              <w:jc w:val="both"/>
            </w:pPr>
            <w:r w:rsidRPr="00A74995">
              <w:t xml:space="preserve">Tādējādi, lai neradītu nepieciešamību ikgadēji pārskatīt arī Solidaritātes nodokļa likumu un likumā “Par iedzīvotāju ienākuma nodokli” ietvertos likmju sliekšņus, </w:t>
            </w:r>
            <w:r>
              <w:t>Saeima 2018.gada 25.oktobrī ir pieņēmusi likumu “</w:t>
            </w:r>
            <w:r w:rsidR="00E62138" w:rsidRPr="00967D90">
              <w:rPr>
                <w:bCs/>
              </w:rPr>
              <w:t>Grozījumi </w:t>
            </w:r>
            <w:r w:rsidR="00E62138">
              <w:rPr>
                <w:bCs/>
              </w:rPr>
              <w:t xml:space="preserve">likumā “Par valsts sociālo apdrošināšanu””, kas paredz </w:t>
            </w:r>
            <w:r>
              <w:t xml:space="preserve"> </w:t>
            </w:r>
            <w:r w:rsidR="00E62138">
              <w:t>ar 2019.gada 1.janvāri</w:t>
            </w:r>
            <w:r w:rsidRPr="00A74995">
              <w:t xml:space="preserve"> </w:t>
            </w:r>
            <w:r w:rsidR="00E62138">
              <w:t>ieviest</w:t>
            </w:r>
            <w:r w:rsidRPr="00A74995">
              <w:t xml:space="preserve"> valsts sociālās apdrošināšanas obligāto iemaksu </w:t>
            </w:r>
            <w:r w:rsidR="00E62138">
              <w:t>objekta maksimālo apmēru par periodu</w:t>
            </w:r>
            <w:r w:rsidRPr="00A74995">
              <w:t xml:space="preserve"> no 2019. līdz 2021.gadam.</w:t>
            </w:r>
          </w:p>
          <w:p w14:paraId="4029B33D" w14:textId="04C0BC2D" w:rsidR="002460AD" w:rsidRPr="002460AD" w:rsidRDefault="002460AD" w:rsidP="002460AD">
            <w:pPr>
              <w:widowControl w:val="0"/>
              <w:tabs>
                <w:tab w:val="left" w:pos="827"/>
              </w:tabs>
              <w:ind w:firstLine="827"/>
              <w:jc w:val="both"/>
              <w:rPr>
                <w:bCs/>
              </w:rPr>
            </w:pPr>
            <w:r>
              <w:t>Ņemot vērā 2018.gada 2</w:t>
            </w:r>
            <w:r w:rsidRPr="00967D90">
              <w:t>5.</w:t>
            </w:r>
            <w:r>
              <w:t>oktobrī</w:t>
            </w:r>
            <w:r w:rsidRPr="00967D90">
              <w:t xml:space="preserve"> Saeimā pieņemto likumu “</w:t>
            </w:r>
            <w:r w:rsidRPr="00967D90">
              <w:rPr>
                <w:bCs/>
              </w:rPr>
              <w:t>Grozījumi </w:t>
            </w:r>
            <w:r>
              <w:rPr>
                <w:bCs/>
              </w:rPr>
              <w:t>likumā “Par valsts sociālo apdrošināšanu”” (stājas spēkā 2019</w:t>
            </w:r>
            <w:r w:rsidRPr="00967D90">
              <w:rPr>
                <w:bCs/>
              </w:rPr>
              <w:t>.gada 1.</w:t>
            </w:r>
            <w:r>
              <w:rPr>
                <w:bCs/>
              </w:rPr>
              <w:t>janvārī</w:t>
            </w:r>
            <w:r w:rsidRPr="00967D90">
              <w:rPr>
                <w:bCs/>
              </w:rPr>
              <w:t xml:space="preserve">), likumā ir nepieciešami grozījumi, aizstājot </w:t>
            </w:r>
            <w:r>
              <w:rPr>
                <w:bCs/>
              </w:rPr>
              <w:t xml:space="preserve">skaitli un </w:t>
            </w:r>
            <w:r w:rsidRPr="00967D90">
              <w:rPr>
                <w:bCs/>
              </w:rPr>
              <w:t>vārdu “</w:t>
            </w:r>
            <w:r w:rsidRPr="007E541F">
              <w:rPr>
                <w:i/>
              </w:rPr>
              <w:t xml:space="preserve">55 000 </w:t>
            </w:r>
            <w:proofErr w:type="spellStart"/>
            <w:r w:rsidRPr="007E541F">
              <w:rPr>
                <w:i/>
              </w:rPr>
              <w:t>euro</w:t>
            </w:r>
            <w:proofErr w:type="spellEnd"/>
            <w:r>
              <w:rPr>
                <w:bCs/>
              </w:rPr>
              <w:t>” ar vārdiem</w:t>
            </w:r>
            <w:r w:rsidRPr="00967D90">
              <w:rPr>
                <w:bCs/>
              </w:rPr>
              <w:t xml:space="preserve"> “</w:t>
            </w:r>
            <w:r w:rsidRPr="00640800">
              <w:t xml:space="preserve">saskaņā ar likumu </w:t>
            </w:r>
            <w:r w:rsidR="00640800">
              <w:t>“</w:t>
            </w:r>
            <w:hyperlink r:id="rId9" w:tgtFrame="_blank" w:history="1">
              <w:r w:rsidRPr="00640800">
                <w:t>Par valsts sociālo apdrošināšanu</w:t>
              </w:r>
            </w:hyperlink>
            <w:r w:rsidRPr="00640800">
              <w:t>" noteikto obligāto iemaksu objekta maksimālo apmēru</w:t>
            </w:r>
            <w:r w:rsidR="00640800">
              <w:rPr>
                <w:bCs/>
              </w:rPr>
              <w:t>”</w:t>
            </w:r>
            <w:r w:rsidRPr="002460AD">
              <w:rPr>
                <w:bCs/>
              </w:rPr>
              <w:t>.</w:t>
            </w:r>
          </w:p>
          <w:p w14:paraId="124FCA50" w14:textId="77777777" w:rsidR="00387B8F" w:rsidRPr="002B5BBE" w:rsidRDefault="008E0BF0" w:rsidP="008E0BF0">
            <w:pPr>
              <w:widowControl w:val="0"/>
              <w:tabs>
                <w:tab w:val="left" w:pos="284"/>
              </w:tabs>
              <w:ind w:firstLine="822"/>
              <w:jc w:val="both"/>
              <w:rPr>
                <w:color w:val="000000"/>
                <w:sz w:val="26"/>
                <w:szCs w:val="26"/>
              </w:rPr>
            </w:pPr>
            <w:r w:rsidRPr="002B5BBE">
              <w:rPr>
                <w:color w:val="000000"/>
                <w:sz w:val="26"/>
                <w:szCs w:val="26"/>
              </w:rPr>
              <w:t xml:space="preserve">Valsts sociālās apdrošināšanas obligāto iemaksu objekta maksimālais apmērs nākamajiem trim kalendāra gadiem būs 62 800 </w:t>
            </w:r>
            <w:proofErr w:type="spellStart"/>
            <w:r w:rsidRPr="002B5BBE">
              <w:rPr>
                <w:color w:val="000000"/>
                <w:sz w:val="26"/>
                <w:szCs w:val="26"/>
              </w:rPr>
              <w:t>euro</w:t>
            </w:r>
            <w:proofErr w:type="spellEnd"/>
            <w:r w:rsidRPr="002B5BBE">
              <w:rPr>
                <w:color w:val="000000"/>
                <w:sz w:val="26"/>
                <w:szCs w:val="26"/>
              </w:rPr>
              <w:t xml:space="preserve"> par kalendāro gadu</w:t>
            </w:r>
            <w:r w:rsidR="00387B8F" w:rsidRPr="002B5BBE">
              <w:rPr>
                <w:color w:val="000000"/>
                <w:sz w:val="26"/>
                <w:szCs w:val="26"/>
              </w:rPr>
              <w:t>.</w:t>
            </w:r>
          </w:p>
          <w:p w14:paraId="159E6C49" w14:textId="72E9E6FF" w:rsidR="00887705" w:rsidRDefault="008E0BF0" w:rsidP="008E0BF0">
            <w:pPr>
              <w:widowControl w:val="0"/>
              <w:tabs>
                <w:tab w:val="left" w:pos="284"/>
              </w:tabs>
              <w:ind w:firstLine="822"/>
              <w:jc w:val="both"/>
              <w:rPr>
                <w:u w:val="single"/>
              </w:rPr>
            </w:pPr>
            <w:r>
              <w:rPr>
                <w:u w:val="single"/>
              </w:rPr>
              <w:t xml:space="preserve"> </w:t>
            </w:r>
          </w:p>
          <w:p w14:paraId="4807E24F" w14:textId="77777777" w:rsidR="005F145D" w:rsidRPr="00967D90" w:rsidRDefault="005F145D" w:rsidP="005F145D">
            <w:pPr>
              <w:widowControl w:val="0"/>
              <w:tabs>
                <w:tab w:val="left" w:pos="284"/>
              </w:tabs>
              <w:jc w:val="both"/>
              <w:rPr>
                <w:i/>
                <w:u w:val="single"/>
              </w:rPr>
            </w:pPr>
            <w:r w:rsidRPr="00967D90">
              <w:rPr>
                <w:i/>
                <w:u w:val="single"/>
              </w:rPr>
              <w:t>Grozījumi likuma “Par iedzīvotāju ienākuma nodokli”(turpmāk – likums) 3.panta trešās daļas 15.punktā un 17.panta desmitās daļas 15.punktā</w:t>
            </w:r>
          </w:p>
          <w:p w14:paraId="7181BFF8" w14:textId="4A537ED7" w:rsidR="005F145D" w:rsidRPr="002B5BBE" w:rsidRDefault="005F145D" w:rsidP="005F145D">
            <w:pPr>
              <w:widowControl w:val="0"/>
              <w:tabs>
                <w:tab w:val="left" w:pos="284"/>
              </w:tabs>
              <w:ind w:firstLine="827"/>
              <w:jc w:val="both"/>
            </w:pPr>
            <w:r w:rsidRPr="00967D90">
              <w:lastRenderedPageBreak/>
              <w:t xml:space="preserve">Tā kā saskaņā ar Solidaritātes nodokļa likumu 4 </w:t>
            </w:r>
            <w:r w:rsidRPr="002B5BBE">
              <w:t xml:space="preserve">procentpunkti </w:t>
            </w:r>
            <w:r w:rsidR="00D72DF5" w:rsidRPr="002B5BBE">
              <w:t xml:space="preserve">(gadījumos, ja nodokļa maksātājs nav </w:t>
            </w:r>
            <w:proofErr w:type="spellStart"/>
            <w:r w:rsidR="00D72DF5" w:rsidRPr="002B5BBE">
              <w:t>fondēto</w:t>
            </w:r>
            <w:proofErr w:type="spellEnd"/>
            <w:r w:rsidR="00D72DF5" w:rsidRPr="002B5BBE">
              <w:t xml:space="preserve"> pensiju shēmas dalībnieks – 10 procentpunkti) </w:t>
            </w:r>
            <w:r w:rsidRPr="002B5BBE">
              <w:t xml:space="preserve">tā ieņēmumu tiek pārskaitīti nodokļa maksātāja izraudzītajā privātā pensiju fonda pensiju plānā, tad šī papildpensijas kapitāla daļa līdz ieskaitīšanai privātajā pensiju fondā nav bijusi aplikta ar iedzīvotāju ienākuma nodokli. Tādējādi šāda papildpensijas kapitāla izmaksas brīdī tas būtu apliekams ar iedzīvotāju ienākuma nodokli un nodoklis ieturams ienākuma izmaksas dienā līdzīgi, kā pašreiz ar iedzīvotāju ienākuma nodokli tiek apliks papildpensijas kapitāls, kas veidojas no darba devēja veiktajām iemaksām. </w:t>
            </w:r>
          </w:p>
          <w:p w14:paraId="071E1714" w14:textId="07BBC136" w:rsidR="005F145D" w:rsidRPr="002B5BBE" w:rsidRDefault="005F145D" w:rsidP="005F145D">
            <w:pPr>
              <w:widowControl w:val="0"/>
              <w:tabs>
                <w:tab w:val="left" w:pos="284"/>
              </w:tabs>
              <w:jc w:val="both"/>
              <w:rPr>
                <w:u w:val="single"/>
              </w:rPr>
            </w:pPr>
            <w:r w:rsidRPr="002B5BBE">
              <w:t>Lai nodrošinātu šādu pieeju, likumprojekts nosaka, ka papildpensijas kapitāls, ko veido iemaksas saskaņā ar Solidaritātes nodokļa likumu un kas tiek izmaksāts pensiju plāna dalībniekam, ir ar iedzīvotāju ienākuma nodokļa nodokli apliekams ienākums nerezidentam</w:t>
            </w:r>
            <w:r w:rsidR="00E93FB8" w:rsidRPr="002B5BBE">
              <w:t>.</w:t>
            </w:r>
            <w:r w:rsidRPr="002B5BBE">
              <w:t xml:space="preserve"> </w:t>
            </w:r>
            <w:r w:rsidR="00E93FB8" w:rsidRPr="002B5BBE">
              <w:t xml:space="preserve">Savukārt </w:t>
            </w:r>
            <w:r w:rsidRPr="002B5BBE">
              <w:t xml:space="preserve">rezidentam šie ienākumi ir ar iedzīvotāju ienākuma nodokli apliekams ienākums jau pašreiz saskaņā ar likuma 8.panta trešās daļas 21.punktu kā “citi ienākumi, </w:t>
            </w:r>
            <w:r w:rsidR="00E93FB8" w:rsidRPr="002B5BBE">
              <w:t xml:space="preserve">tomēr pašreiz likums neparedz no šādiem ienākumiem iedzīvotāju ienākuma nodokli ieturēt izmaksas vietā. Tādējādi likumprojekts </w:t>
            </w:r>
            <w:r w:rsidR="00D72DF5" w:rsidRPr="002B5BBE">
              <w:t xml:space="preserve">(veicot likuma 17.panta desmitās daļas 15.punkta grozījumus) paredz </w:t>
            </w:r>
            <w:r w:rsidR="00E93FB8" w:rsidRPr="002B5BBE">
              <w:t>no</w:t>
            </w:r>
            <w:r w:rsidR="00D72DF5" w:rsidRPr="002B5BBE">
              <w:t>teikt</w:t>
            </w:r>
            <w:r w:rsidR="00E93FB8" w:rsidRPr="002B5BBE">
              <w:t xml:space="preserve">, ka </w:t>
            </w:r>
            <w:r w:rsidR="00D72DF5" w:rsidRPr="002B5BBE">
              <w:t>turpmāk ienākuma izmaksātājam būs pienākums ieturēt iedzīvotāju ienākuma nodokli no</w:t>
            </w:r>
            <w:r w:rsidR="00E93FB8" w:rsidRPr="002B5BBE">
              <w:t xml:space="preserve"> </w:t>
            </w:r>
            <w:r w:rsidR="00D72DF5" w:rsidRPr="002B5BBE">
              <w:t>papildpensijas kapitāla, kas veidojies no iemaksām privātā pensiju fonda pensiju plānā saskaņā ar Solidaritātes nodokļa likumu.</w:t>
            </w:r>
          </w:p>
          <w:p w14:paraId="6014D032" w14:textId="77777777" w:rsidR="005F145D" w:rsidRPr="00967D90" w:rsidRDefault="005F145D" w:rsidP="00EC60DF">
            <w:pPr>
              <w:widowControl w:val="0"/>
              <w:tabs>
                <w:tab w:val="left" w:pos="284"/>
              </w:tabs>
              <w:jc w:val="both"/>
              <w:rPr>
                <w:u w:val="single"/>
              </w:rPr>
            </w:pPr>
          </w:p>
          <w:p w14:paraId="0BD46236" w14:textId="7875DE41" w:rsidR="00EC60DF" w:rsidRPr="00967D90" w:rsidRDefault="001442F5" w:rsidP="00EC60DF">
            <w:pPr>
              <w:widowControl w:val="0"/>
              <w:tabs>
                <w:tab w:val="left" w:pos="284"/>
              </w:tabs>
              <w:jc w:val="both"/>
              <w:rPr>
                <w:i/>
                <w:u w:val="single"/>
              </w:rPr>
            </w:pPr>
            <w:r w:rsidRPr="00967D90">
              <w:rPr>
                <w:i/>
                <w:u w:val="single"/>
              </w:rPr>
              <w:t xml:space="preserve">Grozījumi likuma </w:t>
            </w:r>
            <w:r w:rsidR="00231B26" w:rsidRPr="00967D90">
              <w:rPr>
                <w:i/>
                <w:u w:val="single"/>
              </w:rPr>
              <w:t>4.panta pirm</w:t>
            </w:r>
            <w:r w:rsidR="00EC60DF" w:rsidRPr="00967D90">
              <w:rPr>
                <w:i/>
                <w:u w:val="single"/>
              </w:rPr>
              <w:t>ā</w:t>
            </w:r>
            <w:r w:rsidR="00231B26" w:rsidRPr="00967D90">
              <w:rPr>
                <w:i/>
                <w:u w:val="single"/>
              </w:rPr>
              <w:t>s daļas 6.punktā, 9.panta pirmās daļas 36.</w:t>
            </w:r>
            <w:r w:rsidR="00231B26" w:rsidRPr="00967D90">
              <w:rPr>
                <w:i/>
                <w:u w:val="single"/>
                <w:vertAlign w:val="superscript"/>
              </w:rPr>
              <w:t xml:space="preserve">1 </w:t>
            </w:r>
            <w:r w:rsidR="00231B26" w:rsidRPr="00967D90">
              <w:rPr>
                <w:i/>
                <w:u w:val="single"/>
              </w:rPr>
              <w:t>un 36.</w:t>
            </w:r>
            <w:r w:rsidR="00231B26" w:rsidRPr="00967D90">
              <w:rPr>
                <w:i/>
                <w:u w:val="single"/>
                <w:vertAlign w:val="superscript"/>
              </w:rPr>
              <w:t xml:space="preserve">3 </w:t>
            </w:r>
            <w:r w:rsidR="00231B26" w:rsidRPr="00967D90">
              <w:rPr>
                <w:i/>
                <w:u w:val="single"/>
              </w:rPr>
              <w:t>punktā un 17.panta 7.</w:t>
            </w:r>
            <w:r w:rsidR="00231B26" w:rsidRPr="00967D90">
              <w:rPr>
                <w:i/>
                <w:u w:val="single"/>
                <w:vertAlign w:val="superscript"/>
              </w:rPr>
              <w:t>2</w:t>
            </w:r>
            <w:r w:rsidR="00231B26" w:rsidRPr="00967D90">
              <w:rPr>
                <w:i/>
                <w:u w:val="single"/>
              </w:rPr>
              <w:t xml:space="preserve"> daļā</w:t>
            </w:r>
          </w:p>
          <w:p w14:paraId="66BD2C7B" w14:textId="01C114E5" w:rsidR="00096258" w:rsidRPr="00967D90" w:rsidRDefault="00456A1B" w:rsidP="00967D90">
            <w:pPr>
              <w:widowControl w:val="0"/>
              <w:tabs>
                <w:tab w:val="left" w:pos="827"/>
              </w:tabs>
              <w:ind w:firstLine="827"/>
              <w:jc w:val="both"/>
              <w:rPr>
                <w:bCs/>
              </w:rPr>
            </w:pPr>
            <w:r w:rsidRPr="00967D90">
              <w:t>Ņemot vērā 2018.gada 15.februārī Saeimā pieņemto likumu “</w:t>
            </w:r>
            <w:r w:rsidRPr="00967D90">
              <w:rPr>
                <w:bCs/>
              </w:rPr>
              <w:t>Grozījumi </w:t>
            </w:r>
            <w:hyperlink r:id="rId10" w:tgtFrame="_blank" w:history="1">
              <w:r w:rsidRPr="00967D90">
                <w:rPr>
                  <w:bCs/>
                </w:rPr>
                <w:t>Valsts pārvaldes iestāžu nodarīto zaudējumu atlīdzināšanas likumā</w:t>
              </w:r>
            </w:hyperlink>
            <w:r w:rsidRPr="00967D90">
              <w:rPr>
                <w:bCs/>
              </w:rPr>
              <w:t>” (stājas spēkā 2018.gada 1.martā), likumā ir nepieciešami redakcionāli grozījumi, aizstājot vārdu “publiskā aģentūra” ar vārdu “iestāde ar patstāvīgu budžetu”</w:t>
            </w:r>
            <w:r w:rsidR="00270AC6" w:rsidRPr="00967D90">
              <w:rPr>
                <w:bCs/>
              </w:rPr>
              <w:t>.</w:t>
            </w:r>
          </w:p>
          <w:p w14:paraId="6DC879B2" w14:textId="0117525D" w:rsidR="00EC60DF" w:rsidRPr="00967D90" w:rsidRDefault="001D052E" w:rsidP="00967D90">
            <w:pPr>
              <w:pStyle w:val="ListParagraph"/>
              <w:spacing w:after="0" w:line="240" w:lineRule="auto"/>
              <w:ind w:left="0" w:firstLine="827"/>
              <w:jc w:val="both"/>
              <w:rPr>
                <w:rFonts w:ascii="Times New Roman" w:hAnsi="Times New Roman"/>
                <w:bCs/>
                <w:sz w:val="24"/>
                <w:szCs w:val="24"/>
                <w:shd w:val="clear" w:color="auto" w:fill="FFFFFF"/>
                <w:lang w:val="lv-LV"/>
              </w:rPr>
            </w:pPr>
            <w:r w:rsidRPr="00967D90">
              <w:rPr>
                <w:rFonts w:ascii="Times New Roman" w:hAnsi="Times New Roman"/>
                <w:bCs/>
                <w:sz w:val="24"/>
                <w:szCs w:val="24"/>
                <w:lang w:val="lv-LV"/>
              </w:rPr>
              <w:t xml:space="preserve">Savukārt saistībā ar </w:t>
            </w:r>
            <w:r w:rsidRPr="00967D90">
              <w:rPr>
                <w:rFonts w:ascii="Times New Roman" w:hAnsi="Times New Roman"/>
                <w:sz w:val="24"/>
                <w:szCs w:val="24"/>
                <w:lang w:val="lv-LV"/>
              </w:rPr>
              <w:t xml:space="preserve">2017.gada 30.novembrī Saeimā pieņemto likumu </w:t>
            </w:r>
            <w:r w:rsidR="00270AC6" w:rsidRPr="00967D90">
              <w:rPr>
                <w:rFonts w:ascii="Times New Roman" w:hAnsi="Times New Roman"/>
                <w:bCs/>
                <w:sz w:val="24"/>
                <w:szCs w:val="24"/>
                <w:shd w:val="clear" w:color="auto" w:fill="FFFFFF"/>
                <w:lang w:val="lv-LV"/>
              </w:rPr>
              <w:t>“K</w:t>
            </w:r>
            <w:r w:rsidRPr="00967D90">
              <w:rPr>
                <w:rFonts w:ascii="Times New Roman" w:hAnsi="Times New Roman"/>
                <w:bCs/>
                <w:sz w:val="24"/>
                <w:szCs w:val="24"/>
                <w:shd w:val="clear" w:color="auto" w:fill="FFFFFF"/>
                <w:lang w:val="lv-LV"/>
              </w:rPr>
              <w:t>riminālprocesā un administratīvo pārkāpumu lietvedībā nodarītā kaitējuma atlīdzināšanas likums</w:t>
            </w:r>
            <w:r w:rsidR="00270AC6" w:rsidRPr="00967D90">
              <w:rPr>
                <w:rFonts w:ascii="Times New Roman" w:hAnsi="Times New Roman"/>
                <w:bCs/>
                <w:sz w:val="24"/>
                <w:szCs w:val="24"/>
                <w:shd w:val="clear" w:color="auto" w:fill="FFFFFF"/>
                <w:lang w:val="lv-LV"/>
              </w:rPr>
              <w:t>”</w:t>
            </w:r>
            <w:r w:rsidRPr="00967D90">
              <w:rPr>
                <w:rFonts w:ascii="Times New Roman" w:hAnsi="Times New Roman"/>
                <w:bCs/>
                <w:sz w:val="24"/>
                <w:szCs w:val="24"/>
                <w:lang w:val="lv-LV" w:eastAsia="lv-LV"/>
              </w:rPr>
              <w:t xml:space="preserve"> </w:t>
            </w:r>
            <w:r w:rsidR="00270AC6" w:rsidRPr="00967D90">
              <w:rPr>
                <w:rFonts w:ascii="Times New Roman" w:hAnsi="Times New Roman"/>
                <w:bCs/>
                <w:sz w:val="24"/>
                <w:szCs w:val="24"/>
                <w:lang w:val="lv-LV"/>
              </w:rPr>
              <w:t>(</w:t>
            </w:r>
            <w:r w:rsidRPr="00967D90">
              <w:rPr>
                <w:rFonts w:ascii="Times New Roman" w:hAnsi="Times New Roman"/>
                <w:bCs/>
                <w:sz w:val="24"/>
                <w:szCs w:val="24"/>
                <w:lang w:val="lv-LV" w:eastAsia="lv-LV"/>
              </w:rPr>
              <w:t>stājas spēkā 2018.gada 1.martā)</w:t>
            </w:r>
            <w:r w:rsidR="00270AC6" w:rsidRPr="00967D90">
              <w:rPr>
                <w:rFonts w:ascii="Times New Roman" w:hAnsi="Times New Roman"/>
                <w:bCs/>
                <w:sz w:val="24"/>
                <w:szCs w:val="24"/>
                <w:lang w:val="lv-LV"/>
              </w:rPr>
              <w:t xml:space="preserve"> spēku ir zaudējis </w:t>
            </w:r>
            <w:r w:rsidR="00D92A88" w:rsidRPr="00967D90">
              <w:rPr>
                <w:rFonts w:ascii="Times New Roman" w:hAnsi="Times New Roman"/>
                <w:bCs/>
                <w:sz w:val="24"/>
                <w:szCs w:val="24"/>
                <w:lang w:val="lv-LV"/>
              </w:rPr>
              <w:t>likums</w:t>
            </w:r>
            <w:r w:rsidR="00270AC6" w:rsidRPr="00967D90">
              <w:rPr>
                <w:rFonts w:ascii="Times New Roman" w:hAnsi="Times New Roman"/>
                <w:bCs/>
                <w:sz w:val="24"/>
                <w:szCs w:val="24"/>
                <w:lang w:val="lv-LV"/>
              </w:rPr>
              <w:t xml:space="preserve"> "Par izziņas iestādes, prokuratūras vai tiesas nelikumīgas vai nepamatotas rīcības rezultātā nodarīto zaudējumu atlīdzināšanu", līdz ar to, </w:t>
            </w:r>
            <w:r w:rsidR="00D92A88" w:rsidRPr="00967D90">
              <w:rPr>
                <w:rFonts w:ascii="Times New Roman" w:hAnsi="Times New Roman"/>
                <w:bCs/>
                <w:sz w:val="24"/>
                <w:szCs w:val="24"/>
                <w:lang w:val="lv-LV"/>
              </w:rPr>
              <w:t xml:space="preserve">likumā </w:t>
            </w:r>
            <w:r w:rsidR="00270AC6" w:rsidRPr="00967D90">
              <w:rPr>
                <w:rFonts w:ascii="Times New Roman" w:hAnsi="Times New Roman"/>
                <w:bCs/>
                <w:sz w:val="24"/>
                <w:szCs w:val="24"/>
                <w:lang w:val="lv-LV"/>
              </w:rPr>
              <w:t>ir nepieciešams preciz</w:t>
            </w:r>
            <w:r w:rsidR="00D92A88" w:rsidRPr="00967D90">
              <w:rPr>
                <w:rFonts w:ascii="Times New Roman" w:hAnsi="Times New Roman"/>
                <w:bCs/>
                <w:sz w:val="24"/>
                <w:szCs w:val="24"/>
                <w:lang w:val="lv-LV"/>
              </w:rPr>
              <w:t>ēt</w:t>
            </w:r>
            <w:r w:rsidR="00270AC6" w:rsidRPr="00967D90">
              <w:rPr>
                <w:rFonts w:ascii="Times New Roman" w:hAnsi="Times New Roman"/>
                <w:bCs/>
                <w:sz w:val="24"/>
                <w:szCs w:val="24"/>
                <w:lang w:val="lv-LV"/>
              </w:rPr>
              <w:t xml:space="preserve"> atsauci uz </w:t>
            </w:r>
            <w:r w:rsidR="00270AC6" w:rsidRPr="00967D90">
              <w:rPr>
                <w:rFonts w:ascii="Times New Roman" w:hAnsi="Times New Roman"/>
                <w:bCs/>
                <w:sz w:val="24"/>
                <w:szCs w:val="24"/>
                <w:shd w:val="clear" w:color="auto" w:fill="FFFFFF"/>
                <w:lang w:val="lv-LV"/>
              </w:rPr>
              <w:t xml:space="preserve"> Kriminālprocesā un administratīvo pārkāpumu lietvedībā nodarītā kaitējuma atlīdzināšanas likumu.</w:t>
            </w:r>
          </w:p>
          <w:p w14:paraId="739F61FB" w14:textId="77777777" w:rsidR="007554EB" w:rsidRPr="00967D90" w:rsidRDefault="007554EB" w:rsidP="003504AB">
            <w:pPr>
              <w:tabs>
                <w:tab w:val="left" w:pos="2127"/>
                <w:tab w:val="center" w:pos="4153"/>
                <w:tab w:val="left" w:pos="6096"/>
                <w:tab w:val="right" w:pos="8306"/>
              </w:tabs>
              <w:ind w:right="140" w:hanging="29"/>
              <w:jc w:val="both"/>
              <w:rPr>
                <w:i/>
                <w:u w:val="single"/>
              </w:rPr>
            </w:pPr>
          </w:p>
          <w:p w14:paraId="229A975F" w14:textId="7FA486EA" w:rsidR="00143134" w:rsidRPr="00967D90" w:rsidRDefault="00002227" w:rsidP="003504AB">
            <w:pPr>
              <w:tabs>
                <w:tab w:val="left" w:pos="2127"/>
                <w:tab w:val="center" w:pos="4153"/>
                <w:tab w:val="left" w:pos="6096"/>
                <w:tab w:val="right" w:pos="8306"/>
              </w:tabs>
              <w:ind w:right="140" w:hanging="29"/>
              <w:jc w:val="both"/>
              <w:rPr>
                <w:b/>
                <w:i/>
                <w:u w:val="single"/>
              </w:rPr>
            </w:pPr>
            <w:r w:rsidRPr="00967D90">
              <w:rPr>
                <w:i/>
                <w:u w:val="single"/>
              </w:rPr>
              <w:t>L</w:t>
            </w:r>
            <w:r w:rsidR="00430C79" w:rsidRPr="00967D90">
              <w:rPr>
                <w:i/>
                <w:u w:val="single"/>
              </w:rPr>
              <w:t xml:space="preserve">ikuma </w:t>
            </w:r>
            <w:r w:rsidR="003504AB" w:rsidRPr="00967D90">
              <w:rPr>
                <w:i/>
                <w:u w:val="single"/>
              </w:rPr>
              <w:t>11.</w:t>
            </w:r>
            <w:r w:rsidR="003504AB" w:rsidRPr="00967D90">
              <w:rPr>
                <w:i/>
                <w:u w:val="single"/>
                <w:vertAlign w:val="superscript"/>
              </w:rPr>
              <w:t>9</w:t>
            </w:r>
            <w:r w:rsidR="003504AB" w:rsidRPr="00967D90">
              <w:rPr>
                <w:i/>
                <w:u w:val="single"/>
              </w:rPr>
              <w:t>.pant</w:t>
            </w:r>
            <w:r w:rsidRPr="00967D90">
              <w:rPr>
                <w:i/>
                <w:u w:val="single"/>
              </w:rPr>
              <w:t>a otrās daļas 8.punkts un 9.</w:t>
            </w:r>
            <w:r w:rsidRPr="00967D90">
              <w:rPr>
                <w:i/>
                <w:u w:val="single"/>
                <w:vertAlign w:val="superscript"/>
              </w:rPr>
              <w:t xml:space="preserve">2 </w:t>
            </w:r>
            <w:r w:rsidRPr="00967D90">
              <w:rPr>
                <w:i/>
                <w:u w:val="single"/>
              </w:rPr>
              <w:t>daļa</w:t>
            </w:r>
          </w:p>
          <w:p w14:paraId="1E69CD97" w14:textId="5C2EC712" w:rsidR="004E099A" w:rsidRPr="00967D90" w:rsidRDefault="00967D90" w:rsidP="00967D90">
            <w:pPr>
              <w:ind w:firstLine="685"/>
              <w:jc w:val="both"/>
            </w:pPr>
            <w:r>
              <w:t>Pašreiz</w:t>
            </w:r>
            <w:r w:rsidR="004E099A" w:rsidRPr="00967D90">
              <w:t xml:space="preserve"> Noziedzīgi iegūtu līdzekļu legalizācijas un terorisma finansēšanas novēršanas likuma 1.panta 2</w:t>
            </w:r>
            <w:r w:rsidR="00065AC1">
              <w:t>.</w:t>
            </w:r>
            <w:r w:rsidR="004E099A" w:rsidRPr="00640800">
              <w:rPr>
                <w:vertAlign w:val="superscript"/>
              </w:rPr>
              <w:t>2</w:t>
            </w:r>
            <w:r w:rsidR="004E099A" w:rsidRPr="00967D90">
              <w:t>punkts  nosaka, ka virtuālā valūta  ir vērtības digitālais atspoguļojums, kas var būt digitāli nosūtīts, glabāts vai tirgots un funkcionēt kā apmaiņas līdzeklis, bet nav atzīts par likumīgu maksāšanas līdzekli, nav uzskatāms par banknoti un monētu, bezskaidru naudu un elektronisko naudu, kā arī nav monetārā vērtība, kura uzkrāta maksājuma instrumentā, kas tiek izmantots Maksājumu pakalpojumu un elektroniskās naudas likuma 3.panta 10. un 11. punktā minētajos gadījumos.</w:t>
            </w:r>
          </w:p>
          <w:p w14:paraId="5C00D1AD" w14:textId="249C422D" w:rsidR="004E099A" w:rsidRPr="00967D90" w:rsidRDefault="004E099A" w:rsidP="00967D90">
            <w:pPr>
              <w:ind w:firstLine="685"/>
              <w:jc w:val="both"/>
            </w:pPr>
            <w:r w:rsidRPr="00967D90">
              <w:lastRenderedPageBreak/>
              <w:t>Ienākumi, kas veidojas, ja fiziskās personas darījumu rezultātā, kura iegādājas virtuālās valūtas un pēc tam tūlīt vai pēc noteikta turēšanas perioda tās atsavina, pēc savas ekonomiskās būtības ir vistuvākie ienākumam no kapitāla pieauguma. Tomēr likuma 11.</w:t>
            </w:r>
            <w:r w:rsidRPr="00967D90">
              <w:rPr>
                <w:vertAlign w:val="superscript"/>
              </w:rPr>
              <w:t>9</w:t>
            </w:r>
            <w:r w:rsidRPr="00967D90">
              <w:t xml:space="preserve"> panta otrajā daļā ietvertajā kapitāla aktīvu uzskaitījumā virtuālās v</w:t>
            </w:r>
            <w:r w:rsidR="007E541F">
              <w:t>alūtas šobrīd nav ietvertas, jo</w:t>
            </w:r>
            <w:r w:rsidRPr="00967D90">
              <w:t xml:space="preserve"> laikā, kad likumā tika iekļauta kapitāla aktīvu definīcija, Latvijā vēl nenotika darījumi ar virtuālajām valūtām. Virtuālās valūtas arī pilnībā nevar tikt pielīdzinātas tādiem tradicionālajiem kapitāla aktīviem kā finanšu instrumenti, valūta u.c., jo to mērķis, būtība un segums atšķiras. Piemēram, virtuālā valūta nav oficiāla valūta Latvijā, tai nav likumīga maksāšanas līdzekļa statusa, tās emisiju un izmantošanu pagaidām neregulē un neuzrauga, un tā juridiski nav piesaistīta nevienas valsts oficiālajai valūtai. Lielā mērā darījumi ar virtuālo valūtu var būt paaugstināta riska darījumi.</w:t>
            </w:r>
          </w:p>
          <w:p w14:paraId="2678C00D" w14:textId="60025B37" w:rsidR="004E099A" w:rsidRDefault="004E099A" w:rsidP="00967D90">
            <w:pPr>
              <w:ind w:firstLine="685"/>
              <w:jc w:val="both"/>
            </w:pPr>
            <w:r w:rsidRPr="00967D90">
              <w:t>Ņemot vērā to, ka ienākums no darījuma ar virtuālo valūtu ir specifisks ienākuma veids, to izpratnē varētu tikt pielīdzināts ienākumam no kapitāla pieauguma, piemērojot likuma 15.panta piektajā daļā noteikto iedzīvotāju ienākuma nodokļa likmi 20% apmērā. Tomēr, tā kā virtuālā valūta, kā jau iepriekš minēts, atšķiras no tradicionālajiem aktīviem, nav pamata atļaut taksācijas gada zaudējumus no virtuālās valūtas atsavināšanas segt no taksācijas gada ienākumiem, kas radušies atsavinot likuma 11.</w:t>
            </w:r>
            <w:r w:rsidRPr="00967D90">
              <w:rPr>
                <w:vertAlign w:val="superscript"/>
              </w:rPr>
              <w:t>9</w:t>
            </w:r>
            <w:r w:rsidRPr="00967D90">
              <w:t xml:space="preserve"> panta otrajā daļā pašlaik minētos aktīvus.</w:t>
            </w:r>
          </w:p>
          <w:p w14:paraId="1286C763" w14:textId="77777777" w:rsidR="007F6AD9" w:rsidRPr="002B5BBE" w:rsidRDefault="00903F68" w:rsidP="00967D90">
            <w:pPr>
              <w:ind w:firstLine="685"/>
              <w:jc w:val="both"/>
            </w:pPr>
            <w:bookmarkStart w:id="0" w:name="_GoBack"/>
            <w:r w:rsidRPr="002B5BBE">
              <w:t xml:space="preserve">Ienākumu no kapitāla pieauguma arī darījumos ar virtuālo valūtu nosaka līdzīgi kā citiem kapitāla aktīviem, t.i., no kapitāla aktīva atsavināšanas vērtības atņemot tā iegādes vērtību, kuru maksātājs spēj pierādīt un pamatot ar attaisnojuma dokumentu (attaisnojuma dokumentu kopumu). </w:t>
            </w:r>
          </w:p>
          <w:p w14:paraId="5572288B" w14:textId="51095960" w:rsidR="00903F68" w:rsidRPr="002B5BBE" w:rsidRDefault="00903F68" w:rsidP="00967D90">
            <w:pPr>
              <w:ind w:firstLine="685"/>
              <w:jc w:val="both"/>
            </w:pPr>
            <w:r w:rsidRPr="002B5BBE">
              <w:t xml:space="preserve">Tomēr, ņemot vērā jau iepriekš norādītos riskus, gadījumos, ja maksātājam nav attaisnojuma dokumentu, kas pamato virtuālās valūtas iegādes vērtību, šajā gadījumā likumprojekts, atšķirībā no citiem darījumiem ar kapitāla aktīviem (piemēram, nekustamo īpašumu, kura atsavināšanas gadījumā par iegādes vērtību likumā noteiktos gadījumos uzskata tā </w:t>
            </w:r>
            <w:r w:rsidR="007F6AD9" w:rsidRPr="002B5BBE">
              <w:t xml:space="preserve">aktuālo </w:t>
            </w:r>
            <w:r w:rsidRPr="002B5BBE">
              <w:t>kadastrālo vērtību</w:t>
            </w:r>
            <w:r w:rsidR="007F6AD9" w:rsidRPr="002B5BBE">
              <w:t xml:space="preserve"> vai koriģēto aktuālo kadastrālo vērtību nekustāmā īpašuma atsavināšanas gadā), </w:t>
            </w:r>
            <w:r w:rsidRPr="002B5BBE">
              <w:t xml:space="preserve"> nepieļauj iespēju par iegādes vērtību izmantot kādu nosacītu iegādes vērtību.</w:t>
            </w:r>
          </w:p>
          <w:bookmarkEnd w:id="0"/>
          <w:p w14:paraId="431A78AB" w14:textId="77777777" w:rsidR="008078B8" w:rsidRDefault="004E099A" w:rsidP="00640800">
            <w:pPr>
              <w:tabs>
                <w:tab w:val="left" w:pos="2127"/>
                <w:tab w:val="center" w:pos="4153"/>
                <w:tab w:val="left" w:pos="6096"/>
                <w:tab w:val="right" w:pos="8306"/>
              </w:tabs>
              <w:ind w:right="140" w:firstLine="685"/>
              <w:jc w:val="both"/>
            </w:pPr>
            <w:r w:rsidRPr="00967D90">
              <w:t>Ņemot vērā to, ka, iedzīvotāju ienākuma nodokļa aprēķināšanas vajadzībām, iedzīvotāju ienākuma nodokļu jomu regulējošie normatīvie akti šobrīd precīzi nenosaka kārtību, kādā tiek noteikts ienākums no virtuālās valūtas pārdošanas, ir nepieciešami grozījumi likumā.</w:t>
            </w:r>
          </w:p>
          <w:p w14:paraId="1A3AEAD7" w14:textId="353D684F" w:rsidR="007A783F" w:rsidRPr="00967D90" w:rsidRDefault="007A783F" w:rsidP="00640800">
            <w:pPr>
              <w:tabs>
                <w:tab w:val="left" w:pos="2127"/>
                <w:tab w:val="center" w:pos="4153"/>
                <w:tab w:val="left" w:pos="6096"/>
                <w:tab w:val="right" w:pos="8306"/>
              </w:tabs>
              <w:ind w:right="140" w:firstLine="685"/>
              <w:jc w:val="both"/>
            </w:pPr>
            <w:r>
              <w:t>Gadījumā, ja fiziskā persona atsavinās virtuālo valūtu saimnieciskās darbības ietvaros</w:t>
            </w:r>
            <w:r w:rsidR="00B4759D">
              <w:t xml:space="preserve"> vai ģenerēs virtuālo valūtu</w:t>
            </w:r>
            <w:r>
              <w:t>, šāds ienākums tiks klasificēts kā ienākums no saimnieciskās darbības.</w:t>
            </w:r>
          </w:p>
        </w:tc>
      </w:tr>
      <w:tr w:rsidR="00967D90" w:rsidRPr="00967D90" w14:paraId="40A376E5" w14:textId="77777777" w:rsidTr="002E0070">
        <w:trPr>
          <w:trHeight w:val="476"/>
        </w:trPr>
        <w:tc>
          <w:tcPr>
            <w:tcW w:w="227" w:type="pct"/>
          </w:tcPr>
          <w:p w14:paraId="56EF0A09" w14:textId="77777777" w:rsidR="008078B8" w:rsidRPr="00967D90" w:rsidRDefault="008078B8" w:rsidP="002431AC">
            <w:pPr>
              <w:pStyle w:val="naiskr"/>
              <w:spacing w:before="0" w:after="0"/>
              <w:ind w:left="57" w:right="57"/>
              <w:jc w:val="center"/>
            </w:pPr>
            <w:r w:rsidRPr="00967D90">
              <w:lastRenderedPageBreak/>
              <w:t>3.</w:t>
            </w:r>
          </w:p>
        </w:tc>
        <w:tc>
          <w:tcPr>
            <w:tcW w:w="1275" w:type="pct"/>
          </w:tcPr>
          <w:p w14:paraId="2B60DB41" w14:textId="77777777" w:rsidR="008078B8" w:rsidRPr="00967D90" w:rsidRDefault="008078B8" w:rsidP="002431AC">
            <w:pPr>
              <w:pStyle w:val="naiskr"/>
              <w:spacing w:before="0" w:after="0"/>
              <w:ind w:left="57" w:right="57"/>
            </w:pPr>
            <w:r w:rsidRPr="00967D90">
              <w:t>Projekta izstrādē iesaistītās institūcijas</w:t>
            </w:r>
          </w:p>
        </w:tc>
        <w:tc>
          <w:tcPr>
            <w:tcW w:w="3498" w:type="pct"/>
          </w:tcPr>
          <w:p w14:paraId="3DC81A3D" w14:textId="371C9008" w:rsidR="008078B8" w:rsidRPr="00967D90" w:rsidRDefault="00E45AC3" w:rsidP="00EC60DF">
            <w:pPr>
              <w:ind w:right="140"/>
              <w:jc w:val="both"/>
            </w:pPr>
            <w:r>
              <w:rPr>
                <w:iCs/>
              </w:rPr>
              <w:t xml:space="preserve">Finanšu ministrija, </w:t>
            </w:r>
            <w:r w:rsidR="00F35490" w:rsidRPr="00967D90">
              <w:rPr>
                <w:iCs/>
              </w:rPr>
              <w:t xml:space="preserve">Valsts ieņēmumu dienests, </w:t>
            </w:r>
            <w:r w:rsidR="001F4FF9" w:rsidRPr="00967D90">
              <w:t>Labklājības ministrija</w:t>
            </w:r>
            <w:r w:rsidR="00EC60DF" w:rsidRPr="00967D90">
              <w:t>.</w:t>
            </w:r>
          </w:p>
        </w:tc>
      </w:tr>
      <w:tr w:rsidR="00967D90" w:rsidRPr="00967D90" w14:paraId="09A024A6" w14:textId="77777777" w:rsidTr="002E0070">
        <w:tc>
          <w:tcPr>
            <w:tcW w:w="227" w:type="pct"/>
          </w:tcPr>
          <w:p w14:paraId="5A14F5C6" w14:textId="77777777" w:rsidR="008078B8" w:rsidRPr="00967D90" w:rsidRDefault="008078B8" w:rsidP="002431AC">
            <w:pPr>
              <w:pStyle w:val="naiskr"/>
              <w:spacing w:before="0" w:after="0"/>
              <w:ind w:left="57" w:right="57"/>
              <w:jc w:val="center"/>
            </w:pPr>
            <w:r w:rsidRPr="00967D90">
              <w:t>4.</w:t>
            </w:r>
          </w:p>
        </w:tc>
        <w:tc>
          <w:tcPr>
            <w:tcW w:w="1275" w:type="pct"/>
          </w:tcPr>
          <w:p w14:paraId="71258AD0" w14:textId="77777777" w:rsidR="008078B8" w:rsidRPr="00967D90" w:rsidRDefault="008078B8" w:rsidP="002431AC">
            <w:pPr>
              <w:pStyle w:val="naiskr"/>
              <w:spacing w:before="0" w:after="0"/>
              <w:ind w:left="57" w:right="57"/>
            </w:pPr>
            <w:r w:rsidRPr="00967D90">
              <w:t>Cita informācija</w:t>
            </w:r>
          </w:p>
        </w:tc>
        <w:tc>
          <w:tcPr>
            <w:tcW w:w="3498" w:type="pct"/>
          </w:tcPr>
          <w:p w14:paraId="484B3E41" w14:textId="77777777" w:rsidR="008078B8" w:rsidRPr="00967D90" w:rsidRDefault="008078B8" w:rsidP="002431AC">
            <w:pPr>
              <w:pStyle w:val="naiskr"/>
              <w:spacing w:before="0" w:after="0"/>
              <w:ind w:right="57"/>
            </w:pPr>
            <w:r w:rsidRPr="00967D90">
              <w:t>Nav.</w:t>
            </w:r>
          </w:p>
        </w:tc>
      </w:tr>
    </w:tbl>
    <w:p w14:paraId="5FAAB065" w14:textId="77777777" w:rsidR="008078B8" w:rsidRPr="00967D90" w:rsidRDefault="008078B8" w:rsidP="002431AC"/>
    <w:tbl>
      <w:tblPr>
        <w:tblpPr w:leftFromText="180" w:rightFromText="180" w:vertAnchor="text" w:horzAnchor="margin" w:tblpXSpec="center" w:tblpY="149"/>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07"/>
        <w:gridCol w:w="6081"/>
      </w:tblGrid>
      <w:tr w:rsidR="00967D90" w:rsidRPr="00967D90" w14:paraId="108A8256" w14:textId="77777777" w:rsidTr="006B4097">
        <w:trPr>
          <w:trHeight w:val="419"/>
        </w:trPr>
        <w:tc>
          <w:tcPr>
            <w:tcW w:w="5000" w:type="pct"/>
            <w:gridSpan w:val="3"/>
            <w:vAlign w:val="center"/>
          </w:tcPr>
          <w:p w14:paraId="323E0675" w14:textId="77777777" w:rsidR="008078B8" w:rsidRPr="00967D90" w:rsidRDefault="008078B8" w:rsidP="002431AC">
            <w:pPr>
              <w:jc w:val="center"/>
              <w:rPr>
                <w:b/>
              </w:rPr>
            </w:pPr>
            <w:r w:rsidRPr="00967D90">
              <w:rPr>
                <w:b/>
                <w:bCs/>
              </w:rPr>
              <w:t>II. Tiesību akta projekta ietekme uz sabiedrību, tautsaimniecības attīstību un administratīvo slogu</w:t>
            </w:r>
          </w:p>
        </w:tc>
      </w:tr>
      <w:tr w:rsidR="00967D90" w:rsidRPr="00967D90" w14:paraId="6DB80936" w14:textId="77777777" w:rsidTr="006B4097">
        <w:trPr>
          <w:trHeight w:val="415"/>
        </w:trPr>
        <w:tc>
          <w:tcPr>
            <w:tcW w:w="224" w:type="pct"/>
          </w:tcPr>
          <w:p w14:paraId="2CB6C9D3" w14:textId="77777777" w:rsidR="008078B8" w:rsidRPr="00967D90" w:rsidRDefault="008078B8" w:rsidP="002431AC">
            <w:r w:rsidRPr="00967D90">
              <w:lastRenderedPageBreak/>
              <w:t>1.</w:t>
            </w:r>
          </w:p>
        </w:tc>
        <w:tc>
          <w:tcPr>
            <w:tcW w:w="1615" w:type="pct"/>
          </w:tcPr>
          <w:p w14:paraId="7B698069" w14:textId="77777777" w:rsidR="008078B8" w:rsidRPr="00967D90" w:rsidRDefault="008078B8" w:rsidP="002431AC">
            <w:r w:rsidRPr="00967D90">
              <w:t xml:space="preserve">Sabiedrības </w:t>
            </w:r>
            <w:proofErr w:type="spellStart"/>
            <w:r w:rsidRPr="00967D90">
              <w:t>mērķgrupas</w:t>
            </w:r>
            <w:proofErr w:type="spellEnd"/>
            <w:r w:rsidRPr="00967D90">
              <w:t>, kuras tiesiskais regulējums ietekmē vai varētu ietekmēt</w:t>
            </w:r>
          </w:p>
        </w:tc>
        <w:tc>
          <w:tcPr>
            <w:tcW w:w="3161" w:type="pct"/>
          </w:tcPr>
          <w:p w14:paraId="7A49C383" w14:textId="50BB71B4" w:rsidR="00431490" w:rsidRDefault="00640800" w:rsidP="00640800">
            <w:pPr>
              <w:pStyle w:val="ListParagraph"/>
              <w:spacing w:after="0" w:line="240" w:lineRule="auto"/>
              <w:ind w:left="6" w:right="125"/>
              <w:jc w:val="both"/>
              <w:rPr>
                <w:rFonts w:ascii="Times New Roman" w:hAnsi="Times New Roman"/>
                <w:sz w:val="24"/>
                <w:szCs w:val="24"/>
                <w:lang w:val="lv-LV"/>
              </w:rPr>
            </w:pPr>
            <w:r>
              <w:rPr>
                <w:rFonts w:ascii="Times New Roman" w:hAnsi="Times New Roman"/>
                <w:sz w:val="24"/>
                <w:szCs w:val="24"/>
                <w:lang w:val="lv-LV"/>
              </w:rPr>
              <w:t xml:space="preserve">1) </w:t>
            </w:r>
            <w:r w:rsidR="00431490" w:rsidRPr="00967D90">
              <w:rPr>
                <w:rFonts w:ascii="Times New Roman" w:hAnsi="Times New Roman"/>
                <w:sz w:val="24"/>
                <w:szCs w:val="24"/>
                <w:lang w:val="lv-LV"/>
              </w:rPr>
              <w:t>iedzīvot</w:t>
            </w:r>
            <w:r w:rsidR="00640BD9" w:rsidRPr="00967D90">
              <w:rPr>
                <w:rFonts w:ascii="Times New Roman" w:hAnsi="Times New Roman"/>
                <w:sz w:val="24"/>
                <w:szCs w:val="24"/>
                <w:lang w:val="lv-LV"/>
              </w:rPr>
              <w:t>āju ienākuma nodokļa maksātāji</w:t>
            </w:r>
            <w:r w:rsidR="00431490" w:rsidRPr="00967D90">
              <w:rPr>
                <w:rFonts w:ascii="Times New Roman" w:hAnsi="Times New Roman"/>
                <w:sz w:val="24"/>
                <w:szCs w:val="24"/>
                <w:lang w:val="lv-LV"/>
              </w:rPr>
              <w:t>,  </w:t>
            </w:r>
            <w:r w:rsidR="00D62A55" w:rsidRPr="00A74995">
              <w:rPr>
                <w:sz w:val="24"/>
                <w:szCs w:val="24"/>
              </w:rPr>
              <w:t xml:space="preserve"> </w:t>
            </w:r>
            <w:proofErr w:type="spellStart"/>
            <w:r w:rsidR="00D62A55" w:rsidRPr="00640800">
              <w:rPr>
                <w:rFonts w:ascii="Times New Roman" w:hAnsi="Times New Roman"/>
                <w:sz w:val="24"/>
                <w:szCs w:val="24"/>
              </w:rPr>
              <w:t>kuru</w:t>
            </w:r>
            <w:proofErr w:type="spellEnd"/>
            <w:r w:rsidR="00D62A55" w:rsidRPr="00640800">
              <w:rPr>
                <w:rFonts w:ascii="Times New Roman" w:hAnsi="Times New Roman"/>
                <w:sz w:val="24"/>
                <w:szCs w:val="24"/>
              </w:rPr>
              <w:t xml:space="preserve"> </w:t>
            </w:r>
            <w:proofErr w:type="spellStart"/>
            <w:r w:rsidR="00D62A55">
              <w:rPr>
                <w:rFonts w:ascii="Times New Roman" w:hAnsi="Times New Roman"/>
                <w:sz w:val="24"/>
                <w:szCs w:val="24"/>
              </w:rPr>
              <w:t>gada</w:t>
            </w:r>
            <w:proofErr w:type="spellEnd"/>
            <w:r w:rsidR="00D62A55">
              <w:rPr>
                <w:rFonts w:ascii="Times New Roman" w:hAnsi="Times New Roman"/>
                <w:sz w:val="24"/>
                <w:szCs w:val="24"/>
              </w:rPr>
              <w:t xml:space="preserve"> </w:t>
            </w:r>
            <w:proofErr w:type="spellStart"/>
            <w:r w:rsidR="00D62A55" w:rsidRPr="00640800">
              <w:rPr>
                <w:rFonts w:ascii="Times New Roman" w:hAnsi="Times New Roman"/>
                <w:sz w:val="24"/>
                <w:szCs w:val="24"/>
              </w:rPr>
              <w:t>ienākuma</w:t>
            </w:r>
            <w:proofErr w:type="spellEnd"/>
            <w:r w:rsidR="00D62A55">
              <w:rPr>
                <w:rFonts w:ascii="Times New Roman" w:hAnsi="Times New Roman"/>
                <w:sz w:val="24"/>
                <w:szCs w:val="24"/>
              </w:rPr>
              <w:t xml:space="preserve"> </w:t>
            </w:r>
            <w:proofErr w:type="spellStart"/>
            <w:r w:rsidR="00D62A55">
              <w:rPr>
                <w:rFonts w:ascii="Times New Roman" w:hAnsi="Times New Roman"/>
                <w:sz w:val="24"/>
                <w:szCs w:val="24"/>
              </w:rPr>
              <w:t>daļai</w:t>
            </w:r>
            <w:proofErr w:type="spellEnd"/>
            <w:r w:rsidR="00D62A55" w:rsidRPr="00640800">
              <w:rPr>
                <w:rFonts w:ascii="Times New Roman" w:hAnsi="Times New Roman"/>
                <w:sz w:val="24"/>
                <w:szCs w:val="24"/>
              </w:rPr>
              <w:t xml:space="preserve"> </w:t>
            </w:r>
            <w:proofErr w:type="spellStart"/>
            <w:r w:rsidR="00D62A55" w:rsidRPr="00640800">
              <w:rPr>
                <w:rFonts w:ascii="Times New Roman" w:hAnsi="Times New Roman"/>
                <w:sz w:val="24"/>
                <w:szCs w:val="24"/>
              </w:rPr>
              <w:t>tiek</w:t>
            </w:r>
            <w:proofErr w:type="spellEnd"/>
            <w:r w:rsidR="00D62A55" w:rsidRPr="00640800">
              <w:rPr>
                <w:rFonts w:ascii="Times New Roman" w:hAnsi="Times New Roman"/>
                <w:sz w:val="24"/>
                <w:szCs w:val="24"/>
              </w:rPr>
              <w:t xml:space="preserve"> </w:t>
            </w:r>
            <w:proofErr w:type="spellStart"/>
            <w:r w:rsidR="00D62A55" w:rsidRPr="00640800">
              <w:rPr>
                <w:rFonts w:ascii="Times New Roman" w:hAnsi="Times New Roman"/>
                <w:sz w:val="24"/>
                <w:szCs w:val="24"/>
              </w:rPr>
              <w:t>piemērota</w:t>
            </w:r>
            <w:proofErr w:type="spellEnd"/>
            <w:r w:rsidR="00D62A55" w:rsidRPr="00640800">
              <w:rPr>
                <w:rFonts w:ascii="Times New Roman" w:hAnsi="Times New Roman"/>
                <w:sz w:val="24"/>
                <w:szCs w:val="24"/>
              </w:rPr>
              <w:t xml:space="preserve"> </w:t>
            </w:r>
            <w:proofErr w:type="spellStart"/>
            <w:r w:rsidR="00D62A55" w:rsidRPr="00640800">
              <w:rPr>
                <w:rFonts w:ascii="Times New Roman" w:hAnsi="Times New Roman"/>
                <w:sz w:val="24"/>
                <w:szCs w:val="24"/>
              </w:rPr>
              <w:t>iedzīvotāju</w:t>
            </w:r>
            <w:proofErr w:type="spellEnd"/>
            <w:r w:rsidR="00D62A55" w:rsidRPr="00640800">
              <w:rPr>
                <w:rFonts w:ascii="Times New Roman" w:hAnsi="Times New Roman"/>
                <w:sz w:val="24"/>
                <w:szCs w:val="24"/>
              </w:rPr>
              <w:t xml:space="preserve"> </w:t>
            </w:r>
            <w:proofErr w:type="spellStart"/>
            <w:r w:rsidR="00D62A55" w:rsidRPr="00640800">
              <w:rPr>
                <w:rFonts w:ascii="Times New Roman" w:hAnsi="Times New Roman"/>
                <w:sz w:val="24"/>
                <w:szCs w:val="24"/>
              </w:rPr>
              <w:t>ienākuma</w:t>
            </w:r>
            <w:proofErr w:type="spellEnd"/>
            <w:r w:rsidR="00D62A55" w:rsidRPr="00640800">
              <w:rPr>
                <w:rFonts w:ascii="Times New Roman" w:hAnsi="Times New Roman"/>
                <w:sz w:val="24"/>
                <w:szCs w:val="24"/>
              </w:rPr>
              <w:t xml:space="preserve"> </w:t>
            </w:r>
            <w:proofErr w:type="spellStart"/>
            <w:r w:rsidR="00D62A55" w:rsidRPr="00640800">
              <w:rPr>
                <w:rFonts w:ascii="Times New Roman" w:hAnsi="Times New Roman"/>
                <w:sz w:val="24"/>
                <w:szCs w:val="24"/>
              </w:rPr>
              <w:t>nodokļa</w:t>
            </w:r>
            <w:proofErr w:type="spellEnd"/>
            <w:r w:rsidR="00D62A55" w:rsidRPr="00640800">
              <w:rPr>
                <w:rFonts w:ascii="Times New Roman" w:hAnsi="Times New Roman"/>
                <w:sz w:val="24"/>
                <w:szCs w:val="24"/>
              </w:rPr>
              <w:t xml:space="preserve"> </w:t>
            </w:r>
            <w:proofErr w:type="spellStart"/>
            <w:r w:rsidR="00D62A55" w:rsidRPr="00640800">
              <w:rPr>
                <w:rFonts w:ascii="Times New Roman" w:hAnsi="Times New Roman"/>
                <w:sz w:val="24"/>
                <w:szCs w:val="24"/>
              </w:rPr>
              <w:t>likme</w:t>
            </w:r>
            <w:proofErr w:type="spellEnd"/>
            <w:r w:rsidR="00D62A55" w:rsidRPr="00640800">
              <w:rPr>
                <w:rFonts w:ascii="Times New Roman" w:hAnsi="Times New Roman"/>
                <w:sz w:val="24"/>
                <w:szCs w:val="24"/>
              </w:rPr>
              <w:t xml:space="preserve"> 31,4% </w:t>
            </w:r>
            <w:proofErr w:type="spellStart"/>
            <w:r w:rsidR="00D62A55" w:rsidRPr="00640800">
              <w:rPr>
                <w:rFonts w:ascii="Times New Roman" w:hAnsi="Times New Roman"/>
                <w:sz w:val="24"/>
                <w:szCs w:val="24"/>
              </w:rPr>
              <w:t>apmērā</w:t>
            </w:r>
            <w:proofErr w:type="spellEnd"/>
            <w:r w:rsidR="00431490" w:rsidRPr="00967D90">
              <w:rPr>
                <w:rFonts w:ascii="Times New Roman" w:hAnsi="Times New Roman"/>
                <w:sz w:val="24"/>
                <w:szCs w:val="24"/>
                <w:lang w:val="lv-LV"/>
              </w:rPr>
              <w:t>;</w:t>
            </w:r>
          </w:p>
          <w:p w14:paraId="62538A1D" w14:textId="39E66143" w:rsidR="005F145D" w:rsidRPr="005F145D" w:rsidRDefault="005F145D" w:rsidP="005F145D">
            <w:pPr>
              <w:tabs>
                <w:tab w:val="left" w:pos="423"/>
              </w:tabs>
              <w:ind w:right="125"/>
              <w:jc w:val="both"/>
            </w:pPr>
            <w:r w:rsidRPr="005F145D">
              <w:t>2)  maksātāji, par kuriem saskaņā ar Solidaritātes nodokļa likumu veiktas iemaksas privāto pensiju fondu pensiju plānos, un privātie pensiju fondi;</w:t>
            </w:r>
          </w:p>
          <w:p w14:paraId="13F3094A" w14:textId="19C3B5A1" w:rsidR="00367FDC" w:rsidRPr="005F145D" w:rsidRDefault="005F145D" w:rsidP="005F145D">
            <w:pPr>
              <w:tabs>
                <w:tab w:val="left" w:pos="423"/>
              </w:tabs>
              <w:ind w:right="125"/>
              <w:jc w:val="both"/>
            </w:pPr>
            <w:r>
              <w:t xml:space="preserve">3) </w:t>
            </w:r>
            <w:r w:rsidR="00195DF5" w:rsidRPr="005F145D">
              <w:t xml:space="preserve">fiziskās personas, kuras </w:t>
            </w:r>
            <w:r w:rsidR="00D269A7" w:rsidRPr="005F145D">
              <w:t xml:space="preserve">iegūst un </w:t>
            </w:r>
            <w:r w:rsidR="00195DF5" w:rsidRPr="005F145D">
              <w:t>atsavinās virtuālo valūtu</w:t>
            </w:r>
            <w:r w:rsidR="002845A3" w:rsidRPr="005F145D">
              <w:t>.</w:t>
            </w:r>
          </w:p>
        </w:tc>
      </w:tr>
      <w:tr w:rsidR="00967D90" w:rsidRPr="00967D90" w14:paraId="4D6DBB90" w14:textId="77777777" w:rsidTr="006B4097">
        <w:trPr>
          <w:trHeight w:val="274"/>
        </w:trPr>
        <w:tc>
          <w:tcPr>
            <w:tcW w:w="224" w:type="pct"/>
          </w:tcPr>
          <w:p w14:paraId="484658B3" w14:textId="77777777" w:rsidR="008078B8" w:rsidRPr="00967D90" w:rsidRDefault="008078B8" w:rsidP="002431AC">
            <w:r w:rsidRPr="00967D90">
              <w:t>2.</w:t>
            </w:r>
          </w:p>
        </w:tc>
        <w:tc>
          <w:tcPr>
            <w:tcW w:w="1615" w:type="pct"/>
          </w:tcPr>
          <w:p w14:paraId="4DC59D13" w14:textId="77777777" w:rsidR="008078B8" w:rsidRPr="00967D90" w:rsidRDefault="008078B8" w:rsidP="002431AC">
            <w:r w:rsidRPr="00967D90">
              <w:t>Tiesiskā regulējuma ietekme uz tautsaimniecību un administratīvo slogu</w:t>
            </w:r>
          </w:p>
        </w:tc>
        <w:tc>
          <w:tcPr>
            <w:tcW w:w="3161" w:type="pct"/>
          </w:tcPr>
          <w:p w14:paraId="37D04ED9" w14:textId="0DD5365F" w:rsidR="0015638A" w:rsidRPr="00967D90" w:rsidRDefault="00D62A55" w:rsidP="00074304">
            <w:pPr>
              <w:ind w:left="-2" w:firstLine="6"/>
              <w:jc w:val="both"/>
            </w:pPr>
            <w:r w:rsidRPr="00967D90">
              <w:t>Projekts šo jomu neskar.</w:t>
            </w:r>
          </w:p>
        </w:tc>
      </w:tr>
      <w:tr w:rsidR="00967D90" w:rsidRPr="00967D90" w14:paraId="67E36911" w14:textId="77777777" w:rsidTr="006B4097">
        <w:trPr>
          <w:trHeight w:val="309"/>
        </w:trPr>
        <w:tc>
          <w:tcPr>
            <w:tcW w:w="224" w:type="pct"/>
          </w:tcPr>
          <w:p w14:paraId="05C17043" w14:textId="77777777" w:rsidR="008078B8" w:rsidRPr="00967D90" w:rsidRDefault="008078B8" w:rsidP="002431AC">
            <w:r w:rsidRPr="00967D90">
              <w:t>3.</w:t>
            </w:r>
          </w:p>
        </w:tc>
        <w:tc>
          <w:tcPr>
            <w:tcW w:w="1615" w:type="pct"/>
          </w:tcPr>
          <w:p w14:paraId="68FC71DC" w14:textId="77777777" w:rsidR="008078B8" w:rsidRPr="00967D90" w:rsidRDefault="008078B8" w:rsidP="002431AC">
            <w:r w:rsidRPr="00967D90">
              <w:t>Administratīvo izmaksu monetārs novērtējums</w:t>
            </w:r>
          </w:p>
        </w:tc>
        <w:tc>
          <w:tcPr>
            <w:tcW w:w="3161" w:type="pct"/>
          </w:tcPr>
          <w:p w14:paraId="37A8F59D" w14:textId="77777777" w:rsidR="008078B8" w:rsidRPr="00967D90" w:rsidRDefault="0015638A" w:rsidP="006B4097">
            <w:pPr>
              <w:tabs>
                <w:tab w:val="left" w:pos="5809"/>
              </w:tabs>
              <w:ind w:right="125"/>
            </w:pPr>
            <w:r w:rsidRPr="00967D90">
              <w:t>Projekts šo jomu neskar.</w:t>
            </w:r>
          </w:p>
        </w:tc>
      </w:tr>
      <w:tr w:rsidR="00BB0EF4" w:rsidRPr="00967D90" w14:paraId="38DE08D8" w14:textId="77777777" w:rsidTr="006B4097">
        <w:trPr>
          <w:trHeight w:val="242"/>
        </w:trPr>
        <w:tc>
          <w:tcPr>
            <w:tcW w:w="224" w:type="pct"/>
          </w:tcPr>
          <w:p w14:paraId="4C4EA2DB" w14:textId="54E42B36" w:rsidR="00BB0EF4" w:rsidRPr="00967D90" w:rsidRDefault="00BB0EF4" w:rsidP="002431AC">
            <w:r>
              <w:t>4.</w:t>
            </w:r>
          </w:p>
        </w:tc>
        <w:tc>
          <w:tcPr>
            <w:tcW w:w="1615" w:type="pct"/>
          </w:tcPr>
          <w:p w14:paraId="7FCA9966" w14:textId="00EA2C5E" w:rsidR="00BB0EF4" w:rsidRPr="00457E46" w:rsidRDefault="00BB0EF4" w:rsidP="002431AC">
            <w:r w:rsidRPr="00640800">
              <w:t>Atbilstības izmaksu monetārs novērtējums</w:t>
            </w:r>
          </w:p>
        </w:tc>
        <w:tc>
          <w:tcPr>
            <w:tcW w:w="3161" w:type="pct"/>
          </w:tcPr>
          <w:p w14:paraId="1A6BE933" w14:textId="0BE655D4" w:rsidR="00BB0EF4" w:rsidRPr="00967D90" w:rsidRDefault="00BB0EF4" w:rsidP="002431AC">
            <w:r w:rsidRPr="00967D90">
              <w:t>Projekts šo jomu neskar.</w:t>
            </w:r>
          </w:p>
        </w:tc>
      </w:tr>
      <w:tr w:rsidR="00967D90" w:rsidRPr="00967D90" w14:paraId="15A91A00" w14:textId="77777777" w:rsidTr="006B4097">
        <w:trPr>
          <w:trHeight w:val="242"/>
        </w:trPr>
        <w:tc>
          <w:tcPr>
            <w:tcW w:w="224" w:type="pct"/>
          </w:tcPr>
          <w:p w14:paraId="1A4293A2" w14:textId="4793A0A5" w:rsidR="008078B8" w:rsidRPr="00967D90" w:rsidRDefault="00BB0EF4" w:rsidP="002431AC">
            <w:r>
              <w:t>5</w:t>
            </w:r>
            <w:r w:rsidR="008078B8" w:rsidRPr="00967D90">
              <w:t>.</w:t>
            </w:r>
          </w:p>
        </w:tc>
        <w:tc>
          <w:tcPr>
            <w:tcW w:w="1615" w:type="pct"/>
          </w:tcPr>
          <w:p w14:paraId="07267B42" w14:textId="77777777" w:rsidR="008078B8" w:rsidRPr="00967D90" w:rsidRDefault="008078B8" w:rsidP="002431AC">
            <w:r w:rsidRPr="00967D90">
              <w:t>Cita informācija</w:t>
            </w:r>
          </w:p>
        </w:tc>
        <w:tc>
          <w:tcPr>
            <w:tcW w:w="3161" w:type="pct"/>
          </w:tcPr>
          <w:p w14:paraId="6A533870" w14:textId="77777777" w:rsidR="008078B8" w:rsidRPr="00967D90" w:rsidRDefault="008078B8" w:rsidP="002431AC">
            <w:r w:rsidRPr="00967D90">
              <w:t>Nav.</w:t>
            </w:r>
          </w:p>
        </w:tc>
      </w:tr>
    </w:tbl>
    <w:p w14:paraId="0C0AB4E2" w14:textId="736C9B4C" w:rsidR="008078B8" w:rsidRDefault="008078B8" w:rsidP="002431AC">
      <w:pPr>
        <w:rPr>
          <w:sz w:val="28"/>
          <w:szCs w:val="28"/>
        </w:rPr>
      </w:pPr>
    </w:p>
    <w:tbl>
      <w:tblPr>
        <w:tblW w:w="5325"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35"/>
        <w:gridCol w:w="1144"/>
        <w:gridCol w:w="990"/>
        <w:gridCol w:w="1135"/>
        <w:gridCol w:w="992"/>
        <w:gridCol w:w="1133"/>
        <w:gridCol w:w="1276"/>
        <w:gridCol w:w="1139"/>
      </w:tblGrid>
      <w:tr w:rsidR="00E460BD" w:rsidRPr="00135924" w14:paraId="139470DE" w14:textId="77777777" w:rsidTr="00101B51">
        <w:tc>
          <w:tcPr>
            <w:tcW w:w="9644" w:type="dxa"/>
            <w:gridSpan w:val="8"/>
            <w:tcBorders>
              <w:top w:val="outset" w:sz="6" w:space="0" w:color="414142"/>
              <w:left w:val="outset" w:sz="6" w:space="0" w:color="414142"/>
              <w:bottom w:val="outset" w:sz="6" w:space="0" w:color="414142"/>
              <w:right w:val="outset" w:sz="6" w:space="0" w:color="414142"/>
            </w:tcBorders>
            <w:vAlign w:val="center"/>
            <w:hideMark/>
          </w:tcPr>
          <w:p w14:paraId="6C5F001E" w14:textId="77777777" w:rsidR="00E460BD" w:rsidRPr="004C4A14" w:rsidRDefault="00E460BD" w:rsidP="00101B51">
            <w:pPr>
              <w:spacing w:before="100" w:beforeAutospacing="1" w:after="100" w:afterAutospacing="1" w:line="360" w:lineRule="auto"/>
              <w:ind w:firstLine="300"/>
              <w:jc w:val="center"/>
              <w:rPr>
                <w:b/>
                <w:bCs/>
                <w:sz w:val="20"/>
                <w:szCs w:val="20"/>
              </w:rPr>
            </w:pPr>
            <w:r w:rsidRPr="004C4A14">
              <w:rPr>
                <w:b/>
                <w:bCs/>
                <w:sz w:val="20"/>
                <w:szCs w:val="20"/>
              </w:rPr>
              <w:t>III. Tiesību akta projekta ietekme uz valsts budžetu un pašvaldību budžetiem</w:t>
            </w:r>
          </w:p>
        </w:tc>
      </w:tr>
      <w:tr w:rsidR="00E460BD" w:rsidRPr="00135924" w14:paraId="53E00104" w14:textId="77777777" w:rsidTr="00101B51">
        <w:tc>
          <w:tcPr>
            <w:tcW w:w="1835" w:type="dxa"/>
            <w:vMerge w:val="restart"/>
            <w:tcBorders>
              <w:top w:val="outset" w:sz="6" w:space="0" w:color="414142"/>
              <w:left w:val="outset" w:sz="6" w:space="0" w:color="414142"/>
              <w:bottom w:val="outset" w:sz="6" w:space="0" w:color="414142"/>
              <w:right w:val="outset" w:sz="6" w:space="0" w:color="414142"/>
            </w:tcBorders>
            <w:vAlign w:val="center"/>
            <w:hideMark/>
          </w:tcPr>
          <w:p w14:paraId="40BAB2C4" w14:textId="77777777" w:rsidR="00E460BD" w:rsidRPr="004C4A14" w:rsidRDefault="00E460BD" w:rsidP="00101B51">
            <w:pPr>
              <w:spacing w:before="100" w:beforeAutospacing="1"/>
              <w:ind w:firstLine="300"/>
              <w:rPr>
                <w:sz w:val="20"/>
                <w:szCs w:val="20"/>
              </w:rPr>
            </w:pPr>
            <w:r w:rsidRPr="004C4A14">
              <w:rPr>
                <w:sz w:val="20"/>
                <w:szCs w:val="20"/>
              </w:rPr>
              <w:t>Rādītāji</w:t>
            </w:r>
          </w:p>
        </w:tc>
        <w:tc>
          <w:tcPr>
            <w:tcW w:w="2134"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568D2EE" w14:textId="77777777" w:rsidR="00E460BD" w:rsidRPr="004C4A14" w:rsidRDefault="00E460BD" w:rsidP="00101B51">
            <w:pPr>
              <w:spacing w:before="100" w:beforeAutospacing="1"/>
              <w:ind w:firstLine="300"/>
              <w:rPr>
                <w:sz w:val="20"/>
                <w:szCs w:val="20"/>
              </w:rPr>
            </w:pPr>
            <w:r w:rsidRPr="004C4A14">
              <w:rPr>
                <w:sz w:val="20"/>
                <w:szCs w:val="20"/>
              </w:rPr>
              <w:t>2018</w:t>
            </w:r>
          </w:p>
        </w:tc>
        <w:tc>
          <w:tcPr>
            <w:tcW w:w="5675" w:type="dxa"/>
            <w:gridSpan w:val="5"/>
            <w:tcBorders>
              <w:top w:val="outset" w:sz="6" w:space="0" w:color="414142"/>
              <w:left w:val="outset" w:sz="6" w:space="0" w:color="414142"/>
              <w:bottom w:val="outset" w:sz="6" w:space="0" w:color="414142"/>
              <w:right w:val="outset" w:sz="6" w:space="0" w:color="414142"/>
            </w:tcBorders>
            <w:vAlign w:val="center"/>
            <w:hideMark/>
          </w:tcPr>
          <w:p w14:paraId="3170EA79" w14:textId="77777777" w:rsidR="00E460BD" w:rsidRPr="004C4A14" w:rsidRDefault="00E460BD" w:rsidP="00101B51">
            <w:pPr>
              <w:spacing w:before="100" w:beforeAutospacing="1"/>
              <w:ind w:firstLine="300"/>
              <w:rPr>
                <w:sz w:val="20"/>
                <w:szCs w:val="20"/>
              </w:rPr>
            </w:pPr>
            <w:r w:rsidRPr="004C4A14">
              <w:rPr>
                <w:sz w:val="20"/>
                <w:szCs w:val="20"/>
              </w:rPr>
              <w:t>Turpmākie trīs gadi (</w:t>
            </w:r>
            <w:proofErr w:type="spellStart"/>
            <w:r w:rsidRPr="004C4A14">
              <w:rPr>
                <w:i/>
                <w:iCs/>
                <w:sz w:val="20"/>
                <w:szCs w:val="20"/>
              </w:rPr>
              <w:t>euro</w:t>
            </w:r>
            <w:proofErr w:type="spellEnd"/>
            <w:r w:rsidRPr="004C4A14">
              <w:rPr>
                <w:sz w:val="20"/>
                <w:szCs w:val="20"/>
              </w:rPr>
              <w:t>)</w:t>
            </w:r>
          </w:p>
        </w:tc>
      </w:tr>
      <w:tr w:rsidR="00E460BD" w:rsidRPr="00135924" w14:paraId="60A741B3" w14:textId="77777777" w:rsidTr="00101B51">
        <w:tc>
          <w:tcPr>
            <w:tcW w:w="1835" w:type="dxa"/>
            <w:vMerge/>
            <w:tcBorders>
              <w:top w:val="outset" w:sz="6" w:space="0" w:color="414142"/>
              <w:left w:val="outset" w:sz="6" w:space="0" w:color="414142"/>
              <w:bottom w:val="outset" w:sz="6" w:space="0" w:color="414142"/>
              <w:right w:val="outset" w:sz="6" w:space="0" w:color="414142"/>
            </w:tcBorders>
            <w:vAlign w:val="center"/>
            <w:hideMark/>
          </w:tcPr>
          <w:p w14:paraId="5393E738" w14:textId="77777777" w:rsidR="00E460BD" w:rsidRPr="004C4A14" w:rsidRDefault="00E460BD" w:rsidP="00101B51">
            <w:pPr>
              <w:rPr>
                <w:sz w:val="20"/>
                <w:szCs w:val="20"/>
              </w:rPr>
            </w:pPr>
          </w:p>
        </w:tc>
        <w:tc>
          <w:tcPr>
            <w:tcW w:w="2134" w:type="dxa"/>
            <w:gridSpan w:val="2"/>
            <w:vMerge/>
            <w:tcBorders>
              <w:top w:val="outset" w:sz="6" w:space="0" w:color="414142"/>
              <w:left w:val="outset" w:sz="6" w:space="0" w:color="414142"/>
              <w:bottom w:val="outset" w:sz="6" w:space="0" w:color="414142"/>
              <w:right w:val="outset" w:sz="6" w:space="0" w:color="414142"/>
            </w:tcBorders>
            <w:vAlign w:val="center"/>
            <w:hideMark/>
          </w:tcPr>
          <w:p w14:paraId="6C1A3758" w14:textId="77777777" w:rsidR="00E460BD" w:rsidRPr="004C4A14" w:rsidRDefault="00E460BD" w:rsidP="00101B51">
            <w:pPr>
              <w:rPr>
                <w:sz w:val="20"/>
                <w:szCs w:val="20"/>
              </w:rPr>
            </w:pP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44CA094E" w14:textId="77777777" w:rsidR="00E460BD" w:rsidRPr="004C4A14" w:rsidRDefault="00E460BD" w:rsidP="00101B51">
            <w:pPr>
              <w:spacing w:before="100" w:beforeAutospacing="1"/>
              <w:ind w:firstLine="300"/>
              <w:rPr>
                <w:sz w:val="20"/>
                <w:szCs w:val="20"/>
              </w:rPr>
            </w:pPr>
            <w:r w:rsidRPr="004C4A14">
              <w:rPr>
                <w:sz w:val="20"/>
                <w:szCs w:val="20"/>
              </w:rPr>
              <w:t>2019</w:t>
            </w:r>
          </w:p>
        </w:tc>
        <w:tc>
          <w:tcPr>
            <w:tcW w:w="2409" w:type="dxa"/>
            <w:gridSpan w:val="2"/>
            <w:tcBorders>
              <w:top w:val="outset" w:sz="6" w:space="0" w:color="414142"/>
              <w:left w:val="outset" w:sz="6" w:space="0" w:color="414142"/>
              <w:bottom w:val="outset" w:sz="6" w:space="0" w:color="414142"/>
              <w:right w:val="outset" w:sz="6" w:space="0" w:color="414142"/>
            </w:tcBorders>
            <w:vAlign w:val="center"/>
            <w:hideMark/>
          </w:tcPr>
          <w:p w14:paraId="15D3C330" w14:textId="77777777" w:rsidR="00E460BD" w:rsidRPr="004C4A14" w:rsidRDefault="00E460BD" w:rsidP="00101B51">
            <w:pPr>
              <w:spacing w:before="100" w:beforeAutospacing="1"/>
              <w:ind w:firstLine="300"/>
              <w:rPr>
                <w:sz w:val="20"/>
                <w:szCs w:val="20"/>
              </w:rPr>
            </w:pPr>
            <w:r w:rsidRPr="004C4A14">
              <w:rPr>
                <w:sz w:val="20"/>
                <w:szCs w:val="20"/>
              </w:rPr>
              <w:t>2020</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77F3D7B5" w14:textId="77777777" w:rsidR="00E460BD" w:rsidRPr="004C4A14" w:rsidRDefault="00E460BD" w:rsidP="00101B51">
            <w:pPr>
              <w:spacing w:before="100" w:beforeAutospacing="1"/>
              <w:ind w:firstLine="300"/>
              <w:rPr>
                <w:sz w:val="20"/>
                <w:szCs w:val="20"/>
              </w:rPr>
            </w:pPr>
            <w:r w:rsidRPr="004C4A14">
              <w:rPr>
                <w:sz w:val="20"/>
                <w:szCs w:val="20"/>
              </w:rPr>
              <w:t>2021</w:t>
            </w:r>
          </w:p>
        </w:tc>
      </w:tr>
      <w:tr w:rsidR="00E460BD" w:rsidRPr="00135924" w14:paraId="2EFDAF2B" w14:textId="77777777" w:rsidTr="00101B51">
        <w:tc>
          <w:tcPr>
            <w:tcW w:w="1835" w:type="dxa"/>
            <w:vMerge/>
            <w:tcBorders>
              <w:top w:val="outset" w:sz="6" w:space="0" w:color="414142"/>
              <w:left w:val="outset" w:sz="6" w:space="0" w:color="414142"/>
              <w:bottom w:val="outset" w:sz="6" w:space="0" w:color="414142"/>
              <w:right w:val="outset" w:sz="6" w:space="0" w:color="414142"/>
            </w:tcBorders>
            <w:vAlign w:val="center"/>
            <w:hideMark/>
          </w:tcPr>
          <w:p w14:paraId="0B904F1D" w14:textId="77777777" w:rsidR="00E460BD" w:rsidRPr="004C4A14" w:rsidRDefault="00E460BD" w:rsidP="00101B51">
            <w:pPr>
              <w:rPr>
                <w:sz w:val="20"/>
                <w:szCs w:val="20"/>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A37D245" w14:textId="77777777" w:rsidR="00E460BD" w:rsidRPr="004C4A14" w:rsidRDefault="00E460BD" w:rsidP="00101B51">
            <w:pPr>
              <w:spacing w:before="100" w:beforeAutospacing="1"/>
              <w:rPr>
                <w:sz w:val="20"/>
                <w:szCs w:val="20"/>
              </w:rPr>
            </w:pPr>
            <w:r w:rsidRPr="004C4A14">
              <w:rPr>
                <w:sz w:val="20"/>
                <w:szCs w:val="20"/>
              </w:rPr>
              <w:t>saskaņā ar valsts budžetu kārtējam gadam</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A8A6687" w14:textId="77777777" w:rsidR="00E460BD" w:rsidRPr="004C4A14" w:rsidRDefault="00E460BD" w:rsidP="00101B51">
            <w:pPr>
              <w:spacing w:before="100" w:beforeAutospacing="1"/>
              <w:rPr>
                <w:sz w:val="20"/>
                <w:szCs w:val="20"/>
              </w:rPr>
            </w:pPr>
            <w:r w:rsidRPr="004C4A14">
              <w:rPr>
                <w:sz w:val="20"/>
                <w:szCs w:val="20"/>
              </w:rPr>
              <w:t>izmaiņas kārtējā gadā, salīdzinot ar valsts budžetu kārtējam gadam</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A8C0B20" w14:textId="77777777" w:rsidR="00E460BD" w:rsidRPr="00E460BD" w:rsidRDefault="00E460BD" w:rsidP="00101B51">
            <w:pPr>
              <w:spacing w:before="100" w:beforeAutospacing="1"/>
              <w:rPr>
                <w:sz w:val="20"/>
                <w:szCs w:val="20"/>
              </w:rPr>
            </w:pPr>
            <w:r w:rsidRPr="00E460BD">
              <w:rPr>
                <w:sz w:val="20"/>
                <w:szCs w:val="20"/>
              </w:rPr>
              <w:t>saskaņā ar vidēja termiņa budžeta ietvaru</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993D2C4" w14:textId="77777777" w:rsidR="00E460BD" w:rsidRPr="00E460BD" w:rsidRDefault="00E460BD" w:rsidP="00101B51">
            <w:pPr>
              <w:spacing w:before="100" w:beforeAutospacing="1"/>
              <w:rPr>
                <w:sz w:val="20"/>
                <w:szCs w:val="20"/>
              </w:rPr>
            </w:pPr>
            <w:r w:rsidRPr="00E460BD">
              <w:rPr>
                <w:sz w:val="20"/>
                <w:szCs w:val="20"/>
              </w:rPr>
              <w:t>izmaiņas, salīdzinot ar vidēja termiņa budžeta ietvaru 2019 gadam</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709AB0D" w14:textId="77777777" w:rsidR="00E460BD" w:rsidRPr="00E460BD" w:rsidRDefault="00E460BD" w:rsidP="00101B51">
            <w:pPr>
              <w:spacing w:before="100" w:beforeAutospacing="1"/>
              <w:rPr>
                <w:sz w:val="20"/>
                <w:szCs w:val="20"/>
              </w:rPr>
            </w:pPr>
            <w:r w:rsidRPr="00E460BD">
              <w:rPr>
                <w:sz w:val="20"/>
                <w:szCs w:val="20"/>
              </w:rPr>
              <w:t>saskaņā ar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78F4099B" w14:textId="77777777" w:rsidR="00E460BD" w:rsidRPr="004C4A14" w:rsidRDefault="00E460BD" w:rsidP="00101B51">
            <w:pPr>
              <w:spacing w:before="100" w:beforeAutospacing="1"/>
              <w:rPr>
                <w:sz w:val="20"/>
                <w:szCs w:val="20"/>
              </w:rPr>
            </w:pPr>
            <w:r w:rsidRPr="004C4A14">
              <w:rPr>
                <w:sz w:val="20"/>
                <w:szCs w:val="20"/>
              </w:rPr>
              <w:t>izmaiņas, salīdzinot ar vidēja termiņa budžeta ietvaru 2020 gadam</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45217120" w14:textId="77777777" w:rsidR="00E460BD" w:rsidRPr="004C4A14" w:rsidRDefault="00E460BD" w:rsidP="00101B51">
            <w:pPr>
              <w:spacing w:before="100" w:beforeAutospacing="1"/>
              <w:rPr>
                <w:sz w:val="20"/>
                <w:szCs w:val="20"/>
              </w:rPr>
            </w:pPr>
            <w:r w:rsidRPr="004C4A14">
              <w:rPr>
                <w:sz w:val="20"/>
                <w:szCs w:val="20"/>
              </w:rPr>
              <w:t>izmaiņas, salīdzinot ar plānoto 2020 gadam</w:t>
            </w:r>
          </w:p>
        </w:tc>
      </w:tr>
      <w:tr w:rsidR="00E460BD" w:rsidRPr="00135924" w14:paraId="1B8AFBDE" w14:textId="77777777" w:rsidTr="00101B51">
        <w:tc>
          <w:tcPr>
            <w:tcW w:w="1835" w:type="dxa"/>
            <w:tcBorders>
              <w:top w:val="outset" w:sz="6" w:space="0" w:color="414142"/>
              <w:left w:val="outset" w:sz="6" w:space="0" w:color="414142"/>
              <w:bottom w:val="outset" w:sz="6" w:space="0" w:color="414142"/>
              <w:right w:val="outset" w:sz="6" w:space="0" w:color="414142"/>
            </w:tcBorders>
            <w:vAlign w:val="center"/>
            <w:hideMark/>
          </w:tcPr>
          <w:p w14:paraId="5535D697"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1</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D76541F"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2</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F85E702"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3</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1EFBDE9E"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4</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F98114A"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7DC1F12"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62A0D18D"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7</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4E93EA29" w14:textId="77777777" w:rsidR="00E460BD" w:rsidRPr="004C4A14" w:rsidRDefault="00E460BD" w:rsidP="00101B51">
            <w:pPr>
              <w:spacing w:before="100" w:beforeAutospacing="1" w:after="100" w:afterAutospacing="1" w:line="360" w:lineRule="auto"/>
              <w:ind w:firstLine="300"/>
              <w:jc w:val="center"/>
              <w:rPr>
                <w:sz w:val="20"/>
                <w:szCs w:val="20"/>
              </w:rPr>
            </w:pPr>
            <w:r w:rsidRPr="004C4A14">
              <w:rPr>
                <w:sz w:val="20"/>
                <w:szCs w:val="20"/>
              </w:rPr>
              <w:t>8</w:t>
            </w:r>
          </w:p>
        </w:tc>
      </w:tr>
      <w:tr w:rsidR="00E460BD" w:rsidRPr="00135924" w14:paraId="02FEB5DA"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3DED2660" w14:textId="77777777" w:rsidR="00E460BD" w:rsidRPr="004C4A14" w:rsidRDefault="00E460BD" w:rsidP="00101B51">
            <w:pPr>
              <w:rPr>
                <w:sz w:val="20"/>
                <w:szCs w:val="20"/>
              </w:rPr>
            </w:pPr>
            <w:r w:rsidRPr="004C4A14">
              <w:rPr>
                <w:sz w:val="20"/>
                <w:szCs w:val="20"/>
              </w:rPr>
              <w:t>1. Budžeta ieņēmumi</w:t>
            </w:r>
          </w:p>
        </w:tc>
        <w:tc>
          <w:tcPr>
            <w:tcW w:w="1144" w:type="dxa"/>
            <w:tcBorders>
              <w:top w:val="outset" w:sz="6" w:space="0" w:color="414142"/>
              <w:left w:val="outset" w:sz="6" w:space="0" w:color="414142"/>
              <w:bottom w:val="outset" w:sz="6" w:space="0" w:color="414142"/>
              <w:right w:val="outset" w:sz="6" w:space="0" w:color="414142"/>
            </w:tcBorders>
            <w:vAlign w:val="center"/>
          </w:tcPr>
          <w:p w14:paraId="4DE60997"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0D0AC218"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70C4DD32"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4B66B622" w14:textId="77777777" w:rsidR="00E460BD" w:rsidRPr="00E460BD" w:rsidRDefault="00E460BD" w:rsidP="00101B51">
            <w:pPr>
              <w:rPr>
                <w:sz w:val="20"/>
                <w:szCs w:val="20"/>
              </w:rPr>
            </w:pPr>
            <w:r w:rsidRPr="00E460BD">
              <w:rPr>
                <w:sz w:val="20"/>
                <w:szCs w:val="20"/>
              </w:rPr>
              <w:t>+690 000</w:t>
            </w:r>
          </w:p>
        </w:tc>
        <w:tc>
          <w:tcPr>
            <w:tcW w:w="1133" w:type="dxa"/>
            <w:tcBorders>
              <w:top w:val="outset" w:sz="6" w:space="0" w:color="414142"/>
              <w:left w:val="outset" w:sz="6" w:space="0" w:color="414142"/>
              <w:bottom w:val="outset" w:sz="6" w:space="0" w:color="414142"/>
              <w:right w:val="outset" w:sz="6" w:space="0" w:color="414142"/>
            </w:tcBorders>
            <w:vAlign w:val="center"/>
          </w:tcPr>
          <w:p w14:paraId="3E6610A4"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6C9938B2" w14:textId="77777777" w:rsidR="00E460BD" w:rsidRPr="00E460BD" w:rsidRDefault="00E460BD" w:rsidP="00101B51">
            <w:pPr>
              <w:rPr>
                <w:sz w:val="20"/>
                <w:szCs w:val="20"/>
              </w:rPr>
            </w:pPr>
            <w:r w:rsidRPr="00E460BD">
              <w:rPr>
                <w:sz w:val="20"/>
                <w:szCs w:val="20"/>
              </w:rPr>
              <w:t>+1 510 000</w:t>
            </w:r>
          </w:p>
        </w:tc>
        <w:tc>
          <w:tcPr>
            <w:tcW w:w="1139" w:type="dxa"/>
            <w:tcBorders>
              <w:top w:val="outset" w:sz="6" w:space="0" w:color="414142"/>
              <w:left w:val="outset" w:sz="6" w:space="0" w:color="414142"/>
              <w:bottom w:val="outset" w:sz="6" w:space="0" w:color="414142"/>
              <w:right w:val="outset" w:sz="6" w:space="0" w:color="414142"/>
            </w:tcBorders>
            <w:vAlign w:val="center"/>
          </w:tcPr>
          <w:p w14:paraId="4D20EBB1" w14:textId="77777777" w:rsidR="00E460BD" w:rsidRPr="00E460BD" w:rsidRDefault="00E460BD" w:rsidP="00101B51">
            <w:pPr>
              <w:rPr>
                <w:sz w:val="20"/>
                <w:szCs w:val="20"/>
              </w:rPr>
            </w:pPr>
            <w:r w:rsidRPr="00E460BD">
              <w:rPr>
                <w:sz w:val="20"/>
                <w:szCs w:val="20"/>
              </w:rPr>
              <w:t>+1 610 000</w:t>
            </w:r>
          </w:p>
        </w:tc>
      </w:tr>
      <w:tr w:rsidR="00E460BD" w:rsidRPr="00135924" w14:paraId="5F840C0C"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009329CA" w14:textId="77777777" w:rsidR="00E460BD" w:rsidRPr="004C4A14" w:rsidRDefault="00E460BD" w:rsidP="00101B51">
            <w:pPr>
              <w:rPr>
                <w:sz w:val="20"/>
                <w:szCs w:val="20"/>
              </w:rPr>
            </w:pPr>
            <w:r w:rsidRPr="004C4A14">
              <w:rPr>
                <w:sz w:val="20"/>
                <w:szCs w:val="20"/>
              </w:rPr>
              <w:t>1.1. valsts pamatbudžets, tai skaitā ieņēmumi no maksas pakalpojumiem un citi pašu ieņēmumi</w:t>
            </w:r>
            <w:r>
              <w:rPr>
                <w:sz w:val="20"/>
                <w:szCs w:val="20"/>
              </w:rPr>
              <w:t>:</w:t>
            </w:r>
          </w:p>
        </w:tc>
        <w:tc>
          <w:tcPr>
            <w:tcW w:w="1144" w:type="dxa"/>
            <w:tcBorders>
              <w:top w:val="outset" w:sz="6" w:space="0" w:color="414142"/>
              <w:left w:val="outset" w:sz="6" w:space="0" w:color="414142"/>
              <w:bottom w:val="outset" w:sz="6" w:space="0" w:color="414142"/>
              <w:right w:val="outset" w:sz="6" w:space="0" w:color="414142"/>
            </w:tcBorders>
            <w:vAlign w:val="center"/>
          </w:tcPr>
          <w:p w14:paraId="28B6E9B4"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0C305529"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353FC420" w14:textId="77777777" w:rsidR="00E460BD" w:rsidRPr="00C02AB8"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6A53C09F" w14:textId="77777777" w:rsidR="00E460BD" w:rsidRPr="00E460BD" w:rsidRDefault="00E460BD" w:rsidP="00101B51">
            <w:pPr>
              <w:rPr>
                <w:sz w:val="20"/>
                <w:szCs w:val="20"/>
              </w:rPr>
            </w:pPr>
            <w:r w:rsidRPr="00E460BD">
              <w:rPr>
                <w:sz w:val="20"/>
                <w:szCs w:val="20"/>
              </w:rPr>
              <w:t>-650 000</w:t>
            </w:r>
          </w:p>
        </w:tc>
        <w:tc>
          <w:tcPr>
            <w:tcW w:w="1133" w:type="dxa"/>
            <w:tcBorders>
              <w:top w:val="outset" w:sz="6" w:space="0" w:color="414142"/>
              <w:left w:val="outset" w:sz="6" w:space="0" w:color="414142"/>
              <w:bottom w:val="outset" w:sz="6" w:space="0" w:color="414142"/>
              <w:right w:val="outset" w:sz="6" w:space="0" w:color="414142"/>
            </w:tcBorders>
            <w:vAlign w:val="center"/>
          </w:tcPr>
          <w:p w14:paraId="2A1196C7"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7FD20796" w14:textId="77777777" w:rsidR="00E460BD" w:rsidRPr="00E460BD" w:rsidRDefault="00E460BD" w:rsidP="00101B51">
            <w:pPr>
              <w:rPr>
                <w:sz w:val="20"/>
                <w:szCs w:val="20"/>
              </w:rPr>
            </w:pPr>
            <w:r w:rsidRPr="00E460BD">
              <w:rPr>
                <w:sz w:val="20"/>
                <w:szCs w:val="20"/>
              </w:rPr>
              <w:t>-1 200 000</w:t>
            </w:r>
          </w:p>
        </w:tc>
        <w:tc>
          <w:tcPr>
            <w:tcW w:w="1139" w:type="dxa"/>
            <w:tcBorders>
              <w:top w:val="outset" w:sz="6" w:space="0" w:color="414142"/>
              <w:left w:val="outset" w:sz="6" w:space="0" w:color="414142"/>
              <w:bottom w:val="outset" w:sz="6" w:space="0" w:color="414142"/>
              <w:right w:val="outset" w:sz="6" w:space="0" w:color="414142"/>
            </w:tcBorders>
            <w:vAlign w:val="center"/>
          </w:tcPr>
          <w:p w14:paraId="377A07A5" w14:textId="77777777" w:rsidR="00E460BD" w:rsidRPr="00E460BD" w:rsidRDefault="00E460BD" w:rsidP="00101B51">
            <w:pPr>
              <w:rPr>
                <w:sz w:val="20"/>
                <w:szCs w:val="20"/>
              </w:rPr>
            </w:pPr>
            <w:r w:rsidRPr="00E460BD">
              <w:rPr>
                <w:sz w:val="20"/>
                <w:szCs w:val="20"/>
              </w:rPr>
              <w:t>-1 240 000</w:t>
            </w:r>
          </w:p>
        </w:tc>
      </w:tr>
      <w:tr w:rsidR="00E460BD" w:rsidRPr="00135924" w14:paraId="1232834F"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224874A2" w14:textId="77777777" w:rsidR="00E460BD" w:rsidRPr="004C4A14" w:rsidRDefault="00E460BD" w:rsidP="00101B51">
            <w:pPr>
              <w:rPr>
                <w:sz w:val="20"/>
                <w:szCs w:val="20"/>
              </w:rPr>
            </w:pPr>
            <w:r w:rsidRPr="004C4A14">
              <w:rPr>
                <w:sz w:val="20"/>
                <w:szCs w:val="20"/>
              </w:rPr>
              <w:t>1.2. valsts speciālais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50AF1D64"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69075FCD"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5AF33528"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3F4B18C5" w14:textId="77777777" w:rsidR="00E460BD" w:rsidRPr="00E460BD" w:rsidRDefault="00E460BD" w:rsidP="00101B51">
            <w:pPr>
              <w:rPr>
                <w:sz w:val="20"/>
                <w:szCs w:val="20"/>
              </w:rPr>
            </w:pPr>
            <w:r w:rsidRPr="00E460BD">
              <w:rPr>
                <w:sz w:val="20"/>
                <w:szCs w:val="20"/>
              </w:rPr>
              <w:t>+2 800 000</w:t>
            </w:r>
          </w:p>
        </w:tc>
        <w:tc>
          <w:tcPr>
            <w:tcW w:w="1133" w:type="dxa"/>
            <w:tcBorders>
              <w:top w:val="outset" w:sz="6" w:space="0" w:color="414142"/>
              <w:left w:val="outset" w:sz="6" w:space="0" w:color="414142"/>
              <w:bottom w:val="outset" w:sz="6" w:space="0" w:color="414142"/>
              <w:right w:val="outset" w:sz="6" w:space="0" w:color="414142"/>
            </w:tcBorders>
            <w:vAlign w:val="center"/>
          </w:tcPr>
          <w:p w14:paraId="3F022438"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50344C56" w14:textId="77777777" w:rsidR="00E460BD" w:rsidRPr="00E460BD" w:rsidRDefault="00E460BD" w:rsidP="00101B51">
            <w:pPr>
              <w:rPr>
                <w:sz w:val="20"/>
                <w:szCs w:val="20"/>
              </w:rPr>
            </w:pPr>
            <w:r w:rsidRPr="00E460BD">
              <w:rPr>
                <w:sz w:val="20"/>
                <w:szCs w:val="20"/>
              </w:rPr>
              <w:t>+5 900 000</w:t>
            </w:r>
          </w:p>
        </w:tc>
        <w:tc>
          <w:tcPr>
            <w:tcW w:w="1139" w:type="dxa"/>
            <w:tcBorders>
              <w:top w:val="outset" w:sz="6" w:space="0" w:color="414142"/>
              <w:left w:val="outset" w:sz="6" w:space="0" w:color="414142"/>
              <w:bottom w:val="outset" w:sz="6" w:space="0" w:color="414142"/>
              <w:right w:val="outset" w:sz="6" w:space="0" w:color="414142"/>
            </w:tcBorders>
            <w:vAlign w:val="center"/>
          </w:tcPr>
          <w:p w14:paraId="016170D6" w14:textId="77777777" w:rsidR="00E460BD" w:rsidRPr="00E460BD" w:rsidRDefault="00E460BD" w:rsidP="00101B51">
            <w:pPr>
              <w:rPr>
                <w:sz w:val="20"/>
                <w:szCs w:val="20"/>
              </w:rPr>
            </w:pPr>
            <w:r w:rsidRPr="00E460BD">
              <w:rPr>
                <w:sz w:val="20"/>
                <w:szCs w:val="20"/>
              </w:rPr>
              <w:t>+6 200 000</w:t>
            </w:r>
          </w:p>
        </w:tc>
      </w:tr>
      <w:tr w:rsidR="00E460BD" w:rsidRPr="00135924" w14:paraId="469D8A2C"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36E41EB4" w14:textId="77777777" w:rsidR="00E460BD" w:rsidRPr="004C4A14" w:rsidRDefault="00E460BD" w:rsidP="00101B51">
            <w:pPr>
              <w:rPr>
                <w:sz w:val="20"/>
                <w:szCs w:val="20"/>
              </w:rPr>
            </w:pPr>
            <w:r w:rsidRPr="004C4A14">
              <w:rPr>
                <w:sz w:val="20"/>
                <w:szCs w:val="20"/>
              </w:rPr>
              <w:t>1.3. pašvaldību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687ABCC9"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47A96800"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4907A0F1" w14:textId="77777777" w:rsidR="00E460BD" w:rsidRPr="00C02AB8"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44B60854" w14:textId="77777777" w:rsidR="00E460BD" w:rsidRPr="00E460BD" w:rsidRDefault="00E460BD" w:rsidP="00101B51">
            <w:pPr>
              <w:rPr>
                <w:sz w:val="20"/>
                <w:szCs w:val="20"/>
              </w:rPr>
            </w:pPr>
            <w:r w:rsidRPr="00E460BD">
              <w:rPr>
                <w:sz w:val="20"/>
                <w:szCs w:val="20"/>
              </w:rPr>
              <w:t>-1 460 000</w:t>
            </w:r>
          </w:p>
        </w:tc>
        <w:tc>
          <w:tcPr>
            <w:tcW w:w="1133" w:type="dxa"/>
            <w:tcBorders>
              <w:top w:val="outset" w:sz="6" w:space="0" w:color="414142"/>
              <w:left w:val="outset" w:sz="6" w:space="0" w:color="414142"/>
              <w:bottom w:val="outset" w:sz="6" w:space="0" w:color="414142"/>
              <w:right w:val="outset" w:sz="6" w:space="0" w:color="414142"/>
            </w:tcBorders>
            <w:vAlign w:val="center"/>
          </w:tcPr>
          <w:p w14:paraId="166A62FF"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0A649A5F" w14:textId="77777777" w:rsidR="00E460BD" w:rsidRPr="00E460BD" w:rsidRDefault="00E460BD" w:rsidP="00101B51">
            <w:pPr>
              <w:rPr>
                <w:sz w:val="20"/>
                <w:szCs w:val="20"/>
              </w:rPr>
            </w:pPr>
            <w:r w:rsidRPr="00E460BD">
              <w:rPr>
                <w:sz w:val="20"/>
                <w:szCs w:val="20"/>
              </w:rPr>
              <w:t>-3 190 000</w:t>
            </w:r>
          </w:p>
        </w:tc>
        <w:tc>
          <w:tcPr>
            <w:tcW w:w="1139" w:type="dxa"/>
            <w:tcBorders>
              <w:top w:val="outset" w:sz="6" w:space="0" w:color="414142"/>
              <w:left w:val="outset" w:sz="6" w:space="0" w:color="414142"/>
              <w:bottom w:val="outset" w:sz="6" w:space="0" w:color="414142"/>
              <w:right w:val="outset" w:sz="6" w:space="0" w:color="414142"/>
            </w:tcBorders>
            <w:vAlign w:val="center"/>
          </w:tcPr>
          <w:p w14:paraId="5082D7CC" w14:textId="77777777" w:rsidR="00E460BD" w:rsidRPr="00E460BD" w:rsidRDefault="00E460BD" w:rsidP="00101B51">
            <w:pPr>
              <w:rPr>
                <w:sz w:val="20"/>
                <w:szCs w:val="20"/>
              </w:rPr>
            </w:pPr>
            <w:r w:rsidRPr="00E460BD">
              <w:rPr>
                <w:sz w:val="20"/>
                <w:szCs w:val="20"/>
              </w:rPr>
              <w:t>-3 350 000</w:t>
            </w:r>
          </w:p>
        </w:tc>
      </w:tr>
      <w:tr w:rsidR="00E460BD" w:rsidRPr="00135924" w14:paraId="63C51476"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24CA8464" w14:textId="77777777" w:rsidR="00E460BD" w:rsidRPr="004C4A14" w:rsidRDefault="00E460BD" w:rsidP="00101B51">
            <w:pPr>
              <w:rPr>
                <w:sz w:val="20"/>
                <w:szCs w:val="20"/>
              </w:rPr>
            </w:pPr>
            <w:r w:rsidRPr="004C4A14">
              <w:rPr>
                <w:sz w:val="20"/>
                <w:szCs w:val="20"/>
              </w:rPr>
              <w:t>2. Budžeta izdevumi</w:t>
            </w:r>
          </w:p>
        </w:tc>
        <w:tc>
          <w:tcPr>
            <w:tcW w:w="1144" w:type="dxa"/>
            <w:tcBorders>
              <w:top w:val="outset" w:sz="6" w:space="0" w:color="414142"/>
              <w:left w:val="outset" w:sz="6" w:space="0" w:color="414142"/>
              <w:bottom w:val="outset" w:sz="6" w:space="0" w:color="414142"/>
              <w:right w:val="outset" w:sz="6" w:space="0" w:color="414142"/>
            </w:tcBorders>
            <w:vAlign w:val="center"/>
          </w:tcPr>
          <w:p w14:paraId="0845B1F8"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74C92F10"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651F6CF3"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01A3951A" w14:textId="7777777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7B9BAC5B"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1E301BD1" w14:textId="77777777"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36A7F093" w14:textId="77777777" w:rsidR="00E460BD" w:rsidRPr="00E460BD" w:rsidRDefault="00E460BD" w:rsidP="00101B51">
            <w:pPr>
              <w:rPr>
                <w:sz w:val="20"/>
                <w:szCs w:val="20"/>
              </w:rPr>
            </w:pPr>
          </w:p>
        </w:tc>
      </w:tr>
      <w:tr w:rsidR="00E460BD" w:rsidRPr="00135924" w14:paraId="67A9E864"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1AAEE3A3" w14:textId="77777777" w:rsidR="00E460BD" w:rsidRPr="004C4A14" w:rsidRDefault="00E460BD" w:rsidP="00101B51">
            <w:pPr>
              <w:rPr>
                <w:sz w:val="20"/>
                <w:szCs w:val="20"/>
              </w:rPr>
            </w:pPr>
            <w:r w:rsidRPr="004C4A14">
              <w:rPr>
                <w:sz w:val="20"/>
                <w:szCs w:val="20"/>
              </w:rPr>
              <w:t>2.1. valsts pamatbudžets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425FA5DA"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6A6A7A87"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11EB812F"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12C7B062" w14:textId="7777777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11C65DF2"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020EC530" w14:textId="77777777"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0BAF85BA" w14:textId="77777777" w:rsidR="00E460BD" w:rsidRPr="00E460BD" w:rsidRDefault="00E460BD" w:rsidP="00101B51">
            <w:pPr>
              <w:rPr>
                <w:sz w:val="20"/>
                <w:szCs w:val="20"/>
              </w:rPr>
            </w:pPr>
          </w:p>
        </w:tc>
      </w:tr>
      <w:tr w:rsidR="00E460BD" w:rsidRPr="00135924" w14:paraId="6B29B8C7"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7C454185" w14:textId="77777777" w:rsidR="00E460BD" w:rsidRPr="004C4A14" w:rsidRDefault="00E460BD" w:rsidP="00101B51">
            <w:pPr>
              <w:rPr>
                <w:sz w:val="20"/>
                <w:szCs w:val="20"/>
              </w:rPr>
            </w:pPr>
            <w:r w:rsidRPr="004C4A14">
              <w:rPr>
                <w:sz w:val="20"/>
                <w:szCs w:val="20"/>
              </w:rPr>
              <w:t>2.2. valsts speciālais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07EF903E"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0C7D56FE"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3F7F1827"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09CE6DC2" w14:textId="7777777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4F5559EE"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1867F0FB" w14:textId="77777777"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669487C7" w14:textId="77777777" w:rsidR="00E460BD" w:rsidRPr="00E460BD" w:rsidRDefault="00E460BD" w:rsidP="00101B51">
            <w:pPr>
              <w:rPr>
                <w:sz w:val="20"/>
                <w:szCs w:val="20"/>
              </w:rPr>
            </w:pPr>
          </w:p>
        </w:tc>
      </w:tr>
      <w:tr w:rsidR="00E460BD" w:rsidRPr="00135924" w14:paraId="251282D0"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3AA2A22E" w14:textId="77777777" w:rsidR="00E460BD" w:rsidRPr="004C4A14" w:rsidRDefault="00E460BD" w:rsidP="00101B51">
            <w:pPr>
              <w:rPr>
                <w:sz w:val="20"/>
                <w:szCs w:val="20"/>
              </w:rPr>
            </w:pPr>
            <w:r w:rsidRPr="004C4A14">
              <w:rPr>
                <w:sz w:val="20"/>
                <w:szCs w:val="20"/>
              </w:rPr>
              <w:t>2.3. pašvaldību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0C348A2B"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56A543B9"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1D240193"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095D376D" w14:textId="77777777" w:rsidR="00E460BD" w:rsidRPr="00E460BD" w:rsidRDefault="00E460BD" w:rsidP="00101B51">
            <w:pPr>
              <w:rPr>
                <w:sz w:val="20"/>
                <w:szCs w:val="20"/>
              </w:rPr>
            </w:pPr>
          </w:p>
        </w:tc>
        <w:tc>
          <w:tcPr>
            <w:tcW w:w="1133" w:type="dxa"/>
            <w:tcBorders>
              <w:top w:val="outset" w:sz="6" w:space="0" w:color="414142"/>
              <w:left w:val="outset" w:sz="6" w:space="0" w:color="414142"/>
              <w:bottom w:val="outset" w:sz="6" w:space="0" w:color="414142"/>
              <w:right w:val="outset" w:sz="6" w:space="0" w:color="414142"/>
            </w:tcBorders>
            <w:vAlign w:val="center"/>
          </w:tcPr>
          <w:p w14:paraId="58240DF6"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7A388D80" w14:textId="77777777" w:rsidR="00E460BD" w:rsidRPr="00E460BD" w:rsidRDefault="00E460BD" w:rsidP="00101B51">
            <w:pPr>
              <w:rPr>
                <w:sz w:val="20"/>
                <w:szCs w:val="20"/>
              </w:rPr>
            </w:pPr>
          </w:p>
        </w:tc>
        <w:tc>
          <w:tcPr>
            <w:tcW w:w="1139" w:type="dxa"/>
            <w:tcBorders>
              <w:top w:val="outset" w:sz="6" w:space="0" w:color="414142"/>
              <w:left w:val="outset" w:sz="6" w:space="0" w:color="414142"/>
              <w:bottom w:val="outset" w:sz="6" w:space="0" w:color="414142"/>
              <w:right w:val="outset" w:sz="6" w:space="0" w:color="414142"/>
            </w:tcBorders>
            <w:vAlign w:val="center"/>
          </w:tcPr>
          <w:p w14:paraId="6699605B" w14:textId="77777777" w:rsidR="00E460BD" w:rsidRPr="00E460BD" w:rsidRDefault="00E460BD" w:rsidP="00101B51">
            <w:pPr>
              <w:rPr>
                <w:sz w:val="20"/>
                <w:szCs w:val="20"/>
              </w:rPr>
            </w:pPr>
          </w:p>
        </w:tc>
      </w:tr>
      <w:tr w:rsidR="00E460BD" w:rsidRPr="00135924" w14:paraId="5827B2CF"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523133C9" w14:textId="77777777" w:rsidR="00E460BD" w:rsidRPr="004C4A14" w:rsidRDefault="00E460BD" w:rsidP="00101B51">
            <w:pPr>
              <w:rPr>
                <w:sz w:val="20"/>
                <w:szCs w:val="20"/>
              </w:rPr>
            </w:pPr>
            <w:r w:rsidRPr="004C4A14">
              <w:rPr>
                <w:sz w:val="20"/>
                <w:szCs w:val="20"/>
              </w:rPr>
              <w:t>3. Finansiālā ietekme</w:t>
            </w:r>
          </w:p>
        </w:tc>
        <w:tc>
          <w:tcPr>
            <w:tcW w:w="1144" w:type="dxa"/>
            <w:tcBorders>
              <w:top w:val="outset" w:sz="6" w:space="0" w:color="414142"/>
              <w:left w:val="outset" w:sz="6" w:space="0" w:color="414142"/>
              <w:bottom w:val="outset" w:sz="6" w:space="0" w:color="414142"/>
              <w:right w:val="outset" w:sz="6" w:space="0" w:color="414142"/>
            </w:tcBorders>
            <w:vAlign w:val="center"/>
          </w:tcPr>
          <w:p w14:paraId="449C9823"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468542B1"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015C6130"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50091C98" w14:textId="77777777" w:rsidR="00E460BD" w:rsidRPr="00E460BD" w:rsidRDefault="00E460BD" w:rsidP="00101B51">
            <w:pPr>
              <w:rPr>
                <w:sz w:val="20"/>
                <w:szCs w:val="20"/>
              </w:rPr>
            </w:pPr>
            <w:r w:rsidRPr="00E460BD">
              <w:rPr>
                <w:sz w:val="20"/>
                <w:szCs w:val="20"/>
              </w:rPr>
              <w:t>+690 000</w:t>
            </w:r>
          </w:p>
        </w:tc>
        <w:tc>
          <w:tcPr>
            <w:tcW w:w="1133" w:type="dxa"/>
            <w:tcBorders>
              <w:top w:val="outset" w:sz="6" w:space="0" w:color="414142"/>
              <w:left w:val="outset" w:sz="6" w:space="0" w:color="414142"/>
              <w:bottom w:val="outset" w:sz="6" w:space="0" w:color="414142"/>
              <w:right w:val="outset" w:sz="6" w:space="0" w:color="414142"/>
            </w:tcBorders>
            <w:vAlign w:val="center"/>
          </w:tcPr>
          <w:p w14:paraId="089AC8DE"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35189CD4" w14:textId="77777777" w:rsidR="00E460BD" w:rsidRPr="00E460BD" w:rsidRDefault="00E460BD" w:rsidP="00101B51">
            <w:pPr>
              <w:rPr>
                <w:sz w:val="20"/>
                <w:szCs w:val="20"/>
              </w:rPr>
            </w:pPr>
            <w:r w:rsidRPr="00E460BD">
              <w:rPr>
                <w:sz w:val="20"/>
                <w:szCs w:val="20"/>
              </w:rPr>
              <w:t>+1 530 000</w:t>
            </w:r>
          </w:p>
        </w:tc>
        <w:tc>
          <w:tcPr>
            <w:tcW w:w="1139" w:type="dxa"/>
            <w:tcBorders>
              <w:top w:val="outset" w:sz="6" w:space="0" w:color="414142"/>
              <w:left w:val="outset" w:sz="6" w:space="0" w:color="414142"/>
              <w:bottom w:val="outset" w:sz="6" w:space="0" w:color="414142"/>
              <w:right w:val="outset" w:sz="6" w:space="0" w:color="414142"/>
            </w:tcBorders>
            <w:vAlign w:val="center"/>
          </w:tcPr>
          <w:p w14:paraId="0C4542FE" w14:textId="77777777" w:rsidR="00E460BD" w:rsidRPr="00E460BD" w:rsidRDefault="00E460BD" w:rsidP="00101B51">
            <w:pPr>
              <w:rPr>
                <w:sz w:val="20"/>
                <w:szCs w:val="20"/>
              </w:rPr>
            </w:pPr>
            <w:r w:rsidRPr="00E460BD">
              <w:rPr>
                <w:sz w:val="20"/>
                <w:szCs w:val="20"/>
              </w:rPr>
              <w:t>+1 610 000</w:t>
            </w:r>
          </w:p>
        </w:tc>
      </w:tr>
      <w:tr w:rsidR="00E460BD" w:rsidRPr="00135924" w14:paraId="161B1DC3"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0603934F" w14:textId="77777777" w:rsidR="00E460BD" w:rsidRPr="004C4A14" w:rsidRDefault="00E460BD" w:rsidP="00101B51">
            <w:pPr>
              <w:rPr>
                <w:sz w:val="20"/>
                <w:szCs w:val="20"/>
              </w:rPr>
            </w:pPr>
            <w:r w:rsidRPr="004C4A14">
              <w:rPr>
                <w:sz w:val="20"/>
                <w:szCs w:val="20"/>
              </w:rPr>
              <w:t>3.1. valsts pamatbudžets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5236E496"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1EEC32C0"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6663A493"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17AD776B" w14:textId="77777777" w:rsidR="00E460BD" w:rsidRPr="00E460BD" w:rsidRDefault="00E460BD" w:rsidP="00101B51">
            <w:pPr>
              <w:rPr>
                <w:sz w:val="20"/>
                <w:szCs w:val="20"/>
              </w:rPr>
            </w:pPr>
            <w:r w:rsidRPr="00E460BD">
              <w:rPr>
                <w:sz w:val="20"/>
                <w:szCs w:val="20"/>
              </w:rPr>
              <w:t>-650 000</w:t>
            </w:r>
          </w:p>
        </w:tc>
        <w:tc>
          <w:tcPr>
            <w:tcW w:w="1133" w:type="dxa"/>
            <w:tcBorders>
              <w:top w:val="outset" w:sz="6" w:space="0" w:color="414142"/>
              <w:left w:val="outset" w:sz="6" w:space="0" w:color="414142"/>
              <w:bottom w:val="outset" w:sz="6" w:space="0" w:color="414142"/>
              <w:right w:val="outset" w:sz="6" w:space="0" w:color="414142"/>
            </w:tcBorders>
            <w:vAlign w:val="center"/>
          </w:tcPr>
          <w:p w14:paraId="74CAF971"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29D05F62" w14:textId="77777777" w:rsidR="00E460BD" w:rsidRPr="00E460BD" w:rsidRDefault="00E460BD" w:rsidP="00101B51">
            <w:pPr>
              <w:rPr>
                <w:sz w:val="20"/>
                <w:szCs w:val="20"/>
              </w:rPr>
            </w:pPr>
            <w:r w:rsidRPr="00E460BD">
              <w:rPr>
                <w:sz w:val="20"/>
                <w:szCs w:val="20"/>
              </w:rPr>
              <w:t>-1 180 000</w:t>
            </w:r>
          </w:p>
        </w:tc>
        <w:tc>
          <w:tcPr>
            <w:tcW w:w="1139" w:type="dxa"/>
            <w:tcBorders>
              <w:top w:val="outset" w:sz="6" w:space="0" w:color="414142"/>
              <w:left w:val="outset" w:sz="6" w:space="0" w:color="414142"/>
              <w:bottom w:val="outset" w:sz="6" w:space="0" w:color="414142"/>
              <w:right w:val="outset" w:sz="6" w:space="0" w:color="414142"/>
            </w:tcBorders>
            <w:vAlign w:val="center"/>
          </w:tcPr>
          <w:p w14:paraId="39E80BD8" w14:textId="77777777" w:rsidR="00E460BD" w:rsidRPr="00E460BD" w:rsidRDefault="00E460BD" w:rsidP="00101B51">
            <w:pPr>
              <w:rPr>
                <w:sz w:val="20"/>
                <w:szCs w:val="20"/>
              </w:rPr>
            </w:pPr>
            <w:r w:rsidRPr="00E460BD">
              <w:rPr>
                <w:sz w:val="20"/>
                <w:szCs w:val="20"/>
              </w:rPr>
              <w:t>-1 240 000</w:t>
            </w:r>
          </w:p>
        </w:tc>
      </w:tr>
      <w:tr w:rsidR="00E460BD" w:rsidRPr="00135924" w14:paraId="5E5E8EDF"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29516F79" w14:textId="77777777" w:rsidR="00E460BD" w:rsidRPr="004C4A14" w:rsidRDefault="00E460BD" w:rsidP="00101B51">
            <w:pPr>
              <w:rPr>
                <w:sz w:val="20"/>
                <w:szCs w:val="20"/>
              </w:rPr>
            </w:pPr>
            <w:r w:rsidRPr="004C4A14">
              <w:rPr>
                <w:sz w:val="20"/>
                <w:szCs w:val="20"/>
              </w:rPr>
              <w:t>3.2. speciālais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342E4030"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6D6132FF"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44EE5E5E"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07A70E33" w14:textId="77777777" w:rsidR="00E460BD" w:rsidRPr="00E460BD" w:rsidRDefault="00E460BD" w:rsidP="00101B51">
            <w:pPr>
              <w:rPr>
                <w:sz w:val="20"/>
                <w:szCs w:val="20"/>
              </w:rPr>
            </w:pPr>
            <w:r w:rsidRPr="00E460BD">
              <w:rPr>
                <w:sz w:val="20"/>
                <w:szCs w:val="20"/>
              </w:rPr>
              <w:t>+2 800 000</w:t>
            </w:r>
          </w:p>
        </w:tc>
        <w:tc>
          <w:tcPr>
            <w:tcW w:w="1133" w:type="dxa"/>
            <w:tcBorders>
              <w:top w:val="outset" w:sz="6" w:space="0" w:color="414142"/>
              <w:left w:val="outset" w:sz="6" w:space="0" w:color="414142"/>
              <w:bottom w:val="outset" w:sz="6" w:space="0" w:color="414142"/>
              <w:right w:val="outset" w:sz="6" w:space="0" w:color="414142"/>
            </w:tcBorders>
            <w:vAlign w:val="center"/>
          </w:tcPr>
          <w:p w14:paraId="2ED86A09"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3F6894E4" w14:textId="77777777" w:rsidR="00E460BD" w:rsidRPr="00E460BD" w:rsidRDefault="00E460BD" w:rsidP="00101B51">
            <w:pPr>
              <w:rPr>
                <w:sz w:val="20"/>
                <w:szCs w:val="20"/>
              </w:rPr>
            </w:pPr>
            <w:r w:rsidRPr="00E460BD">
              <w:rPr>
                <w:sz w:val="20"/>
                <w:szCs w:val="20"/>
              </w:rPr>
              <w:t>+5 900 000</w:t>
            </w:r>
          </w:p>
        </w:tc>
        <w:tc>
          <w:tcPr>
            <w:tcW w:w="1139" w:type="dxa"/>
            <w:tcBorders>
              <w:top w:val="outset" w:sz="6" w:space="0" w:color="414142"/>
              <w:left w:val="outset" w:sz="6" w:space="0" w:color="414142"/>
              <w:bottom w:val="outset" w:sz="6" w:space="0" w:color="414142"/>
              <w:right w:val="outset" w:sz="6" w:space="0" w:color="414142"/>
            </w:tcBorders>
            <w:vAlign w:val="center"/>
          </w:tcPr>
          <w:p w14:paraId="2A24BC75" w14:textId="77777777" w:rsidR="00E460BD" w:rsidRPr="00E460BD" w:rsidRDefault="00E460BD" w:rsidP="00101B51">
            <w:pPr>
              <w:rPr>
                <w:sz w:val="20"/>
                <w:szCs w:val="20"/>
              </w:rPr>
            </w:pPr>
            <w:r w:rsidRPr="00E460BD">
              <w:rPr>
                <w:sz w:val="20"/>
                <w:szCs w:val="20"/>
              </w:rPr>
              <w:t>+6 200 000</w:t>
            </w:r>
          </w:p>
        </w:tc>
      </w:tr>
      <w:tr w:rsidR="00E460BD" w:rsidRPr="00135924" w14:paraId="781EFE20"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6C9BEDF4" w14:textId="77777777" w:rsidR="00E460BD" w:rsidRPr="004C4A14" w:rsidRDefault="00E460BD" w:rsidP="00101B51">
            <w:pPr>
              <w:rPr>
                <w:sz w:val="20"/>
                <w:szCs w:val="20"/>
              </w:rPr>
            </w:pPr>
            <w:r w:rsidRPr="004C4A14">
              <w:rPr>
                <w:sz w:val="20"/>
                <w:szCs w:val="20"/>
              </w:rPr>
              <w:t>3.3. pašvaldību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3504ADE4"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tcPr>
          <w:p w14:paraId="0F8FCE3C" w14:textId="77777777" w:rsidR="00E460BD" w:rsidRPr="004C4A14" w:rsidRDefault="00E460BD" w:rsidP="00101B51">
            <w:pPr>
              <w:rPr>
                <w:sz w:val="20"/>
                <w:szCs w:val="20"/>
              </w:rPr>
            </w:pPr>
          </w:p>
        </w:tc>
        <w:tc>
          <w:tcPr>
            <w:tcW w:w="1135" w:type="dxa"/>
            <w:tcBorders>
              <w:top w:val="outset" w:sz="6" w:space="0" w:color="414142"/>
              <w:left w:val="outset" w:sz="6" w:space="0" w:color="414142"/>
              <w:bottom w:val="outset" w:sz="6" w:space="0" w:color="414142"/>
              <w:right w:val="outset" w:sz="6" w:space="0" w:color="414142"/>
            </w:tcBorders>
            <w:vAlign w:val="center"/>
          </w:tcPr>
          <w:p w14:paraId="1AE79570"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tcPr>
          <w:p w14:paraId="415CA1A9" w14:textId="77777777" w:rsidR="00E460BD" w:rsidRPr="00E460BD" w:rsidRDefault="00E460BD" w:rsidP="00101B51">
            <w:pPr>
              <w:rPr>
                <w:sz w:val="20"/>
                <w:szCs w:val="20"/>
              </w:rPr>
            </w:pPr>
            <w:r w:rsidRPr="00E460BD">
              <w:rPr>
                <w:sz w:val="20"/>
                <w:szCs w:val="20"/>
              </w:rPr>
              <w:t>-1 460 000</w:t>
            </w:r>
          </w:p>
        </w:tc>
        <w:tc>
          <w:tcPr>
            <w:tcW w:w="1133" w:type="dxa"/>
            <w:tcBorders>
              <w:top w:val="outset" w:sz="6" w:space="0" w:color="414142"/>
              <w:left w:val="outset" w:sz="6" w:space="0" w:color="414142"/>
              <w:bottom w:val="outset" w:sz="6" w:space="0" w:color="414142"/>
              <w:right w:val="outset" w:sz="6" w:space="0" w:color="414142"/>
            </w:tcBorders>
            <w:vAlign w:val="center"/>
          </w:tcPr>
          <w:p w14:paraId="19B29E2C" w14:textId="77777777" w:rsidR="00E460BD" w:rsidRPr="00E460BD"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746AC64A" w14:textId="77777777" w:rsidR="00E460BD" w:rsidRPr="00E460BD" w:rsidRDefault="00E460BD" w:rsidP="00101B51">
            <w:pPr>
              <w:rPr>
                <w:sz w:val="20"/>
                <w:szCs w:val="20"/>
              </w:rPr>
            </w:pPr>
            <w:r w:rsidRPr="00E460BD">
              <w:rPr>
                <w:sz w:val="20"/>
                <w:szCs w:val="20"/>
              </w:rPr>
              <w:t>-3 190 000</w:t>
            </w:r>
          </w:p>
        </w:tc>
        <w:tc>
          <w:tcPr>
            <w:tcW w:w="1139" w:type="dxa"/>
            <w:tcBorders>
              <w:top w:val="outset" w:sz="6" w:space="0" w:color="414142"/>
              <w:left w:val="outset" w:sz="6" w:space="0" w:color="414142"/>
              <w:bottom w:val="outset" w:sz="6" w:space="0" w:color="414142"/>
              <w:right w:val="outset" w:sz="6" w:space="0" w:color="414142"/>
            </w:tcBorders>
            <w:vAlign w:val="center"/>
          </w:tcPr>
          <w:p w14:paraId="3F45E996" w14:textId="77777777" w:rsidR="00E460BD" w:rsidRPr="00E460BD" w:rsidRDefault="00E460BD" w:rsidP="00101B51">
            <w:pPr>
              <w:rPr>
                <w:sz w:val="20"/>
                <w:szCs w:val="20"/>
              </w:rPr>
            </w:pPr>
            <w:r w:rsidRPr="00E460BD">
              <w:rPr>
                <w:sz w:val="20"/>
                <w:szCs w:val="20"/>
              </w:rPr>
              <w:t>-3 350 000</w:t>
            </w:r>
          </w:p>
        </w:tc>
      </w:tr>
      <w:tr w:rsidR="00E460BD" w:rsidRPr="00135924" w14:paraId="58086D57"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5807FB46" w14:textId="77777777" w:rsidR="00E460BD" w:rsidRPr="004C4A14" w:rsidRDefault="00E460BD" w:rsidP="00101B51">
            <w:pPr>
              <w:rPr>
                <w:sz w:val="20"/>
                <w:szCs w:val="20"/>
              </w:rPr>
            </w:pPr>
            <w:r w:rsidRPr="004C4A14">
              <w:rPr>
                <w:sz w:val="20"/>
                <w:szCs w:val="20"/>
              </w:rPr>
              <w:lastRenderedPageBreak/>
              <w:t>4. Finanšu līdzekļi papildu izdevumu finansēšanai (kompensējošu izdevumu samazinājumu norāda ar "+" zīmi)</w:t>
            </w:r>
          </w:p>
        </w:tc>
        <w:tc>
          <w:tcPr>
            <w:tcW w:w="1144"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3F8AC4" w14:textId="77777777" w:rsidR="00E460BD" w:rsidRPr="004C4A14" w:rsidRDefault="00E460BD" w:rsidP="00101B51">
            <w:pPr>
              <w:rPr>
                <w:sz w:val="20"/>
                <w:szCs w:val="20"/>
              </w:rPr>
            </w:pPr>
            <w:r w:rsidRPr="004C4A14">
              <w:rPr>
                <w:sz w:val="20"/>
                <w:szCs w:val="20"/>
              </w:rPr>
              <w:t> </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31BB4EFB" w14:textId="77777777" w:rsidR="00E460BD" w:rsidRPr="004C4A14" w:rsidRDefault="00E460BD" w:rsidP="00101B51">
            <w:pPr>
              <w:rPr>
                <w:sz w:val="20"/>
                <w:szCs w:val="20"/>
              </w:rPr>
            </w:pPr>
            <w:r w:rsidRPr="004C4A14">
              <w:rPr>
                <w:sz w:val="20"/>
                <w:szCs w:val="20"/>
              </w:rPr>
              <w:t> </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9D1BB7C" w14:textId="77777777" w:rsidR="00E460BD" w:rsidRPr="004C4A14" w:rsidRDefault="00E460BD" w:rsidP="00101B51">
            <w:pPr>
              <w:rPr>
                <w:sz w:val="20"/>
                <w:szCs w:val="20"/>
              </w:rPr>
            </w:pPr>
            <w:r w:rsidRPr="004C4A14">
              <w:rPr>
                <w:sz w:val="20"/>
                <w:szCs w:val="20"/>
              </w:rPr>
              <w:t> </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E128F1C" w14:textId="77777777" w:rsidR="00E460BD" w:rsidRPr="004C4A14" w:rsidRDefault="00E460BD" w:rsidP="00101B51">
            <w:pPr>
              <w:rPr>
                <w:sz w:val="20"/>
                <w:szCs w:val="20"/>
              </w:rPr>
            </w:pPr>
            <w:r w:rsidRPr="004C4A14">
              <w:rPr>
                <w:sz w:val="20"/>
                <w:szCs w:val="20"/>
              </w:rPr>
              <w:t> </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29092A2C" w14:textId="77777777" w:rsidR="00E460BD" w:rsidRPr="004C4A14" w:rsidRDefault="00E460BD" w:rsidP="00101B51">
            <w:pPr>
              <w:rPr>
                <w:sz w:val="20"/>
                <w:szCs w:val="20"/>
              </w:rPr>
            </w:pPr>
            <w:r w:rsidRPr="004C4A14">
              <w:rPr>
                <w:sz w:val="20"/>
                <w:szCs w:val="20"/>
              </w:rPr>
              <w:t> </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5FA39D58" w14:textId="77777777" w:rsidR="00E460BD" w:rsidRPr="004C4A14" w:rsidRDefault="00E460BD" w:rsidP="00101B51">
            <w:pPr>
              <w:rPr>
                <w:sz w:val="20"/>
                <w:szCs w:val="20"/>
              </w:rPr>
            </w:pPr>
            <w:r w:rsidRPr="004C4A14">
              <w:rPr>
                <w:sz w:val="20"/>
                <w:szCs w:val="20"/>
              </w:rPr>
              <w:t> </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22D81E20" w14:textId="77777777" w:rsidR="00E460BD" w:rsidRPr="004C4A14" w:rsidRDefault="00E460BD" w:rsidP="00101B51">
            <w:pPr>
              <w:rPr>
                <w:sz w:val="20"/>
                <w:szCs w:val="20"/>
              </w:rPr>
            </w:pPr>
            <w:r w:rsidRPr="004C4A14">
              <w:rPr>
                <w:sz w:val="20"/>
                <w:szCs w:val="20"/>
              </w:rPr>
              <w:t> </w:t>
            </w:r>
          </w:p>
        </w:tc>
      </w:tr>
      <w:tr w:rsidR="00E460BD" w:rsidRPr="00135924" w14:paraId="0361EE60"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565799E4" w14:textId="77777777" w:rsidR="00E460BD" w:rsidRPr="004C4A14" w:rsidRDefault="00E460BD" w:rsidP="00101B51">
            <w:pPr>
              <w:rPr>
                <w:sz w:val="20"/>
                <w:szCs w:val="20"/>
              </w:rPr>
            </w:pPr>
            <w:r w:rsidRPr="004C4A14">
              <w:rPr>
                <w:sz w:val="20"/>
                <w:szCs w:val="20"/>
              </w:rPr>
              <w:t>5. Precizēta finansiālā ietekme</w:t>
            </w:r>
          </w:p>
        </w:tc>
        <w:tc>
          <w:tcPr>
            <w:tcW w:w="114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B7A042" w14:textId="77777777" w:rsidR="00E460BD" w:rsidRPr="004C4A14" w:rsidRDefault="00E460BD" w:rsidP="00101B51">
            <w:pPr>
              <w:rPr>
                <w:sz w:val="20"/>
                <w:szCs w:val="20"/>
              </w:rPr>
            </w:pPr>
            <w:r w:rsidRPr="004C4A14">
              <w:rPr>
                <w:sz w:val="20"/>
                <w:szCs w:val="20"/>
              </w:rPr>
              <w:t> </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48BFB6A" w14:textId="77777777" w:rsidR="00E460BD" w:rsidRPr="004C4A14" w:rsidRDefault="00E460BD" w:rsidP="00101B51">
            <w:pPr>
              <w:rPr>
                <w:sz w:val="20"/>
                <w:szCs w:val="20"/>
              </w:rPr>
            </w:pPr>
            <w:r w:rsidRPr="004C4A14">
              <w:rPr>
                <w:sz w:val="20"/>
                <w:szCs w:val="20"/>
              </w:rPr>
              <w:t> </w:t>
            </w:r>
          </w:p>
        </w:tc>
        <w:tc>
          <w:tcPr>
            <w:tcW w:w="1135" w:type="dxa"/>
            <w:vMerge w:val="restart"/>
            <w:tcBorders>
              <w:top w:val="outset" w:sz="6" w:space="0" w:color="414142"/>
              <w:left w:val="outset" w:sz="6" w:space="0" w:color="414142"/>
              <w:bottom w:val="outset" w:sz="6" w:space="0" w:color="414142"/>
              <w:right w:val="outset" w:sz="6" w:space="0" w:color="414142"/>
            </w:tcBorders>
            <w:vAlign w:val="center"/>
            <w:hideMark/>
          </w:tcPr>
          <w:p w14:paraId="5938D9AA" w14:textId="77777777" w:rsidR="00E460BD" w:rsidRPr="004C4A14" w:rsidRDefault="00E460BD" w:rsidP="00101B51">
            <w:pPr>
              <w:rPr>
                <w:sz w:val="20"/>
                <w:szCs w:val="20"/>
              </w:rPr>
            </w:pPr>
            <w:r w:rsidRPr="004C4A14">
              <w:rPr>
                <w:sz w:val="20"/>
                <w:szCs w:val="20"/>
              </w:rPr>
              <w:t> </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5032586" w14:textId="77777777" w:rsidR="00E460BD" w:rsidRPr="004C4A14" w:rsidRDefault="00E460BD" w:rsidP="00101B51">
            <w:pPr>
              <w:rPr>
                <w:sz w:val="20"/>
                <w:szCs w:val="20"/>
              </w:rPr>
            </w:pPr>
            <w:r w:rsidRPr="004C4A14">
              <w:rPr>
                <w:sz w:val="20"/>
                <w:szCs w:val="20"/>
              </w:rPr>
              <w:t> </w:t>
            </w:r>
          </w:p>
        </w:tc>
        <w:tc>
          <w:tcPr>
            <w:tcW w:w="1133" w:type="dxa"/>
            <w:vMerge w:val="restart"/>
            <w:tcBorders>
              <w:top w:val="outset" w:sz="6" w:space="0" w:color="414142"/>
              <w:left w:val="outset" w:sz="6" w:space="0" w:color="414142"/>
              <w:bottom w:val="outset" w:sz="6" w:space="0" w:color="414142"/>
              <w:right w:val="outset" w:sz="6" w:space="0" w:color="414142"/>
            </w:tcBorders>
            <w:vAlign w:val="center"/>
            <w:hideMark/>
          </w:tcPr>
          <w:p w14:paraId="14C36C8F" w14:textId="77777777" w:rsidR="00E460BD" w:rsidRPr="004C4A14" w:rsidRDefault="00E460BD" w:rsidP="00101B51">
            <w:pPr>
              <w:rPr>
                <w:sz w:val="20"/>
                <w:szCs w:val="20"/>
              </w:rPr>
            </w:pPr>
            <w:r w:rsidRPr="004C4A14">
              <w:rPr>
                <w:sz w:val="20"/>
                <w:szCs w:val="20"/>
              </w:rPr>
              <w:t> </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28286C90" w14:textId="77777777" w:rsidR="00E460BD" w:rsidRPr="004C4A14" w:rsidRDefault="00E460BD" w:rsidP="00101B51">
            <w:pPr>
              <w:rPr>
                <w:sz w:val="20"/>
                <w:szCs w:val="20"/>
              </w:rPr>
            </w:pPr>
            <w:r w:rsidRPr="004C4A14">
              <w:rPr>
                <w:sz w:val="20"/>
                <w:szCs w:val="20"/>
              </w:rPr>
              <w:t> </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31D99626" w14:textId="77777777" w:rsidR="00E460BD" w:rsidRPr="004C4A14" w:rsidRDefault="00E460BD" w:rsidP="00101B51">
            <w:pPr>
              <w:rPr>
                <w:sz w:val="20"/>
                <w:szCs w:val="20"/>
              </w:rPr>
            </w:pPr>
            <w:r w:rsidRPr="004C4A14">
              <w:rPr>
                <w:sz w:val="20"/>
                <w:szCs w:val="20"/>
              </w:rPr>
              <w:t> </w:t>
            </w:r>
          </w:p>
        </w:tc>
      </w:tr>
      <w:tr w:rsidR="00E460BD" w:rsidRPr="00135924" w14:paraId="5434F058"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5F027FB0" w14:textId="77777777" w:rsidR="00E460BD" w:rsidRPr="004C4A14" w:rsidRDefault="00E460BD" w:rsidP="00101B51">
            <w:pPr>
              <w:rPr>
                <w:sz w:val="20"/>
                <w:szCs w:val="20"/>
              </w:rPr>
            </w:pPr>
            <w:r w:rsidRPr="004C4A14">
              <w:rPr>
                <w:sz w:val="20"/>
                <w:szCs w:val="20"/>
              </w:rPr>
              <w:t>5.1. valsts pamatbudžets</w:t>
            </w:r>
          </w:p>
        </w:tc>
        <w:tc>
          <w:tcPr>
            <w:tcW w:w="114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DE96038"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D1D4A03" w14:textId="77777777" w:rsidR="00E460BD" w:rsidRPr="004C4A14" w:rsidRDefault="00E460BD" w:rsidP="00101B51">
            <w:pPr>
              <w:rPr>
                <w:sz w:val="20"/>
                <w:szCs w:val="20"/>
              </w:rPr>
            </w:pPr>
            <w:r w:rsidRPr="004C4A14">
              <w:rPr>
                <w:sz w:val="20"/>
                <w:szCs w:val="20"/>
              </w:rPr>
              <w:t> </w:t>
            </w:r>
          </w:p>
        </w:tc>
        <w:tc>
          <w:tcPr>
            <w:tcW w:w="1135" w:type="dxa"/>
            <w:vMerge/>
            <w:tcBorders>
              <w:top w:val="outset" w:sz="6" w:space="0" w:color="414142"/>
              <w:left w:val="outset" w:sz="6" w:space="0" w:color="414142"/>
              <w:bottom w:val="outset" w:sz="6" w:space="0" w:color="414142"/>
              <w:right w:val="outset" w:sz="6" w:space="0" w:color="414142"/>
            </w:tcBorders>
            <w:vAlign w:val="center"/>
            <w:hideMark/>
          </w:tcPr>
          <w:p w14:paraId="67AD5717"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FF2ECE3" w14:textId="77777777" w:rsidR="00E460BD" w:rsidRPr="004C4A14" w:rsidRDefault="00E460BD" w:rsidP="00101B51">
            <w:pPr>
              <w:rPr>
                <w:sz w:val="20"/>
                <w:szCs w:val="20"/>
              </w:rPr>
            </w:pPr>
            <w:r w:rsidRPr="004C4A14">
              <w:rPr>
                <w:sz w:val="20"/>
                <w:szCs w:val="20"/>
              </w:rPr>
              <w:t> </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2576B102" w14:textId="77777777" w:rsidR="00E460BD" w:rsidRPr="004C4A14"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55716CF9" w14:textId="77777777" w:rsidR="00E460BD" w:rsidRPr="004C4A14" w:rsidRDefault="00E460BD" w:rsidP="00101B51">
            <w:pPr>
              <w:rPr>
                <w:sz w:val="20"/>
                <w:szCs w:val="20"/>
              </w:rPr>
            </w:pPr>
            <w:r w:rsidRPr="004C4A14">
              <w:rPr>
                <w:sz w:val="20"/>
                <w:szCs w:val="20"/>
              </w:rPr>
              <w:t> </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7B6E5EBA" w14:textId="77777777" w:rsidR="00E460BD" w:rsidRPr="004C4A14" w:rsidRDefault="00E460BD" w:rsidP="00101B51">
            <w:pPr>
              <w:rPr>
                <w:sz w:val="20"/>
                <w:szCs w:val="20"/>
              </w:rPr>
            </w:pPr>
            <w:r w:rsidRPr="004C4A14">
              <w:rPr>
                <w:sz w:val="20"/>
                <w:szCs w:val="20"/>
              </w:rPr>
              <w:t> </w:t>
            </w:r>
          </w:p>
        </w:tc>
      </w:tr>
      <w:tr w:rsidR="00E460BD" w:rsidRPr="00135924" w14:paraId="7D8C7C63"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0DF533AB" w14:textId="77777777" w:rsidR="00E460BD" w:rsidRPr="004C4A14" w:rsidRDefault="00E460BD" w:rsidP="00101B51">
            <w:pPr>
              <w:rPr>
                <w:sz w:val="20"/>
                <w:szCs w:val="20"/>
              </w:rPr>
            </w:pPr>
            <w:r w:rsidRPr="004C4A14">
              <w:rPr>
                <w:sz w:val="20"/>
                <w:szCs w:val="20"/>
              </w:rPr>
              <w:t>5.2. speciālais budžets</w:t>
            </w:r>
          </w:p>
        </w:tc>
        <w:tc>
          <w:tcPr>
            <w:tcW w:w="114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2CBD67B"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30EFD85E" w14:textId="77777777" w:rsidR="00E460BD" w:rsidRPr="004C4A14" w:rsidRDefault="00E460BD" w:rsidP="00101B51">
            <w:pPr>
              <w:rPr>
                <w:sz w:val="20"/>
                <w:szCs w:val="20"/>
              </w:rPr>
            </w:pPr>
            <w:r w:rsidRPr="004C4A14">
              <w:rPr>
                <w:sz w:val="20"/>
                <w:szCs w:val="20"/>
              </w:rPr>
              <w:t> </w:t>
            </w:r>
          </w:p>
        </w:tc>
        <w:tc>
          <w:tcPr>
            <w:tcW w:w="1135" w:type="dxa"/>
            <w:vMerge/>
            <w:tcBorders>
              <w:top w:val="outset" w:sz="6" w:space="0" w:color="414142"/>
              <w:left w:val="outset" w:sz="6" w:space="0" w:color="414142"/>
              <w:bottom w:val="outset" w:sz="6" w:space="0" w:color="414142"/>
              <w:right w:val="outset" w:sz="6" w:space="0" w:color="414142"/>
            </w:tcBorders>
            <w:vAlign w:val="center"/>
            <w:hideMark/>
          </w:tcPr>
          <w:p w14:paraId="7C4C6403"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19A5CD70" w14:textId="77777777" w:rsidR="00E460BD" w:rsidRPr="004C4A14" w:rsidRDefault="00E460BD" w:rsidP="00101B51">
            <w:pPr>
              <w:rPr>
                <w:sz w:val="20"/>
                <w:szCs w:val="20"/>
              </w:rPr>
            </w:pPr>
            <w:r w:rsidRPr="004C4A14">
              <w:rPr>
                <w:sz w:val="20"/>
                <w:szCs w:val="20"/>
              </w:rPr>
              <w:t> </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08C70F64" w14:textId="77777777" w:rsidR="00E460BD" w:rsidRPr="004C4A14"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57A630AA" w14:textId="77777777" w:rsidR="00E460BD" w:rsidRPr="004C4A14" w:rsidRDefault="00E460BD" w:rsidP="00101B51">
            <w:pPr>
              <w:rPr>
                <w:sz w:val="20"/>
                <w:szCs w:val="20"/>
              </w:rPr>
            </w:pPr>
            <w:r w:rsidRPr="004C4A14">
              <w:rPr>
                <w:sz w:val="20"/>
                <w:szCs w:val="20"/>
              </w:rPr>
              <w:t> </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1DA5D296" w14:textId="77777777" w:rsidR="00E460BD" w:rsidRPr="004C4A14" w:rsidRDefault="00E460BD" w:rsidP="00101B51">
            <w:pPr>
              <w:rPr>
                <w:sz w:val="20"/>
                <w:szCs w:val="20"/>
              </w:rPr>
            </w:pPr>
            <w:r w:rsidRPr="004C4A14">
              <w:rPr>
                <w:sz w:val="20"/>
                <w:szCs w:val="20"/>
              </w:rPr>
              <w:t> </w:t>
            </w:r>
          </w:p>
        </w:tc>
      </w:tr>
      <w:tr w:rsidR="00E460BD" w:rsidRPr="00135924" w14:paraId="39965FA2"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118CCF23" w14:textId="77777777" w:rsidR="00E460BD" w:rsidRPr="004C4A14" w:rsidRDefault="00E460BD" w:rsidP="00101B51">
            <w:pPr>
              <w:rPr>
                <w:sz w:val="20"/>
                <w:szCs w:val="20"/>
              </w:rPr>
            </w:pPr>
            <w:r w:rsidRPr="004C4A14">
              <w:rPr>
                <w:sz w:val="20"/>
                <w:szCs w:val="20"/>
              </w:rPr>
              <w:t>5.3. pašvaldību budžets</w:t>
            </w:r>
          </w:p>
        </w:tc>
        <w:tc>
          <w:tcPr>
            <w:tcW w:w="114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1F33E37" w14:textId="77777777" w:rsidR="00E460BD" w:rsidRPr="004C4A14" w:rsidRDefault="00E460BD" w:rsidP="00101B51">
            <w:pPr>
              <w:rPr>
                <w:sz w:val="20"/>
                <w:szCs w:val="20"/>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4BA6AF47" w14:textId="77777777" w:rsidR="00E460BD" w:rsidRPr="004C4A14" w:rsidRDefault="00E460BD" w:rsidP="00101B51">
            <w:pPr>
              <w:rPr>
                <w:sz w:val="20"/>
                <w:szCs w:val="20"/>
              </w:rPr>
            </w:pPr>
            <w:r w:rsidRPr="004C4A14">
              <w:rPr>
                <w:sz w:val="20"/>
                <w:szCs w:val="20"/>
              </w:rPr>
              <w:t> </w:t>
            </w:r>
          </w:p>
        </w:tc>
        <w:tc>
          <w:tcPr>
            <w:tcW w:w="1135" w:type="dxa"/>
            <w:vMerge/>
            <w:tcBorders>
              <w:top w:val="outset" w:sz="6" w:space="0" w:color="414142"/>
              <w:left w:val="outset" w:sz="6" w:space="0" w:color="414142"/>
              <w:bottom w:val="outset" w:sz="6" w:space="0" w:color="414142"/>
              <w:right w:val="outset" w:sz="6" w:space="0" w:color="414142"/>
            </w:tcBorders>
            <w:vAlign w:val="center"/>
            <w:hideMark/>
          </w:tcPr>
          <w:p w14:paraId="549F14D4" w14:textId="77777777" w:rsidR="00E460BD" w:rsidRPr="004C4A14" w:rsidRDefault="00E460BD" w:rsidP="00101B51">
            <w:pPr>
              <w:rPr>
                <w:sz w:val="20"/>
                <w:szCs w:val="20"/>
              </w:rPr>
            </w:pP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5EEE147" w14:textId="77777777" w:rsidR="00E460BD" w:rsidRPr="004C4A14" w:rsidRDefault="00E460BD" w:rsidP="00101B51">
            <w:pPr>
              <w:rPr>
                <w:sz w:val="20"/>
                <w:szCs w:val="20"/>
              </w:rPr>
            </w:pPr>
            <w:r w:rsidRPr="004C4A14">
              <w:rPr>
                <w:sz w:val="20"/>
                <w:szCs w:val="20"/>
              </w:rPr>
              <w:t> </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68455FF2" w14:textId="77777777" w:rsidR="00E460BD" w:rsidRPr="004C4A14" w:rsidRDefault="00E460BD" w:rsidP="00101B51">
            <w:pP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487EAA32" w14:textId="77777777" w:rsidR="00E460BD" w:rsidRPr="004C4A14" w:rsidRDefault="00E460BD" w:rsidP="00101B51">
            <w:pPr>
              <w:rPr>
                <w:sz w:val="20"/>
                <w:szCs w:val="20"/>
              </w:rPr>
            </w:pPr>
            <w:r w:rsidRPr="004C4A14">
              <w:rPr>
                <w:sz w:val="20"/>
                <w:szCs w:val="20"/>
              </w:rPr>
              <w:t> </w:t>
            </w:r>
          </w:p>
        </w:tc>
        <w:tc>
          <w:tcPr>
            <w:tcW w:w="1139" w:type="dxa"/>
            <w:tcBorders>
              <w:top w:val="outset" w:sz="6" w:space="0" w:color="414142"/>
              <w:left w:val="outset" w:sz="6" w:space="0" w:color="414142"/>
              <w:bottom w:val="outset" w:sz="6" w:space="0" w:color="414142"/>
              <w:right w:val="outset" w:sz="6" w:space="0" w:color="414142"/>
            </w:tcBorders>
            <w:vAlign w:val="center"/>
            <w:hideMark/>
          </w:tcPr>
          <w:p w14:paraId="3E540D7E" w14:textId="77777777" w:rsidR="00E460BD" w:rsidRPr="004C4A14" w:rsidRDefault="00E460BD" w:rsidP="00101B51">
            <w:pPr>
              <w:rPr>
                <w:sz w:val="20"/>
                <w:szCs w:val="20"/>
              </w:rPr>
            </w:pPr>
            <w:r w:rsidRPr="004C4A14">
              <w:rPr>
                <w:sz w:val="20"/>
                <w:szCs w:val="20"/>
              </w:rPr>
              <w:t> </w:t>
            </w:r>
          </w:p>
        </w:tc>
      </w:tr>
      <w:tr w:rsidR="00E460BD" w:rsidRPr="00135924" w14:paraId="300F27C0"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58DFA0EB" w14:textId="77777777" w:rsidR="00E460BD" w:rsidRPr="004C4A14" w:rsidRDefault="00E460BD" w:rsidP="00101B51">
            <w:pPr>
              <w:rPr>
                <w:sz w:val="20"/>
                <w:szCs w:val="20"/>
              </w:rPr>
            </w:pPr>
            <w:r w:rsidRPr="004C4A14">
              <w:rPr>
                <w:sz w:val="20"/>
                <w:szCs w:val="20"/>
              </w:rPr>
              <w:t>6. Detalizēts ieņēmumu un izdevumu aprēķins (ja nepieciešams, detalizētu ieņēmumu un izdevumu aprēķinu var pievienot anotācijas pielikumā)</w:t>
            </w:r>
          </w:p>
        </w:tc>
        <w:tc>
          <w:tcPr>
            <w:tcW w:w="7809"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162D33C3" w14:textId="6DB6C4AE" w:rsidR="00E460BD" w:rsidRDefault="00E460BD" w:rsidP="00101B51">
            <w:pPr>
              <w:rPr>
                <w:sz w:val="20"/>
                <w:szCs w:val="20"/>
              </w:rPr>
            </w:pPr>
            <w:r>
              <w:rPr>
                <w:sz w:val="20"/>
                <w:szCs w:val="20"/>
              </w:rPr>
              <w:t xml:space="preserve">             </w:t>
            </w:r>
            <w:r w:rsidRPr="00C3443D">
              <w:rPr>
                <w:sz w:val="20"/>
                <w:szCs w:val="20"/>
              </w:rPr>
              <w:t>Nosakot, ka valsts sociālās apdrošināšanas obligāto iemaksu objekta maksimālais apmērs nākamajiem trim kalendā</w:t>
            </w:r>
            <w:r>
              <w:rPr>
                <w:sz w:val="20"/>
                <w:szCs w:val="20"/>
              </w:rPr>
              <w:t>rajiem</w:t>
            </w:r>
            <w:r w:rsidRPr="00C3443D">
              <w:rPr>
                <w:sz w:val="20"/>
                <w:szCs w:val="20"/>
              </w:rPr>
              <w:t xml:space="preserve"> gadiem (no 2019. gada līdz 2021. gadam) būs 62</w:t>
            </w:r>
            <w:r>
              <w:rPr>
                <w:sz w:val="20"/>
                <w:szCs w:val="20"/>
              </w:rPr>
              <w:t> </w:t>
            </w:r>
            <w:r w:rsidRPr="00C3443D">
              <w:rPr>
                <w:sz w:val="20"/>
                <w:szCs w:val="20"/>
              </w:rPr>
              <w:t>800</w:t>
            </w:r>
            <w:r>
              <w:rPr>
                <w:sz w:val="20"/>
                <w:szCs w:val="20"/>
              </w:rPr>
              <w:t> </w:t>
            </w:r>
            <w:proofErr w:type="spellStart"/>
            <w:r w:rsidRPr="00C3443D">
              <w:rPr>
                <w:i/>
                <w:sz w:val="20"/>
                <w:szCs w:val="20"/>
              </w:rPr>
              <w:t>euro</w:t>
            </w:r>
            <w:proofErr w:type="spellEnd"/>
            <w:r w:rsidRPr="00C3443D">
              <w:rPr>
                <w:sz w:val="20"/>
                <w:szCs w:val="20"/>
              </w:rPr>
              <w:t>, kop</w:t>
            </w:r>
            <w:r>
              <w:rPr>
                <w:sz w:val="20"/>
                <w:szCs w:val="20"/>
              </w:rPr>
              <w:t>ējā</w:t>
            </w:r>
            <w:r w:rsidRPr="00C3443D">
              <w:rPr>
                <w:sz w:val="20"/>
                <w:szCs w:val="20"/>
              </w:rPr>
              <w:t xml:space="preserve"> fiskālā ietekme 2019. gadā un</w:t>
            </w:r>
            <w:r w:rsidR="00985C00">
              <w:rPr>
                <w:sz w:val="20"/>
                <w:szCs w:val="20"/>
              </w:rPr>
              <w:t xml:space="preserve"> turpmāk ik gadu būtu neitrāla. Savukārt</w:t>
            </w:r>
            <w:r w:rsidRPr="00C3443D">
              <w:rPr>
                <w:sz w:val="20"/>
                <w:szCs w:val="20"/>
              </w:rPr>
              <w:t xml:space="preserve"> kopbudžeta ieņēmumi (netiek ieskaitīti 3. pensiju līmeņa ieņēmumi)</w:t>
            </w:r>
            <w:r>
              <w:rPr>
                <w:sz w:val="20"/>
                <w:szCs w:val="20"/>
              </w:rPr>
              <w:t xml:space="preserve"> 2019. gadā palielinātos par 0,7</w:t>
            </w:r>
            <w:r w:rsidRPr="00C3443D">
              <w:rPr>
                <w:sz w:val="20"/>
                <w:szCs w:val="20"/>
              </w:rPr>
              <w:t> milj. </w:t>
            </w:r>
            <w:proofErr w:type="spellStart"/>
            <w:r w:rsidRPr="00C3443D">
              <w:rPr>
                <w:i/>
                <w:sz w:val="20"/>
                <w:szCs w:val="20"/>
              </w:rPr>
              <w:t>euro</w:t>
            </w:r>
            <w:proofErr w:type="spellEnd"/>
            <w:r>
              <w:rPr>
                <w:sz w:val="20"/>
                <w:szCs w:val="20"/>
              </w:rPr>
              <w:t>, 2020. gadā par 1,5</w:t>
            </w:r>
            <w:r w:rsidRPr="00C3443D">
              <w:rPr>
                <w:sz w:val="20"/>
                <w:szCs w:val="20"/>
              </w:rPr>
              <w:t> milj. </w:t>
            </w:r>
            <w:proofErr w:type="spellStart"/>
            <w:r w:rsidRPr="00C3443D">
              <w:rPr>
                <w:i/>
                <w:sz w:val="20"/>
                <w:szCs w:val="20"/>
              </w:rPr>
              <w:t>euro</w:t>
            </w:r>
            <w:proofErr w:type="spellEnd"/>
            <w:r>
              <w:rPr>
                <w:sz w:val="20"/>
                <w:szCs w:val="20"/>
              </w:rPr>
              <w:t xml:space="preserve"> un 2021. gadā par 1,6</w:t>
            </w:r>
            <w:r w:rsidRPr="00C3443D">
              <w:rPr>
                <w:sz w:val="20"/>
                <w:szCs w:val="20"/>
              </w:rPr>
              <w:t> milj. </w:t>
            </w:r>
            <w:proofErr w:type="spellStart"/>
            <w:r w:rsidRPr="00C3443D">
              <w:rPr>
                <w:i/>
                <w:sz w:val="20"/>
                <w:szCs w:val="20"/>
              </w:rPr>
              <w:t>euro</w:t>
            </w:r>
            <w:proofErr w:type="spellEnd"/>
            <w:r w:rsidRPr="00C3443D">
              <w:rPr>
                <w:sz w:val="20"/>
                <w:szCs w:val="20"/>
              </w:rPr>
              <w:t xml:space="preserve">. </w:t>
            </w:r>
          </w:p>
          <w:tbl>
            <w:tblPr>
              <w:tblpPr w:leftFromText="180" w:rightFromText="180" w:vertAnchor="text" w:horzAnchor="margin" w:tblpY="350"/>
              <w:tblOverlap w:val="never"/>
              <w:tblW w:w="7040" w:type="dxa"/>
              <w:tblLayout w:type="fixed"/>
              <w:tblLook w:val="04A0" w:firstRow="1" w:lastRow="0" w:firstColumn="1" w:lastColumn="0" w:noHBand="0" w:noVBand="1"/>
            </w:tblPr>
            <w:tblGrid>
              <w:gridCol w:w="3000"/>
              <w:gridCol w:w="1360"/>
              <w:gridCol w:w="1360"/>
              <w:gridCol w:w="1320"/>
            </w:tblGrid>
            <w:tr w:rsidR="009531BF" w:rsidRPr="004C4A14" w14:paraId="7F8FAAE8" w14:textId="77777777" w:rsidTr="009531BF">
              <w:trPr>
                <w:trHeight w:val="315"/>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14:paraId="783201B1" w14:textId="63CD720A" w:rsidR="009531BF" w:rsidRPr="00F82425" w:rsidRDefault="00F82425" w:rsidP="009531BF">
                  <w:pPr>
                    <w:rPr>
                      <w:bCs/>
                      <w:sz w:val="20"/>
                      <w:szCs w:val="20"/>
                    </w:rPr>
                  </w:pPr>
                  <w:r>
                    <w:rPr>
                      <w:bCs/>
                      <w:sz w:val="20"/>
                      <w:szCs w:val="20"/>
                    </w:rPr>
                    <w:t xml:space="preserve">Ietekme </w:t>
                  </w:r>
                  <w:proofErr w:type="spellStart"/>
                  <w:r>
                    <w:rPr>
                      <w:bCs/>
                      <w:sz w:val="20"/>
                      <w:szCs w:val="20"/>
                    </w:rPr>
                    <w:t>m</w:t>
                  </w:r>
                  <w:r w:rsidRPr="00F82425">
                    <w:rPr>
                      <w:bCs/>
                      <w:sz w:val="20"/>
                      <w:szCs w:val="20"/>
                    </w:rPr>
                    <w:t>ilj.</w:t>
                  </w:r>
                  <w:r w:rsidRPr="00F82425">
                    <w:rPr>
                      <w:bCs/>
                      <w:i/>
                      <w:sz w:val="20"/>
                      <w:szCs w:val="20"/>
                    </w:rPr>
                    <w:t>euro</w:t>
                  </w:r>
                  <w:proofErr w:type="spellEnd"/>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3177DE56" w14:textId="77777777" w:rsidR="009531BF" w:rsidRPr="004C4A14" w:rsidRDefault="009531BF" w:rsidP="009531BF">
                  <w:pPr>
                    <w:jc w:val="center"/>
                    <w:rPr>
                      <w:sz w:val="20"/>
                      <w:szCs w:val="20"/>
                    </w:rPr>
                  </w:pPr>
                  <w:r w:rsidRPr="004C4A14">
                    <w:rPr>
                      <w:sz w:val="20"/>
                      <w:szCs w:val="20"/>
                    </w:rPr>
                    <w:t>2019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E99469B" w14:textId="77777777" w:rsidR="009531BF" w:rsidRPr="004C4A14" w:rsidRDefault="009531BF" w:rsidP="009531BF">
                  <w:pPr>
                    <w:jc w:val="center"/>
                    <w:rPr>
                      <w:sz w:val="20"/>
                      <w:szCs w:val="20"/>
                    </w:rPr>
                  </w:pPr>
                  <w:r w:rsidRPr="004C4A14">
                    <w:rPr>
                      <w:sz w:val="20"/>
                      <w:szCs w:val="20"/>
                    </w:rPr>
                    <w:t>2020</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9369F72" w14:textId="77777777" w:rsidR="009531BF" w:rsidRPr="004C4A14" w:rsidRDefault="009531BF" w:rsidP="009531BF">
                  <w:pPr>
                    <w:jc w:val="center"/>
                    <w:rPr>
                      <w:sz w:val="20"/>
                      <w:szCs w:val="20"/>
                    </w:rPr>
                  </w:pPr>
                  <w:r w:rsidRPr="004C4A14">
                    <w:rPr>
                      <w:sz w:val="20"/>
                      <w:szCs w:val="20"/>
                    </w:rPr>
                    <w:t>2021</w:t>
                  </w:r>
                </w:p>
              </w:tc>
            </w:tr>
            <w:tr w:rsidR="009531BF" w:rsidRPr="004C4A14" w14:paraId="6E541A59" w14:textId="77777777" w:rsidTr="009531BF">
              <w:trPr>
                <w:trHeight w:val="471"/>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59C85F6" w14:textId="77777777" w:rsidR="009531BF" w:rsidRPr="004C4A14" w:rsidRDefault="009531BF" w:rsidP="009531BF">
                  <w:pPr>
                    <w:jc w:val="right"/>
                    <w:rPr>
                      <w:i/>
                      <w:iCs/>
                      <w:sz w:val="20"/>
                      <w:szCs w:val="20"/>
                    </w:rPr>
                  </w:pPr>
                  <w:r w:rsidRPr="004C4A14">
                    <w:rPr>
                      <w:i/>
                      <w:iCs/>
                      <w:sz w:val="20"/>
                      <w:szCs w:val="20"/>
                    </w:rPr>
                    <w:t>Valsts sociālās apdrošināšanas speciālais budžets</w:t>
                  </w:r>
                </w:p>
              </w:tc>
              <w:tc>
                <w:tcPr>
                  <w:tcW w:w="1360" w:type="dxa"/>
                  <w:tcBorders>
                    <w:top w:val="nil"/>
                    <w:left w:val="nil"/>
                    <w:bottom w:val="single" w:sz="4" w:space="0" w:color="auto"/>
                    <w:right w:val="single" w:sz="4" w:space="0" w:color="auto"/>
                  </w:tcBorders>
                  <w:shd w:val="clear" w:color="auto" w:fill="auto"/>
                  <w:vAlign w:val="bottom"/>
                  <w:hideMark/>
                </w:tcPr>
                <w:p w14:paraId="20CBF5A0" w14:textId="77777777" w:rsidR="009531BF" w:rsidRPr="004C4A14" w:rsidRDefault="009531BF" w:rsidP="009531BF">
                  <w:pPr>
                    <w:jc w:val="center"/>
                    <w:rPr>
                      <w:sz w:val="20"/>
                      <w:szCs w:val="20"/>
                    </w:rPr>
                  </w:pPr>
                  <w:r>
                    <w:rPr>
                      <w:sz w:val="20"/>
                      <w:szCs w:val="20"/>
                    </w:rPr>
                    <w:t>2,8</w:t>
                  </w:r>
                </w:p>
              </w:tc>
              <w:tc>
                <w:tcPr>
                  <w:tcW w:w="1360" w:type="dxa"/>
                  <w:tcBorders>
                    <w:top w:val="nil"/>
                    <w:left w:val="nil"/>
                    <w:bottom w:val="single" w:sz="4" w:space="0" w:color="auto"/>
                    <w:right w:val="single" w:sz="4" w:space="0" w:color="auto"/>
                  </w:tcBorders>
                  <w:shd w:val="clear" w:color="auto" w:fill="auto"/>
                  <w:vAlign w:val="bottom"/>
                  <w:hideMark/>
                </w:tcPr>
                <w:p w14:paraId="4B9ACB00" w14:textId="77777777" w:rsidR="009531BF" w:rsidRPr="004C4A14" w:rsidRDefault="009531BF" w:rsidP="009531BF">
                  <w:pPr>
                    <w:jc w:val="center"/>
                    <w:rPr>
                      <w:iCs/>
                      <w:sz w:val="20"/>
                      <w:szCs w:val="20"/>
                    </w:rPr>
                  </w:pPr>
                  <w:r>
                    <w:rPr>
                      <w:iCs/>
                      <w:sz w:val="20"/>
                      <w:szCs w:val="20"/>
                    </w:rPr>
                    <w:t>5,9</w:t>
                  </w:r>
                </w:p>
              </w:tc>
              <w:tc>
                <w:tcPr>
                  <w:tcW w:w="1320" w:type="dxa"/>
                  <w:tcBorders>
                    <w:top w:val="nil"/>
                    <w:left w:val="nil"/>
                    <w:bottom w:val="single" w:sz="4" w:space="0" w:color="auto"/>
                    <w:right w:val="single" w:sz="4" w:space="0" w:color="auto"/>
                  </w:tcBorders>
                  <w:shd w:val="clear" w:color="auto" w:fill="auto"/>
                  <w:vAlign w:val="bottom"/>
                  <w:hideMark/>
                </w:tcPr>
                <w:p w14:paraId="0C6A8A9B" w14:textId="77777777" w:rsidR="009531BF" w:rsidRPr="004C4A14" w:rsidRDefault="009531BF" w:rsidP="009531BF">
                  <w:pPr>
                    <w:jc w:val="center"/>
                    <w:rPr>
                      <w:iCs/>
                      <w:sz w:val="20"/>
                      <w:szCs w:val="20"/>
                    </w:rPr>
                  </w:pPr>
                  <w:r>
                    <w:rPr>
                      <w:iCs/>
                      <w:sz w:val="20"/>
                      <w:szCs w:val="20"/>
                    </w:rPr>
                    <w:t>6,2</w:t>
                  </w:r>
                </w:p>
              </w:tc>
            </w:tr>
            <w:tr w:rsidR="009531BF" w:rsidRPr="004C4A14" w14:paraId="640917D6" w14:textId="77777777" w:rsidTr="009531BF">
              <w:trPr>
                <w:trHeight w:val="857"/>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2B83B175" w14:textId="77777777" w:rsidR="009531BF" w:rsidRPr="004C4A14" w:rsidRDefault="009531BF" w:rsidP="009531BF">
                  <w:pPr>
                    <w:jc w:val="right"/>
                    <w:rPr>
                      <w:i/>
                      <w:iCs/>
                      <w:sz w:val="20"/>
                      <w:szCs w:val="20"/>
                    </w:rPr>
                  </w:pPr>
                  <w:r w:rsidRPr="004C4A14">
                    <w:rPr>
                      <w:i/>
                      <w:iCs/>
                      <w:sz w:val="20"/>
                      <w:szCs w:val="20"/>
                    </w:rPr>
                    <w:t>Ieņēmumi valsts pamatbudžetā no valsts sociālās apdrošināšanas obligāto iemaksu sadales veselības aprūpes finansēšanai</w:t>
                  </w:r>
                </w:p>
              </w:tc>
              <w:tc>
                <w:tcPr>
                  <w:tcW w:w="1360" w:type="dxa"/>
                  <w:tcBorders>
                    <w:top w:val="nil"/>
                    <w:left w:val="nil"/>
                    <w:bottom w:val="single" w:sz="4" w:space="0" w:color="auto"/>
                    <w:right w:val="single" w:sz="4" w:space="0" w:color="auto"/>
                  </w:tcBorders>
                  <w:shd w:val="clear" w:color="auto" w:fill="auto"/>
                  <w:vAlign w:val="bottom"/>
                  <w:hideMark/>
                </w:tcPr>
                <w:p w14:paraId="763BA958" w14:textId="77777777" w:rsidR="009531BF" w:rsidRPr="004C4A14" w:rsidRDefault="009531BF" w:rsidP="009531BF">
                  <w:pPr>
                    <w:jc w:val="center"/>
                    <w:rPr>
                      <w:sz w:val="20"/>
                      <w:szCs w:val="20"/>
                    </w:rPr>
                  </w:pPr>
                  <w:r w:rsidRPr="004C4A14">
                    <w:rPr>
                      <w:sz w:val="20"/>
                      <w:szCs w:val="20"/>
                    </w:rPr>
                    <w:t>-0,3</w:t>
                  </w:r>
                </w:p>
              </w:tc>
              <w:tc>
                <w:tcPr>
                  <w:tcW w:w="1360" w:type="dxa"/>
                  <w:tcBorders>
                    <w:top w:val="nil"/>
                    <w:left w:val="nil"/>
                    <w:bottom w:val="single" w:sz="4" w:space="0" w:color="auto"/>
                    <w:right w:val="single" w:sz="4" w:space="0" w:color="auto"/>
                  </w:tcBorders>
                  <w:shd w:val="clear" w:color="auto" w:fill="auto"/>
                  <w:vAlign w:val="bottom"/>
                  <w:hideMark/>
                </w:tcPr>
                <w:p w14:paraId="69DC9EFC" w14:textId="77777777" w:rsidR="009531BF" w:rsidRPr="004C4A14" w:rsidRDefault="009531BF" w:rsidP="009531BF">
                  <w:pPr>
                    <w:jc w:val="center"/>
                    <w:rPr>
                      <w:iCs/>
                      <w:sz w:val="20"/>
                      <w:szCs w:val="20"/>
                    </w:rPr>
                  </w:pPr>
                  <w:r w:rsidRPr="004C4A14">
                    <w:rPr>
                      <w:iCs/>
                      <w:sz w:val="20"/>
                      <w:szCs w:val="20"/>
                    </w:rPr>
                    <w:t>-0,4</w:t>
                  </w:r>
                </w:p>
              </w:tc>
              <w:tc>
                <w:tcPr>
                  <w:tcW w:w="1320" w:type="dxa"/>
                  <w:tcBorders>
                    <w:top w:val="nil"/>
                    <w:left w:val="nil"/>
                    <w:bottom w:val="single" w:sz="4" w:space="0" w:color="auto"/>
                    <w:right w:val="single" w:sz="4" w:space="0" w:color="auto"/>
                  </w:tcBorders>
                  <w:shd w:val="clear" w:color="auto" w:fill="auto"/>
                  <w:vAlign w:val="bottom"/>
                  <w:hideMark/>
                </w:tcPr>
                <w:p w14:paraId="4FCC19DD" w14:textId="77777777" w:rsidR="009531BF" w:rsidRPr="004C4A14" w:rsidRDefault="009531BF" w:rsidP="009531BF">
                  <w:pPr>
                    <w:jc w:val="center"/>
                    <w:rPr>
                      <w:iCs/>
                      <w:sz w:val="20"/>
                      <w:szCs w:val="20"/>
                    </w:rPr>
                  </w:pPr>
                  <w:r w:rsidRPr="004C4A14">
                    <w:rPr>
                      <w:iCs/>
                      <w:sz w:val="20"/>
                      <w:szCs w:val="20"/>
                    </w:rPr>
                    <w:t>-0,4</w:t>
                  </w:r>
                </w:p>
              </w:tc>
            </w:tr>
            <w:tr w:rsidR="009531BF" w:rsidRPr="004C4A14" w14:paraId="1C3FFB41" w14:textId="77777777" w:rsidTr="009531BF">
              <w:trPr>
                <w:trHeight w:val="300"/>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BE463CE" w14:textId="77777777" w:rsidR="009531BF" w:rsidRPr="004C4A14" w:rsidRDefault="009531BF" w:rsidP="009531BF">
                  <w:pPr>
                    <w:jc w:val="right"/>
                    <w:rPr>
                      <w:i/>
                      <w:iCs/>
                      <w:sz w:val="20"/>
                      <w:szCs w:val="20"/>
                    </w:rPr>
                  </w:pPr>
                  <w:r w:rsidRPr="004C4A14">
                    <w:rPr>
                      <w:i/>
                      <w:iCs/>
                      <w:sz w:val="20"/>
                      <w:szCs w:val="20"/>
                    </w:rPr>
                    <w:t>Iedzīvotāju ienākuma nodoklis</w:t>
                  </w:r>
                </w:p>
              </w:tc>
              <w:tc>
                <w:tcPr>
                  <w:tcW w:w="1360" w:type="dxa"/>
                  <w:tcBorders>
                    <w:top w:val="nil"/>
                    <w:left w:val="nil"/>
                    <w:bottom w:val="single" w:sz="4" w:space="0" w:color="auto"/>
                    <w:right w:val="single" w:sz="4" w:space="0" w:color="auto"/>
                  </w:tcBorders>
                  <w:shd w:val="clear" w:color="auto" w:fill="auto"/>
                  <w:vAlign w:val="bottom"/>
                  <w:hideMark/>
                </w:tcPr>
                <w:p w14:paraId="13D5A15E" w14:textId="77777777" w:rsidR="009531BF" w:rsidRPr="004C4A14" w:rsidRDefault="009531BF" w:rsidP="009531BF">
                  <w:pPr>
                    <w:jc w:val="center"/>
                    <w:rPr>
                      <w:sz w:val="20"/>
                      <w:szCs w:val="20"/>
                    </w:rPr>
                  </w:pPr>
                  <w:r w:rsidRPr="004C4A14">
                    <w:rPr>
                      <w:sz w:val="20"/>
                      <w:szCs w:val="20"/>
                    </w:rPr>
                    <w:t>-1,8</w:t>
                  </w:r>
                </w:p>
              </w:tc>
              <w:tc>
                <w:tcPr>
                  <w:tcW w:w="1360" w:type="dxa"/>
                  <w:tcBorders>
                    <w:top w:val="nil"/>
                    <w:left w:val="nil"/>
                    <w:bottom w:val="single" w:sz="4" w:space="0" w:color="auto"/>
                    <w:right w:val="single" w:sz="4" w:space="0" w:color="auto"/>
                  </w:tcBorders>
                  <w:shd w:val="clear" w:color="auto" w:fill="auto"/>
                  <w:vAlign w:val="bottom"/>
                  <w:hideMark/>
                </w:tcPr>
                <w:p w14:paraId="059C4A3A" w14:textId="77777777" w:rsidR="009531BF" w:rsidRPr="004C4A14" w:rsidRDefault="009531BF" w:rsidP="009531BF">
                  <w:pPr>
                    <w:jc w:val="center"/>
                    <w:rPr>
                      <w:iCs/>
                      <w:sz w:val="20"/>
                      <w:szCs w:val="20"/>
                    </w:rPr>
                  </w:pPr>
                  <w:r w:rsidRPr="004C4A14">
                    <w:rPr>
                      <w:iCs/>
                      <w:sz w:val="20"/>
                      <w:szCs w:val="20"/>
                    </w:rPr>
                    <w:t>-4,0</w:t>
                  </w:r>
                </w:p>
              </w:tc>
              <w:tc>
                <w:tcPr>
                  <w:tcW w:w="1320" w:type="dxa"/>
                  <w:tcBorders>
                    <w:top w:val="nil"/>
                    <w:left w:val="nil"/>
                    <w:bottom w:val="single" w:sz="4" w:space="0" w:color="auto"/>
                    <w:right w:val="single" w:sz="4" w:space="0" w:color="auto"/>
                  </w:tcBorders>
                  <w:shd w:val="clear" w:color="auto" w:fill="auto"/>
                  <w:vAlign w:val="bottom"/>
                  <w:hideMark/>
                </w:tcPr>
                <w:p w14:paraId="57D83397" w14:textId="77777777" w:rsidR="009531BF" w:rsidRPr="004C4A14" w:rsidRDefault="009531BF" w:rsidP="009531BF">
                  <w:pPr>
                    <w:jc w:val="center"/>
                    <w:rPr>
                      <w:iCs/>
                      <w:sz w:val="20"/>
                      <w:szCs w:val="20"/>
                    </w:rPr>
                  </w:pPr>
                  <w:r w:rsidRPr="004C4A14">
                    <w:rPr>
                      <w:iCs/>
                      <w:sz w:val="20"/>
                      <w:szCs w:val="20"/>
                    </w:rPr>
                    <w:t>-4,2</w:t>
                  </w:r>
                </w:p>
              </w:tc>
            </w:tr>
            <w:tr w:rsidR="009531BF" w:rsidRPr="004C4A14" w14:paraId="0C838496" w14:textId="77777777" w:rsidTr="009531BF">
              <w:trPr>
                <w:trHeight w:val="315"/>
              </w:trPr>
              <w:tc>
                <w:tcPr>
                  <w:tcW w:w="3000" w:type="dxa"/>
                  <w:tcBorders>
                    <w:top w:val="nil"/>
                    <w:left w:val="single" w:sz="4" w:space="0" w:color="auto"/>
                    <w:bottom w:val="nil"/>
                    <w:right w:val="single" w:sz="4" w:space="0" w:color="auto"/>
                  </w:tcBorders>
                  <w:shd w:val="clear" w:color="auto" w:fill="auto"/>
                  <w:vAlign w:val="bottom"/>
                  <w:hideMark/>
                </w:tcPr>
                <w:p w14:paraId="5D96A675" w14:textId="77777777" w:rsidR="009531BF" w:rsidRPr="00985C00" w:rsidRDefault="009531BF" w:rsidP="009531BF">
                  <w:pPr>
                    <w:rPr>
                      <w:b/>
                      <w:bCs/>
                      <w:i/>
                      <w:sz w:val="20"/>
                      <w:szCs w:val="20"/>
                    </w:rPr>
                  </w:pPr>
                  <w:r>
                    <w:rPr>
                      <w:b/>
                      <w:bCs/>
                      <w:i/>
                      <w:sz w:val="20"/>
                      <w:szCs w:val="20"/>
                    </w:rPr>
                    <w:t>K</w:t>
                  </w:r>
                  <w:r w:rsidRPr="00985C00">
                    <w:rPr>
                      <w:b/>
                      <w:bCs/>
                      <w:i/>
                      <w:sz w:val="20"/>
                      <w:szCs w:val="20"/>
                    </w:rPr>
                    <w:t>opbudžetā</w:t>
                  </w:r>
                </w:p>
              </w:tc>
              <w:tc>
                <w:tcPr>
                  <w:tcW w:w="1360" w:type="dxa"/>
                  <w:tcBorders>
                    <w:top w:val="nil"/>
                    <w:left w:val="nil"/>
                    <w:bottom w:val="nil"/>
                    <w:right w:val="single" w:sz="4" w:space="0" w:color="auto"/>
                  </w:tcBorders>
                  <w:shd w:val="clear" w:color="auto" w:fill="auto"/>
                  <w:vAlign w:val="bottom"/>
                  <w:hideMark/>
                </w:tcPr>
                <w:p w14:paraId="777CB908" w14:textId="77777777" w:rsidR="009531BF" w:rsidRPr="00985C00" w:rsidRDefault="009531BF" w:rsidP="009531BF">
                  <w:pPr>
                    <w:jc w:val="center"/>
                    <w:rPr>
                      <w:b/>
                      <w:bCs/>
                      <w:i/>
                      <w:sz w:val="20"/>
                      <w:szCs w:val="20"/>
                    </w:rPr>
                  </w:pPr>
                  <w:r w:rsidRPr="00985C00">
                    <w:rPr>
                      <w:b/>
                      <w:bCs/>
                      <w:i/>
                      <w:sz w:val="20"/>
                      <w:szCs w:val="20"/>
                    </w:rPr>
                    <w:t>0,7</w:t>
                  </w:r>
                </w:p>
              </w:tc>
              <w:tc>
                <w:tcPr>
                  <w:tcW w:w="1360" w:type="dxa"/>
                  <w:tcBorders>
                    <w:top w:val="nil"/>
                    <w:left w:val="nil"/>
                    <w:bottom w:val="nil"/>
                    <w:right w:val="single" w:sz="4" w:space="0" w:color="auto"/>
                  </w:tcBorders>
                  <w:shd w:val="clear" w:color="auto" w:fill="auto"/>
                  <w:vAlign w:val="bottom"/>
                  <w:hideMark/>
                </w:tcPr>
                <w:p w14:paraId="06D362A5" w14:textId="77777777" w:rsidR="009531BF" w:rsidRPr="00985C00" w:rsidRDefault="009531BF" w:rsidP="009531BF">
                  <w:pPr>
                    <w:jc w:val="center"/>
                    <w:rPr>
                      <w:b/>
                      <w:bCs/>
                      <w:i/>
                      <w:sz w:val="20"/>
                      <w:szCs w:val="20"/>
                    </w:rPr>
                  </w:pPr>
                  <w:r w:rsidRPr="00985C00">
                    <w:rPr>
                      <w:b/>
                      <w:bCs/>
                      <w:i/>
                      <w:sz w:val="20"/>
                      <w:szCs w:val="20"/>
                    </w:rPr>
                    <w:t>1,5</w:t>
                  </w:r>
                </w:p>
              </w:tc>
              <w:tc>
                <w:tcPr>
                  <w:tcW w:w="1320" w:type="dxa"/>
                  <w:tcBorders>
                    <w:top w:val="nil"/>
                    <w:left w:val="nil"/>
                    <w:bottom w:val="nil"/>
                    <w:right w:val="single" w:sz="4" w:space="0" w:color="auto"/>
                  </w:tcBorders>
                  <w:shd w:val="clear" w:color="auto" w:fill="auto"/>
                  <w:vAlign w:val="bottom"/>
                  <w:hideMark/>
                </w:tcPr>
                <w:p w14:paraId="767BF56E" w14:textId="77777777" w:rsidR="009531BF" w:rsidRPr="00985C00" w:rsidRDefault="009531BF" w:rsidP="009531BF">
                  <w:pPr>
                    <w:jc w:val="center"/>
                    <w:rPr>
                      <w:b/>
                      <w:bCs/>
                      <w:i/>
                      <w:sz w:val="20"/>
                      <w:szCs w:val="20"/>
                    </w:rPr>
                  </w:pPr>
                  <w:r w:rsidRPr="00985C00">
                    <w:rPr>
                      <w:b/>
                      <w:bCs/>
                      <w:i/>
                      <w:sz w:val="20"/>
                      <w:szCs w:val="20"/>
                    </w:rPr>
                    <w:t>1,6</w:t>
                  </w:r>
                </w:p>
              </w:tc>
            </w:tr>
            <w:tr w:rsidR="009531BF" w:rsidRPr="004C4A14" w14:paraId="4C5B3B5D" w14:textId="77777777" w:rsidTr="009531BF">
              <w:trPr>
                <w:trHeight w:val="315"/>
              </w:trPr>
              <w:tc>
                <w:tcPr>
                  <w:tcW w:w="3000" w:type="dxa"/>
                  <w:tcBorders>
                    <w:top w:val="nil"/>
                    <w:left w:val="single" w:sz="4" w:space="0" w:color="auto"/>
                    <w:bottom w:val="nil"/>
                    <w:right w:val="single" w:sz="4" w:space="0" w:color="auto"/>
                  </w:tcBorders>
                  <w:shd w:val="clear" w:color="auto" w:fill="auto"/>
                  <w:vAlign w:val="bottom"/>
                </w:tcPr>
                <w:p w14:paraId="2C821947" w14:textId="77777777" w:rsidR="009531BF" w:rsidRPr="00985C00" w:rsidRDefault="009531BF" w:rsidP="009531BF">
                  <w:pPr>
                    <w:rPr>
                      <w:b/>
                      <w:bCs/>
                      <w:i/>
                      <w:sz w:val="20"/>
                      <w:szCs w:val="20"/>
                    </w:rPr>
                  </w:pPr>
                  <w:r>
                    <w:rPr>
                      <w:b/>
                      <w:i/>
                      <w:iCs/>
                      <w:sz w:val="20"/>
                      <w:szCs w:val="20"/>
                    </w:rPr>
                    <w:t>T</w:t>
                  </w:r>
                  <w:r w:rsidRPr="00985C00">
                    <w:rPr>
                      <w:b/>
                      <w:i/>
                      <w:iCs/>
                      <w:sz w:val="20"/>
                      <w:szCs w:val="20"/>
                    </w:rPr>
                    <w:t xml:space="preserve">rešais pensiju līmenis </w:t>
                  </w:r>
                </w:p>
              </w:tc>
              <w:tc>
                <w:tcPr>
                  <w:tcW w:w="1360" w:type="dxa"/>
                  <w:tcBorders>
                    <w:top w:val="nil"/>
                    <w:left w:val="nil"/>
                    <w:bottom w:val="nil"/>
                    <w:right w:val="single" w:sz="4" w:space="0" w:color="auto"/>
                  </w:tcBorders>
                  <w:shd w:val="clear" w:color="auto" w:fill="auto"/>
                  <w:vAlign w:val="bottom"/>
                </w:tcPr>
                <w:p w14:paraId="161087C5" w14:textId="77777777" w:rsidR="009531BF" w:rsidRPr="00985C00" w:rsidRDefault="009531BF" w:rsidP="009531BF">
                  <w:pPr>
                    <w:jc w:val="center"/>
                    <w:rPr>
                      <w:b/>
                      <w:bCs/>
                      <w:i/>
                      <w:sz w:val="20"/>
                      <w:szCs w:val="20"/>
                    </w:rPr>
                  </w:pPr>
                  <w:r w:rsidRPr="00985C00">
                    <w:rPr>
                      <w:b/>
                      <w:i/>
                      <w:sz w:val="20"/>
                      <w:szCs w:val="20"/>
                    </w:rPr>
                    <w:t>-0,7</w:t>
                  </w:r>
                </w:p>
              </w:tc>
              <w:tc>
                <w:tcPr>
                  <w:tcW w:w="1360" w:type="dxa"/>
                  <w:tcBorders>
                    <w:top w:val="nil"/>
                    <w:left w:val="nil"/>
                    <w:bottom w:val="nil"/>
                    <w:right w:val="single" w:sz="4" w:space="0" w:color="auto"/>
                  </w:tcBorders>
                  <w:shd w:val="clear" w:color="auto" w:fill="auto"/>
                  <w:vAlign w:val="bottom"/>
                </w:tcPr>
                <w:p w14:paraId="13355547" w14:textId="77777777" w:rsidR="009531BF" w:rsidRPr="00985C00" w:rsidRDefault="009531BF" w:rsidP="009531BF">
                  <w:pPr>
                    <w:jc w:val="center"/>
                    <w:rPr>
                      <w:b/>
                      <w:bCs/>
                      <w:i/>
                      <w:sz w:val="20"/>
                      <w:szCs w:val="20"/>
                    </w:rPr>
                  </w:pPr>
                  <w:r w:rsidRPr="00985C00">
                    <w:rPr>
                      <w:b/>
                      <w:i/>
                      <w:iCs/>
                      <w:sz w:val="20"/>
                      <w:szCs w:val="20"/>
                    </w:rPr>
                    <w:t>-1,5</w:t>
                  </w:r>
                </w:p>
              </w:tc>
              <w:tc>
                <w:tcPr>
                  <w:tcW w:w="1320" w:type="dxa"/>
                  <w:tcBorders>
                    <w:top w:val="nil"/>
                    <w:left w:val="nil"/>
                    <w:bottom w:val="nil"/>
                    <w:right w:val="single" w:sz="4" w:space="0" w:color="auto"/>
                  </w:tcBorders>
                  <w:shd w:val="clear" w:color="auto" w:fill="auto"/>
                  <w:vAlign w:val="bottom"/>
                </w:tcPr>
                <w:p w14:paraId="00154DED" w14:textId="77777777" w:rsidR="009531BF" w:rsidRPr="00985C00" w:rsidRDefault="009531BF" w:rsidP="009531BF">
                  <w:pPr>
                    <w:jc w:val="center"/>
                    <w:rPr>
                      <w:b/>
                      <w:bCs/>
                      <w:i/>
                      <w:sz w:val="20"/>
                      <w:szCs w:val="20"/>
                    </w:rPr>
                  </w:pPr>
                  <w:r w:rsidRPr="00985C00">
                    <w:rPr>
                      <w:b/>
                      <w:i/>
                      <w:iCs/>
                      <w:sz w:val="20"/>
                      <w:szCs w:val="20"/>
                    </w:rPr>
                    <w:t>-1,6</w:t>
                  </w:r>
                </w:p>
              </w:tc>
            </w:tr>
            <w:tr w:rsidR="009531BF" w:rsidRPr="004C4A14" w14:paraId="6E248886" w14:textId="77777777" w:rsidTr="009531BF">
              <w:trPr>
                <w:trHeight w:val="315"/>
              </w:trPr>
              <w:tc>
                <w:tcPr>
                  <w:tcW w:w="3000" w:type="dxa"/>
                  <w:tcBorders>
                    <w:top w:val="nil"/>
                    <w:left w:val="single" w:sz="4" w:space="0" w:color="auto"/>
                    <w:bottom w:val="single" w:sz="4" w:space="0" w:color="auto"/>
                    <w:right w:val="single" w:sz="4" w:space="0" w:color="auto"/>
                  </w:tcBorders>
                  <w:shd w:val="clear" w:color="auto" w:fill="auto"/>
                  <w:vAlign w:val="bottom"/>
                </w:tcPr>
                <w:p w14:paraId="63013673" w14:textId="77777777" w:rsidR="009531BF" w:rsidRPr="00985C00" w:rsidRDefault="009531BF" w:rsidP="009531BF">
                  <w:pPr>
                    <w:rPr>
                      <w:b/>
                      <w:i/>
                      <w:iCs/>
                      <w:sz w:val="20"/>
                      <w:szCs w:val="20"/>
                    </w:rPr>
                  </w:pPr>
                  <w:r w:rsidRPr="00985C00">
                    <w:rPr>
                      <w:b/>
                      <w:bCs/>
                      <w:i/>
                      <w:sz w:val="20"/>
                      <w:szCs w:val="20"/>
                    </w:rPr>
                    <w:t>Ieņēmumi kopā</w:t>
                  </w:r>
                </w:p>
              </w:tc>
              <w:tc>
                <w:tcPr>
                  <w:tcW w:w="1360" w:type="dxa"/>
                  <w:tcBorders>
                    <w:top w:val="nil"/>
                    <w:left w:val="nil"/>
                    <w:bottom w:val="single" w:sz="4" w:space="0" w:color="auto"/>
                    <w:right w:val="single" w:sz="4" w:space="0" w:color="auto"/>
                  </w:tcBorders>
                  <w:shd w:val="clear" w:color="auto" w:fill="auto"/>
                  <w:vAlign w:val="bottom"/>
                </w:tcPr>
                <w:p w14:paraId="4092D52F" w14:textId="77777777" w:rsidR="009531BF" w:rsidRPr="00985C00" w:rsidRDefault="009531BF" w:rsidP="009531BF">
                  <w:pPr>
                    <w:jc w:val="center"/>
                    <w:rPr>
                      <w:b/>
                      <w:i/>
                      <w:sz w:val="20"/>
                      <w:szCs w:val="20"/>
                    </w:rPr>
                  </w:pPr>
                  <w:r w:rsidRPr="00985C00">
                    <w:rPr>
                      <w:b/>
                      <w:bCs/>
                      <w:i/>
                      <w:sz w:val="20"/>
                      <w:szCs w:val="20"/>
                    </w:rPr>
                    <w:t>0,0</w:t>
                  </w:r>
                </w:p>
              </w:tc>
              <w:tc>
                <w:tcPr>
                  <w:tcW w:w="1360" w:type="dxa"/>
                  <w:tcBorders>
                    <w:top w:val="nil"/>
                    <w:left w:val="nil"/>
                    <w:bottom w:val="single" w:sz="4" w:space="0" w:color="auto"/>
                    <w:right w:val="single" w:sz="4" w:space="0" w:color="auto"/>
                  </w:tcBorders>
                  <w:shd w:val="clear" w:color="auto" w:fill="auto"/>
                  <w:vAlign w:val="bottom"/>
                </w:tcPr>
                <w:p w14:paraId="5C094C22" w14:textId="77777777" w:rsidR="009531BF" w:rsidRPr="00985C00" w:rsidRDefault="009531BF" w:rsidP="009531BF">
                  <w:pPr>
                    <w:jc w:val="center"/>
                    <w:rPr>
                      <w:b/>
                      <w:i/>
                      <w:iCs/>
                      <w:sz w:val="20"/>
                      <w:szCs w:val="20"/>
                    </w:rPr>
                  </w:pPr>
                  <w:r w:rsidRPr="00985C00">
                    <w:rPr>
                      <w:b/>
                      <w:bCs/>
                      <w:i/>
                      <w:sz w:val="20"/>
                      <w:szCs w:val="20"/>
                    </w:rPr>
                    <w:t>0,0</w:t>
                  </w:r>
                </w:p>
              </w:tc>
              <w:tc>
                <w:tcPr>
                  <w:tcW w:w="1320" w:type="dxa"/>
                  <w:tcBorders>
                    <w:top w:val="nil"/>
                    <w:left w:val="nil"/>
                    <w:bottom w:val="single" w:sz="4" w:space="0" w:color="auto"/>
                    <w:right w:val="single" w:sz="4" w:space="0" w:color="auto"/>
                  </w:tcBorders>
                  <w:shd w:val="clear" w:color="auto" w:fill="auto"/>
                  <w:vAlign w:val="bottom"/>
                </w:tcPr>
                <w:p w14:paraId="6BBA88F1" w14:textId="77777777" w:rsidR="009531BF" w:rsidRPr="00985C00" w:rsidRDefault="009531BF" w:rsidP="009531BF">
                  <w:pPr>
                    <w:jc w:val="center"/>
                    <w:rPr>
                      <w:b/>
                      <w:i/>
                      <w:iCs/>
                      <w:sz w:val="20"/>
                      <w:szCs w:val="20"/>
                    </w:rPr>
                  </w:pPr>
                  <w:r w:rsidRPr="00985C00">
                    <w:rPr>
                      <w:b/>
                      <w:bCs/>
                      <w:i/>
                      <w:sz w:val="20"/>
                      <w:szCs w:val="20"/>
                    </w:rPr>
                    <w:t>0,0</w:t>
                  </w:r>
                </w:p>
              </w:tc>
            </w:tr>
          </w:tbl>
          <w:p w14:paraId="6EEA384B" w14:textId="77777777" w:rsidR="009531BF" w:rsidRPr="00C3443D" w:rsidRDefault="009531BF" w:rsidP="00101B51">
            <w:pPr>
              <w:rPr>
                <w:sz w:val="20"/>
                <w:szCs w:val="20"/>
              </w:rPr>
            </w:pPr>
          </w:p>
          <w:p w14:paraId="5F2771E4" w14:textId="77777777" w:rsidR="00E460BD" w:rsidRPr="00C3443D" w:rsidRDefault="00E460BD" w:rsidP="00101B51">
            <w:pPr>
              <w:rPr>
                <w:sz w:val="20"/>
                <w:szCs w:val="20"/>
              </w:rPr>
            </w:pPr>
            <w:r>
              <w:rPr>
                <w:sz w:val="20"/>
                <w:szCs w:val="20"/>
              </w:rPr>
              <w:t xml:space="preserve">             </w:t>
            </w:r>
            <w:r w:rsidRPr="00C3443D">
              <w:rPr>
                <w:sz w:val="20"/>
                <w:szCs w:val="20"/>
              </w:rPr>
              <w:t>Aprēķinot fiskālo ietekmi, tika izmantota informācija no darba devēju ziņojumiem par valsts sociālās apdrošināšanas obligātajām iemaksām un iedzīvotāju ienākuma nodokli</w:t>
            </w:r>
            <w:r>
              <w:rPr>
                <w:sz w:val="20"/>
                <w:szCs w:val="20"/>
              </w:rPr>
              <w:t xml:space="preserve"> 2017. gadā</w:t>
            </w:r>
            <w:r w:rsidRPr="00C3443D">
              <w:rPr>
                <w:sz w:val="20"/>
                <w:szCs w:val="20"/>
              </w:rPr>
              <w:t>, prognozētais darba samaksas fonda pieaugums 2018.-2021. gadam un Solidaritātes nodokļa likumā noteiktā nodokļa maksāšanas un ieskaitīšanas kārtība.</w:t>
            </w:r>
          </w:p>
          <w:p w14:paraId="07491E8F" w14:textId="1432EA87" w:rsidR="00E460BD" w:rsidRPr="00C3443D" w:rsidRDefault="00E460BD" w:rsidP="00101B51">
            <w:pPr>
              <w:rPr>
                <w:sz w:val="20"/>
                <w:szCs w:val="20"/>
              </w:rPr>
            </w:pPr>
            <w:r>
              <w:rPr>
                <w:sz w:val="20"/>
                <w:szCs w:val="20"/>
              </w:rPr>
              <w:t xml:space="preserve">             </w:t>
            </w:r>
            <w:r w:rsidRPr="00C3443D">
              <w:rPr>
                <w:sz w:val="20"/>
                <w:szCs w:val="20"/>
              </w:rPr>
              <w:t>2017. gadā bija 5,0 tūkst.</w:t>
            </w:r>
            <w:r w:rsidRPr="00C3443D">
              <w:rPr>
                <w:bCs/>
                <w:sz w:val="20"/>
                <w:szCs w:val="20"/>
              </w:rPr>
              <w:t xml:space="preserve"> nodarbināto, kuri sasniedza </w:t>
            </w:r>
            <w:r w:rsidRPr="00C3443D">
              <w:rPr>
                <w:sz w:val="20"/>
                <w:szCs w:val="20"/>
              </w:rPr>
              <w:t>valsts sociālās apdrošināšanas obligāto iemaksu</w:t>
            </w:r>
            <w:r>
              <w:rPr>
                <w:bCs/>
                <w:color w:val="FF0000"/>
                <w:sz w:val="20"/>
                <w:szCs w:val="20"/>
              </w:rPr>
              <w:t xml:space="preserve"> </w:t>
            </w:r>
            <w:r w:rsidRPr="008A719B">
              <w:rPr>
                <w:sz w:val="20"/>
                <w:szCs w:val="20"/>
              </w:rPr>
              <w:t>objekta maksimālo</w:t>
            </w:r>
            <w:r w:rsidRPr="00C3443D">
              <w:rPr>
                <w:bCs/>
                <w:sz w:val="20"/>
                <w:szCs w:val="20"/>
              </w:rPr>
              <w:t xml:space="preserve"> apmēru (55 000 </w:t>
            </w:r>
            <w:proofErr w:type="spellStart"/>
            <w:r w:rsidRPr="00C3443D">
              <w:rPr>
                <w:bCs/>
                <w:i/>
                <w:sz w:val="20"/>
                <w:szCs w:val="20"/>
              </w:rPr>
              <w:t>euro</w:t>
            </w:r>
            <w:proofErr w:type="spellEnd"/>
            <w:r w:rsidRPr="00C3443D">
              <w:rPr>
                <w:bCs/>
                <w:sz w:val="20"/>
                <w:szCs w:val="20"/>
              </w:rPr>
              <w:t>),</w:t>
            </w:r>
            <w:r w:rsidRPr="00C3443D">
              <w:rPr>
                <w:sz w:val="20"/>
                <w:szCs w:val="20"/>
              </w:rPr>
              <w:t xml:space="preserve"> un to ienākumi sastādīja 449,8 milj. </w:t>
            </w:r>
            <w:proofErr w:type="spellStart"/>
            <w:r w:rsidRPr="00C3443D">
              <w:rPr>
                <w:i/>
                <w:sz w:val="20"/>
                <w:szCs w:val="20"/>
              </w:rPr>
              <w:t>euro</w:t>
            </w:r>
            <w:proofErr w:type="spellEnd"/>
            <w:r w:rsidRPr="00C3443D">
              <w:rPr>
                <w:sz w:val="20"/>
                <w:szCs w:val="20"/>
              </w:rPr>
              <w:t xml:space="preserve">. </w:t>
            </w:r>
            <w:r w:rsidR="009531BF">
              <w:rPr>
                <w:sz w:val="20"/>
                <w:szCs w:val="20"/>
              </w:rPr>
              <w:t xml:space="preserve">Turpmākajos gados </w:t>
            </w:r>
            <w:r w:rsidR="009531BF" w:rsidRPr="008A719B">
              <w:rPr>
                <w:sz w:val="20"/>
                <w:szCs w:val="20"/>
              </w:rPr>
              <w:t>maksimāl</w:t>
            </w:r>
            <w:r w:rsidR="009531BF">
              <w:rPr>
                <w:sz w:val="20"/>
                <w:szCs w:val="20"/>
              </w:rPr>
              <w:t>ā</w:t>
            </w:r>
            <w:r w:rsidR="009531BF" w:rsidRPr="00C3443D">
              <w:rPr>
                <w:bCs/>
                <w:sz w:val="20"/>
                <w:szCs w:val="20"/>
              </w:rPr>
              <w:t xml:space="preserve"> apmēr</w:t>
            </w:r>
            <w:r w:rsidR="009531BF">
              <w:rPr>
                <w:bCs/>
                <w:sz w:val="20"/>
                <w:szCs w:val="20"/>
              </w:rPr>
              <w:t>a</w:t>
            </w:r>
            <w:r w:rsidR="009531BF">
              <w:rPr>
                <w:sz w:val="20"/>
                <w:szCs w:val="20"/>
              </w:rPr>
              <w:t xml:space="preserve"> palielinājuma rezultātā samazināsies solidaritātes nodokļa maksātāju skaits.</w:t>
            </w:r>
          </w:p>
          <w:p w14:paraId="1B26088D" w14:textId="77777777" w:rsidR="00E460BD" w:rsidRPr="00C3443D" w:rsidRDefault="00E460BD" w:rsidP="00101B51">
            <w:pPr>
              <w:rPr>
                <w:sz w:val="20"/>
                <w:szCs w:val="20"/>
              </w:rPr>
            </w:pPr>
            <w:r>
              <w:rPr>
                <w:sz w:val="20"/>
                <w:szCs w:val="20"/>
              </w:rPr>
              <w:t xml:space="preserve">             </w:t>
            </w:r>
            <w:r w:rsidRPr="00C3443D">
              <w:rPr>
                <w:sz w:val="20"/>
                <w:szCs w:val="20"/>
              </w:rPr>
              <w:t>Prognozētais darba samaksas fonda pieaugums 2018. gadā +9,6%, 2019. gadā +6,1%, 2020. gadā +5,5% un 2021. gadā 4,9%.</w:t>
            </w:r>
          </w:p>
          <w:p w14:paraId="6AF30520" w14:textId="77777777" w:rsidR="00E460BD" w:rsidRPr="004C4A14" w:rsidRDefault="00E460BD" w:rsidP="00101B51">
            <w:pPr>
              <w:rPr>
                <w:color w:val="000000"/>
                <w:sz w:val="20"/>
                <w:szCs w:val="20"/>
                <w:shd w:val="clear" w:color="auto" w:fill="FFFFFF"/>
              </w:rPr>
            </w:pPr>
          </w:p>
          <w:p w14:paraId="08188767" w14:textId="3D453FB8" w:rsidR="00E460BD" w:rsidRPr="00E460BD" w:rsidRDefault="00E460BD" w:rsidP="00101B51">
            <w:pPr>
              <w:rPr>
                <w:color w:val="000000"/>
                <w:sz w:val="20"/>
                <w:szCs w:val="20"/>
                <w:shd w:val="clear" w:color="auto" w:fill="FFFFFF"/>
              </w:rPr>
            </w:pPr>
            <w:r w:rsidRPr="00D94887">
              <w:rPr>
                <w:color w:val="000000"/>
                <w:sz w:val="20"/>
                <w:szCs w:val="20"/>
                <w:shd w:val="clear" w:color="auto" w:fill="FFFFFF"/>
              </w:rPr>
              <w:t>Fiskāl</w:t>
            </w:r>
            <w:r w:rsidR="00D47E29">
              <w:rPr>
                <w:color w:val="000000"/>
                <w:sz w:val="20"/>
                <w:szCs w:val="20"/>
                <w:shd w:val="clear" w:color="auto" w:fill="FFFFFF"/>
              </w:rPr>
              <w:t>ā ietekme ņemta vērā, sastādot V</w:t>
            </w:r>
            <w:r w:rsidRPr="00D94887">
              <w:rPr>
                <w:color w:val="000000"/>
                <w:sz w:val="20"/>
                <w:szCs w:val="20"/>
                <w:shd w:val="clear" w:color="auto" w:fill="FFFFFF"/>
              </w:rPr>
              <w:t>ispārējās valdības budžeta plāna projektu</w:t>
            </w:r>
            <w:r w:rsidR="00D47E29">
              <w:rPr>
                <w:color w:val="000000"/>
                <w:sz w:val="20"/>
                <w:szCs w:val="20"/>
                <w:shd w:val="clear" w:color="auto" w:fill="FFFFFF"/>
              </w:rPr>
              <w:t xml:space="preserve"> 2019.gadam</w:t>
            </w:r>
            <w:r w:rsidRPr="00D94887">
              <w:rPr>
                <w:color w:val="000000"/>
                <w:sz w:val="20"/>
                <w:szCs w:val="20"/>
                <w:shd w:val="clear" w:color="auto" w:fill="FFFFFF"/>
              </w:rPr>
              <w:t>.</w:t>
            </w:r>
          </w:p>
        </w:tc>
      </w:tr>
      <w:tr w:rsidR="00E460BD" w:rsidRPr="00135924" w14:paraId="23A15873"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5074C678" w14:textId="77777777" w:rsidR="00E460BD" w:rsidRPr="004C4A14" w:rsidRDefault="00E460BD" w:rsidP="00101B51">
            <w:pPr>
              <w:rPr>
                <w:sz w:val="20"/>
                <w:szCs w:val="20"/>
              </w:rPr>
            </w:pPr>
            <w:r w:rsidRPr="004C4A14">
              <w:rPr>
                <w:sz w:val="20"/>
                <w:szCs w:val="20"/>
              </w:rPr>
              <w:t>6.1. detalizēts ieņēmumu aprēķins</w:t>
            </w:r>
          </w:p>
        </w:tc>
        <w:tc>
          <w:tcPr>
            <w:tcW w:w="7809" w:type="dxa"/>
            <w:gridSpan w:val="7"/>
            <w:vMerge/>
            <w:tcBorders>
              <w:top w:val="outset" w:sz="6" w:space="0" w:color="414142"/>
              <w:left w:val="outset" w:sz="6" w:space="0" w:color="414142"/>
              <w:bottom w:val="outset" w:sz="6" w:space="0" w:color="414142"/>
              <w:right w:val="outset" w:sz="6" w:space="0" w:color="414142"/>
            </w:tcBorders>
            <w:vAlign w:val="center"/>
            <w:hideMark/>
          </w:tcPr>
          <w:p w14:paraId="2AEEBBA4" w14:textId="77777777" w:rsidR="00E460BD" w:rsidRPr="004C4A14" w:rsidRDefault="00E460BD" w:rsidP="00101B51">
            <w:pPr>
              <w:rPr>
                <w:sz w:val="20"/>
                <w:szCs w:val="20"/>
              </w:rPr>
            </w:pPr>
          </w:p>
        </w:tc>
      </w:tr>
      <w:tr w:rsidR="00E460BD" w:rsidRPr="00135924" w14:paraId="19EC06F2"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7FCAED65" w14:textId="77777777" w:rsidR="00E460BD" w:rsidRPr="004C4A14" w:rsidRDefault="00E460BD" w:rsidP="00101B51">
            <w:pPr>
              <w:rPr>
                <w:sz w:val="20"/>
                <w:szCs w:val="20"/>
              </w:rPr>
            </w:pPr>
            <w:r w:rsidRPr="004C4A14">
              <w:rPr>
                <w:sz w:val="20"/>
                <w:szCs w:val="20"/>
              </w:rPr>
              <w:t>6.2. detalizēts izdevumu aprēķins</w:t>
            </w:r>
          </w:p>
        </w:tc>
        <w:tc>
          <w:tcPr>
            <w:tcW w:w="7809" w:type="dxa"/>
            <w:gridSpan w:val="7"/>
            <w:vMerge/>
            <w:tcBorders>
              <w:top w:val="outset" w:sz="6" w:space="0" w:color="414142"/>
              <w:left w:val="outset" w:sz="6" w:space="0" w:color="414142"/>
              <w:bottom w:val="outset" w:sz="6" w:space="0" w:color="414142"/>
              <w:right w:val="outset" w:sz="6" w:space="0" w:color="414142"/>
            </w:tcBorders>
            <w:vAlign w:val="center"/>
            <w:hideMark/>
          </w:tcPr>
          <w:p w14:paraId="27022FAF" w14:textId="77777777" w:rsidR="00E460BD" w:rsidRPr="004C4A14" w:rsidRDefault="00E460BD" w:rsidP="00101B51">
            <w:pPr>
              <w:rPr>
                <w:sz w:val="20"/>
                <w:szCs w:val="20"/>
              </w:rPr>
            </w:pPr>
          </w:p>
        </w:tc>
      </w:tr>
      <w:tr w:rsidR="00E460BD" w:rsidRPr="00135924" w14:paraId="0DF73683"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0ED33880" w14:textId="77777777" w:rsidR="00E460BD" w:rsidRPr="004C4A14" w:rsidRDefault="00E460BD" w:rsidP="00101B51">
            <w:pPr>
              <w:rPr>
                <w:sz w:val="20"/>
                <w:szCs w:val="20"/>
              </w:rPr>
            </w:pPr>
            <w:r w:rsidRPr="004C4A14">
              <w:rPr>
                <w:sz w:val="20"/>
                <w:szCs w:val="20"/>
              </w:rPr>
              <w:t>7. Amata vietu skaita izmaiņas</w:t>
            </w:r>
          </w:p>
        </w:tc>
        <w:tc>
          <w:tcPr>
            <w:tcW w:w="7809" w:type="dxa"/>
            <w:gridSpan w:val="7"/>
            <w:tcBorders>
              <w:top w:val="outset" w:sz="6" w:space="0" w:color="414142"/>
              <w:left w:val="outset" w:sz="6" w:space="0" w:color="414142"/>
              <w:bottom w:val="outset" w:sz="6" w:space="0" w:color="414142"/>
              <w:right w:val="outset" w:sz="6" w:space="0" w:color="414142"/>
            </w:tcBorders>
            <w:hideMark/>
          </w:tcPr>
          <w:p w14:paraId="582B3E05" w14:textId="2FDFD850" w:rsidR="00E460BD" w:rsidRPr="00BF5112" w:rsidRDefault="00BF5112" w:rsidP="00101B51">
            <w:pPr>
              <w:jc w:val="both"/>
              <w:rPr>
                <w:sz w:val="20"/>
                <w:szCs w:val="20"/>
              </w:rPr>
            </w:pPr>
            <w:r w:rsidRPr="00BF5112">
              <w:rPr>
                <w:sz w:val="20"/>
                <w:szCs w:val="20"/>
              </w:rPr>
              <w:t>Projekts šo jomu neskar.</w:t>
            </w:r>
          </w:p>
        </w:tc>
      </w:tr>
      <w:tr w:rsidR="00E460BD" w:rsidRPr="00135924" w14:paraId="121FA7BA" w14:textId="77777777" w:rsidTr="00101B51">
        <w:tc>
          <w:tcPr>
            <w:tcW w:w="1835" w:type="dxa"/>
            <w:tcBorders>
              <w:top w:val="outset" w:sz="6" w:space="0" w:color="414142"/>
              <w:left w:val="outset" w:sz="6" w:space="0" w:color="414142"/>
              <w:bottom w:val="outset" w:sz="6" w:space="0" w:color="414142"/>
              <w:right w:val="outset" w:sz="6" w:space="0" w:color="414142"/>
            </w:tcBorders>
            <w:hideMark/>
          </w:tcPr>
          <w:p w14:paraId="5FF2FA42" w14:textId="77777777" w:rsidR="00E460BD" w:rsidRPr="004C4A14" w:rsidRDefault="00E460BD" w:rsidP="00101B51">
            <w:pPr>
              <w:rPr>
                <w:sz w:val="20"/>
                <w:szCs w:val="20"/>
              </w:rPr>
            </w:pPr>
            <w:r w:rsidRPr="004C4A14">
              <w:rPr>
                <w:sz w:val="20"/>
                <w:szCs w:val="20"/>
              </w:rPr>
              <w:t>8. Cita informācija</w:t>
            </w:r>
          </w:p>
        </w:tc>
        <w:tc>
          <w:tcPr>
            <w:tcW w:w="7809" w:type="dxa"/>
            <w:gridSpan w:val="7"/>
            <w:tcBorders>
              <w:top w:val="outset" w:sz="6" w:space="0" w:color="414142"/>
              <w:left w:val="outset" w:sz="6" w:space="0" w:color="414142"/>
              <w:bottom w:val="outset" w:sz="6" w:space="0" w:color="414142"/>
              <w:right w:val="outset" w:sz="6" w:space="0" w:color="414142"/>
            </w:tcBorders>
            <w:hideMark/>
          </w:tcPr>
          <w:p w14:paraId="07779870" w14:textId="13E3FE89" w:rsidR="00E460BD" w:rsidRPr="004C4A14" w:rsidRDefault="00E460BD" w:rsidP="00101B51">
            <w:pPr>
              <w:jc w:val="both"/>
              <w:rPr>
                <w:sz w:val="20"/>
                <w:szCs w:val="20"/>
              </w:rPr>
            </w:pPr>
            <w:r w:rsidRPr="00B20287">
              <w:rPr>
                <w:sz w:val="20"/>
                <w:szCs w:val="20"/>
              </w:rPr>
              <w:t>Likumprojekts neietekmēs pašvaldību budžeta ieņēmumus, jo saskaņā ar likuma “Par vidēja termiņa budžeta ietvaru 2018., 2019. un 2020. gadam ” 17.pantu ir noteikts, ka pašvaldību budžetu nodokļu ieņēmumi kopā ar speciālo dotāciju 2018., 2019. un 2020. gadā ir 19,6 procenti no kopbudžeta nodokļu ieņēmumiem, neieskaitot valsts sociālās apdrošināšanas obligātās iemaksas valsts pamatbudžetā veselības aprūpes finansēšanai.</w:t>
            </w:r>
          </w:p>
        </w:tc>
      </w:tr>
    </w:tbl>
    <w:p w14:paraId="288EABD8" w14:textId="77777777" w:rsidR="00135924" w:rsidRPr="00967D90" w:rsidRDefault="00135924" w:rsidP="002431AC"/>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967D90" w:rsidRPr="00967D90" w14:paraId="0D886D4D" w14:textId="77777777" w:rsidTr="006D11E3">
        <w:trPr>
          <w:trHeight w:val="419"/>
        </w:trPr>
        <w:tc>
          <w:tcPr>
            <w:tcW w:w="5000" w:type="pct"/>
            <w:gridSpan w:val="3"/>
            <w:vAlign w:val="center"/>
          </w:tcPr>
          <w:p w14:paraId="11CA00AB" w14:textId="77777777" w:rsidR="008078B8" w:rsidRPr="00967D90" w:rsidRDefault="008078B8" w:rsidP="002431AC">
            <w:pPr>
              <w:jc w:val="center"/>
              <w:rPr>
                <w:b/>
              </w:rPr>
            </w:pPr>
            <w:r w:rsidRPr="00967D90">
              <w:rPr>
                <w:b/>
                <w:bCs/>
              </w:rPr>
              <w:t>IV. Tiesību akta projekta ietekme uz spēkā esošo tiesību normu sistēmu</w:t>
            </w:r>
          </w:p>
        </w:tc>
      </w:tr>
      <w:tr w:rsidR="00967D90" w:rsidRPr="00967D90" w14:paraId="6B8D4831" w14:textId="77777777" w:rsidTr="0089784A">
        <w:trPr>
          <w:trHeight w:val="415"/>
        </w:trPr>
        <w:tc>
          <w:tcPr>
            <w:tcW w:w="227" w:type="pct"/>
          </w:tcPr>
          <w:p w14:paraId="45D5D9E5" w14:textId="77777777" w:rsidR="008078B8" w:rsidRPr="00967D90" w:rsidRDefault="008078B8" w:rsidP="002431AC">
            <w:r w:rsidRPr="00967D90">
              <w:t>1.</w:t>
            </w:r>
          </w:p>
        </w:tc>
        <w:tc>
          <w:tcPr>
            <w:tcW w:w="1566" w:type="pct"/>
          </w:tcPr>
          <w:p w14:paraId="38150580" w14:textId="77777777" w:rsidR="008078B8" w:rsidRPr="00967D90" w:rsidRDefault="008078B8" w:rsidP="002431AC">
            <w:r w:rsidRPr="00967D90">
              <w:t>Nepieciešamie saistītie tiesību aktu projekti</w:t>
            </w:r>
          </w:p>
        </w:tc>
        <w:tc>
          <w:tcPr>
            <w:tcW w:w="3207" w:type="pct"/>
            <w:shd w:val="clear" w:color="auto" w:fill="auto"/>
          </w:tcPr>
          <w:p w14:paraId="286FFEC3" w14:textId="470E8CC0" w:rsidR="00166434" w:rsidRPr="00967D90" w:rsidRDefault="00EA1E3D" w:rsidP="00EA1E3D">
            <w:pPr>
              <w:ind w:left="139" w:right="125"/>
              <w:jc w:val="both"/>
              <w:rPr>
                <w:b/>
              </w:rPr>
            </w:pPr>
            <w:r w:rsidRPr="0089784A">
              <w:rPr>
                <w:spacing w:val="-6"/>
              </w:rPr>
              <w:t>Pēc likumprojekta spēkā stāšanās nepieciešams veikt grozījumus</w:t>
            </w:r>
            <w:r>
              <w:rPr>
                <w:spacing w:val="-6"/>
              </w:rPr>
              <w:t xml:space="preserve"> </w:t>
            </w:r>
            <w:r w:rsidRPr="0089784A">
              <w:rPr>
                <w:spacing w:val="-6"/>
              </w:rPr>
              <w:t>Ministru kabineta 2010.gada 21.septembra noteikumos</w:t>
            </w:r>
            <w:r>
              <w:rPr>
                <w:spacing w:val="-6"/>
              </w:rPr>
              <w:t xml:space="preserve"> </w:t>
            </w:r>
            <w:r w:rsidRPr="0089784A">
              <w:rPr>
                <w:spacing w:val="-6"/>
              </w:rPr>
              <w:t xml:space="preserve">Nr.899 </w:t>
            </w:r>
            <w:r w:rsidRPr="0089784A">
              <w:rPr>
                <w:spacing w:val="-6"/>
              </w:rPr>
              <w:lastRenderedPageBreak/>
              <w:t>“</w:t>
            </w:r>
            <w:r w:rsidRPr="0089784A">
              <w:rPr>
                <w:bCs/>
                <w:shd w:val="clear" w:color="auto" w:fill="FFFFFF"/>
              </w:rPr>
              <w:t>Likuma "</w:t>
            </w:r>
            <w:hyperlink r:id="rId11" w:tgtFrame="_blank" w:history="1">
              <w:r w:rsidRPr="0089784A">
                <w:rPr>
                  <w:bCs/>
                  <w:shd w:val="clear" w:color="auto" w:fill="FFFFFF"/>
                </w:rPr>
                <w:t>Par iedzīvotāju ienākuma nodokli</w:t>
              </w:r>
            </w:hyperlink>
            <w:r w:rsidRPr="0089784A">
              <w:rPr>
                <w:bCs/>
                <w:shd w:val="clear" w:color="auto" w:fill="FFFFFF"/>
              </w:rPr>
              <w:t xml:space="preserve">" normu piemērošanas kārtība” </w:t>
            </w:r>
            <w:r>
              <w:rPr>
                <w:bCs/>
                <w:shd w:val="clear" w:color="auto" w:fill="FFFFFF"/>
              </w:rPr>
              <w:t>(līdz 01.03.2019).</w:t>
            </w:r>
          </w:p>
        </w:tc>
      </w:tr>
      <w:tr w:rsidR="00967D90" w:rsidRPr="00967D90" w14:paraId="2828F2F6" w14:textId="77777777" w:rsidTr="006D11E3">
        <w:trPr>
          <w:trHeight w:val="472"/>
        </w:trPr>
        <w:tc>
          <w:tcPr>
            <w:tcW w:w="227" w:type="pct"/>
          </w:tcPr>
          <w:p w14:paraId="26177956" w14:textId="77777777" w:rsidR="008078B8" w:rsidRPr="00967D90" w:rsidRDefault="008078B8" w:rsidP="002431AC">
            <w:r w:rsidRPr="00967D90">
              <w:lastRenderedPageBreak/>
              <w:t>2.</w:t>
            </w:r>
          </w:p>
        </w:tc>
        <w:tc>
          <w:tcPr>
            <w:tcW w:w="1566" w:type="pct"/>
          </w:tcPr>
          <w:p w14:paraId="6D96A3B1" w14:textId="77777777" w:rsidR="008078B8" w:rsidRPr="00967D90" w:rsidRDefault="008078B8" w:rsidP="002431AC">
            <w:r w:rsidRPr="00967D90">
              <w:t>Atbildīgā institūcija</w:t>
            </w:r>
          </w:p>
        </w:tc>
        <w:tc>
          <w:tcPr>
            <w:tcW w:w="3207" w:type="pct"/>
          </w:tcPr>
          <w:p w14:paraId="73128298" w14:textId="6EDE1BD7" w:rsidR="00B64903" w:rsidRPr="00967D90" w:rsidRDefault="00403F02" w:rsidP="00640800">
            <w:pPr>
              <w:ind w:left="139" w:right="125"/>
              <w:jc w:val="both"/>
            </w:pPr>
            <w:r w:rsidRPr="00967D90">
              <w:rPr>
                <w:spacing w:val="-6"/>
              </w:rPr>
              <w:t>Ministru kabineta 2010.gada 21.septembra noteikumi</w:t>
            </w:r>
            <w:r w:rsidR="00B94FFC" w:rsidRPr="00967D90">
              <w:rPr>
                <w:spacing w:val="-6"/>
              </w:rPr>
              <w:t xml:space="preserve"> </w:t>
            </w:r>
            <w:r w:rsidRPr="00967D90">
              <w:rPr>
                <w:spacing w:val="-6"/>
              </w:rPr>
              <w:t>Nr.899 “</w:t>
            </w:r>
            <w:r w:rsidRPr="00967D90">
              <w:rPr>
                <w:bCs/>
                <w:shd w:val="clear" w:color="auto" w:fill="FFFFFF"/>
              </w:rPr>
              <w:t xml:space="preserve">Likuma </w:t>
            </w:r>
            <w:r w:rsidR="00640800">
              <w:rPr>
                <w:bCs/>
                <w:shd w:val="clear" w:color="auto" w:fill="FFFFFF"/>
              </w:rPr>
              <w:t>“</w:t>
            </w:r>
            <w:hyperlink r:id="rId12" w:tgtFrame="_blank" w:history="1">
              <w:r w:rsidRPr="00967D90">
                <w:rPr>
                  <w:bCs/>
                  <w:shd w:val="clear" w:color="auto" w:fill="FFFFFF"/>
                </w:rPr>
                <w:t>Par iedzīvotāju ienākuma nodokli</w:t>
              </w:r>
            </w:hyperlink>
            <w:r w:rsidR="00640800">
              <w:rPr>
                <w:bCs/>
                <w:shd w:val="clear" w:color="auto" w:fill="FFFFFF"/>
              </w:rPr>
              <w:t>”</w:t>
            </w:r>
            <w:r w:rsidRPr="00967D90">
              <w:rPr>
                <w:bCs/>
                <w:shd w:val="clear" w:color="auto" w:fill="FFFFFF"/>
              </w:rPr>
              <w:t xml:space="preserve"> normu piemērošanas kārtība” - </w:t>
            </w:r>
            <w:r w:rsidRPr="00967D90">
              <w:rPr>
                <w:szCs w:val="20"/>
              </w:rPr>
              <w:t>Finanšu ministrija</w:t>
            </w:r>
            <w:r w:rsidR="008117B7">
              <w:rPr>
                <w:szCs w:val="20"/>
              </w:rPr>
              <w:t>.</w:t>
            </w:r>
          </w:p>
        </w:tc>
      </w:tr>
      <w:tr w:rsidR="00967D90" w:rsidRPr="00967D90" w14:paraId="74372E0E" w14:textId="77777777" w:rsidTr="006D11E3">
        <w:tc>
          <w:tcPr>
            <w:tcW w:w="227" w:type="pct"/>
          </w:tcPr>
          <w:p w14:paraId="45FD9704" w14:textId="77777777" w:rsidR="008078B8" w:rsidRPr="00967D90" w:rsidRDefault="008078B8" w:rsidP="002431AC">
            <w:r w:rsidRPr="00967D90">
              <w:t>3.</w:t>
            </w:r>
          </w:p>
        </w:tc>
        <w:tc>
          <w:tcPr>
            <w:tcW w:w="1566" w:type="pct"/>
          </w:tcPr>
          <w:p w14:paraId="2C975184" w14:textId="77777777" w:rsidR="008078B8" w:rsidRPr="00967D90" w:rsidRDefault="008078B8" w:rsidP="002431AC">
            <w:r w:rsidRPr="00967D90">
              <w:t>Cita informācija</w:t>
            </w:r>
          </w:p>
        </w:tc>
        <w:tc>
          <w:tcPr>
            <w:tcW w:w="3207" w:type="pct"/>
          </w:tcPr>
          <w:p w14:paraId="441EFF5B" w14:textId="77777777" w:rsidR="008078B8" w:rsidRPr="00967D90" w:rsidRDefault="008078B8" w:rsidP="002431AC">
            <w:r w:rsidRPr="00967D90">
              <w:t>Nav.</w:t>
            </w:r>
          </w:p>
        </w:tc>
      </w:tr>
    </w:tbl>
    <w:p w14:paraId="03EED3CA" w14:textId="77777777" w:rsidR="003E7787" w:rsidRPr="00967D90" w:rsidRDefault="003E7787" w:rsidP="002431AC">
      <w:pPr>
        <w:rPr>
          <w:sz w:val="28"/>
          <w:szCs w:val="28"/>
        </w:rPr>
      </w:pPr>
    </w:p>
    <w:tbl>
      <w:tblPr>
        <w:tblW w:w="9776"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76"/>
      </w:tblGrid>
      <w:tr w:rsidR="00967D90" w:rsidRPr="00967D90" w14:paraId="2E18A14A" w14:textId="77777777" w:rsidTr="00B64903">
        <w:tc>
          <w:tcPr>
            <w:tcW w:w="97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F93DE" w14:textId="77777777" w:rsidR="006566DB" w:rsidRPr="00967D90" w:rsidRDefault="006566DB">
            <w:pPr>
              <w:pStyle w:val="tvhtml"/>
              <w:spacing w:line="293" w:lineRule="atLeast"/>
              <w:jc w:val="center"/>
              <w:rPr>
                <w:b/>
                <w:bCs/>
              </w:rPr>
            </w:pPr>
            <w:r w:rsidRPr="00967D90">
              <w:rPr>
                <w:b/>
                <w:bCs/>
              </w:rPr>
              <w:t>V. Tiesību akta projekta atbilstība Latvijas Republikas starptautiskajām saistībām</w:t>
            </w:r>
          </w:p>
        </w:tc>
      </w:tr>
      <w:tr w:rsidR="00967D90" w:rsidRPr="00967D90" w14:paraId="7AF6DA31" w14:textId="77777777" w:rsidTr="00B64903">
        <w:tc>
          <w:tcPr>
            <w:tcW w:w="9776" w:type="dxa"/>
            <w:tcBorders>
              <w:top w:val="outset" w:sz="6" w:space="0" w:color="414142"/>
              <w:left w:val="outset" w:sz="6" w:space="0" w:color="414142"/>
              <w:bottom w:val="outset" w:sz="6" w:space="0" w:color="414142"/>
              <w:right w:val="outset" w:sz="6" w:space="0" w:color="414142"/>
            </w:tcBorders>
            <w:shd w:val="clear" w:color="auto" w:fill="FFFFFF"/>
            <w:hideMark/>
          </w:tcPr>
          <w:p w14:paraId="01F04E42" w14:textId="77777777" w:rsidR="009123FA" w:rsidRPr="00967D90" w:rsidRDefault="009123FA" w:rsidP="009123FA">
            <w:pPr>
              <w:jc w:val="center"/>
            </w:pPr>
            <w:r w:rsidRPr="00967D90">
              <w:t>Projekts šo jomu neskar.</w:t>
            </w:r>
          </w:p>
        </w:tc>
      </w:tr>
    </w:tbl>
    <w:p w14:paraId="6B1D8E0D" w14:textId="77777777" w:rsidR="00F76D8A" w:rsidRPr="00967D90" w:rsidRDefault="00F76D8A" w:rsidP="002431AC">
      <w:pPr>
        <w:rPr>
          <w:sz w:val="28"/>
          <w:szCs w:val="28"/>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6074"/>
      </w:tblGrid>
      <w:tr w:rsidR="00967D90" w:rsidRPr="00967D90" w14:paraId="00F47321" w14:textId="77777777" w:rsidTr="00B64903">
        <w:trPr>
          <w:trHeight w:val="381"/>
          <w:jc w:val="center"/>
        </w:trPr>
        <w:tc>
          <w:tcPr>
            <w:tcW w:w="9613" w:type="dxa"/>
            <w:gridSpan w:val="3"/>
            <w:vAlign w:val="center"/>
          </w:tcPr>
          <w:p w14:paraId="67DF6A0D" w14:textId="77777777" w:rsidR="008078B8" w:rsidRPr="00967D90" w:rsidRDefault="008078B8" w:rsidP="002431AC">
            <w:pPr>
              <w:jc w:val="center"/>
            </w:pPr>
            <w:r w:rsidRPr="00967D90">
              <w:rPr>
                <w:b/>
              </w:rPr>
              <w:t>VI. Tiesību akta projekta izpildes nodrošināšana un tās ietekme uz institūcijām</w:t>
            </w:r>
          </w:p>
        </w:tc>
      </w:tr>
      <w:tr w:rsidR="00967D90" w:rsidRPr="00967D90" w14:paraId="0A1F43F0" w14:textId="77777777" w:rsidTr="00B64903">
        <w:trPr>
          <w:trHeight w:val="427"/>
          <w:jc w:val="center"/>
        </w:trPr>
        <w:tc>
          <w:tcPr>
            <w:tcW w:w="421" w:type="dxa"/>
          </w:tcPr>
          <w:p w14:paraId="3CF17CE0" w14:textId="77777777" w:rsidR="008078B8" w:rsidRPr="00967D90" w:rsidRDefault="008078B8" w:rsidP="002431AC">
            <w:r w:rsidRPr="00967D90">
              <w:t>1.</w:t>
            </w:r>
          </w:p>
        </w:tc>
        <w:tc>
          <w:tcPr>
            <w:tcW w:w="3118" w:type="dxa"/>
          </w:tcPr>
          <w:p w14:paraId="17506695" w14:textId="77777777" w:rsidR="008078B8" w:rsidRPr="00967D90" w:rsidRDefault="008078B8" w:rsidP="002431AC">
            <w:r w:rsidRPr="00967D90">
              <w:t>Plānotās sabiedrības līdzdalības un komunikācijas aktivitātes saistībā ar projektu</w:t>
            </w:r>
          </w:p>
        </w:tc>
        <w:tc>
          <w:tcPr>
            <w:tcW w:w="6074" w:type="dxa"/>
          </w:tcPr>
          <w:p w14:paraId="71B6BA8A" w14:textId="45B3A435" w:rsidR="00B64903" w:rsidRPr="00967D90" w:rsidRDefault="00B45A0F" w:rsidP="00EA1E3D">
            <w:pPr>
              <w:ind w:left="82" w:right="82"/>
              <w:jc w:val="both"/>
            </w:pPr>
            <w:r>
              <w:t xml:space="preserve">Sabiedrības tieša līdzdalība nav nepieciešama, jo likumprojekts </w:t>
            </w:r>
            <w:r w:rsidRPr="00967D90">
              <w:t xml:space="preserve">paredz iedzīvotāju ienākuma nodokļa </w:t>
            </w:r>
            <w:r>
              <w:t>augstākā</w:t>
            </w:r>
            <w:r w:rsidRPr="00967D90">
              <w:t xml:space="preserve"> progresijas sliekšņa maiņu, </w:t>
            </w:r>
            <w:r>
              <w:t>paredz</w:t>
            </w:r>
            <w:r w:rsidRPr="00967D90">
              <w:t xml:space="preserve"> kārtību, kādā tiek noteik</w:t>
            </w:r>
            <w:r>
              <w:t>t</w:t>
            </w:r>
            <w:r w:rsidRPr="00967D90">
              <w:t>s ienākums no virtuālās valūtas atsavināšanas, kā arī citus precizējumus</w:t>
            </w:r>
          </w:p>
        </w:tc>
      </w:tr>
      <w:tr w:rsidR="00967D90" w:rsidRPr="00967D90" w14:paraId="460C7E6A" w14:textId="77777777" w:rsidTr="00B64903">
        <w:trPr>
          <w:trHeight w:val="463"/>
          <w:jc w:val="center"/>
        </w:trPr>
        <w:tc>
          <w:tcPr>
            <w:tcW w:w="421" w:type="dxa"/>
          </w:tcPr>
          <w:p w14:paraId="6C7E05B5" w14:textId="77777777" w:rsidR="008078B8" w:rsidRPr="00967D90" w:rsidRDefault="008078B8" w:rsidP="002431AC">
            <w:r w:rsidRPr="00967D90">
              <w:t>2.</w:t>
            </w:r>
          </w:p>
        </w:tc>
        <w:tc>
          <w:tcPr>
            <w:tcW w:w="3118" w:type="dxa"/>
          </w:tcPr>
          <w:p w14:paraId="39ADE172" w14:textId="77777777" w:rsidR="008078B8" w:rsidRPr="00967D90" w:rsidRDefault="008078B8" w:rsidP="002431AC">
            <w:r w:rsidRPr="00967D90">
              <w:t>Sabiedrības līdzdalība projekta izstrādē</w:t>
            </w:r>
          </w:p>
        </w:tc>
        <w:tc>
          <w:tcPr>
            <w:tcW w:w="6074" w:type="dxa"/>
          </w:tcPr>
          <w:p w14:paraId="6F26FEDE" w14:textId="30E60108" w:rsidR="00B64903" w:rsidRPr="00967D90" w:rsidRDefault="00B45A0F" w:rsidP="00AD2762">
            <w:pPr>
              <w:ind w:right="82"/>
              <w:jc w:val="both"/>
            </w:pPr>
            <w:r>
              <w:t>Sabiedrības tieša līdzdalība nav nepieciešama.</w:t>
            </w:r>
          </w:p>
        </w:tc>
      </w:tr>
      <w:tr w:rsidR="00967D90" w:rsidRPr="00967D90" w14:paraId="3B70EDAC" w14:textId="77777777" w:rsidTr="00B64903">
        <w:trPr>
          <w:trHeight w:val="283"/>
          <w:jc w:val="center"/>
        </w:trPr>
        <w:tc>
          <w:tcPr>
            <w:tcW w:w="421" w:type="dxa"/>
            <w:tcBorders>
              <w:top w:val="single" w:sz="4" w:space="0" w:color="auto"/>
              <w:left w:val="single" w:sz="4" w:space="0" w:color="auto"/>
              <w:bottom w:val="single" w:sz="4" w:space="0" w:color="auto"/>
              <w:right w:val="single" w:sz="4" w:space="0" w:color="auto"/>
            </w:tcBorders>
          </w:tcPr>
          <w:p w14:paraId="685A7468" w14:textId="77777777" w:rsidR="007A4206" w:rsidRPr="00967D90" w:rsidRDefault="007A4206" w:rsidP="007A4206">
            <w:r w:rsidRPr="00967D90">
              <w:t>3.</w:t>
            </w:r>
          </w:p>
        </w:tc>
        <w:tc>
          <w:tcPr>
            <w:tcW w:w="3118" w:type="dxa"/>
            <w:tcBorders>
              <w:top w:val="single" w:sz="4" w:space="0" w:color="auto"/>
              <w:left w:val="single" w:sz="4" w:space="0" w:color="auto"/>
              <w:bottom w:val="single" w:sz="4" w:space="0" w:color="auto"/>
              <w:right w:val="single" w:sz="4" w:space="0" w:color="auto"/>
            </w:tcBorders>
          </w:tcPr>
          <w:p w14:paraId="7130BA0E" w14:textId="77777777" w:rsidR="007A4206" w:rsidRPr="00967D90" w:rsidRDefault="007A4206" w:rsidP="007A4206">
            <w:r w:rsidRPr="00967D90">
              <w:t>Sabiedrības līdzdalības rezultāti</w:t>
            </w:r>
          </w:p>
        </w:tc>
        <w:tc>
          <w:tcPr>
            <w:tcW w:w="6074" w:type="dxa"/>
            <w:tcBorders>
              <w:top w:val="single" w:sz="4" w:space="0" w:color="auto"/>
              <w:left w:val="single" w:sz="4" w:space="0" w:color="auto"/>
              <w:bottom w:val="single" w:sz="4" w:space="0" w:color="auto"/>
              <w:right w:val="single" w:sz="4" w:space="0" w:color="auto"/>
            </w:tcBorders>
          </w:tcPr>
          <w:p w14:paraId="4BB009B3" w14:textId="4C931975" w:rsidR="00B64903" w:rsidRPr="00967D90" w:rsidRDefault="004269D7" w:rsidP="00EA1E3D">
            <w:pPr>
              <w:ind w:right="82"/>
              <w:jc w:val="both"/>
            </w:pPr>
            <w:r w:rsidRPr="00967D90">
              <w:t>Projekts šo jomu neskar.</w:t>
            </w:r>
          </w:p>
        </w:tc>
      </w:tr>
      <w:tr w:rsidR="007A4206" w:rsidRPr="00967D90" w14:paraId="206DDA26" w14:textId="77777777" w:rsidTr="00B64903">
        <w:trPr>
          <w:trHeight w:val="279"/>
          <w:jc w:val="center"/>
        </w:trPr>
        <w:tc>
          <w:tcPr>
            <w:tcW w:w="421" w:type="dxa"/>
          </w:tcPr>
          <w:p w14:paraId="765AAA8F" w14:textId="77777777" w:rsidR="007A4206" w:rsidRPr="00967D90" w:rsidRDefault="007A4206" w:rsidP="007A4206">
            <w:r w:rsidRPr="00967D90">
              <w:t>4.</w:t>
            </w:r>
          </w:p>
        </w:tc>
        <w:tc>
          <w:tcPr>
            <w:tcW w:w="3118" w:type="dxa"/>
          </w:tcPr>
          <w:p w14:paraId="0F4E304E" w14:textId="77777777" w:rsidR="007A4206" w:rsidRPr="00967D90" w:rsidRDefault="007A4206" w:rsidP="007A4206">
            <w:r w:rsidRPr="00967D90">
              <w:t>Cita informācija</w:t>
            </w:r>
          </w:p>
        </w:tc>
        <w:tc>
          <w:tcPr>
            <w:tcW w:w="6074" w:type="dxa"/>
          </w:tcPr>
          <w:p w14:paraId="459FD9A8" w14:textId="49675627" w:rsidR="007A4206" w:rsidRPr="00967D90" w:rsidRDefault="00AD2762" w:rsidP="00AD2762">
            <w:pPr>
              <w:jc w:val="both"/>
            </w:pPr>
            <w:r w:rsidRPr="00967D90">
              <w:t>Nav.</w:t>
            </w:r>
          </w:p>
        </w:tc>
      </w:tr>
    </w:tbl>
    <w:p w14:paraId="3156AEA9" w14:textId="77777777" w:rsidR="008078B8" w:rsidRPr="00967D90" w:rsidRDefault="008078B8" w:rsidP="002431AC">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072"/>
        <w:gridCol w:w="6181"/>
      </w:tblGrid>
      <w:tr w:rsidR="00967D90" w:rsidRPr="00967D90" w14:paraId="2D0A8A4B" w14:textId="77777777" w:rsidTr="0098659D">
        <w:trPr>
          <w:trHeight w:val="381"/>
          <w:jc w:val="center"/>
        </w:trPr>
        <w:tc>
          <w:tcPr>
            <w:tcW w:w="9720" w:type="dxa"/>
            <w:gridSpan w:val="3"/>
            <w:vAlign w:val="center"/>
          </w:tcPr>
          <w:p w14:paraId="65774E7A" w14:textId="77777777" w:rsidR="008078B8" w:rsidRPr="00967D90" w:rsidRDefault="008078B8" w:rsidP="002431AC">
            <w:pPr>
              <w:pStyle w:val="naisnod"/>
              <w:spacing w:before="0" w:after="0"/>
              <w:ind w:left="57" w:right="57"/>
              <w:rPr>
                <w:lang w:val="lv-LV"/>
              </w:rPr>
            </w:pPr>
            <w:r w:rsidRPr="00967D90">
              <w:rPr>
                <w:lang w:val="lv-LV"/>
              </w:rPr>
              <w:t>VII. Tiesību akta projekta izpildes nodrošināšana un tās ietekme uz institūcijām</w:t>
            </w:r>
          </w:p>
        </w:tc>
      </w:tr>
      <w:tr w:rsidR="00967D90" w:rsidRPr="00967D90" w14:paraId="51E47E77" w14:textId="77777777" w:rsidTr="008738F2">
        <w:trPr>
          <w:trHeight w:val="427"/>
          <w:jc w:val="center"/>
        </w:trPr>
        <w:tc>
          <w:tcPr>
            <w:tcW w:w="467" w:type="dxa"/>
          </w:tcPr>
          <w:p w14:paraId="08682F46" w14:textId="77777777" w:rsidR="008078B8" w:rsidRPr="00967D90" w:rsidRDefault="008078B8" w:rsidP="002431AC">
            <w:pPr>
              <w:pStyle w:val="naisnod"/>
              <w:spacing w:before="0" w:after="0"/>
              <w:ind w:left="57" w:right="57"/>
              <w:jc w:val="both"/>
              <w:rPr>
                <w:b w:val="0"/>
                <w:lang w:val="lv-LV"/>
              </w:rPr>
            </w:pPr>
            <w:r w:rsidRPr="00967D90">
              <w:rPr>
                <w:b w:val="0"/>
                <w:lang w:val="lv-LV"/>
              </w:rPr>
              <w:t>1.</w:t>
            </w:r>
          </w:p>
        </w:tc>
        <w:tc>
          <w:tcPr>
            <w:tcW w:w="3072" w:type="dxa"/>
          </w:tcPr>
          <w:p w14:paraId="1FEA439C" w14:textId="77777777" w:rsidR="008078B8" w:rsidRPr="00967D90" w:rsidRDefault="008078B8" w:rsidP="00C22BA0">
            <w:pPr>
              <w:pStyle w:val="naisf"/>
              <w:spacing w:before="0" w:after="0"/>
              <w:ind w:left="57" w:right="57" w:firstLine="0"/>
            </w:pPr>
            <w:r w:rsidRPr="00967D90">
              <w:t>Projekta izpildē iesaistītās institūcijas</w:t>
            </w:r>
          </w:p>
        </w:tc>
        <w:tc>
          <w:tcPr>
            <w:tcW w:w="6181" w:type="dxa"/>
          </w:tcPr>
          <w:p w14:paraId="79306D78" w14:textId="77777777" w:rsidR="008078B8" w:rsidRPr="00967D90" w:rsidRDefault="005563EC" w:rsidP="005563EC">
            <w:pPr>
              <w:shd w:val="clear" w:color="auto" w:fill="FFFFFF"/>
              <w:jc w:val="both"/>
            </w:pPr>
            <w:r w:rsidRPr="00967D90">
              <w:rPr>
                <w:iCs/>
              </w:rPr>
              <w:t>Valsts ieņēmumu dienests.</w:t>
            </w:r>
          </w:p>
        </w:tc>
      </w:tr>
      <w:tr w:rsidR="00967D90" w:rsidRPr="00967D90" w14:paraId="2758FC6A" w14:textId="77777777" w:rsidTr="008738F2">
        <w:trPr>
          <w:trHeight w:val="463"/>
          <w:jc w:val="center"/>
        </w:trPr>
        <w:tc>
          <w:tcPr>
            <w:tcW w:w="467" w:type="dxa"/>
          </w:tcPr>
          <w:p w14:paraId="45D48E65" w14:textId="77777777" w:rsidR="008078B8" w:rsidRPr="00967D90" w:rsidRDefault="008078B8" w:rsidP="002431AC">
            <w:pPr>
              <w:pStyle w:val="naisnod"/>
              <w:spacing w:before="0" w:after="0"/>
              <w:ind w:left="57" w:right="57"/>
              <w:jc w:val="both"/>
              <w:rPr>
                <w:b w:val="0"/>
                <w:lang w:val="lv-LV"/>
              </w:rPr>
            </w:pPr>
            <w:r w:rsidRPr="00967D90">
              <w:rPr>
                <w:b w:val="0"/>
                <w:lang w:val="lv-LV"/>
              </w:rPr>
              <w:t>2.</w:t>
            </w:r>
          </w:p>
        </w:tc>
        <w:tc>
          <w:tcPr>
            <w:tcW w:w="3072" w:type="dxa"/>
          </w:tcPr>
          <w:p w14:paraId="06679981" w14:textId="77777777" w:rsidR="008078B8" w:rsidRPr="00967D90" w:rsidRDefault="008078B8" w:rsidP="00C22BA0">
            <w:pPr>
              <w:pStyle w:val="naisf"/>
              <w:spacing w:before="0" w:after="0"/>
              <w:ind w:left="57" w:right="57" w:firstLine="0"/>
            </w:pPr>
            <w:r w:rsidRPr="00967D90">
              <w:t>Projekta izpildes ietekme uz pār</w:t>
            </w:r>
            <w:r w:rsidRPr="00967D90">
              <w:softHyphen/>
              <w:t>valdes funkcijām un institucionālo struktūru.</w:t>
            </w:r>
          </w:p>
          <w:p w14:paraId="4F78910D" w14:textId="77777777" w:rsidR="008078B8" w:rsidRPr="00967D90" w:rsidRDefault="008078B8" w:rsidP="00C22BA0">
            <w:pPr>
              <w:pStyle w:val="naisf"/>
              <w:spacing w:before="0" w:after="0"/>
              <w:ind w:left="57" w:right="57" w:firstLine="0"/>
            </w:pPr>
            <w:r w:rsidRPr="00967D90">
              <w:t>Jaunu institūciju izveide, esošu institūciju likvidācija vai reorga</w:t>
            </w:r>
            <w:r w:rsidRPr="00967D90">
              <w:softHyphen/>
              <w:t>nizācija, to ietekme uz institūcijas cilvēkresursiem</w:t>
            </w:r>
          </w:p>
        </w:tc>
        <w:tc>
          <w:tcPr>
            <w:tcW w:w="6181" w:type="dxa"/>
          </w:tcPr>
          <w:p w14:paraId="5F61797C" w14:textId="55D19197" w:rsidR="001F4FF9" w:rsidRPr="00967D90" w:rsidRDefault="00D05BF0" w:rsidP="002431AC">
            <w:pPr>
              <w:shd w:val="clear" w:color="auto" w:fill="FFFFFF"/>
              <w:jc w:val="both"/>
            </w:pPr>
            <w:r>
              <w:t>Pārvaldes f</w:t>
            </w:r>
            <w:r w:rsidR="001F4FF9" w:rsidRPr="00967D90">
              <w:t>unkcijas un uzdevumi netiek grozīti</w:t>
            </w:r>
            <w:r w:rsidR="00F11BF4">
              <w:t>.</w:t>
            </w:r>
          </w:p>
          <w:p w14:paraId="4445E50C" w14:textId="04825945" w:rsidR="001F4FF9" w:rsidRDefault="001F4FF9" w:rsidP="002431AC">
            <w:pPr>
              <w:shd w:val="clear" w:color="auto" w:fill="FFFFFF"/>
              <w:jc w:val="both"/>
              <w:rPr>
                <w:rFonts w:eastAsia="Calibri"/>
                <w:lang w:eastAsia="en-US"/>
              </w:rPr>
            </w:pPr>
            <w:r w:rsidRPr="00967D90">
              <w:rPr>
                <w:rFonts w:eastAsia="Calibri"/>
                <w:lang w:eastAsia="en-US"/>
              </w:rPr>
              <w:t>Jaunas institūcijas nav nepieciešams izveidot.</w:t>
            </w:r>
            <w:r w:rsidR="00F11BF4">
              <w:t xml:space="preserve"> kā arī nav paredzēta</w:t>
            </w:r>
            <w:r w:rsidR="00EA1E3D">
              <w:t xml:space="preserve"> </w:t>
            </w:r>
            <w:r w:rsidR="00F11BF4" w:rsidRPr="00967D90">
              <w:rPr>
                <w:rFonts w:eastAsia="Calibri"/>
                <w:lang w:eastAsia="en-US"/>
              </w:rPr>
              <w:t>esoš</w:t>
            </w:r>
            <w:r w:rsidR="00F11BF4">
              <w:rPr>
                <w:rFonts w:eastAsia="Calibri"/>
                <w:lang w:eastAsia="en-US"/>
              </w:rPr>
              <w:t>o</w:t>
            </w:r>
            <w:r w:rsidR="00F11BF4" w:rsidRPr="00967D90">
              <w:rPr>
                <w:rFonts w:eastAsia="Calibri"/>
                <w:lang w:eastAsia="en-US"/>
              </w:rPr>
              <w:t xml:space="preserve"> </w:t>
            </w:r>
            <w:r w:rsidRPr="00967D90">
              <w:rPr>
                <w:rFonts w:eastAsia="Calibri"/>
                <w:lang w:eastAsia="en-US"/>
              </w:rPr>
              <w:t>institūciju likvidācija vai reorganizācija.</w:t>
            </w:r>
          </w:p>
          <w:p w14:paraId="635DA812" w14:textId="7AA49FBD" w:rsidR="00F11BF4" w:rsidRPr="00967D90" w:rsidRDefault="00F11BF4" w:rsidP="002431AC">
            <w:pPr>
              <w:shd w:val="clear" w:color="auto" w:fill="FFFFFF"/>
              <w:jc w:val="both"/>
            </w:pPr>
            <w:r>
              <w:rPr>
                <w:rFonts w:eastAsia="Calibri"/>
                <w:lang w:eastAsia="en-US"/>
              </w:rPr>
              <w:t>Likumprojekts tiks realizēts esošo finanšu līdzekļu un cilvēkresursu ietvaros.</w:t>
            </w:r>
          </w:p>
          <w:p w14:paraId="4870CB36" w14:textId="77777777" w:rsidR="008078B8" w:rsidRPr="00967D90" w:rsidRDefault="008078B8" w:rsidP="002431AC">
            <w:pPr>
              <w:shd w:val="clear" w:color="auto" w:fill="FFFFFF"/>
              <w:jc w:val="both"/>
            </w:pPr>
          </w:p>
          <w:p w14:paraId="2A30A5E5" w14:textId="77777777" w:rsidR="008078B8" w:rsidRPr="00967D90" w:rsidRDefault="008078B8" w:rsidP="002431AC">
            <w:pPr>
              <w:shd w:val="clear" w:color="auto" w:fill="FFFFFF"/>
              <w:jc w:val="both"/>
            </w:pPr>
          </w:p>
        </w:tc>
      </w:tr>
      <w:tr w:rsidR="008078B8" w:rsidRPr="00967D90" w14:paraId="72386383" w14:textId="77777777" w:rsidTr="008738F2">
        <w:trPr>
          <w:trHeight w:val="283"/>
          <w:jc w:val="center"/>
        </w:trPr>
        <w:tc>
          <w:tcPr>
            <w:tcW w:w="467" w:type="dxa"/>
            <w:tcBorders>
              <w:top w:val="single" w:sz="4" w:space="0" w:color="auto"/>
              <w:left w:val="single" w:sz="4" w:space="0" w:color="auto"/>
              <w:bottom w:val="single" w:sz="4" w:space="0" w:color="auto"/>
              <w:right w:val="single" w:sz="4" w:space="0" w:color="auto"/>
            </w:tcBorders>
          </w:tcPr>
          <w:p w14:paraId="1BD82728" w14:textId="77777777" w:rsidR="008078B8" w:rsidRPr="00967D90" w:rsidRDefault="008078B8" w:rsidP="002431AC">
            <w:pPr>
              <w:pStyle w:val="naisnod"/>
              <w:spacing w:before="0" w:after="0"/>
              <w:ind w:left="57" w:right="57"/>
              <w:jc w:val="both"/>
              <w:rPr>
                <w:b w:val="0"/>
                <w:lang w:val="lv-LV"/>
              </w:rPr>
            </w:pPr>
            <w:r w:rsidRPr="00967D90">
              <w:rPr>
                <w:b w:val="0"/>
                <w:lang w:val="lv-LV"/>
              </w:rPr>
              <w:t>3.</w:t>
            </w:r>
          </w:p>
        </w:tc>
        <w:tc>
          <w:tcPr>
            <w:tcW w:w="3072" w:type="dxa"/>
            <w:tcBorders>
              <w:top w:val="single" w:sz="4" w:space="0" w:color="auto"/>
              <w:left w:val="single" w:sz="4" w:space="0" w:color="auto"/>
              <w:bottom w:val="single" w:sz="4" w:space="0" w:color="auto"/>
              <w:right w:val="single" w:sz="4" w:space="0" w:color="auto"/>
            </w:tcBorders>
          </w:tcPr>
          <w:p w14:paraId="4E62E94B" w14:textId="77777777" w:rsidR="008078B8" w:rsidRPr="00967D90" w:rsidRDefault="008078B8" w:rsidP="004A2D80">
            <w:pPr>
              <w:pStyle w:val="naisf"/>
              <w:spacing w:before="0" w:after="0"/>
              <w:ind w:right="57" w:firstLine="0"/>
            </w:pPr>
            <w:r w:rsidRPr="00967D90">
              <w:t>Cita informācija</w:t>
            </w:r>
          </w:p>
        </w:tc>
        <w:tc>
          <w:tcPr>
            <w:tcW w:w="6181" w:type="dxa"/>
            <w:tcBorders>
              <w:top w:val="single" w:sz="4" w:space="0" w:color="auto"/>
              <w:left w:val="single" w:sz="4" w:space="0" w:color="auto"/>
              <w:bottom w:val="single" w:sz="4" w:space="0" w:color="auto"/>
              <w:right w:val="single" w:sz="4" w:space="0" w:color="auto"/>
            </w:tcBorders>
          </w:tcPr>
          <w:p w14:paraId="439CD230" w14:textId="77777777" w:rsidR="008078B8" w:rsidRPr="00967D90" w:rsidRDefault="008078B8" w:rsidP="002431AC">
            <w:pPr>
              <w:ind w:right="57"/>
              <w:jc w:val="both"/>
            </w:pPr>
            <w:r w:rsidRPr="00967D90">
              <w:t>Nav.</w:t>
            </w:r>
          </w:p>
        </w:tc>
      </w:tr>
    </w:tbl>
    <w:p w14:paraId="784E7DE4" w14:textId="77777777" w:rsidR="00A43FDF" w:rsidRPr="00967D90" w:rsidRDefault="00A43FDF" w:rsidP="009A35C1">
      <w:pPr>
        <w:pStyle w:val="naisf"/>
        <w:tabs>
          <w:tab w:val="right" w:pos="9000"/>
        </w:tabs>
        <w:spacing w:before="0" w:after="0"/>
        <w:ind w:firstLine="709"/>
        <w:rPr>
          <w:sz w:val="28"/>
          <w:szCs w:val="28"/>
        </w:rPr>
      </w:pPr>
    </w:p>
    <w:p w14:paraId="1853BADB" w14:textId="77777777" w:rsidR="00EA1E3D" w:rsidRDefault="00EA1E3D" w:rsidP="009A35C1">
      <w:pPr>
        <w:tabs>
          <w:tab w:val="left" w:pos="6521"/>
          <w:tab w:val="right" w:pos="8820"/>
        </w:tabs>
        <w:ind w:firstLine="709"/>
      </w:pPr>
    </w:p>
    <w:p w14:paraId="764083D8" w14:textId="45F6637E" w:rsidR="00A43FDF" w:rsidRPr="00967D90" w:rsidRDefault="000B2D7B" w:rsidP="009A35C1">
      <w:pPr>
        <w:tabs>
          <w:tab w:val="left" w:pos="6521"/>
          <w:tab w:val="right" w:pos="8820"/>
        </w:tabs>
        <w:ind w:firstLine="709"/>
      </w:pPr>
      <w:r w:rsidRPr="00967D90">
        <w:t>Finanšu ministre</w:t>
      </w:r>
      <w:r w:rsidRPr="00967D90">
        <w:tab/>
        <w:t xml:space="preserve">D. </w:t>
      </w:r>
      <w:r w:rsidR="00A43FDF" w:rsidRPr="00967D90">
        <w:t>Reizniece-Ozola</w:t>
      </w:r>
    </w:p>
    <w:p w14:paraId="240EE497" w14:textId="77777777" w:rsidR="00B64903" w:rsidRPr="00967D90" w:rsidRDefault="00B64903" w:rsidP="002431AC">
      <w:pPr>
        <w:rPr>
          <w:iCs/>
          <w:sz w:val="20"/>
          <w:szCs w:val="20"/>
        </w:rPr>
      </w:pPr>
    </w:p>
    <w:p w14:paraId="7C8CD852" w14:textId="77777777" w:rsidR="00EA1E3D" w:rsidRDefault="00EA1E3D" w:rsidP="002431AC">
      <w:pPr>
        <w:rPr>
          <w:iCs/>
          <w:sz w:val="20"/>
          <w:szCs w:val="20"/>
        </w:rPr>
      </w:pPr>
    </w:p>
    <w:p w14:paraId="4579639F" w14:textId="16C0C687" w:rsidR="003128AB" w:rsidRPr="00967D90" w:rsidRDefault="003128AB" w:rsidP="002431AC">
      <w:pPr>
        <w:rPr>
          <w:iCs/>
          <w:sz w:val="20"/>
          <w:szCs w:val="20"/>
        </w:rPr>
      </w:pPr>
      <w:r w:rsidRPr="00967D90">
        <w:rPr>
          <w:iCs/>
          <w:sz w:val="20"/>
          <w:szCs w:val="20"/>
        </w:rPr>
        <w:t>Orehova 67095494</w:t>
      </w:r>
    </w:p>
    <w:p w14:paraId="5CEF9431" w14:textId="77777777" w:rsidR="003128AB" w:rsidRPr="00967D90" w:rsidRDefault="002B5BBE" w:rsidP="002431AC">
      <w:pPr>
        <w:rPr>
          <w:iCs/>
          <w:sz w:val="20"/>
          <w:szCs w:val="20"/>
        </w:rPr>
      </w:pPr>
      <w:hyperlink r:id="rId13" w:history="1">
        <w:r w:rsidR="003128AB" w:rsidRPr="00967D90">
          <w:rPr>
            <w:rStyle w:val="Hyperlink"/>
            <w:color w:val="auto"/>
            <w:sz w:val="20"/>
            <w:szCs w:val="20"/>
          </w:rPr>
          <w:t>Anda.Orehova@fm.gov.lv</w:t>
        </w:r>
      </w:hyperlink>
      <w:r w:rsidR="003128AB" w:rsidRPr="00967D90">
        <w:rPr>
          <w:iCs/>
          <w:sz w:val="20"/>
          <w:szCs w:val="20"/>
        </w:rPr>
        <w:t xml:space="preserve"> </w:t>
      </w:r>
    </w:p>
    <w:p w14:paraId="6E14F5F0" w14:textId="77777777" w:rsidR="003128AB" w:rsidRPr="00967D90" w:rsidRDefault="003128AB" w:rsidP="002431AC">
      <w:pPr>
        <w:rPr>
          <w:iCs/>
          <w:sz w:val="20"/>
          <w:szCs w:val="20"/>
        </w:rPr>
      </w:pPr>
    </w:p>
    <w:p w14:paraId="352BE5BC" w14:textId="77777777" w:rsidR="00EE3D21" w:rsidRPr="00967D90" w:rsidRDefault="00EE3D21" w:rsidP="002431AC">
      <w:pPr>
        <w:rPr>
          <w:sz w:val="20"/>
          <w:szCs w:val="16"/>
          <w:lang w:eastAsia="en-US"/>
        </w:rPr>
      </w:pPr>
      <w:r w:rsidRPr="00967D90">
        <w:rPr>
          <w:sz w:val="20"/>
        </w:rPr>
        <w:t>Veinberga 67083848</w:t>
      </w:r>
    </w:p>
    <w:p w14:paraId="70192659" w14:textId="3F6737CB" w:rsidR="00A43FDF" w:rsidRDefault="002B5BBE" w:rsidP="002431AC">
      <w:pPr>
        <w:jc w:val="both"/>
        <w:rPr>
          <w:sz w:val="20"/>
          <w:u w:val="single"/>
        </w:rPr>
      </w:pPr>
      <w:hyperlink r:id="rId14" w:history="1">
        <w:r w:rsidR="00EE3D21" w:rsidRPr="00967D90">
          <w:rPr>
            <w:sz w:val="20"/>
            <w:u w:val="single"/>
          </w:rPr>
          <w:t>Inese.Veinberga@fm.gov.lv</w:t>
        </w:r>
      </w:hyperlink>
    </w:p>
    <w:p w14:paraId="75D43BDD" w14:textId="6590E085" w:rsidR="00E85A30" w:rsidRDefault="00E85A30" w:rsidP="002431AC">
      <w:pPr>
        <w:jc w:val="both"/>
        <w:rPr>
          <w:sz w:val="20"/>
          <w:u w:val="single"/>
        </w:rPr>
      </w:pPr>
    </w:p>
    <w:p w14:paraId="020231FA" w14:textId="77777777" w:rsidR="00E85A30" w:rsidRPr="00967D90" w:rsidRDefault="00E85A30" w:rsidP="002431AC">
      <w:pPr>
        <w:jc w:val="both"/>
        <w:rPr>
          <w:sz w:val="20"/>
          <w:u w:val="single"/>
        </w:rPr>
      </w:pPr>
    </w:p>
    <w:sectPr w:rsidR="00E85A30" w:rsidRPr="00967D90" w:rsidSect="002E4EAC">
      <w:headerReference w:type="even" r:id="rId15"/>
      <w:headerReference w:type="default" r:id="rId16"/>
      <w:footerReference w:type="even" r:id="rId17"/>
      <w:footerReference w:type="default" r:id="rId18"/>
      <w:footerReference w:type="first" r:id="rId19"/>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04DE7" w14:textId="77777777" w:rsidR="00FA1C06" w:rsidRDefault="00FA1C06">
      <w:r>
        <w:separator/>
      </w:r>
    </w:p>
  </w:endnote>
  <w:endnote w:type="continuationSeparator" w:id="0">
    <w:p w14:paraId="12BCAC01" w14:textId="77777777" w:rsidR="00FA1C06" w:rsidRDefault="00FA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DC5E" w14:textId="51A5CD47" w:rsidR="003504AB" w:rsidRDefault="003504AB"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6B2">
      <w:rPr>
        <w:rStyle w:val="PageNumber"/>
        <w:noProof/>
      </w:rPr>
      <w:t>13</w:t>
    </w:r>
    <w:r>
      <w:rPr>
        <w:rStyle w:val="PageNumber"/>
      </w:rPr>
      <w:fldChar w:fldCharType="end"/>
    </w:r>
  </w:p>
  <w:p w14:paraId="6DA7CF2C" w14:textId="77777777" w:rsidR="003504AB" w:rsidRDefault="003504AB"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544A" w14:textId="4DBF82A4" w:rsidR="003504AB" w:rsidRPr="003424AC" w:rsidRDefault="003504AB" w:rsidP="002431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B5BBE">
      <w:rPr>
        <w:noProof/>
        <w:sz w:val="20"/>
        <w:szCs w:val="20"/>
      </w:rPr>
      <w:t>FMAnot_131118_IINgroz.docx</w:t>
    </w:r>
    <w:r>
      <w:rPr>
        <w:sz w:val="20"/>
        <w:szCs w:val="20"/>
      </w:rPr>
      <w:fldChar w:fldCharType="end"/>
    </w:r>
    <w:r w:rsidRPr="001E4890">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096F" w14:textId="75652112" w:rsidR="003504AB" w:rsidRPr="003424AC" w:rsidRDefault="003504AB" w:rsidP="003424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B5BBE">
      <w:rPr>
        <w:noProof/>
        <w:sz w:val="20"/>
        <w:szCs w:val="20"/>
      </w:rPr>
      <w:t>FMAnot_131118_IINgroz.docx</w:t>
    </w:r>
    <w:r>
      <w:rPr>
        <w:sz w:val="20"/>
        <w:szCs w:val="20"/>
      </w:rPr>
      <w:fldChar w:fldCharType="end"/>
    </w:r>
    <w:r w:rsidRPr="001E489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4E848" w14:textId="77777777" w:rsidR="00FA1C06" w:rsidRDefault="00FA1C06">
      <w:r>
        <w:separator/>
      </w:r>
    </w:p>
  </w:footnote>
  <w:footnote w:type="continuationSeparator" w:id="0">
    <w:p w14:paraId="1DFD26FF" w14:textId="77777777" w:rsidR="00FA1C06" w:rsidRDefault="00FA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4996" w14:textId="77777777" w:rsidR="003504AB" w:rsidRDefault="003504AB"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3AF73B" w14:textId="77777777" w:rsidR="003504AB" w:rsidRDefault="00350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FBFD" w14:textId="63144B73" w:rsidR="003504AB" w:rsidRDefault="003504AB"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BBE">
      <w:rPr>
        <w:rStyle w:val="PageNumber"/>
        <w:noProof/>
      </w:rPr>
      <w:t>6</w:t>
    </w:r>
    <w:r>
      <w:rPr>
        <w:rStyle w:val="PageNumber"/>
      </w:rPr>
      <w:fldChar w:fldCharType="end"/>
    </w:r>
  </w:p>
  <w:p w14:paraId="0F1DE32B" w14:textId="77777777" w:rsidR="003504AB" w:rsidRPr="004F7101" w:rsidRDefault="003504AB"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44AB2"/>
    <w:multiLevelType w:val="hybridMultilevel"/>
    <w:tmpl w:val="538EDAB8"/>
    <w:lvl w:ilvl="0" w:tplc="41907DB6">
      <w:start w:val="1"/>
      <w:numFmt w:val="decimal"/>
      <w:lvlText w:val="%1)"/>
      <w:lvlJc w:val="left"/>
      <w:pPr>
        <w:ind w:left="499" w:hanging="360"/>
      </w:pPr>
      <w:rPr>
        <w:rFonts w:ascii="Times New Roman" w:hAnsi="Times New Roman" w:cs="Times New Roman" w:hint="default"/>
        <w:sz w:val="24"/>
        <w:szCs w:val="24"/>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F47C91"/>
    <w:multiLevelType w:val="hybridMultilevel"/>
    <w:tmpl w:val="F8AA2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EF29FC"/>
    <w:multiLevelType w:val="hybridMultilevel"/>
    <w:tmpl w:val="3DC05962"/>
    <w:lvl w:ilvl="0" w:tplc="7046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DC31AA"/>
    <w:multiLevelType w:val="hybridMultilevel"/>
    <w:tmpl w:val="76A038B2"/>
    <w:lvl w:ilvl="0" w:tplc="F1FCD35E">
      <w:start w:val="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2B4F8F"/>
    <w:multiLevelType w:val="hybridMultilevel"/>
    <w:tmpl w:val="CF184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692630"/>
    <w:multiLevelType w:val="hybridMultilevel"/>
    <w:tmpl w:val="80A23264"/>
    <w:lvl w:ilvl="0" w:tplc="8E049A7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AC6253"/>
    <w:multiLevelType w:val="hybridMultilevel"/>
    <w:tmpl w:val="417ED24A"/>
    <w:lvl w:ilvl="0" w:tplc="0AEAF346">
      <w:start w:val="1"/>
      <w:numFmt w:val="decimal"/>
      <w:lvlText w:val="%1)"/>
      <w:lvlJc w:val="left"/>
      <w:pPr>
        <w:ind w:left="72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B07306"/>
    <w:multiLevelType w:val="hybridMultilevel"/>
    <w:tmpl w:val="FFA028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B725B3"/>
    <w:multiLevelType w:val="hybridMultilevel"/>
    <w:tmpl w:val="8090783C"/>
    <w:lvl w:ilvl="0" w:tplc="804AFD5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9E24DC"/>
    <w:multiLevelType w:val="hybridMultilevel"/>
    <w:tmpl w:val="A8D0BA36"/>
    <w:lvl w:ilvl="0" w:tplc="04260001">
      <w:start w:val="1"/>
      <w:numFmt w:val="bullet"/>
      <w:lvlText w:val=""/>
      <w:lvlJc w:val="left"/>
      <w:pPr>
        <w:ind w:left="1400" w:hanging="360"/>
      </w:pPr>
      <w:rPr>
        <w:rFonts w:ascii="Symbol" w:hAnsi="Symbol"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18"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9" w15:restartNumberingAfterBreak="0">
    <w:nsid w:val="4E29461A"/>
    <w:multiLevelType w:val="hybridMultilevel"/>
    <w:tmpl w:val="26BEB7D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064FDF"/>
    <w:multiLevelType w:val="hybridMultilevel"/>
    <w:tmpl w:val="495E328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226AE2"/>
    <w:multiLevelType w:val="hybridMultilevel"/>
    <w:tmpl w:val="0466F5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94287F"/>
    <w:multiLevelType w:val="hybridMultilevel"/>
    <w:tmpl w:val="976ED492"/>
    <w:lvl w:ilvl="0" w:tplc="A9327C64">
      <w:start w:val="19"/>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2072" w:hanging="360"/>
      </w:pPr>
      <w:rPr>
        <w:rFonts w:ascii="Courier New" w:hAnsi="Courier New" w:cs="Courier New" w:hint="default"/>
      </w:rPr>
    </w:lvl>
    <w:lvl w:ilvl="2" w:tplc="04260005" w:tentative="1">
      <w:start w:val="1"/>
      <w:numFmt w:val="bullet"/>
      <w:lvlText w:val=""/>
      <w:lvlJc w:val="left"/>
      <w:pPr>
        <w:ind w:left="2792" w:hanging="360"/>
      </w:pPr>
      <w:rPr>
        <w:rFonts w:ascii="Wingdings" w:hAnsi="Wingdings" w:hint="default"/>
      </w:rPr>
    </w:lvl>
    <w:lvl w:ilvl="3" w:tplc="04260001" w:tentative="1">
      <w:start w:val="1"/>
      <w:numFmt w:val="bullet"/>
      <w:lvlText w:val=""/>
      <w:lvlJc w:val="left"/>
      <w:pPr>
        <w:ind w:left="3512" w:hanging="360"/>
      </w:pPr>
      <w:rPr>
        <w:rFonts w:ascii="Symbol" w:hAnsi="Symbol" w:hint="default"/>
      </w:rPr>
    </w:lvl>
    <w:lvl w:ilvl="4" w:tplc="04260003" w:tentative="1">
      <w:start w:val="1"/>
      <w:numFmt w:val="bullet"/>
      <w:lvlText w:val="o"/>
      <w:lvlJc w:val="left"/>
      <w:pPr>
        <w:ind w:left="4232" w:hanging="360"/>
      </w:pPr>
      <w:rPr>
        <w:rFonts w:ascii="Courier New" w:hAnsi="Courier New" w:cs="Courier New" w:hint="default"/>
      </w:rPr>
    </w:lvl>
    <w:lvl w:ilvl="5" w:tplc="04260005" w:tentative="1">
      <w:start w:val="1"/>
      <w:numFmt w:val="bullet"/>
      <w:lvlText w:val=""/>
      <w:lvlJc w:val="left"/>
      <w:pPr>
        <w:ind w:left="4952" w:hanging="360"/>
      </w:pPr>
      <w:rPr>
        <w:rFonts w:ascii="Wingdings" w:hAnsi="Wingdings" w:hint="default"/>
      </w:rPr>
    </w:lvl>
    <w:lvl w:ilvl="6" w:tplc="04260001" w:tentative="1">
      <w:start w:val="1"/>
      <w:numFmt w:val="bullet"/>
      <w:lvlText w:val=""/>
      <w:lvlJc w:val="left"/>
      <w:pPr>
        <w:ind w:left="5672" w:hanging="360"/>
      </w:pPr>
      <w:rPr>
        <w:rFonts w:ascii="Symbol" w:hAnsi="Symbol" w:hint="default"/>
      </w:rPr>
    </w:lvl>
    <w:lvl w:ilvl="7" w:tplc="04260003" w:tentative="1">
      <w:start w:val="1"/>
      <w:numFmt w:val="bullet"/>
      <w:lvlText w:val="o"/>
      <w:lvlJc w:val="left"/>
      <w:pPr>
        <w:ind w:left="6392" w:hanging="360"/>
      </w:pPr>
      <w:rPr>
        <w:rFonts w:ascii="Courier New" w:hAnsi="Courier New" w:cs="Courier New" w:hint="default"/>
      </w:rPr>
    </w:lvl>
    <w:lvl w:ilvl="8" w:tplc="04260005" w:tentative="1">
      <w:start w:val="1"/>
      <w:numFmt w:val="bullet"/>
      <w:lvlText w:val=""/>
      <w:lvlJc w:val="left"/>
      <w:pPr>
        <w:ind w:left="7112" w:hanging="360"/>
      </w:pPr>
      <w:rPr>
        <w:rFonts w:ascii="Wingdings" w:hAnsi="Wingdings" w:hint="default"/>
      </w:rPr>
    </w:lvl>
  </w:abstractNum>
  <w:abstractNum w:abstractNumId="23"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num>
  <w:num w:numId="4">
    <w:abstractNumId w:val="2"/>
  </w:num>
  <w:num w:numId="5">
    <w:abstractNumId w:val="22"/>
  </w:num>
  <w:num w:numId="6">
    <w:abstractNumId w:val="9"/>
  </w:num>
  <w:num w:numId="7">
    <w:abstractNumId w:val="4"/>
  </w:num>
  <w:num w:numId="8">
    <w:abstractNumId w:val="16"/>
  </w:num>
  <w:num w:numId="9">
    <w:abstractNumId w:val="23"/>
  </w:num>
  <w:num w:numId="10">
    <w:abstractNumId w:val="24"/>
  </w:num>
  <w:num w:numId="11">
    <w:abstractNumId w:val="1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7"/>
  </w:num>
  <w:num w:numId="26">
    <w:abstractNumId w:val="21"/>
  </w:num>
  <w:num w:numId="27">
    <w:abstractNumId w:val="5"/>
  </w:num>
  <w:num w:numId="28">
    <w:abstractNumId w:val="12"/>
  </w:num>
  <w:num w:numId="29">
    <w:abstractNumId w:val="13"/>
  </w:num>
  <w:num w:numId="30">
    <w:abstractNumId w:val="14"/>
  </w:num>
  <w:num w:numId="31">
    <w:abstractNumId w:val="17"/>
  </w:num>
  <w:num w:numId="32">
    <w:abstractNumId w:val="10"/>
  </w:num>
  <w:num w:numId="33">
    <w:abstractNumId w:val="1"/>
  </w:num>
  <w:num w:numId="34">
    <w:abstractNumId w:val="19"/>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3C1"/>
    <w:rsid w:val="00001FA9"/>
    <w:rsid w:val="00002227"/>
    <w:rsid w:val="00002952"/>
    <w:rsid w:val="00002C14"/>
    <w:rsid w:val="000031D9"/>
    <w:rsid w:val="00003633"/>
    <w:rsid w:val="00010698"/>
    <w:rsid w:val="00011432"/>
    <w:rsid w:val="00011ED2"/>
    <w:rsid w:val="00012DFA"/>
    <w:rsid w:val="0001378E"/>
    <w:rsid w:val="000142E6"/>
    <w:rsid w:val="00014CDC"/>
    <w:rsid w:val="00016459"/>
    <w:rsid w:val="00016A43"/>
    <w:rsid w:val="0001718B"/>
    <w:rsid w:val="0002043D"/>
    <w:rsid w:val="000215CC"/>
    <w:rsid w:val="00021B0B"/>
    <w:rsid w:val="0002317F"/>
    <w:rsid w:val="00023D4B"/>
    <w:rsid w:val="00026585"/>
    <w:rsid w:val="00026B38"/>
    <w:rsid w:val="00026C4D"/>
    <w:rsid w:val="00027D92"/>
    <w:rsid w:val="00030430"/>
    <w:rsid w:val="0003067D"/>
    <w:rsid w:val="00031178"/>
    <w:rsid w:val="00031574"/>
    <w:rsid w:val="0003205A"/>
    <w:rsid w:val="00032913"/>
    <w:rsid w:val="0003342F"/>
    <w:rsid w:val="00034373"/>
    <w:rsid w:val="00035354"/>
    <w:rsid w:val="00036312"/>
    <w:rsid w:val="00037B40"/>
    <w:rsid w:val="00037DA3"/>
    <w:rsid w:val="00037FAF"/>
    <w:rsid w:val="00040E0A"/>
    <w:rsid w:val="0004140E"/>
    <w:rsid w:val="00042338"/>
    <w:rsid w:val="000458F3"/>
    <w:rsid w:val="00047364"/>
    <w:rsid w:val="00047D53"/>
    <w:rsid w:val="00051A01"/>
    <w:rsid w:val="00052654"/>
    <w:rsid w:val="00052B2C"/>
    <w:rsid w:val="00053620"/>
    <w:rsid w:val="00054CDF"/>
    <w:rsid w:val="00055235"/>
    <w:rsid w:val="000554C1"/>
    <w:rsid w:val="0005558D"/>
    <w:rsid w:val="00056D4F"/>
    <w:rsid w:val="0005736C"/>
    <w:rsid w:val="00060EB8"/>
    <w:rsid w:val="0006132B"/>
    <w:rsid w:val="00062165"/>
    <w:rsid w:val="000622AA"/>
    <w:rsid w:val="00062337"/>
    <w:rsid w:val="00062AC3"/>
    <w:rsid w:val="00062B41"/>
    <w:rsid w:val="00063764"/>
    <w:rsid w:val="00065A07"/>
    <w:rsid w:val="00065AC1"/>
    <w:rsid w:val="00066F29"/>
    <w:rsid w:val="00067B4D"/>
    <w:rsid w:val="000704EE"/>
    <w:rsid w:val="0007105F"/>
    <w:rsid w:val="000714CA"/>
    <w:rsid w:val="000728B0"/>
    <w:rsid w:val="000733D6"/>
    <w:rsid w:val="00074304"/>
    <w:rsid w:val="0007487C"/>
    <w:rsid w:val="00074981"/>
    <w:rsid w:val="000751F5"/>
    <w:rsid w:val="00075321"/>
    <w:rsid w:val="000753CB"/>
    <w:rsid w:val="0008187B"/>
    <w:rsid w:val="000818A1"/>
    <w:rsid w:val="000829E3"/>
    <w:rsid w:val="000830FB"/>
    <w:rsid w:val="00085B64"/>
    <w:rsid w:val="000865BC"/>
    <w:rsid w:val="000869D1"/>
    <w:rsid w:val="00091B35"/>
    <w:rsid w:val="000961DA"/>
    <w:rsid w:val="00096258"/>
    <w:rsid w:val="00097A82"/>
    <w:rsid w:val="000A19BA"/>
    <w:rsid w:val="000A2EC8"/>
    <w:rsid w:val="000A346E"/>
    <w:rsid w:val="000A3518"/>
    <w:rsid w:val="000A37A2"/>
    <w:rsid w:val="000A3996"/>
    <w:rsid w:val="000A3E14"/>
    <w:rsid w:val="000A441E"/>
    <w:rsid w:val="000A4727"/>
    <w:rsid w:val="000A4BC1"/>
    <w:rsid w:val="000A5131"/>
    <w:rsid w:val="000A716C"/>
    <w:rsid w:val="000A77FB"/>
    <w:rsid w:val="000A7E6D"/>
    <w:rsid w:val="000B07AB"/>
    <w:rsid w:val="000B0ABF"/>
    <w:rsid w:val="000B11E0"/>
    <w:rsid w:val="000B161F"/>
    <w:rsid w:val="000B1E04"/>
    <w:rsid w:val="000B2853"/>
    <w:rsid w:val="000B2D7B"/>
    <w:rsid w:val="000B393B"/>
    <w:rsid w:val="000B4230"/>
    <w:rsid w:val="000B7E86"/>
    <w:rsid w:val="000C104E"/>
    <w:rsid w:val="000C29F6"/>
    <w:rsid w:val="000C52B4"/>
    <w:rsid w:val="000C5DBA"/>
    <w:rsid w:val="000C74A0"/>
    <w:rsid w:val="000C7791"/>
    <w:rsid w:val="000C7F8E"/>
    <w:rsid w:val="000D001D"/>
    <w:rsid w:val="000D1D93"/>
    <w:rsid w:val="000D56AA"/>
    <w:rsid w:val="000D6B22"/>
    <w:rsid w:val="000E0A41"/>
    <w:rsid w:val="000E0D5D"/>
    <w:rsid w:val="000E1E93"/>
    <w:rsid w:val="000E2287"/>
    <w:rsid w:val="000E2426"/>
    <w:rsid w:val="000E5345"/>
    <w:rsid w:val="000E638B"/>
    <w:rsid w:val="000E65AB"/>
    <w:rsid w:val="000E6C5A"/>
    <w:rsid w:val="000E7BB9"/>
    <w:rsid w:val="000F01C4"/>
    <w:rsid w:val="000F06E2"/>
    <w:rsid w:val="000F092F"/>
    <w:rsid w:val="000F29E0"/>
    <w:rsid w:val="000F4C09"/>
    <w:rsid w:val="000F52CA"/>
    <w:rsid w:val="000F6111"/>
    <w:rsid w:val="000F758B"/>
    <w:rsid w:val="00102F39"/>
    <w:rsid w:val="001036E5"/>
    <w:rsid w:val="001044CC"/>
    <w:rsid w:val="00104785"/>
    <w:rsid w:val="0010525A"/>
    <w:rsid w:val="00106249"/>
    <w:rsid w:val="00106600"/>
    <w:rsid w:val="00106919"/>
    <w:rsid w:val="0010798A"/>
    <w:rsid w:val="0011030F"/>
    <w:rsid w:val="00110D0B"/>
    <w:rsid w:val="00110D8A"/>
    <w:rsid w:val="00111789"/>
    <w:rsid w:val="00112D08"/>
    <w:rsid w:val="0011486D"/>
    <w:rsid w:val="00114E98"/>
    <w:rsid w:val="00115101"/>
    <w:rsid w:val="001171F3"/>
    <w:rsid w:val="001173E0"/>
    <w:rsid w:val="0012134D"/>
    <w:rsid w:val="001215EE"/>
    <w:rsid w:val="0012213E"/>
    <w:rsid w:val="001237BA"/>
    <w:rsid w:val="00123A37"/>
    <w:rsid w:val="00123E1D"/>
    <w:rsid w:val="00126754"/>
    <w:rsid w:val="00126D5D"/>
    <w:rsid w:val="00127C9A"/>
    <w:rsid w:val="00130051"/>
    <w:rsid w:val="00130CC4"/>
    <w:rsid w:val="00131B06"/>
    <w:rsid w:val="00131B96"/>
    <w:rsid w:val="001344E7"/>
    <w:rsid w:val="00135026"/>
    <w:rsid w:val="00135924"/>
    <w:rsid w:val="00135B91"/>
    <w:rsid w:val="001362A6"/>
    <w:rsid w:val="001368B1"/>
    <w:rsid w:val="001376DD"/>
    <w:rsid w:val="00137B07"/>
    <w:rsid w:val="0014080B"/>
    <w:rsid w:val="00140E16"/>
    <w:rsid w:val="001419B1"/>
    <w:rsid w:val="00142A8D"/>
    <w:rsid w:val="00142BE6"/>
    <w:rsid w:val="0014307B"/>
    <w:rsid w:val="00143134"/>
    <w:rsid w:val="00143160"/>
    <w:rsid w:val="001442F5"/>
    <w:rsid w:val="001457C4"/>
    <w:rsid w:val="001459D3"/>
    <w:rsid w:val="00146DE3"/>
    <w:rsid w:val="00150D1D"/>
    <w:rsid w:val="00150E04"/>
    <w:rsid w:val="00151420"/>
    <w:rsid w:val="00153BB8"/>
    <w:rsid w:val="00155C0C"/>
    <w:rsid w:val="0015638A"/>
    <w:rsid w:val="001565AC"/>
    <w:rsid w:val="00157A87"/>
    <w:rsid w:val="001601D0"/>
    <w:rsid w:val="001604B9"/>
    <w:rsid w:val="00164F5B"/>
    <w:rsid w:val="00165D83"/>
    <w:rsid w:val="00166434"/>
    <w:rsid w:val="00170EC6"/>
    <w:rsid w:val="00171776"/>
    <w:rsid w:val="00171869"/>
    <w:rsid w:val="00174445"/>
    <w:rsid w:val="00177FE8"/>
    <w:rsid w:val="001828B1"/>
    <w:rsid w:val="00182C02"/>
    <w:rsid w:val="00182FC9"/>
    <w:rsid w:val="0018309B"/>
    <w:rsid w:val="00183CC0"/>
    <w:rsid w:val="00186FE7"/>
    <w:rsid w:val="0018701E"/>
    <w:rsid w:val="00187C9E"/>
    <w:rsid w:val="00187CFB"/>
    <w:rsid w:val="001929B1"/>
    <w:rsid w:val="00194389"/>
    <w:rsid w:val="00194520"/>
    <w:rsid w:val="00194B48"/>
    <w:rsid w:val="00195DF5"/>
    <w:rsid w:val="001975E8"/>
    <w:rsid w:val="001A19D3"/>
    <w:rsid w:val="001A3A0B"/>
    <w:rsid w:val="001A6086"/>
    <w:rsid w:val="001A7657"/>
    <w:rsid w:val="001A7780"/>
    <w:rsid w:val="001A7D5F"/>
    <w:rsid w:val="001B0236"/>
    <w:rsid w:val="001B04E1"/>
    <w:rsid w:val="001B19BF"/>
    <w:rsid w:val="001B2461"/>
    <w:rsid w:val="001B409B"/>
    <w:rsid w:val="001C1EF5"/>
    <w:rsid w:val="001C2210"/>
    <w:rsid w:val="001C25B8"/>
    <w:rsid w:val="001C290F"/>
    <w:rsid w:val="001C386F"/>
    <w:rsid w:val="001C61F2"/>
    <w:rsid w:val="001C73AF"/>
    <w:rsid w:val="001C78A9"/>
    <w:rsid w:val="001D052E"/>
    <w:rsid w:val="001D12DE"/>
    <w:rsid w:val="001D4AB0"/>
    <w:rsid w:val="001D548C"/>
    <w:rsid w:val="001D5BD8"/>
    <w:rsid w:val="001D6232"/>
    <w:rsid w:val="001D6249"/>
    <w:rsid w:val="001D669E"/>
    <w:rsid w:val="001D6E52"/>
    <w:rsid w:val="001D7CF8"/>
    <w:rsid w:val="001E01F9"/>
    <w:rsid w:val="001E24AF"/>
    <w:rsid w:val="001E393D"/>
    <w:rsid w:val="001E4890"/>
    <w:rsid w:val="001E58E9"/>
    <w:rsid w:val="001F0349"/>
    <w:rsid w:val="001F089C"/>
    <w:rsid w:val="001F0A71"/>
    <w:rsid w:val="001F103E"/>
    <w:rsid w:val="001F1366"/>
    <w:rsid w:val="001F18C3"/>
    <w:rsid w:val="001F21CB"/>
    <w:rsid w:val="001F27CD"/>
    <w:rsid w:val="001F2CD1"/>
    <w:rsid w:val="001F3583"/>
    <w:rsid w:val="001F4FF9"/>
    <w:rsid w:val="001F55C0"/>
    <w:rsid w:val="001F57AE"/>
    <w:rsid w:val="001F6166"/>
    <w:rsid w:val="001F7156"/>
    <w:rsid w:val="001F722B"/>
    <w:rsid w:val="00201F67"/>
    <w:rsid w:val="00203870"/>
    <w:rsid w:val="00204E43"/>
    <w:rsid w:val="002067F2"/>
    <w:rsid w:val="0020694F"/>
    <w:rsid w:val="00206ED2"/>
    <w:rsid w:val="00207B9B"/>
    <w:rsid w:val="00210ABF"/>
    <w:rsid w:val="00211693"/>
    <w:rsid w:val="0021185E"/>
    <w:rsid w:val="00211DF6"/>
    <w:rsid w:val="00212CDB"/>
    <w:rsid w:val="00213125"/>
    <w:rsid w:val="0021342B"/>
    <w:rsid w:val="00213464"/>
    <w:rsid w:val="002144A3"/>
    <w:rsid w:val="00214DEB"/>
    <w:rsid w:val="00215892"/>
    <w:rsid w:val="0021660A"/>
    <w:rsid w:val="00216A53"/>
    <w:rsid w:val="002211AE"/>
    <w:rsid w:val="00222601"/>
    <w:rsid w:val="002237E8"/>
    <w:rsid w:val="00227472"/>
    <w:rsid w:val="002319F9"/>
    <w:rsid w:val="00231B26"/>
    <w:rsid w:val="00232290"/>
    <w:rsid w:val="00232FC7"/>
    <w:rsid w:val="00235696"/>
    <w:rsid w:val="00236243"/>
    <w:rsid w:val="002370B3"/>
    <w:rsid w:val="0024130A"/>
    <w:rsid w:val="002431AC"/>
    <w:rsid w:val="00243783"/>
    <w:rsid w:val="00243CC7"/>
    <w:rsid w:val="002450A3"/>
    <w:rsid w:val="002460AD"/>
    <w:rsid w:val="002461F5"/>
    <w:rsid w:val="00246735"/>
    <w:rsid w:val="00246F28"/>
    <w:rsid w:val="0025017B"/>
    <w:rsid w:val="00253C98"/>
    <w:rsid w:val="00253EFD"/>
    <w:rsid w:val="002551B8"/>
    <w:rsid w:val="00255A73"/>
    <w:rsid w:val="00255D47"/>
    <w:rsid w:val="002560E4"/>
    <w:rsid w:val="0026006B"/>
    <w:rsid w:val="00260957"/>
    <w:rsid w:val="00260F92"/>
    <w:rsid w:val="002624DE"/>
    <w:rsid w:val="00262E83"/>
    <w:rsid w:val="00262F54"/>
    <w:rsid w:val="0026359B"/>
    <w:rsid w:val="00264CAA"/>
    <w:rsid w:val="00267C4A"/>
    <w:rsid w:val="00270489"/>
    <w:rsid w:val="00270AC6"/>
    <w:rsid w:val="00273ECC"/>
    <w:rsid w:val="00273FA2"/>
    <w:rsid w:val="00274AF0"/>
    <w:rsid w:val="00274E51"/>
    <w:rsid w:val="002750D9"/>
    <w:rsid w:val="00276027"/>
    <w:rsid w:val="00277C88"/>
    <w:rsid w:val="00277DE4"/>
    <w:rsid w:val="0028218C"/>
    <w:rsid w:val="002845A3"/>
    <w:rsid w:val="00285008"/>
    <w:rsid w:val="00285C09"/>
    <w:rsid w:val="002862A4"/>
    <w:rsid w:val="00290393"/>
    <w:rsid w:val="00290EA6"/>
    <w:rsid w:val="0029187F"/>
    <w:rsid w:val="00291CD8"/>
    <w:rsid w:val="00293A01"/>
    <w:rsid w:val="0029422E"/>
    <w:rsid w:val="0029515B"/>
    <w:rsid w:val="00296E93"/>
    <w:rsid w:val="002A1586"/>
    <w:rsid w:val="002A171D"/>
    <w:rsid w:val="002A1A91"/>
    <w:rsid w:val="002A2389"/>
    <w:rsid w:val="002A4871"/>
    <w:rsid w:val="002A5373"/>
    <w:rsid w:val="002A5615"/>
    <w:rsid w:val="002A5B80"/>
    <w:rsid w:val="002A6F46"/>
    <w:rsid w:val="002A7800"/>
    <w:rsid w:val="002B190C"/>
    <w:rsid w:val="002B1E4F"/>
    <w:rsid w:val="002B3016"/>
    <w:rsid w:val="002B34A8"/>
    <w:rsid w:val="002B426F"/>
    <w:rsid w:val="002B5BBE"/>
    <w:rsid w:val="002C0042"/>
    <w:rsid w:val="002C04C1"/>
    <w:rsid w:val="002C0AF0"/>
    <w:rsid w:val="002C101D"/>
    <w:rsid w:val="002C2881"/>
    <w:rsid w:val="002C2F59"/>
    <w:rsid w:val="002C3593"/>
    <w:rsid w:val="002C596C"/>
    <w:rsid w:val="002C66F4"/>
    <w:rsid w:val="002C72CC"/>
    <w:rsid w:val="002C7D5E"/>
    <w:rsid w:val="002D083D"/>
    <w:rsid w:val="002D0F75"/>
    <w:rsid w:val="002D211C"/>
    <w:rsid w:val="002D47FC"/>
    <w:rsid w:val="002D49DC"/>
    <w:rsid w:val="002D4D84"/>
    <w:rsid w:val="002D69F9"/>
    <w:rsid w:val="002D73BB"/>
    <w:rsid w:val="002E0070"/>
    <w:rsid w:val="002E23CC"/>
    <w:rsid w:val="002E3501"/>
    <w:rsid w:val="002E41D7"/>
    <w:rsid w:val="002E4EAC"/>
    <w:rsid w:val="002E5ACF"/>
    <w:rsid w:val="002E6603"/>
    <w:rsid w:val="002E6F2E"/>
    <w:rsid w:val="002E79ED"/>
    <w:rsid w:val="002E7E9D"/>
    <w:rsid w:val="002F045D"/>
    <w:rsid w:val="002F081D"/>
    <w:rsid w:val="002F1264"/>
    <w:rsid w:val="002F58EC"/>
    <w:rsid w:val="003004DA"/>
    <w:rsid w:val="00300B43"/>
    <w:rsid w:val="00301308"/>
    <w:rsid w:val="003013B7"/>
    <w:rsid w:val="00301AE4"/>
    <w:rsid w:val="003023A3"/>
    <w:rsid w:val="00302614"/>
    <w:rsid w:val="00303B38"/>
    <w:rsid w:val="00304B7D"/>
    <w:rsid w:val="00310FF2"/>
    <w:rsid w:val="0031230B"/>
    <w:rsid w:val="003128AB"/>
    <w:rsid w:val="00313950"/>
    <w:rsid w:val="00314F97"/>
    <w:rsid w:val="00317116"/>
    <w:rsid w:val="003173B7"/>
    <w:rsid w:val="00320C1A"/>
    <w:rsid w:val="00323639"/>
    <w:rsid w:val="0032418A"/>
    <w:rsid w:val="00324B52"/>
    <w:rsid w:val="00327F83"/>
    <w:rsid w:val="00331977"/>
    <w:rsid w:val="00332137"/>
    <w:rsid w:val="00333EB8"/>
    <w:rsid w:val="003359F1"/>
    <w:rsid w:val="00336E3A"/>
    <w:rsid w:val="003422B8"/>
    <w:rsid w:val="003424A8"/>
    <w:rsid w:val="003424AC"/>
    <w:rsid w:val="003435BC"/>
    <w:rsid w:val="00343685"/>
    <w:rsid w:val="00343C43"/>
    <w:rsid w:val="0034414E"/>
    <w:rsid w:val="003441B7"/>
    <w:rsid w:val="003442F7"/>
    <w:rsid w:val="00344387"/>
    <w:rsid w:val="00344C93"/>
    <w:rsid w:val="003451C7"/>
    <w:rsid w:val="003453BB"/>
    <w:rsid w:val="00345E59"/>
    <w:rsid w:val="003462C7"/>
    <w:rsid w:val="00346569"/>
    <w:rsid w:val="003468F8"/>
    <w:rsid w:val="00346D36"/>
    <w:rsid w:val="003470D3"/>
    <w:rsid w:val="00350066"/>
    <w:rsid w:val="003504AB"/>
    <w:rsid w:val="00350E4B"/>
    <w:rsid w:val="0035132A"/>
    <w:rsid w:val="00352224"/>
    <w:rsid w:val="003533D7"/>
    <w:rsid w:val="00353571"/>
    <w:rsid w:val="003544F9"/>
    <w:rsid w:val="003545C2"/>
    <w:rsid w:val="00355B88"/>
    <w:rsid w:val="00356BA3"/>
    <w:rsid w:val="0035791D"/>
    <w:rsid w:val="0036070B"/>
    <w:rsid w:val="00360A6D"/>
    <w:rsid w:val="00363543"/>
    <w:rsid w:val="0036594B"/>
    <w:rsid w:val="003659F6"/>
    <w:rsid w:val="0036668E"/>
    <w:rsid w:val="00367FDC"/>
    <w:rsid w:val="003723D5"/>
    <w:rsid w:val="00373E65"/>
    <w:rsid w:val="00373E97"/>
    <w:rsid w:val="0037521D"/>
    <w:rsid w:val="0037584D"/>
    <w:rsid w:val="00375EC0"/>
    <w:rsid w:val="00376F87"/>
    <w:rsid w:val="00377097"/>
    <w:rsid w:val="0038216D"/>
    <w:rsid w:val="00382C20"/>
    <w:rsid w:val="00387B8F"/>
    <w:rsid w:val="0039325D"/>
    <w:rsid w:val="00393ACC"/>
    <w:rsid w:val="00395E7A"/>
    <w:rsid w:val="003969A4"/>
    <w:rsid w:val="00397B99"/>
    <w:rsid w:val="00397E45"/>
    <w:rsid w:val="003A0D5C"/>
    <w:rsid w:val="003A1388"/>
    <w:rsid w:val="003A46C6"/>
    <w:rsid w:val="003A499D"/>
    <w:rsid w:val="003A4BE0"/>
    <w:rsid w:val="003A6B4E"/>
    <w:rsid w:val="003A6DDE"/>
    <w:rsid w:val="003A7F83"/>
    <w:rsid w:val="003B5012"/>
    <w:rsid w:val="003B54F2"/>
    <w:rsid w:val="003B6B36"/>
    <w:rsid w:val="003B7212"/>
    <w:rsid w:val="003C1378"/>
    <w:rsid w:val="003C1C27"/>
    <w:rsid w:val="003C3CF8"/>
    <w:rsid w:val="003C3F1B"/>
    <w:rsid w:val="003C462F"/>
    <w:rsid w:val="003C53DF"/>
    <w:rsid w:val="003C5BEE"/>
    <w:rsid w:val="003C608C"/>
    <w:rsid w:val="003C62DB"/>
    <w:rsid w:val="003C691F"/>
    <w:rsid w:val="003C72C5"/>
    <w:rsid w:val="003C78E6"/>
    <w:rsid w:val="003C7C57"/>
    <w:rsid w:val="003D07E3"/>
    <w:rsid w:val="003D105B"/>
    <w:rsid w:val="003D170A"/>
    <w:rsid w:val="003D1B81"/>
    <w:rsid w:val="003D26AA"/>
    <w:rsid w:val="003D5BCD"/>
    <w:rsid w:val="003D6272"/>
    <w:rsid w:val="003E002B"/>
    <w:rsid w:val="003E0577"/>
    <w:rsid w:val="003E0D8D"/>
    <w:rsid w:val="003E2622"/>
    <w:rsid w:val="003E27D3"/>
    <w:rsid w:val="003E50C0"/>
    <w:rsid w:val="003E558B"/>
    <w:rsid w:val="003E74C1"/>
    <w:rsid w:val="003E7787"/>
    <w:rsid w:val="003E7C26"/>
    <w:rsid w:val="003F0227"/>
    <w:rsid w:val="003F08FA"/>
    <w:rsid w:val="003F10DD"/>
    <w:rsid w:val="003F12FD"/>
    <w:rsid w:val="003F14B5"/>
    <w:rsid w:val="003F15C8"/>
    <w:rsid w:val="003F1647"/>
    <w:rsid w:val="003F18E0"/>
    <w:rsid w:val="003F48CE"/>
    <w:rsid w:val="00400BE9"/>
    <w:rsid w:val="004011A4"/>
    <w:rsid w:val="00401CF6"/>
    <w:rsid w:val="00401D34"/>
    <w:rsid w:val="0040277D"/>
    <w:rsid w:val="004035C4"/>
    <w:rsid w:val="00403F02"/>
    <w:rsid w:val="00405CC8"/>
    <w:rsid w:val="004073D8"/>
    <w:rsid w:val="004074DD"/>
    <w:rsid w:val="0041110C"/>
    <w:rsid w:val="004135AF"/>
    <w:rsid w:val="004179A3"/>
    <w:rsid w:val="00422134"/>
    <w:rsid w:val="004229A7"/>
    <w:rsid w:val="00423C3D"/>
    <w:rsid w:val="00425A8E"/>
    <w:rsid w:val="00425E94"/>
    <w:rsid w:val="004269D7"/>
    <w:rsid w:val="004276AB"/>
    <w:rsid w:val="0043042E"/>
    <w:rsid w:val="00430C79"/>
    <w:rsid w:val="00431490"/>
    <w:rsid w:val="00432B8E"/>
    <w:rsid w:val="00432ECC"/>
    <w:rsid w:val="004330C2"/>
    <w:rsid w:val="004331F8"/>
    <w:rsid w:val="0043362E"/>
    <w:rsid w:val="0043481C"/>
    <w:rsid w:val="004356F9"/>
    <w:rsid w:val="00436CCF"/>
    <w:rsid w:val="00442A67"/>
    <w:rsid w:val="0044321F"/>
    <w:rsid w:val="004452D0"/>
    <w:rsid w:val="004458B9"/>
    <w:rsid w:val="00445BC4"/>
    <w:rsid w:val="00445C40"/>
    <w:rsid w:val="004472E4"/>
    <w:rsid w:val="00450663"/>
    <w:rsid w:val="0045075A"/>
    <w:rsid w:val="0045165B"/>
    <w:rsid w:val="00452463"/>
    <w:rsid w:val="00453834"/>
    <w:rsid w:val="00453C10"/>
    <w:rsid w:val="004548A3"/>
    <w:rsid w:val="00454FDD"/>
    <w:rsid w:val="00456A1B"/>
    <w:rsid w:val="00457E46"/>
    <w:rsid w:val="004611DC"/>
    <w:rsid w:val="00461283"/>
    <w:rsid w:val="004629F6"/>
    <w:rsid w:val="00463998"/>
    <w:rsid w:val="00465C89"/>
    <w:rsid w:val="0046641F"/>
    <w:rsid w:val="00466837"/>
    <w:rsid w:val="00466CBF"/>
    <w:rsid w:val="004670CB"/>
    <w:rsid w:val="00467C04"/>
    <w:rsid w:val="00470322"/>
    <w:rsid w:val="004703DB"/>
    <w:rsid w:val="0047049C"/>
    <w:rsid w:val="004713F8"/>
    <w:rsid w:val="00471831"/>
    <w:rsid w:val="00472123"/>
    <w:rsid w:val="00472716"/>
    <w:rsid w:val="00474007"/>
    <w:rsid w:val="0047544D"/>
    <w:rsid w:val="00475BEC"/>
    <w:rsid w:val="0047635C"/>
    <w:rsid w:val="0047746F"/>
    <w:rsid w:val="00477528"/>
    <w:rsid w:val="00480261"/>
    <w:rsid w:val="0048079D"/>
    <w:rsid w:val="00480ACA"/>
    <w:rsid w:val="00481CEC"/>
    <w:rsid w:val="004823DD"/>
    <w:rsid w:val="004831BF"/>
    <w:rsid w:val="0048335E"/>
    <w:rsid w:val="00483A06"/>
    <w:rsid w:val="00485C53"/>
    <w:rsid w:val="00486DBE"/>
    <w:rsid w:val="00487128"/>
    <w:rsid w:val="00487218"/>
    <w:rsid w:val="00487EB8"/>
    <w:rsid w:val="0049016E"/>
    <w:rsid w:val="004912EA"/>
    <w:rsid w:val="00492E21"/>
    <w:rsid w:val="00493C47"/>
    <w:rsid w:val="004942F9"/>
    <w:rsid w:val="0049461E"/>
    <w:rsid w:val="00496CC2"/>
    <w:rsid w:val="00496F2A"/>
    <w:rsid w:val="004A1218"/>
    <w:rsid w:val="004A16F4"/>
    <w:rsid w:val="004A2D80"/>
    <w:rsid w:val="004A333B"/>
    <w:rsid w:val="004A3721"/>
    <w:rsid w:val="004A38DF"/>
    <w:rsid w:val="004A3DEF"/>
    <w:rsid w:val="004A4041"/>
    <w:rsid w:val="004A5E4A"/>
    <w:rsid w:val="004A6555"/>
    <w:rsid w:val="004A6DCA"/>
    <w:rsid w:val="004B0EAF"/>
    <w:rsid w:val="004B2A68"/>
    <w:rsid w:val="004B30A3"/>
    <w:rsid w:val="004B3A7C"/>
    <w:rsid w:val="004B3B76"/>
    <w:rsid w:val="004B3F04"/>
    <w:rsid w:val="004B6D0A"/>
    <w:rsid w:val="004B6EEE"/>
    <w:rsid w:val="004B72DF"/>
    <w:rsid w:val="004C0D5F"/>
    <w:rsid w:val="004C2EB6"/>
    <w:rsid w:val="004C35A2"/>
    <w:rsid w:val="004C4A14"/>
    <w:rsid w:val="004C644F"/>
    <w:rsid w:val="004C6823"/>
    <w:rsid w:val="004C7556"/>
    <w:rsid w:val="004C78E8"/>
    <w:rsid w:val="004D0D34"/>
    <w:rsid w:val="004D225C"/>
    <w:rsid w:val="004D2863"/>
    <w:rsid w:val="004D2C5F"/>
    <w:rsid w:val="004D370E"/>
    <w:rsid w:val="004D3B13"/>
    <w:rsid w:val="004D4794"/>
    <w:rsid w:val="004D628B"/>
    <w:rsid w:val="004D6A54"/>
    <w:rsid w:val="004E03A9"/>
    <w:rsid w:val="004E08EF"/>
    <w:rsid w:val="004E099A"/>
    <w:rsid w:val="004E0EB8"/>
    <w:rsid w:val="004E2FFD"/>
    <w:rsid w:val="004E4520"/>
    <w:rsid w:val="004E4C27"/>
    <w:rsid w:val="004E4F4C"/>
    <w:rsid w:val="004E51A9"/>
    <w:rsid w:val="004E5E7C"/>
    <w:rsid w:val="004F2E1C"/>
    <w:rsid w:val="004F3408"/>
    <w:rsid w:val="004F3B9B"/>
    <w:rsid w:val="004F3CC6"/>
    <w:rsid w:val="004F4114"/>
    <w:rsid w:val="004F4651"/>
    <w:rsid w:val="004F4A5C"/>
    <w:rsid w:val="004F7101"/>
    <w:rsid w:val="005002B2"/>
    <w:rsid w:val="0050190F"/>
    <w:rsid w:val="00501F00"/>
    <w:rsid w:val="00502677"/>
    <w:rsid w:val="0050307E"/>
    <w:rsid w:val="00503B57"/>
    <w:rsid w:val="00504B2B"/>
    <w:rsid w:val="00507031"/>
    <w:rsid w:val="0050797E"/>
    <w:rsid w:val="005103B8"/>
    <w:rsid w:val="005124BF"/>
    <w:rsid w:val="00512FDF"/>
    <w:rsid w:val="00514D3F"/>
    <w:rsid w:val="005163C8"/>
    <w:rsid w:val="005167CC"/>
    <w:rsid w:val="00516CE1"/>
    <w:rsid w:val="00516F03"/>
    <w:rsid w:val="00520A66"/>
    <w:rsid w:val="005212D3"/>
    <w:rsid w:val="00521316"/>
    <w:rsid w:val="00521416"/>
    <w:rsid w:val="00523CC5"/>
    <w:rsid w:val="0052453E"/>
    <w:rsid w:val="00524B1C"/>
    <w:rsid w:val="005252A2"/>
    <w:rsid w:val="00525572"/>
    <w:rsid w:val="005275FC"/>
    <w:rsid w:val="00530611"/>
    <w:rsid w:val="005307FA"/>
    <w:rsid w:val="00531855"/>
    <w:rsid w:val="005318CE"/>
    <w:rsid w:val="00531E58"/>
    <w:rsid w:val="00531FC6"/>
    <w:rsid w:val="00532B88"/>
    <w:rsid w:val="00533466"/>
    <w:rsid w:val="0053506D"/>
    <w:rsid w:val="00535F50"/>
    <w:rsid w:val="00535FED"/>
    <w:rsid w:val="00536BCD"/>
    <w:rsid w:val="005411D0"/>
    <w:rsid w:val="00541711"/>
    <w:rsid w:val="005419C8"/>
    <w:rsid w:val="005423DF"/>
    <w:rsid w:val="00542502"/>
    <w:rsid w:val="00542B06"/>
    <w:rsid w:val="00542C8C"/>
    <w:rsid w:val="00542F84"/>
    <w:rsid w:val="00543A1A"/>
    <w:rsid w:val="0054527A"/>
    <w:rsid w:val="005460B5"/>
    <w:rsid w:val="0055105B"/>
    <w:rsid w:val="00552D19"/>
    <w:rsid w:val="00555784"/>
    <w:rsid w:val="005563EC"/>
    <w:rsid w:val="00556A32"/>
    <w:rsid w:val="00556FF2"/>
    <w:rsid w:val="005577C0"/>
    <w:rsid w:val="00560892"/>
    <w:rsid w:val="00560A28"/>
    <w:rsid w:val="00561863"/>
    <w:rsid w:val="00562110"/>
    <w:rsid w:val="00562349"/>
    <w:rsid w:val="0056357D"/>
    <w:rsid w:val="005638AC"/>
    <w:rsid w:val="0056528F"/>
    <w:rsid w:val="00570FD4"/>
    <w:rsid w:val="005714EF"/>
    <w:rsid w:val="0057184C"/>
    <w:rsid w:val="005732DB"/>
    <w:rsid w:val="0057433C"/>
    <w:rsid w:val="00574824"/>
    <w:rsid w:val="00574A86"/>
    <w:rsid w:val="005750FA"/>
    <w:rsid w:val="005754BF"/>
    <w:rsid w:val="005762FA"/>
    <w:rsid w:val="005764CD"/>
    <w:rsid w:val="00580F14"/>
    <w:rsid w:val="0058127F"/>
    <w:rsid w:val="00582D05"/>
    <w:rsid w:val="00584C77"/>
    <w:rsid w:val="00585C73"/>
    <w:rsid w:val="00585C9D"/>
    <w:rsid w:val="00585D0E"/>
    <w:rsid w:val="0058741B"/>
    <w:rsid w:val="00590599"/>
    <w:rsid w:val="00590603"/>
    <w:rsid w:val="005912D4"/>
    <w:rsid w:val="0059174F"/>
    <w:rsid w:val="00591B9B"/>
    <w:rsid w:val="00592270"/>
    <w:rsid w:val="00592648"/>
    <w:rsid w:val="00592F11"/>
    <w:rsid w:val="00593217"/>
    <w:rsid w:val="00595EAD"/>
    <w:rsid w:val="00596AF9"/>
    <w:rsid w:val="00596E04"/>
    <w:rsid w:val="00597AC8"/>
    <w:rsid w:val="005A055C"/>
    <w:rsid w:val="005A342A"/>
    <w:rsid w:val="005A4F99"/>
    <w:rsid w:val="005A5033"/>
    <w:rsid w:val="005A7F8B"/>
    <w:rsid w:val="005B02EC"/>
    <w:rsid w:val="005B03D4"/>
    <w:rsid w:val="005B05E5"/>
    <w:rsid w:val="005B1841"/>
    <w:rsid w:val="005B2A1F"/>
    <w:rsid w:val="005B4BAB"/>
    <w:rsid w:val="005B6E41"/>
    <w:rsid w:val="005C0816"/>
    <w:rsid w:val="005C560B"/>
    <w:rsid w:val="005C6264"/>
    <w:rsid w:val="005C6C4A"/>
    <w:rsid w:val="005C708F"/>
    <w:rsid w:val="005C7CCD"/>
    <w:rsid w:val="005C7CEE"/>
    <w:rsid w:val="005D192E"/>
    <w:rsid w:val="005D25B1"/>
    <w:rsid w:val="005D2E99"/>
    <w:rsid w:val="005D340F"/>
    <w:rsid w:val="005D4043"/>
    <w:rsid w:val="005D4084"/>
    <w:rsid w:val="005D52F3"/>
    <w:rsid w:val="005D5732"/>
    <w:rsid w:val="005D57D5"/>
    <w:rsid w:val="005D7840"/>
    <w:rsid w:val="005D7AAD"/>
    <w:rsid w:val="005D7B1D"/>
    <w:rsid w:val="005E09A0"/>
    <w:rsid w:val="005E1532"/>
    <w:rsid w:val="005E3AE4"/>
    <w:rsid w:val="005E4391"/>
    <w:rsid w:val="005E4627"/>
    <w:rsid w:val="005E502A"/>
    <w:rsid w:val="005E641B"/>
    <w:rsid w:val="005E6A02"/>
    <w:rsid w:val="005E7852"/>
    <w:rsid w:val="005F04D3"/>
    <w:rsid w:val="005F0502"/>
    <w:rsid w:val="005F0BD8"/>
    <w:rsid w:val="005F13AC"/>
    <w:rsid w:val="005F145D"/>
    <w:rsid w:val="005F327C"/>
    <w:rsid w:val="005F35C7"/>
    <w:rsid w:val="005F514E"/>
    <w:rsid w:val="005F51A5"/>
    <w:rsid w:val="005F588E"/>
    <w:rsid w:val="005F6059"/>
    <w:rsid w:val="005F70AF"/>
    <w:rsid w:val="005F7894"/>
    <w:rsid w:val="005F78C5"/>
    <w:rsid w:val="00600AC4"/>
    <w:rsid w:val="00601280"/>
    <w:rsid w:val="00601DD7"/>
    <w:rsid w:val="0060478D"/>
    <w:rsid w:val="006058AD"/>
    <w:rsid w:val="00605DAA"/>
    <w:rsid w:val="00605FC9"/>
    <w:rsid w:val="00606BF1"/>
    <w:rsid w:val="00606F67"/>
    <w:rsid w:val="00607946"/>
    <w:rsid w:val="00607C7C"/>
    <w:rsid w:val="006104E2"/>
    <w:rsid w:val="00611FA7"/>
    <w:rsid w:val="0061480C"/>
    <w:rsid w:val="00615A60"/>
    <w:rsid w:val="00615BB8"/>
    <w:rsid w:val="00616477"/>
    <w:rsid w:val="00616624"/>
    <w:rsid w:val="006241FB"/>
    <w:rsid w:val="00625FE7"/>
    <w:rsid w:val="00626CE6"/>
    <w:rsid w:val="006303BD"/>
    <w:rsid w:val="00632354"/>
    <w:rsid w:val="00635219"/>
    <w:rsid w:val="00636BCC"/>
    <w:rsid w:val="0063732D"/>
    <w:rsid w:val="00637384"/>
    <w:rsid w:val="00637414"/>
    <w:rsid w:val="00637A14"/>
    <w:rsid w:val="00640800"/>
    <w:rsid w:val="00640BD9"/>
    <w:rsid w:val="00640C01"/>
    <w:rsid w:val="0064478A"/>
    <w:rsid w:val="00644C38"/>
    <w:rsid w:val="00646861"/>
    <w:rsid w:val="00646C6C"/>
    <w:rsid w:val="0064729F"/>
    <w:rsid w:val="006476B6"/>
    <w:rsid w:val="00647EAF"/>
    <w:rsid w:val="0065040B"/>
    <w:rsid w:val="00650506"/>
    <w:rsid w:val="00650F9F"/>
    <w:rsid w:val="006512CC"/>
    <w:rsid w:val="0065162C"/>
    <w:rsid w:val="00651670"/>
    <w:rsid w:val="0065254F"/>
    <w:rsid w:val="00652907"/>
    <w:rsid w:val="00653ECB"/>
    <w:rsid w:val="006566DB"/>
    <w:rsid w:val="00656ECE"/>
    <w:rsid w:val="00660AA4"/>
    <w:rsid w:val="00660FDC"/>
    <w:rsid w:val="006639A0"/>
    <w:rsid w:val="00663B21"/>
    <w:rsid w:val="0066450D"/>
    <w:rsid w:val="006671DA"/>
    <w:rsid w:val="006710DC"/>
    <w:rsid w:val="0067182F"/>
    <w:rsid w:val="00671C00"/>
    <w:rsid w:val="006728A1"/>
    <w:rsid w:val="006732C7"/>
    <w:rsid w:val="0067354B"/>
    <w:rsid w:val="00673ECF"/>
    <w:rsid w:val="0067450E"/>
    <w:rsid w:val="0067478E"/>
    <w:rsid w:val="0067588F"/>
    <w:rsid w:val="0067646F"/>
    <w:rsid w:val="0067765A"/>
    <w:rsid w:val="00681C5D"/>
    <w:rsid w:val="00682FD4"/>
    <w:rsid w:val="00683050"/>
    <w:rsid w:val="0068317E"/>
    <w:rsid w:val="006838D3"/>
    <w:rsid w:val="00683FFE"/>
    <w:rsid w:val="00684B19"/>
    <w:rsid w:val="00685996"/>
    <w:rsid w:val="00687587"/>
    <w:rsid w:val="006907C1"/>
    <w:rsid w:val="00690C51"/>
    <w:rsid w:val="006912BE"/>
    <w:rsid w:val="00694F0C"/>
    <w:rsid w:val="00695894"/>
    <w:rsid w:val="00695B1A"/>
    <w:rsid w:val="006A0404"/>
    <w:rsid w:val="006A05F6"/>
    <w:rsid w:val="006A0661"/>
    <w:rsid w:val="006A1588"/>
    <w:rsid w:val="006A38F7"/>
    <w:rsid w:val="006A3989"/>
    <w:rsid w:val="006A4A47"/>
    <w:rsid w:val="006A4A57"/>
    <w:rsid w:val="006A4B2E"/>
    <w:rsid w:val="006A4E19"/>
    <w:rsid w:val="006A52E0"/>
    <w:rsid w:val="006A5EEA"/>
    <w:rsid w:val="006A6259"/>
    <w:rsid w:val="006A7BCB"/>
    <w:rsid w:val="006A7C37"/>
    <w:rsid w:val="006B27B3"/>
    <w:rsid w:val="006B4097"/>
    <w:rsid w:val="006B50D9"/>
    <w:rsid w:val="006B540B"/>
    <w:rsid w:val="006B621D"/>
    <w:rsid w:val="006B6B9B"/>
    <w:rsid w:val="006B74BB"/>
    <w:rsid w:val="006B75C3"/>
    <w:rsid w:val="006B781E"/>
    <w:rsid w:val="006C0128"/>
    <w:rsid w:val="006C014B"/>
    <w:rsid w:val="006C061B"/>
    <w:rsid w:val="006C07E6"/>
    <w:rsid w:val="006C0989"/>
    <w:rsid w:val="006C111B"/>
    <w:rsid w:val="006C21BB"/>
    <w:rsid w:val="006C4157"/>
    <w:rsid w:val="006C449F"/>
    <w:rsid w:val="006C58E4"/>
    <w:rsid w:val="006C6060"/>
    <w:rsid w:val="006C66DA"/>
    <w:rsid w:val="006C7160"/>
    <w:rsid w:val="006D0450"/>
    <w:rsid w:val="006D0849"/>
    <w:rsid w:val="006D10B2"/>
    <w:rsid w:val="006D11E3"/>
    <w:rsid w:val="006D1FDA"/>
    <w:rsid w:val="006D55DC"/>
    <w:rsid w:val="006D6199"/>
    <w:rsid w:val="006D666B"/>
    <w:rsid w:val="006D687E"/>
    <w:rsid w:val="006D68A6"/>
    <w:rsid w:val="006E0200"/>
    <w:rsid w:val="006E0C55"/>
    <w:rsid w:val="006E3999"/>
    <w:rsid w:val="006E453C"/>
    <w:rsid w:val="006E4728"/>
    <w:rsid w:val="006E524E"/>
    <w:rsid w:val="006E5808"/>
    <w:rsid w:val="006E5B8A"/>
    <w:rsid w:val="006E6E6C"/>
    <w:rsid w:val="006E757E"/>
    <w:rsid w:val="006F1984"/>
    <w:rsid w:val="006F1EAE"/>
    <w:rsid w:val="006F2E92"/>
    <w:rsid w:val="006F428C"/>
    <w:rsid w:val="006F4383"/>
    <w:rsid w:val="006F6D63"/>
    <w:rsid w:val="007011AD"/>
    <w:rsid w:val="007023D0"/>
    <w:rsid w:val="007032E3"/>
    <w:rsid w:val="007051F0"/>
    <w:rsid w:val="0070661F"/>
    <w:rsid w:val="007068EA"/>
    <w:rsid w:val="00706C4E"/>
    <w:rsid w:val="007075A2"/>
    <w:rsid w:val="00710B74"/>
    <w:rsid w:val="00710EE3"/>
    <w:rsid w:val="007110D7"/>
    <w:rsid w:val="0071160B"/>
    <w:rsid w:val="00711B38"/>
    <w:rsid w:val="00711E60"/>
    <w:rsid w:val="00712B4D"/>
    <w:rsid w:val="00713029"/>
    <w:rsid w:val="00716510"/>
    <w:rsid w:val="00717C00"/>
    <w:rsid w:val="00721BB1"/>
    <w:rsid w:val="007224C3"/>
    <w:rsid w:val="0072363D"/>
    <w:rsid w:val="00724ADC"/>
    <w:rsid w:val="00725051"/>
    <w:rsid w:val="007263E4"/>
    <w:rsid w:val="007267AD"/>
    <w:rsid w:val="007272D8"/>
    <w:rsid w:val="007309A9"/>
    <w:rsid w:val="00730FC0"/>
    <w:rsid w:val="0073143B"/>
    <w:rsid w:val="007345CB"/>
    <w:rsid w:val="00735B17"/>
    <w:rsid w:val="00735ECE"/>
    <w:rsid w:val="0074034C"/>
    <w:rsid w:val="00740780"/>
    <w:rsid w:val="00740CCA"/>
    <w:rsid w:val="0074115C"/>
    <w:rsid w:val="00742BEE"/>
    <w:rsid w:val="00743311"/>
    <w:rsid w:val="007442A7"/>
    <w:rsid w:val="0074526A"/>
    <w:rsid w:val="007452FB"/>
    <w:rsid w:val="00745587"/>
    <w:rsid w:val="0074597A"/>
    <w:rsid w:val="00750AAC"/>
    <w:rsid w:val="00751CD3"/>
    <w:rsid w:val="00752305"/>
    <w:rsid w:val="00753587"/>
    <w:rsid w:val="00754952"/>
    <w:rsid w:val="007554EB"/>
    <w:rsid w:val="00755C2E"/>
    <w:rsid w:val="007579C6"/>
    <w:rsid w:val="00761D65"/>
    <w:rsid w:val="007626EA"/>
    <w:rsid w:val="00762756"/>
    <w:rsid w:val="00765A04"/>
    <w:rsid w:val="00767BB2"/>
    <w:rsid w:val="00767CE0"/>
    <w:rsid w:val="00772036"/>
    <w:rsid w:val="0077222B"/>
    <w:rsid w:val="00772BB4"/>
    <w:rsid w:val="007742E8"/>
    <w:rsid w:val="00774C1E"/>
    <w:rsid w:val="007750A6"/>
    <w:rsid w:val="00775D5E"/>
    <w:rsid w:val="00777848"/>
    <w:rsid w:val="00780BC3"/>
    <w:rsid w:val="00780EC8"/>
    <w:rsid w:val="00783996"/>
    <w:rsid w:val="007860A9"/>
    <w:rsid w:val="00786342"/>
    <w:rsid w:val="007874FD"/>
    <w:rsid w:val="007877C1"/>
    <w:rsid w:val="0079018F"/>
    <w:rsid w:val="0079094C"/>
    <w:rsid w:val="00791F88"/>
    <w:rsid w:val="007923BC"/>
    <w:rsid w:val="007929B2"/>
    <w:rsid w:val="007938A4"/>
    <w:rsid w:val="00793E3E"/>
    <w:rsid w:val="007957F8"/>
    <w:rsid w:val="00795CFC"/>
    <w:rsid w:val="00796C48"/>
    <w:rsid w:val="007A05CB"/>
    <w:rsid w:val="007A08BD"/>
    <w:rsid w:val="007A0B82"/>
    <w:rsid w:val="007A0C1C"/>
    <w:rsid w:val="007A0F0C"/>
    <w:rsid w:val="007A17D3"/>
    <w:rsid w:val="007A1852"/>
    <w:rsid w:val="007A3028"/>
    <w:rsid w:val="007A3400"/>
    <w:rsid w:val="007A3A88"/>
    <w:rsid w:val="007A3E0D"/>
    <w:rsid w:val="007A4206"/>
    <w:rsid w:val="007A436B"/>
    <w:rsid w:val="007A4864"/>
    <w:rsid w:val="007A5ACD"/>
    <w:rsid w:val="007A6633"/>
    <w:rsid w:val="007A726D"/>
    <w:rsid w:val="007A783F"/>
    <w:rsid w:val="007B1958"/>
    <w:rsid w:val="007B1DDA"/>
    <w:rsid w:val="007B3A4D"/>
    <w:rsid w:val="007B5EB0"/>
    <w:rsid w:val="007C0D5C"/>
    <w:rsid w:val="007C12BD"/>
    <w:rsid w:val="007C1E6D"/>
    <w:rsid w:val="007C5128"/>
    <w:rsid w:val="007C5AEB"/>
    <w:rsid w:val="007C5D29"/>
    <w:rsid w:val="007C6959"/>
    <w:rsid w:val="007D16F0"/>
    <w:rsid w:val="007D51C7"/>
    <w:rsid w:val="007D6145"/>
    <w:rsid w:val="007D61DC"/>
    <w:rsid w:val="007D6576"/>
    <w:rsid w:val="007D72CD"/>
    <w:rsid w:val="007E0492"/>
    <w:rsid w:val="007E10E9"/>
    <w:rsid w:val="007E243E"/>
    <w:rsid w:val="007E2CE0"/>
    <w:rsid w:val="007E423C"/>
    <w:rsid w:val="007E43A2"/>
    <w:rsid w:val="007E53A9"/>
    <w:rsid w:val="007E541F"/>
    <w:rsid w:val="007E59FC"/>
    <w:rsid w:val="007E6E9D"/>
    <w:rsid w:val="007F06F6"/>
    <w:rsid w:val="007F1A28"/>
    <w:rsid w:val="007F3BBD"/>
    <w:rsid w:val="007F40B6"/>
    <w:rsid w:val="007F40F0"/>
    <w:rsid w:val="007F6AD9"/>
    <w:rsid w:val="007F74B1"/>
    <w:rsid w:val="00800110"/>
    <w:rsid w:val="00800FA3"/>
    <w:rsid w:val="00802A1D"/>
    <w:rsid w:val="008036A6"/>
    <w:rsid w:val="00804822"/>
    <w:rsid w:val="00804FD4"/>
    <w:rsid w:val="00805245"/>
    <w:rsid w:val="00806CE4"/>
    <w:rsid w:val="0080706A"/>
    <w:rsid w:val="008078B8"/>
    <w:rsid w:val="00810011"/>
    <w:rsid w:val="008117B7"/>
    <w:rsid w:val="00811FA5"/>
    <w:rsid w:val="008144C9"/>
    <w:rsid w:val="00816B9D"/>
    <w:rsid w:val="0081756B"/>
    <w:rsid w:val="0082159A"/>
    <w:rsid w:val="00821FCB"/>
    <w:rsid w:val="00822041"/>
    <w:rsid w:val="008228FB"/>
    <w:rsid w:val="008229E4"/>
    <w:rsid w:val="00824DEB"/>
    <w:rsid w:val="00825DAC"/>
    <w:rsid w:val="00827386"/>
    <w:rsid w:val="008277E1"/>
    <w:rsid w:val="00830225"/>
    <w:rsid w:val="00830B1F"/>
    <w:rsid w:val="008311D9"/>
    <w:rsid w:val="0083152E"/>
    <w:rsid w:val="00832560"/>
    <w:rsid w:val="00832B10"/>
    <w:rsid w:val="0083449E"/>
    <w:rsid w:val="00834672"/>
    <w:rsid w:val="008346A6"/>
    <w:rsid w:val="00835A13"/>
    <w:rsid w:val="00836AAD"/>
    <w:rsid w:val="008374A6"/>
    <w:rsid w:val="00841121"/>
    <w:rsid w:val="00841243"/>
    <w:rsid w:val="00842077"/>
    <w:rsid w:val="00842D8D"/>
    <w:rsid w:val="008434E2"/>
    <w:rsid w:val="00844132"/>
    <w:rsid w:val="00845744"/>
    <w:rsid w:val="0084747F"/>
    <w:rsid w:val="00847EE9"/>
    <w:rsid w:val="0085094B"/>
    <w:rsid w:val="00850D6E"/>
    <w:rsid w:val="00850DC2"/>
    <w:rsid w:val="00850E76"/>
    <w:rsid w:val="008517DE"/>
    <w:rsid w:val="0085181D"/>
    <w:rsid w:val="00851CA9"/>
    <w:rsid w:val="008522BC"/>
    <w:rsid w:val="008524B5"/>
    <w:rsid w:val="00852905"/>
    <w:rsid w:val="00852C32"/>
    <w:rsid w:val="00853F80"/>
    <w:rsid w:val="00854F86"/>
    <w:rsid w:val="008555AC"/>
    <w:rsid w:val="00855690"/>
    <w:rsid w:val="0085630D"/>
    <w:rsid w:val="008572AA"/>
    <w:rsid w:val="00857D7B"/>
    <w:rsid w:val="00860361"/>
    <w:rsid w:val="00860E83"/>
    <w:rsid w:val="008618DE"/>
    <w:rsid w:val="00863B9D"/>
    <w:rsid w:val="008641F4"/>
    <w:rsid w:val="00866955"/>
    <w:rsid w:val="00867428"/>
    <w:rsid w:val="0087205C"/>
    <w:rsid w:val="00872866"/>
    <w:rsid w:val="0087292C"/>
    <w:rsid w:val="008738F2"/>
    <w:rsid w:val="0087402B"/>
    <w:rsid w:val="0087443C"/>
    <w:rsid w:val="00874A94"/>
    <w:rsid w:val="00874E43"/>
    <w:rsid w:val="00875858"/>
    <w:rsid w:val="00875CFD"/>
    <w:rsid w:val="00876E4F"/>
    <w:rsid w:val="00880A15"/>
    <w:rsid w:val="008811F0"/>
    <w:rsid w:val="00883455"/>
    <w:rsid w:val="0088448D"/>
    <w:rsid w:val="00884E29"/>
    <w:rsid w:val="00885D90"/>
    <w:rsid w:val="00887529"/>
    <w:rsid w:val="00887705"/>
    <w:rsid w:val="00891871"/>
    <w:rsid w:val="00892244"/>
    <w:rsid w:val="00895BA6"/>
    <w:rsid w:val="0089784A"/>
    <w:rsid w:val="00897E91"/>
    <w:rsid w:val="008A017A"/>
    <w:rsid w:val="008A072A"/>
    <w:rsid w:val="008A19D5"/>
    <w:rsid w:val="008A3C7B"/>
    <w:rsid w:val="008A405A"/>
    <w:rsid w:val="008A40EB"/>
    <w:rsid w:val="008A4959"/>
    <w:rsid w:val="008A62AF"/>
    <w:rsid w:val="008A6CB0"/>
    <w:rsid w:val="008A7887"/>
    <w:rsid w:val="008B24E2"/>
    <w:rsid w:val="008B28D7"/>
    <w:rsid w:val="008B56E3"/>
    <w:rsid w:val="008B7F54"/>
    <w:rsid w:val="008B7FB9"/>
    <w:rsid w:val="008C15B3"/>
    <w:rsid w:val="008C197B"/>
    <w:rsid w:val="008C2018"/>
    <w:rsid w:val="008C2174"/>
    <w:rsid w:val="008C30A6"/>
    <w:rsid w:val="008C4106"/>
    <w:rsid w:val="008C4341"/>
    <w:rsid w:val="008C4822"/>
    <w:rsid w:val="008C4E30"/>
    <w:rsid w:val="008C4E65"/>
    <w:rsid w:val="008C5273"/>
    <w:rsid w:val="008C53D7"/>
    <w:rsid w:val="008C555E"/>
    <w:rsid w:val="008C5870"/>
    <w:rsid w:val="008C6095"/>
    <w:rsid w:val="008C6309"/>
    <w:rsid w:val="008C7C19"/>
    <w:rsid w:val="008D0B9C"/>
    <w:rsid w:val="008D1902"/>
    <w:rsid w:val="008D2D31"/>
    <w:rsid w:val="008D3694"/>
    <w:rsid w:val="008D6FBC"/>
    <w:rsid w:val="008E0BF0"/>
    <w:rsid w:val="008E0FEB"/>
    <w:rsid w:val="008E21D5"/>
    <w:rsid w:val="008E3E67"/>
    <w:rsid w:val="008E422D"/>
    <w:rsid w:val="008E4EC4"/>
    <w:rsid w:val="008E56AE"/>
    <w:rsid w:val="008E680F"/>
    <w:rsid w:val="008E7793"/>
    <w:rsid w:val="008F0170"/>
    <w:rsid w:val="008F0C79"/>
    <w:rsid w:val="008F1589"/>
    <w:rsid w:val="008F166D"/>
    <w:rsid w:val="008F18CF"/>
    <w:rsid w:val="008F28A2"/>
    <w:rsid w:val="008F48D3"/>
    <w:rsid w:val="008F4BDA"/>
    <w:rsid w:val="008F765C"/>
    <w:rsid w:val="0090042C"/>
    <w:rsid w:val="009017B5"/>
    <w:rsid w:val="00902568"/>
    <w:rsid w:val="0090388B"/>
    <w:rsid w:val="00903F68"/>
    <w:rsid w:val="00906008"/>
    <w:rsid w:val="00906247"/>
    <w:rsid w:val="0090777A"/>
    <w:rsid w:val="00907E4D"/>
    <w:rsid w:val="00907F2A"/>
    <w:rsid w:val="0091000E"/>
    <w:rsid w:val="00910808"/>
    <w:rsid w:val="009123ED"/>
    <w:rsid w:val="009123FA"/>
    <w:rsid w:val="00913455"/>
    <w:rsid w:val="00913C8E"/>
    <w:rsid w:val="00914D90"/>
    <w:rsid w:val="00915BDA"/>
    <w:rsid w:val="00916CC9"/>
    <w:rsid w:val="00916E0E"/>
    <w:rsid w:val="009217CF"/>
    <w:rsid w:val="00921B51"/>
    <w:rsid w:val="0092366B"/>
    <w:rsid w:val="009246D6"/>
    <w:rsid w:val="00924D09"/>
    <w:rsid w:val="009259D3"/>
    <w:rsid w:val="009265AC"/>
    <w:rsid w:val="0092720E"/>
    <w:rsid w:val="0092757F"/>
    <w:rsid w:val="009300DC"/>
    <w:rsid w:val="009308AD"/>
    <w:rsid w:val="009319AB"/>
    <w:rsid w:val="00931FB4"/>
    <w:rsid w:val="009320D0"/>
    <w:rsid w:val="00932365"/>
    <w:rsid w:val="00932CEF"/>
    <w:rsid w:val="0093357E"/>
    <w:rsid w:val="00933E3B"/>
    <w:rsid w:val="0093415B"/>
    <w:rsid w:val="009372D9"/>
    <w:rsid w:val="0094067B"/>
    <w:rsid w:val="0094088C"/>
    <w:rsid w:val="00940F12"/>
    <w:rsid w:val="009414D4"/>
    <w:rsid w:val="009421BE"/>
    <w:rsid w:val="009422C6"/>
    <w:rsid w:val="009426B9"/>
    <w:rsid w:val="00942929"/>
    <w:rsid w:val="00942CCC"/>
    <w:rsid w:val="00942ED1"/>
    <w:rsid w:val="009431E6"/>
    <w:rsid w:val="009439B5"/>
    <w:rsid w:val="00944F61"/>
    <w:rsid w:val="00946903"/>
    <w:rsid w:val="009472E5"/>
    <w:rsid w:val="009474EF"/>
    <w:rsid w:val="00951B93"/>
    <w:rsid w:val="00952CB4"/>
    <w:rsid w:val="009531BF"/>
    <w:rsid w:val="00954769"/>
    <w:rsid w:val="00954BE4"/>
    <w:rsid w:val="00956992"/>
    <w:rsid w:val="00957AAA"/>
    <w:rsid w:val="00960BE9"/>
    <w:rsid w:val="00961B55"/>
    <w:rsid w:val="009637F5"/>
    <w:rsid w:val="00964BC1"/>
    <w:rsid w:val="00964F65"/>
    <w:rsid w:val="00964FB5"/>
    <w:rsid w:val="009658EC"/>
    <w:rsid w:val="00967D90"/>
    <w:rsid w:val="00970558"/>
    <w:rsid w:val="009708F5"/>
    <w:rsid w:val="00971FD0"/>
    <w:rsid w:val="00972779"/>
    <w:rsid w:val="0097289B"/>
    <w:rsid w:val="00972A0B"/>
    <w:rsid w:val="00973A46"/>
    <w:rsid w:val="00974118"/>
    <w:rsid w:val="009744B5"/>
    <w:rsid w:val="00974C0A"/>
    <w:rsid w:val="00975012"/>
    <w:rsid w:val="009755D4"/>
    <w:rsid w:val="00975A9E"/>
    <w:rsid w:val="009773BC"/>
    <w:rsid w:val="009802BA"/>
    <w:rsid w:val="009816B5"/>
    <w:rsid w:val="00981FF9"/>
    <w:rsid w:val="009824C0"/>
    <w:rsid w:val="009825BB"/>
    <w:rsid w:val="00982F36"/>
    <w:rsid w:val="0098314B"/>
    <w:rsid w:val="00984EE9"/>
    <w:rsid w:val="00985129"/>
    <w:rsid w:val="00985B79"/>
    <w:rsid w:val="00985C00"/>
    <w:rsid w:val="0098659D"/>
    <w:rsid w:val="0098681C"/>
    <w:rsid w:val="00990210"/>
    <w:rsid w:val="00991768"/>
    <w:rsid w:val="0099189B"/>
    <w:rsid w:val="0099194A"/>
    <w:rsid w:val="00992E1E"/>
    <w:rsid w:val="00994337"/>
    <w:rsid w:val="00995105"/>
    <w:rsid w:val="00995346"/>
    <w:rsid w:val="0099539A"/>
    <w:rsid w:val="009958AE"/>
    <w:rsid w:val="009965DB"/>
    <w:rsid w:val="0099699E"/>
    <w:rsid w:val="00996A03"/>
    <w:rsid w:val="00997515"/>
    <w:rsid w:val="00997FA3"/>
    <w:rsid w:val="009A0C45"/>
    <w:rsid w:val="009A185C"/>
    <w:rsid w:val="009A1C94"/>
    <w:rsid w:val="009A2B52"/>
    <w:rsid w:val="009A30DD"/>
    <w:rsid w:val="009A35BF"/>
    <w:rsid w:val="009A35C1"/>
    <w:rsid w:val="009A4CC1"/>
    <w:rsid w:val="009A5537"/>
    <w:rsid w:val="009A6E72"/>
    <w:rsid w:val="009B0C6C"/>
    <w:rsid w:val="009B20EB"/>
    <w:rsid w:val="009B2349"/>
    <w:rsid w:val="009B5322"/>
    <w:rsid w:val="009B7D66"/>
    <w:rsid w:val="009C010D"/>
    <w:rsid w:val="009C0388"/>
    <w:rsid w:val="009C0B38"/>
    <w:rsid w:val="009C1A56"/>
    <w:rsid w:val="009C1CB5"/>
    <w:rsid w:val="009C247D"/>
    <w:rsid w:val="009C2C40"/>
    <w:rsid w:val="009C4471"/>
    <w:rsid w:val="009C5363"/>
    <w:rsid w:val="009C542B"/>
    <w:rsid w:val="009D057E"/>
    <w:rsid w:val="009D0E96"/>
    <w:rsid w:val="009D17E1"/>
    <w:rsid w:val="009D2A22"/>
    <w:rsid w:val="009D47CF"/>
    <w:rsid w:val="009D654A"/>
    <w:rsid w:val="009D6DD3"/>
    <w:rsid w:val="009E34E5"/>
    <w:rsid w:val="009E4D09"/>
    <w:rsid w:val="009E5FF5"/>
    <w:rsid w:val="009E6295"/>
    <w:rsid w:val="009E6307"/>
    <w:rsid w:val="009E6DBE"/>
    <w:rsid w:val="009E794E"/>
    <w:rsid w:val="009F020E"/>
    <w:rsid w:val="009F2F45"/>
    <w:rsid w:val="009F3456"/>
    <w:rsid w:val="009F3DE4"/>
    <w:rsid w:val="009F6088"/>
    <w:rsid w:val="00A0109B"/>
    <w:rsid w:val="00A01FA2"/>
    <w:rsid w:val="00A036A3"/>
    <w:rsid w:val="00A03F5C"/>
    <w:rsid w:val="00A04BD7"/>
    <w:rsid w:val="00A06CE0"/>
    <w:rsid w:val="00A0737E"/>
    <w:rsid w:val="00A075C4"/>
    <w:rsid w:val="00A076A4"/>
    <w:rsid w:val="00A12469"/>
    <w:rsid w:val="00A12EC1"/>
    <w:rsid w:val="00A12F2D"/>
    <w:rsid w:val="00A15465"/>
    <w:rsid w:val="00A17930"/>
    <w:rsid w:val="00A20A4B"/>
    <w:rsid w:val="00A21711"/>
    <w:rsid w:val="00A2589B"/>
    <w:rsid w:val="00A263A2"/>
    <w:rsid w:val="00A264E8"/>
    <w:rsid w:val="00A30A5D"/>
    <w:rsid w:val="00A32D07"/>
    <w:rsid w:val="00A33C2B"/>
    <w:rsid w:val="00A33FF3"/>
    <w:rsid w:val="00A3476A"/>
    <w:rsid w:val="00A34E50"/>
    <w:rsid w:val="00A34E6F"/>
    <w:rsid w:val="00A351FF"/>
    <w:rsid w:val="00A3572E"/>
    <w:rsid w:val="00A3750D"/>
    <w:rsid w:val="00A42B1B"/>
    <w:rsid w:val="00A431C6"/>
    <w:rsid w:val="00A4351A"/>
    <w:rsid w:val="00A43D3D"/>
    <w:rsid w:val="00A43FDF"/>
    <w:rsid w:val="00A4430F"/>
    <w:rsid w:val="00A46369"/>
    <w:rsid w:val="00A4641F"/>
    <w:rsid w:val="00A466A9"/>
    <w:rsid w:val="00A46B6B"/>
    <w:rsid w:val="00A46CA4"/>
    <w:rsid w:val="00A50D58"/>
    <w:rsid w:val="00A522B9"/>
    <w:rsid w:val="00A52B67"/>
    <w:rsid w:val="00A5369B"/>
    <w:rsid w:val="00A55CB6"/>
    <w:rsid w:val="00A56727"/>
    <w:rsid w:val="00A5684A"/>
    <w:rsid w:val="00A6183D"/>
    <w:rsid w:val="00A61F1B"/>
    <w:rsid w:val="00A62D24"/>
    <w:rsid w:val="00A63C25"/>
    <w:rsid w:val="00A64AC7"/>
    <w:rsid w:val="00A65DDA"/>
    <w:rsid w:val="00A6672B"/>
    <w:rsid w:val="00A66C19"/>
    <w:rsid w:val="00A672D0"/>
    <w:rsid w:val="00A67735"/>
    <w:rsid w:val="00A67BE4"/>
    <w:rsid w:val="00A721EA"/>
    <w:rsid w:val="00A72958"/>
    <w:rsid w:val="00A73C5A"/>
    <w:rsid w:val="00A74423"/>
    <w:rsid w:val="00A7447F"/>
    <w:rsid w:val="00A762CC"/>
    <w:rsid w:val="00A80AE0"/>
    <w:rsid w:val="00A80C31"/>
    <w:rsid w:val="00A80DC1"/>
    <w:rsid w:val="00A8136E"/>
    <w:rsid w:val="00A82ACE"/>
    <w:rsid w:val="00A84595"/>
    <w:rsid w:val="00A84E82"/>
    <w:rsid w:val="00A8517D"/>
    <w:rsid w:val="00A85CF2"/>
    <w:rsid w:val="00A85F97"/>
    <w:rsid w:val="00A91789"/>
    <w:rsid w:val="00A919F6"/>
    <w:rsid w:val="00A91B4A"/>
    <w:rsid w:val="00A94167"/>
    <w:rsid w:val="00A96344"/>
    <w:rsid w:val="00A96E60"/>
    <w:rsid w:val="00A97C4F"/>
    <w:rsid w:val="00AA1B6E"/>
    <w:rsid w:val="00AA1FCE"/>
    <w:rsid w:val="00AA2FBE"/>
    <w:rsid w:val="00AA4B94"/>
    <w:rsid w:val="00AA4D9B"/>
    <w:rsid w:val="00AA54CC"/>
    <w:rsid w:val="00AA591F"/>
    <w:rsid w:val="00AA75AC"/>
    <w:rsid w:val="00AB134B"/>
    <w:rsid w:val="00AB2342"/>
    <w:rsid w:val="00AB252B"/>
    <w:rsid w:val="00AB3D9A"/>
    <w:rsid w:val="00AB405C"/>
    <w:rsid w:val="00AB47CE"/>
    <w:rsid w:val="00AB575B"/>
    <w:rsid w:val="00AB5F49"/>
    <w:rsid w:val="00AC2D12"/>
    <w:rsid w:val="00AC38E8"/>
    <w:rsid w:val="00AC4F51"/>
    <w:rsid w:val="00AC7B51"/>
    <w:rsid w:val="00AC7BC2"/>
    <w:rsid w:val="00AD0371"/>
    <w:rsid w:val="00AD13DC"/>
    <w:rsid w:val="00AD151F"/>
    <w:rsid w:val="00AD2762"/>
    <w:rsid w:val="00AD3AAE"/>
    <w:rsid w:val="00AD4813"/>
    <w:rsid w:val="00AD5251"/>
    <w:rsid w:val="00AD5291"/>
    <w:rsid w:val="00AD5333"/>
    <w:rsid w:val="00AD54C5"/>
    <w:rsid w:val="00AD5522"/>
    <w:rsid w:val="00AD5A38"/>
    <w:rsid w:val="00AD5A97"/>
    <w:rsid w:val="00AD5B63"/>
    <w:rsid w:val="00AD5FAA"/>
    <w:rsid w:val="00AD72B7"/>
    <w:rsid w:val="00AD7C5A"/>
    <w:rsid w:val="00AE407F"/>
    <w:rsid w:val="00AE53F8"/>
    <w:rsid w:val="00AE61B0"/>
    <w:rsid w:val="00AE6312"/>
    <w:rsid w:val="00AE659A"/>
    <w:rsid w:val="00AE6D63"/>
    <w:rsid w:val="00AE713B"/>
    <w:rsid w:val="00AE72F9"/>
    <w:rsid w:val="00AF06DA"/>
    <w:rsid w:val="00AF1207"/>
    <w:rsid w:val="00AF211B"/>
    <w:rsid w:val="00AF4C35"/>
    <w:rsid w:val="00AF6518"/>
    <w:rsid w:val="00AF6E5F"/>
    <w:rsid w:val="00B009D4"/>
    <w:rsid w:val="00B02B90"/>
    <w:rsid w:val="00B0314B"/>
    <w:rsid w:val="00B03809"/>
    <w:rsid w:val="00B04864"/>
    <w:rsid w:val="00B06836"/>
    <w:rsid w:val="00B0737E"/>
    <w:rsid w:val="00B074FA"/>
    <w:rsid w:val="00B076B2"/>
    <w:rsid w:val="00B13774"/>
    <w:rsid w:val="00B13A8A"/>
    <w:rsid w:val="00B14120"/>
    <w:rsid w:val="00B15C76"/>
    <w:rsid w:val="00B16573"/>
    <w:rsid w:val="00B16B2E"/>
    <w:rsid w:val="00B16C29"/>
    <w:rsid w:val="00B17555"/>
    <w:rsid w:val="00B17FFC"/>
    <w:rsid w:val="00B20287"/>
    <w:rsid w:val="00B2169D"/>
    <w:rsid w:val="00B25B35"/>
    <w:rsid w:val="00B2755E"/>
    <w:rsid w:val="00B27BC1"/>
    <w:rsid w:val="00B30640"/>
    <w:rsid w:val="00B3069C"/>
    <w:rsid w:val="00B311A8"/>
    <w:rsid w:val="00B3267E"/>
    <w:rsid w:val="00B3274D"/>
    <w:rsid w:val="00B33351"/>
    <w:rsid w:val="00B33DD7"/>
    <w:rsid w:val="00B35767"/>
    <w:rsid w:val="00B36A01"/>
    <w:rsid w:val="00B372A8"/>
    <w:rsid w:val="00B40531"/>
    <w:rsid w:val="00B412E9"/>
    <w:rsid w:val="00B4163F"/>
    <w:rsid w:val="00B43332"/>
    <w:rsid w:val="00B438CF"/>
    <w:rsid w:val="00B45596"/>
    <w:rsid w:val="00B45A0F"/>
    <w:rsid w:val="00B45C39"/>
    <w:rsid w:val="00B46B2A"/>
    <w:rsid w:val="00B46EE7"/>
    <w:rsid w:val="00B4759D"/>
    <w:rsid w:val="00B50D25"/>
    <w:rsid w:val="00B51340"/>
    <w:rsid w:val="00B51C6A"/>
    <w:rsid w:val="00B51D85"/>
    <w:rsid w:val="00B5206E"/>
    <w:rsid w:val="00B52543"/>
    <w:rsid w:val="00B53FDE"/>
    <w:rsid w:val="00B54AE8"/>
    <w:rsid w:val="00B54DED"/>
    <w:rsid w:val="00B559A4"/>
    <w:rsid w:val="00B56748"/>
    <w:rsid w:val="00B56AFF"/>
    <w:rsid w:val="00B56DDC"/>
    <w:rsid w:val="00B5724D"/>
    <w:rsid w:val="00B577BB"/>
    <w:rsid w:val="00B6057E"/>
    <w:rsid w:val="00B60D59"/>
    <w:rsid w:val="00B6117A"/>
    <w:rsid w:val="00B63281"/>
    <w:rsid w:val="00B63C5F"/>
    <w:rsid w:val="00B648C9"/>
    <w:rsid w:val="00B64903"/>
    <w:rsid w:val="00B651CF"/>
    <w:rsid w:val="00B71741"/>
    <w:rsid w:val="00B722B6"/>
    <w:rsid w:val="00B72C79"/>
    <w:rsid w:val="00B730C9"/>
    <w:rsid w:val="00B73B01"/>
    <w:rsid w:val="00B750A0"/>
    <w:rsid w:val="00B764B0"/>
    <w:rsid w:val="00B76903"/>
    <w:rsid w:val="00B8030D"/>
    <w:rsid w:val="00B80A99"/>
    <w:rsid w:val="00B80BDF"/>
    <w:rsid w:val="00B81EB4"/>
    <w:rsid w:val="00B82549"/>
    <w:rsid w:val="00B8256E"/>
    <w:rsid w:val="00B82FE7"/>
    <w:rsid w:val="00B8321D"/>
    <w:rsid w:val="00B836B7"/>
    <w:rsid w:val="00B83A0D"/>
    <w:rsid w:val="00B83E25"/>
    <w:rsid w:val="00B84083"/>
    <w:rsid w:val="00B86AE2"/>
    <w:rsid w:val="00B902AD"/>
    <w:rsid w:val="00B903B6"/>
    <w:rsid w:val="00B9058C"/>
    <w:rsid w:val="00B90950"/>
    <w:rsid w:val="00B9143A"/>
    <w:rsid w:val="00B9219A"/>
    <w:rsid w:val="00B94C5A"/>
    <w:rsid w:val="00B94F12"/>
    <w:rsid w:val="00B94FFC"/>
    <w:rsid w:val="00B96FEE"/>
    <w:rsid w:val="00B97120"/>
    <w:rsid w:val="00B97FFC"/>
    <w:rsid w:val="00BA055F"/>
    <w:rsid w:val="00BA0702"/>
    <w:rsid w:val="00BA0926"/>
    <w:rsid w:val="00BA0A4E"/>
    <w:rsid w:val="00BA0DE7"/>
    <w:rsid w:val="00BA260B"/>
    <w:rsid w:val="00BA3D78"/>
    <w:rsid w:val="00BA406A"/>
    <w:rsid w:val="00BA4567"/>
    <w:rsid w:val="00BA4C6D"/>
    <w:rsid w:val="00BA53C0"/>
    <w:rsid w:val="00BA5905"/>
    <w:rsid w:val="00BA6533"/>
    <w:rsid w:val="00BA74B2"/>
    <w:rsid w:val="00BA767C"/>
    <w:rsid w:val="00BB0EF4"/>
    <w:rsid w:val="00BB10B0"/>
    <w:rsid w:val="00BB1220"/>
    <w:rsid w:val="00BB1A61"/>
    <w:rsid w:val="00BB1B35"/>
    <w:rsid w:val="00BB1C0A"/>
    <w:rsid w:val="00BB27B1"/>
    <w:rsid w:val="00BB47A5"/>
    <w:rsid w:val="00BB6CC6"/>
    <w:rsid w:val="00BC11F4"/>
    <w:rsid w:val="00BC15F7"/>
    <w:rsid w:val="00BC1DFD"/>
    <w:rsid w:val="00BC217E"/>
    <w:rsid w:val="00BC21CD"/>
    <w:rsid w:val="00BC3593"/>
    <w:rsid w:val="00BC3A24"/>
    <w:rsid w:val="00BC3F1F"/>
    <w:rsid w:val="00BC4272"/>
    <w:rsid w:val="00BC45E2"/>
    <w:rsid w:val="00BC4812"/>
    <w:rsid w:val="00BC5379"/>
    <w:rsid w:val="00BC6AA9"/>
    <w:rsid w:val="00BC6D3B"/>
    <w:rsid w:val="00BD0F8B"/>
    <w:rsid w:val="00BD3F2E"/>
    <w:rsid w:val="00BD45F9"/>
    <w:rsid w:val="00BD46FF"/>
    <w:rsid w:val="00BD4EE5"/>
    <w:rsid w:val="00BD56EF"/>
    <w:rsid w:val="00BD6DCF"/>
    <w:rsid w:val="00BD77BE"/>
    <w:rsid w:val="00BD796B"/>
    <w:rsid w:val="00BE044B"/>
    <w:rsid w:val="00BE0593"/>
    <w:rsid w:val="00BE2A35"/>
    <w:rsid w:val="00BE3A13"/>
    <w:rsid w:val="00BE4545"/>
    <w:rsid w:val="00BE5F03"/>
    <w:rsid w:val="00BE629D"/>
    <w:rsid w:val="00BE6428"/>
    <w:rsid w:val="00BE651A"/>
    <w:rsid w:val="00BF17F3"/>
    <w:rsid w:val="00BF2B04"/>
    <w:rsid w:val="00BF323C"/>
    <w:rsid w:val="00BF407C"/>
    <w:rsid w:val="00BF49A5"/>
    <w:rsid w:val="00BF5112"/>
    <w:rsid w:val="00BF5627"/>
    <w:rsid w:val="00BF5928"/>
    <w:rsid w:val="00BF5DAA"/>
    <w:rsid w:val="00BF5EBC"/>
    <w:rsid w:val="00BF7DFF"/>
    <w:rsid w:val="00BF7F74"/>
    <w:rsid w:val="00C0099F"/>
    <w:rsid w:val="00C01622"/>
    <w:rsid w:val="00C016B5"/>
    <w:rsid w:val="00C03399"/>
    <w:rsid w:val="00C048E4"/>
    <w:rsid w:val="00C04CD5"/>
    <w:rsid w:val="00C057A9"/>
    <w:rsid w:val="00C073FC"/>
    <w:rsid w:val="00C117D6"/>
    <w:rsid w:val="00C13854"/>
    <w:rsid w:val="00C1515E"/>
    <w:rsid w:val="00C15B05"/>
    <w:rsid w:val="00C1645C"/>
    <w:rsid w:val="00C16F1A"/>
    <w:rsid w:val="00C20207"/>
    <w:rsid w:val="00C20745"/>
    <w:rsid w:val="00C20E73"/>
    <w:rsid w:val="00C2166C"/>
    <w:rsid w:val="00C220CA"/>
    <w:rsid w:val="00C2218E"/>
    <w:rsid w:val="00C22BA0"/>
    <w:rsid w:val="00C2331C"/>
    <w:rsid w:val="00C24245"/>
    <w:rsid w:val="00C25FD9"/>
    <w:rsid w:val="00C26F6D"/>
    <w:rsid w:val="00C276D1"/>
    <w:rsid w:val="00C27802"/>
    <w:rsid w:val="00C3060D"/>
    <w:rsid w:val="00C30CE6"/>
    <w:rsid w:val="00C33334"/>
    <w:rsid w:val="00C3404E"/>
    <w:rsid w:val="00C34BC7"/>
    <w:rsid w:val="00C404BD"/>
    <w:rsid w:val="00C41A6F"/>
    <w:rsid w:val="00C41EE7"/>
    <w:rsid w:val="00C43D55"/>
    <w:rsid w:val="00C43F96"/>
    <w:rsid w:val="00C4409E"/>
    <w:rsid w:val="00C447D2"/>
    <w:rsid w:val="00C44B81"/>
    <w:rsid w:val="00C4515D"/>
    <w:rsid w:val="00C50D4E"/>
    <w:rsid w:val="00C52A9C"/>
    <w:rsid w:val="00C52AC7"/>
    <w:rsid w:val="00C555CB"/>
    <w:rsid w:val="00C562E9"/>
    <w:rsid w:val="00C600D7"/>
    <w:rsid w:val="00C606CF"/>
    <w:rsid w:val="00C609C2"/>
    <w:rsid w:val="00C60D39"/>
    <w:rsid w:val="00C637AC"/>
    <w:rsid w:val="00C64553"/>
    <w:rsid w:val="00C6503A"/>
    <w:rsid w:val="00C65443"/>
    <w:rsid w:val="00C65F0F"/>
    <w:rsid w:val="00C661C4"/>
    <w:rsid w:val="00C663CB"/>
    <w:rsid w:val="00C666BD"/>
    <w:rsid w:val="00C66F2A"/>
    <w:rsid w:val="00C672C8"/>
    <w:rsid w:val="00C67BF6"/>
    <w:rsid w:val="00C71638"/>
    <w:rsid w:val="00C7224A"/>
    <w:rsid w:val="00C725F3"/>
    <w:rsid w:val="00C746C0"/>
    <w:rsid w:val="00C750C3"/>
    <w:rsid w:val="00C75785"/>
    <w:rsid w:val="00C76935"/>
    <w:rsid w:val="00C76BA0"/>
    <w:rsid w:val="00C77E2C"/>
    <w:rsid w:val="00C80405"/>
    <w:rsid w:val="00C80B20"/>
    <w:rsid w:val="00C81442"/>
    <w:rsid w:val="00C8186D"/>
    <w:rsid w:val="00C819C6"/>
    <w:rsid w:val="00C82363"/>
    <w:rsid w:val="00C83997"/>
    <w:rsid w:val="00C84A05"/>
    <w:rsid w:val="00C87114"/>
    <w:rsid w:val="00C901F4"/>
    <w:rsid w:val="00C9083E"/>
    <w:rsid w:val="00C91DE5"/>
    <w:rsid w:val="00C9240F"/>
    <w:rsid w:val="00C93239"/>
    <w:rsid w:val="00C93D8E"/>
    <w:rsid w:val="00C94042"/>
    <w:rsid w:val="00C94972"/>
    <w:rsid w:val="00C94E30"/>
    <w:rsid w:val="00C959C8"/>
    <w:rsid w:val="00C97315"/>
    <w:rsid w:val="00CA0305"/>
    <w:rsid w:val="00CA1F58"/>
    <w:rsid w:val="00CA3670"/>
    <w:rsid w:val="00CA5C36"/>
    <w:rsid w:val="00CA5DB0"/>
    <w:rsid w:val="00CA5F9C"/>
    <w:rsid w:val="00CA67D8"/>
    <w:rsid w:val="00CA7002"/>
    <w:rsid w:val="00CA71CF"/>
    <w:rsid w:val="00CB1012"/>
    <w:rsid w:val="00CB30B7"/>
    <w:rsid w:val="00CB56DC"/>
    <w:rsid w:val="00CB5D27"/>
    <w:rsid w:val="00CB721C"/>
    <w:rsid w:val="00CB73D8"/>
    <w:rsid w:val="00CC15F4"/>
    <w:rsid w:val="00CC1D67"/>
    <w:rsid w:val="00CC23FF"/>
    <w:rsid w:val="00CC358C"/>
    <w:rsid w:val="00CC5C71"/>
    <w:rsid w:val="00CC5EFB"/>
    <w:rsid w:val="00CC7359"/>
    <w:rsid w:val="00CD0592"/>
    <w:rsid w:val="00CD12DA"/>
    <w:rsid w:val="00CD179E"/>
    <w:rsid w:val="00CD3051"/>
    <w:rsid w:val="00CD431A"/>
    <w:rsid w:val="00CD5918"/>
    <w:rsid w:val="00CD6DDB"/>
    <w:rsid w:val="00CE4113"/>
    <w:rsid w:val="00CE543A"/>
    <w:rsid w:val="00CE644F"/>
    <w:rsid w:val="00CF01F4"/>
    <w:rsid w:val="00CF0822"/>
    <w:rsid w:val="00CF27BE"/>
    <w:rsid w:val="00CF458D"/>
    <w:rsid w:val="00CF5CD2"/>
    <w:rsid w:val="00CF6AC1"/>
    <w:rsid w:val="00CF6AED"/>
    <w:rsid w:val="00D004BC"/>
    <w:rsid w:val="00D0099C"/>
    <w:rsid w:val="00D0159F"/>
    <w:rsid w:val="00D022C7"/>
    <w:rsid w:val="00D02D56"/>
    <w:rsid w:val="00D02E14"/>
    <w:rsid w:val="00D03313"/>
    <w:rsid w:val="00D03633"/>
    <w:rsid w:val="00D03B89"/>
    <w:rsid w:val="00D047FA"/>
    <w:rsid w:val="00D051F3"/>
    <w:rsid w:val="00D05BF0"/>
    <w:rsid w:val="00D10893"/>
    <w:rsid w:val="00D11053"/>
    <w:rsid w:val="00D112A4"/>
    <w:rsid w:val="00D1412E"/>
    <w:rsid w:val="00D14E3A"/>
    <w:rsid w:val="00D16640"/>
    <w:rsid w:val="00D20EFD"/>
    <w:rsid w:val="00D214E6"/>
    <w:rsid w:val="00D21F25"/>
    <w:rsid w:val="00D236B8"/>
    <w:rsid w:val="00D239BC"/>
    <w:rsid w:val="00D23E3D"/>
    <w:rsid w:val="00D24544"/>
    <w:rsid w:val="00D24CB1"/>
    <w:rsid w:val="00D26382"/>
    <w:rsid w:val="00D269A7"/>
    <w:rsid w:val="00D31432"/>
    <w:rsid w:val="00D33D2F"/>
    <w:rsid w:val="00D342D4"/>
    <w:rsid w:val="00D344F1"/>
    <w:rsid w:val="00D347C2"/>
    <w:rsid w:val="00D35467"/>
    <w:rsid w:val="00D3708D"/>
    <w:rsid w:val="00D4113E"/>
    <w:rsid w:val="00D4186C"/>
    <w:rsid w:val="00D41E35"/>
    <w:rsid w:val="00D41FD8"/>
    <w:rsid w:val="00D44628"/>
    <w:rsid w:val="00D44B3D"/>
    <w:rsid w:val="00D44F9D"/>
    <w:rsid w:val="00D455A7"/>
    <w:rsid w:val="00D45671"/>
    <w:rsid w:val="00D45A54"/>
    <w:rsid w:val="00D45AC4"/>
    <w:rsid w:val="00D45DF4"/>
    <w:rsid w:val="00D45EF3"/>
    <w:rsid w:val="00D46085"/>
    <w:rsid w:val="00D474E4"/>
    <w:rsid w:val="00D475E8"/>
    <w:rsid w:val="00D47BAE"/>
    <w:rsid w:val="00D47D05"/>
    <w:rsid w:val="00D47E29"/>
    <w:rsid w:val="00D503DB"/>
    <w:rsid w:val="00D505D1"/>
    <w:rsid w:val="00D50CC9"/>
    <w:rsid w:val="00D50D1C"/>
    <w:rsid w:val="00D5184C"/>
    <w:rsid w:val="00D52335"/>
    <w:rsid w:val="00D52B6C"/>
    <w:rsid w:val="00D53E7C"/>
    <w:rsid w:val="00D54DCB"/>
    <w:rsid w:val="00D55903"/>
    <w:rsid w:val="00D56C60"/>
    <w:rsid w:val="00D57437"/>
    <w:rsid w:val="00D57F73"/>
    <w:rsid w:val="00D6004C"/>
    <w:rsid w:val="00D60318"/>
    <w:rsid w:val="00D6033A"/>
    <w:rsid w:val="00D61963"/>
    <w:rsid w:val="00D62426"/>
    <w:rsid w:val="00D62A55"/>
    <w:rsid w:val="00D633EC"/>
    <w:rsid w:val="00D64C04"/>
    <w:rsid w:val="00D64EA6"/>
    <w:rsid w:val="00D67822"/>
    <w:rsid w:val="00D67CDE"/>
    <w:rsid w:val="00D67D34"/>
    <w:rsid w:val="00D7026A"/>
    <w:rsid w:val="00D71033"/>
    <w:rsid w:val="00D725F4"/>
    <w:rsid w:val="00D72DF5"/>
    <w:rsid w:val="00D73681"/>
    <w:rsid w:val="00D7383B"/>
    <w:rsid w:val="00D75612"/>
    <w:rsid w:val="00D75DE4"/>
    <w:rsid w:val="00D77056"/>
    <w:rsid w:val="00D80BBB"/>
    <w:rsid w:val="00D80ED8"/>
    <w:rsid w:val="00D81D34"/>
    <w:rsid w:val="00D82CBE"/>
    <w:rsid w:val="00D83170"/>
    <w:rsid w:val="00D85178"/>
    <w:rsid w:val="00D85317"/>
    <w:rsid w:val="00D855C8"/>
    <w:rsid w:val="00D86C0A"/>
    <w:rsid w:val="00D87234"/>
    <w:rsid w:val="00D87960"/>
    <w:rsid w:val="00D87ADD"/>
    <w:rsid w:val="00D90E27"/>
    <w:rsid w:val="00D915DF"/>
    <w:rsid w:val="00D916B3"/>
    <w:rsid w:val="00D92A88"/>
    <w:rsid w:val="00D94887"/>
    <w:rsid w:val="00D95641"/>
    <w:rsid w:val="00D959F8"/>
    <w:rsid w:val="00D95E78"/>
    <w:rsid w:val="00D9611A"/>
    <w:rsid w:val="00D96372"/>
    <w:rsid w:val="00D966A1"/>
    <w:rsid w:val="00D96918"/>
    <w:rsid w:val="00D96A86"/>
    <w:rsid w:val="00D97656"/>
    <w:rsid w:val="00D977D4"/>
    <w:rsid w:val="00DA029F"/>
    <w:rsid w:val="00DA1385"/>
    <w:rsid w:val="00DA1F9C"/>
    <w:rsid w:val="00DA2E91"/>
    <w:rsid w:val="00DA3752"/>
    <w:rsid w:val="00DA3B88"/>
    <w:rsid w:val="00DA451A"/>
    <w:rsid w:val="00DA4F20"/>
    <w:rsid w:val="00DA5AEE"/>
    <w:rsid w:val="00DA607C"/>
    <w:rsid w:val="00DA608A"/>
    <w:rsid w:val="00DA6E9E"/>
    <w:rsid w:val="00DA7CB6"/>
    <w:rsid w:val="00DB0357"/>
    <w:rsid w:val="00DB2AD6"/>
    <w:rsid w:val="00DB2B2B"/>
    <w:rsid w:val="00DB31F7"/>
    <w:rsid w:val="00DB49CA"/>
    <w:rsid w:val="00DB5B6B"/>
    <w:rsid w:val="00DC355B"/>
    <w:rsid w:val="00DC3E3B"/>
    <w:rsid w:val="00DC3E3E"/>
    <w:rsid w:val="00DC45D1"/>
    <w:rsid w:val="00DC4815"/>
    <w:rsid w:val="00DC4E71"/>
    <w:rsid w:val="00DC51B2"/>
    <w:rsid w:val="00DC6AC7"/>
    <w:rsid w:val="00DC7107"/>
    <w:rsid w:val="00DC72FF"/>
    <w:rsid w:val="00DC7720"/>
    <w:rsid w:val="00DD143E"/>
    <w:rsid w:val="00DD38E9"/>
    <w:rsid w:val="00DD7EE3"/>
    <w:rsid w:val="00DE6C30"/>
    <w:rsid w:val="00DE721C"/>
    <w:rsid w:val="00DE75B4"/>
    <w:rsid w:val="00DF01D5"/>
    <w:rsid w:val="00DF0EBB"/>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413A"/>
    <w:rsid w:val="00E04470"/>
    <w:rsid w:val="00E0679E"/>
    <w:rsid w:val="00E06B50"/>
    <w:rsid w:val="00E1000D"/>
    <w:rsid w:val="00E111A7"/>
    <w:rsid w:val="00E123D3"/>
    <w:rsid w:val="00E12AD5"/>
    <w:rsid w:val="00E14189"/>
    <w:rsid w:val="00E1593C"/>
    <w:rsid w:val="00E162B9"/>
    <w:rsid w:val="00E162E5"/>
    <w:rsid w:val="00E169F4"/>
    <w:rsid w:val="00E203F5"/>
    <w:rsid w:val="00E20556"/>
    <w:rsid w:val="00E242FF"/>
    <w:rsid w:val="00E24C33"/>
    <w:rsid w:val="00E25691"/>
    <w:rsid w:val="00E26933"/>
    <w:rsid w:val="00E31018"/>
    <w:rsid w:val="00E32436"/>
    <w:rsid w:val="00E32A6E"/>
    <w:rsid w:val="00E337FB"/>
    <w:rsid w:val="00E36491"/>
    <w:rsid w:val="00E367D4"/>
    <w:rsid w:val="00E375E5"/>
    <w:rsid w:val="00E4003E"/>
    <w:rsid w:val="00E4116B"/>
    <w:rsid w:val="00E43890"/>
    <w:rsid w:val="00E43F9C"/>
    <w:rsid w:val="00E4493F"/>
    <w:rsid w:val="00E44E5F"/>
    <w:rsid w:val="00E4557F"/>
    <w:rsid w:val="00E459BB"/>
    <w:rsid w:val="00E45AC3"/>
    <w:rsid w:val="00E460BD"/>
    <w:rsid w:val="00E467CB"/>
    <w:rsid w:val="00E47377"/>
    <w:rsid w:val="00E47BCA"/>
    <w:rsid w:val="00E52225"/>
    <w:rsid w:val="00E541C1"/>
    <w:rsid w:val="00E55B8E"/>
    <w:rsid w:val="00E55E54"/>
    <w:rsid w:val="00E60D5C"/>
    <w:rsid w:val="00E60EB4"/>
    <w:rsid w:val="00E62138"/>
    <w:rsid w:val="00E62E63"/>
    <w:rsid w:val="00E639A0"/>
    <w:rsid w:val="00E63CD5"/>
    <w:rsid w:val="00E64284"/>
    <w:rsid w:val="00E657E6"/>
    <w:rsid w:val="00E66253"/>
    <w:rsid w:val="00E672CF"/>
    <w:rsid w:val="00E70484"/>
    <w:rsid w:val="00E72C14"/>
    <w:rsid w:val="00E72E9D"/>
    <w:rsid w:val="00E7338C"/>
    <w:rsid w:val="00E7421A"/>
    <w:rsid w:val="00E75264"/>
    <w:rsid w:val="00E7623E"/>
    <w:rsid w:val="00E76D6F"/>
    <w:rsid w:val="00E80771"/>
    <w:rsid w:val="00E81F84"/>
    <w:rsid w:val="00E83F26"/>
    <w:rsid w:val="00E84A9A"/>
    <w:rsid w:val="00E85A30"/>
    <w:rsid w:val="00E862C6"/>
    <w:rsid w:val="00E8779B"/>
    <w:rsid w:val="00E87824"/>
    <w:rsid w:val="00E91AB8"/>
    <w:rsid w:val="00E91F50"/>
    <w:rsid w:val="00E93FB8"/>
    <w:rsid w:val="00E94F6E"/>
    <w:rsid w:val="00E957D9"/>
    <w:rsid w:val="00E96511"/>
    <w:rsid w:val="00EA0EEC"/>
    <w:rsid w:val="00EA0FAF"/>
    <w:rsid w:val="00EA1E3D"/>
    <w:rsid w:val="00EA30E1"/>
    <w:rsid w:val="00EA3C8E"/>
    <w:rsid w:val="00EA5D63"/>
    <w:rsid w:val="00EA5F6D"/>
    <w:rsid w:val="00EB37ED"/>
    <w:rsid w:val="00EB79F4"/>
    <w:rsid w:val="00EB7CD4"/>
    <w:rsid w:val="00EC0D2F"/>
    <w:rsid w:val="00EC117A"/>
    <w:rsid w:val="00EC238D"/>
    <w:rsid w:val="00EC377A"/>
    <w:rsid w:val="00EC3C6A"/>
    <w:rsid w:val="00EC53E7"/>
    <w:rsid w:val="00EC5904"/>
    <w:rsid w:val="00EC5E63"/>
    <w:rsid w:val="00EC60DF"/>
    <w:rsid w:val="00EC64E7"/>
    <w:rsid w:val="00EC6642"/>
    <w:rsid w:val="00EC714A"/>
    <w:rsid w:val="00EC723D"/>
    <w:rsid w:val="00EC789A"/>
    <w:rsid w:val="00EC789C"/>
    <w:rsid w:val="00ED2149"/>
    <w:rsid w:val="00ED4A9C"/>
    <w:rsid w:val="00ED641B"/>
    <w:rsid w:val="00EE027D"/>
    <w:rsid w:val="00EE0567"/>
    <w:rsid w:val="00EE3D21"/>
    <w:rsid w:val="00EE467E"/>
    <w:rsid w:val="00EE4C8F"/>
    <w:rsid w:val="00EE59B8"/>
    <w:rsid w:val="00EE6120"/>
    <w:rsid w:val="00EE648E"/>
    <w:rsid w:val="00EE7466"/>
    <w:rsid w:val="00EE7C9C"/>
    <w:rsid w:val="00EF021E"/>
    <w:rsid w:val="00EF0A1B"/>
    <w:rsid w:val="00EF10C5"/>
    <w:rsid w:val="00EF17FF"/>
    <w:rsid w:val="00EF1EC2"/>
    <w:rsid w:val="00EF248B"/>
    <w:rsid w:val="00EF2766"/>
    <w:rsid w:val="00EF509F"/>
    <w:rsid w:val="00EF74EB"/>
    <w:rsid w:val="00F00E55"/>
    <w:rsid w:val="00F021BD"/>
    <w:rsid w:val="00F033A7"/>
    <w:rsid w:val="00F04BD3"/>
    <w:rsid w:val="00F05B81"/>
    <w:rsid w:val="00F06813"/>
    <w:rsid w:val="00F07361"/>
    <w:rsid w:val="00F07E72"/>
    <w:rsid w:val="00F10710"/>
    <w:rsid w:val="00F1126E"/>
    <w:rsid w:val="00F115DB"/>
    <w:rsid w:val="00F118FD"/>
    <w:rsid w:val="00F11BF4"/>
    <w:rsid w:val="00F11D8F"/>
    <w:rsid w:val="00F145F1"/>
    <w:rsid w:val="00F15107"/>
    <w:rsid w:val="00F15532"/>
    <w:rsid w:val="00F16B72"/>
    <w:rsid w:val="00F2020B"/>
    <w:rsid w:val="00F20DA3"/>
    <w:rsid w:val="00F210B8"/>
    <w:rsid w:val="00F210F7"/>
    <w:rsid w:val="00F237D1"/>
    <w:rsid w:val="00F24893"/>
    <w:rsid w:val="00F252C0"/>
    <w:rsid w:val="00F255D4"/>
    <w:rsid w:val="00F2718D"/>
    <w:rsid w:val="00F27955"/>
    <w:rsid w:val="00F30F16"/>
    <w:rsid w:val="00F30F1F"/>
    <w:rsid w:val="00F31CE8"/>
    <w:rsid w:val="00F31D99"/>
    <w:rsid w:val="00F34D4D"/>
    <w:rsid w:val="00F35490"/>
    <w:rsid w:val="00F36E89"/>
    <w:rsid w:val="00F37B4F"/>
    <w:rsid w:val="00F37EB4"/>
    <w:rsid w:val="00F40351"/>
    <w:rsid w:val="00F40AC4"/>
    <w:rsid w:val="00F42D6E"/>
    <w:rsid w:val="00F43D37"/>
    <w:rsid w:val="00F44BE8"/>
    <w:rsid w:val="00F47996"/>
    <w:rsid w:val="00F515F5"/>
    <w:rsid w:val="00F5664F"/>
    <w:rsid w:val="00F604BD"/>
    <w:rsid w:val="00F61585"/>
    <w:rsid w:val="00F61F85"/>
    <w:rsid w:val="00F622F9"/>
    <w:rsid w:val="00F649BF"/>
    <w:rsid w:val="00F656F0"/>
    <w:rsid w:val="00F65E3D"/>
    <w:rsid w:val="00F665F2"/>
    <w:rsid w:val="00F6676B"/>
    <w:rsid w:val="00F66E3D"/>
    <w:rsid w:val="00F70195"/>
    <w:rsid w:val="00F703FE"/>
    <w:rsid w:val="00F7183B"/>
    <w:rsid w:val="00F71BDA"/>
    <w:rsid w:val="00F7262A"/>
    <w:rsid w:val="00F74697"/>
    <w:rsid w:val="00F76D8A"/>
    <w:rsid w:val="00F77FD0"/>
    <w:rsid w:val="00F800CD"/>
    <w:rsid w:val="00F812D0"/>
    <w:rsid w:val="00F82425"/>
    <w:rsid w:val="00F83083"/>
    <w:rsid w:val="00F833C4"/>
    <w:rsid w:val="00F83FB8"/>
    <w:rsid w:val="00F86845"/>
    <w:rsid w:val="00F86A44"/>
    <w:rsid w:val="00F87279"/>
    <w:rsid w:val="00F87600"/>
    <w:rsid w:val="00F87D69"/>
    <w:rsid w:val="00F909F9"/>
    <w:rsid w:val="00F938F6"/>
    <w:rsid w:val="00F94A0B"/>
    <w:rsid w:val="00F94FE1"/>
    <w:rsid w:val="00F96E0C"/>
    <w:rsid w:val="00F97918"/>
    <w:rsid w:val="00F97B4F"/>
    <w:rsid w:val="00F97F26"/>
    <w:rsid w:val="00FA0501"/>
    <w:rsid w:val="00FA1C06"/>
    <w:rsid w:val="00FA205F"/>
    <w:rsid w:val="00FA2556"/>
    <w:rsid w:val="00FA2703"/>
    <w:rsid w:val="00FA29F2"/>
    <w:rsid w:val="00FA3B8A"/>
    <w:rsid w:val="00FA43C2"/>
    <w:rsid w:val="00FA4B59"/>
    <w:rsid w:val="00FB18AE"/>
    <w:rsid w:val="00FB1C13"/>
    <w:rsid w:val="00FB1CF1"/>
    <w:rsid w:val="00FB1E7E"/>
    <w:rsid w:val="00FB1F9D"/>
    <w:rsid w:val="00FB3347"/>
    <w:rsid w:val="00FB4121"/>
    <w:rsid w:val="00FB48F1"/>
    <w:rsid w:val="00FB65A8"/>
    <w:rsid w:val="00FB67E7"/>
    <w:rsid w:val="00FB6973"/>
    <w:rsid w:val="00FC15F8"/>
    <w:rsid w:val="00FC1B9D"/>
    <w:rsid w:val="00FC1F32"/>
    <w:rsid w:val="00FC5CD4"/>
    <w:rsid w:val="00FC75E9"/>
    <w:rsid w:val="00FD36B5"/>
    <w:rsid w:val="00FD37C1"/>
    <w:rsid w:val="00FD3AED"/>
    <w:rsid w:val="00FD43F3"/>
    <w:rsid w:val="00FD4EBB"/>
    <w:rsid w:val="00FD5B7C"/>
    <w:rsid w:val="00FD6D35"/>
    <w:rsid w:val="00FE3FA1"/>
    <w:rsid w:val="00FE42ED"/>
    <w:rsid w:val="00FE4390"/>
    <w:rsid w:val="00FE5D47"/>
    <w:rsid w:val="00FE5F4B"/>
    <w:rsid w:val="00FE64BC"/>
    <w:rsid w:val="00FE67A7"/>
    <w:rsid w:val="00FE6BC4"/>
    <w:rsid w:val="00FE6FCC"/>
    <w:rsid w:val="00FE76D5"/>
    <w:rsid w:val="00FE7A14"/>
    <w:rsid w:val="00FF0FD3"/>
    <w:rsid w:val="00FF285D"/>
    <w:rsid w:val="00FF3203"/>
    <w:rsid w:val="00FF4A1C"/>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95CE96"/>
  <w15:docId w15:val="{523F45B4-7480-4E35-B575-122D8B1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
    <w:basedOn w:val="Normal"/>
    <w:link w:val="ListParagraphChar"/>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styleId="PlainText">
    <w:name w:val="Plain Text"/>
    <w:basedOn w:val="Normal"/>
    <w:link w:val="PlainTextChar"/>
    <w:uiPriority w:val="99"/>
    <w:unhideWhenUsed/>
    <w:rsid w:val="0084112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841121"/>
    <w:rPr>
      <w:rFonts w:ascii="Calibri" w:eastAsiaTheme="minorHAnsi" w:hAnsi="Calibri" w:cstheme="minorBidi"/>
      <w:color w:val="1F497D"/>
      <w:sz w:val="22"/>
      <w:szCs w:val="21"/>
      <w:lang w:eastAsia="en-US"/>
    </w:rPr>
  </w:style>
  <w:style w:type="paragraph" w:customStyle="1" w:styleId="wordsection1">
    <w:name w:val="wordsection1"/>
    <w:basedOn w:val="Normal"/>
    <w:uiPriority w:val="99"/>
    <w:rsid w:val="00845744"/>
    <w:pPr>
      <w:spacing w:before="100" w:beforeAutospacing="1" w:after="100" w:afterAutospacing="1"/>
    </w:pPr>
    <w:rPr>
      <w:rFonts w:eastAsiaTheme="minorHAnsi"/>
    </w:rPr>
  </w:style>
  <w:style w:type="paragraph" w:customStyle="1" w:styleId="BodyText30">
    <w:name w:val="Body Text3"/>
    <w:basedOn w:val="Normal"/>
    <w:rsid w:val="003969A4"/>
    <w:pPr>
      <w:widowControl w:val="0"/>
      <w:shd w:val="clear" w:color="auto" w:fill="FFFFFF"/>
      <w:spacing w:before="660" w:after="240" w:line="274" w:lineRule="exact"/>
      <w:jc w:val="right"/>
    </w:pPr>
    <w:rPr>
      <w:color w:val="000000"/>
      <w:sz w:val="22"/>
      <w:szCs w:val="22"/>
      <w:lang w:bidi="lv-LV"/>
    </w:rPr>
  </w:style>
  <w:style w:type="character" w:customStyle="1" w:styleId="Mention">
    <w:name w:val="Mention"/>
    <w:basedOn w:val="DefaultParagraphFont"/>
    <w:uiPriority w:val="99"/>
    <w:semiHidden/>
    <w:unhideWhenUsed/>
    <w:rsid w:val="003128AB"/>
    <w:rPr>
      <w:color w:val="2B579A"/>
      <w:shd w:val="clear" w:color="auto" w:fill="E6E6E6"/>
    </w:rPr>
  </w:style>
  <w:style w:type="character" w:customStyle="1" w:styleId="ListParagraphChar">
    <w:name w:val="List Paragraph Char"/>
    <w:aliases w:val="2 Char"/>
    <w:link w:val="ListParagraph"/>
    <w:uiPriority w:val="34"/>
    <w:locked/>
    <w:rsid w:val="000E5345"/>
    <w:rPr>
      <w:rFonts w:ascii="Calibri" w:eastAsia="Calibri" w:hAnsi="Calibri"/>
      <w:sz w:val="22"/>
      <w:szCs w:val="22"/>
      <w:lang w:val="en-US" w:eastAsia="en-US"/>
    </w:rPr>
  </w:style>
  <w:style w:type="paragraph" w:styleId="Revision">
    <w:name w:val="Revision"/>
    <w:hidden/>
    <w:uiPriority w:val="99"/>
    <w:semiHidden/>
    <w:rsid w:val="001C78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79105040">
      <w:bodyDiv w:val="1"/>
      <w:marLeft w:val="0"/>
      <w:marRight w:val="0"/>
      <w:marTop w:val="0"/>
      <w:marBottom w:val="0"/>
      <w:divBdr>
        <w:top w:val="none" w:sz="0" w:space="0" w:color="auto"/>
        <w:left w:val="none" w:sz="0" w:space="0" w:color="auto"/>
        <w:bottom w:val="none" w:sz="0" w:space="0" w:color="auto"/>
        <w:right w:val="none" w:sz="0" w:space="0" w:color="auto"/>
      </w:divBdr>
    </w:div>
    <w:div w:id="91903841">
      <w:bodyDiv w:val="1"/>
      <w:marLeft w:val="0"/>
      <w:marRight w:val="0"/>
      <w:marTop w:val="0"/>
      <w:marBottom w:val="0"/>
      <w:divBdr>
        <w:top w:val="none" w:sz="0" w:space="0" w:color="auto"/>
        <w:left w:val="none" w:sz="0" w:space="0" w:color="auto"/>
        <w:bottom w:val="none" w:sz="0" w:space="0" w:color="auto"/>
        <w:right w:val="none" w:sz="0" w:space="0" w:color="auto"/>
      </w:divBdr>
    </w:div>
    <w:div w:id="189805726">
      <w:bodyDiv w:val="1"/>
      <w:marLeft w:val="0"/>
      <w:marRight w:val="0"/>
      <w:marTop w:val="0"/>
      <w:marBottom w:val="0"/>
      <w:divBdr>
        <w:top w:val="none" w:sz="0" w:space="0" w:color="auto"/>
        <w:left w:val="none" w:sz="0" w:space="0" w:color="auto"/>
        <w:bottom w:val="none" w:sz="0" w:space="0" w:color="auto"/>
        <w:right w:val="none" w:sz="0" w:space="0" w:color="auto"/>
      </w:divBdr>
    </w:div>
    <w:div w:id="235213476">
      <w:bodyDiv w:val="1"/>
      <w:marLeft w:val="0"/>
      <w:marRight w:val="0"/>
      <w:marTop w:val="0"/>
      <w:marBottom w:val="0"/>
      <w:divBdr>
        <w:top w:val="none" w:sz="0" w:space="0" w:color="auto"/>
        <w:left w:val="none" w:sz="0" w:space="0" w:color="auto"/>
        <w:bottom w:val="none" w:sz="0" w:space="0" w:color="auto"/>
        <w:right w:val="none" w:sz="0" w:space="0" w:color="auto"/>
      </w:divBdr>
    </w:div>
    <w:div w:id="268860166">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745030297">
      <w:bodyDiv w:val="1"/>
      <w:marLeft w:val="0"/>
      <w:marRight w:val="0"/>
      <w:marTop w:val="0"/>
      <w:marBottom w:val="0"/>
      <w:divBdr>
        <w:top w:val="none" w:sz="0" w:space="0" w:color="auto"/>
        <w:left w:val="none" w:sz="0" w:space="0" w:color="auto"/>
        <w:bottom w:val="none" w:sz="0" w:space="0" w:color="auto"/>
        <w:right w:val="none" w:sz="0" w:space="0" w:color="auto"/>
      </w:divBdr>
    </w:div>
    <w:div w:id="752317783">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73549">
      <w:bodyDiv w:val="1"/>
      <w:marLeft w:val="0"/>
      <w:marRight w:val="0"/>
      <w:marTop w:val="0"/>
      <w:marBottom w:val="0"/>
      <w:divBdr>
        <w:top w:val="none" w:sz="0" w:space="0" w:color="auto"/>
        <w:left w:val="none" w:sz="0" w:space="0" w:color="auto"/>
        <w:bottom w:val="none" w:sz="0" w:space="0" w:color="auto"/>
        <w:right w:val="none" w:sz="0" w:space="0" w:color="auto"/>
      </w:divBdr>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909002106">
      <w:bodyDiv w:val="1"/>
      <w:marLeft w:val="0"/>
      <w:marRight w:val="0"/>
      <w:marTop w:val="0"/>
      <w:marBottom w:val="0"/>
      <w:divBdr>
        <w:top w:val="none" w:sz="0" w:space="0" w:color="auto"/>
        <w:left w:val="none" w:sz="0" w:space="0" w:color="auto"/>
        <w:bottom w:val="none" w:sz="0" w:space="0" w:color="auto"/>
        <w:right w:val="none" w:sz="0" w:space="0" w:color="auto"/>
      </w:divBdr>
    </w:div>
    <w:div w:id="1031610530">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334604048">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507">
      <w:bodyDiv w:val="1"/>
      <w:marLeft w:val="0"/>
      <w:marRight w:val="0"/>
      <w:marTop w:val="0"/>
      <w:marBottom w:val="0"/>
      <w:divBdr>
        <w:top w:val="none" w:sz="0" w:space="0" w:color="auto"/>
        <w:left w:val="none" w:sz="0" w:space="0" w:color="auto"/>
        <w:bottom w:val="none" w:sz="0" w:space="0" w:color="auto"/>
        <w:right w:val="none" w:sz="0" w:space="0" w:color="auto"/>
      </w:divBdr>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10668184">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
    <w:div w:id="2079356129">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 w:id="21412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0746-valsts-parvaldes-iestazu-nodarito-zaudejumu-atlidzinasanas-likums" TargetMode="External"/><Relationship Id="rId13" Type="http://schemas.openxmlformats.org/officeDocument/2006/relationships/hyperlink" Target="mailto:Anda.Orehova@fm.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56880-par-iedzivotaju-ienakuma-nodokl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80-par-iedzivotaju-ienakuma-nodok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110746-valsts-parvaldes-iestazu-nodarito-zaudejumu-atlidzinasanas-liku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hyperlink" Target="mailto:Inese.Veinberg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1ED2-17A1-43A6-93CB-F90FACD6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1937</Words>
  <Characters>13888</Characters>
  <Application>Microsoft Office Word</Application>
  <DocSecurity>0</DocSecurity>
  <Lines>115</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sākotnējās ietekmes novērtējuma ziņojums (anotācija"</vt:lpstr>
      <vt:lpstr>Projekta sākotnējās ietekmes novērtējuma ziņojums (anotācija"</vt:lpstr>
    </vt:vector>
  </TitlesOfParts>
  <Company>FM</Company>
  <LinksUpToDate>false</LinksUpToDate>
  <CharactersWithSpaces>15794</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sākotnējās ietekmes novērtējuma ziņojums (anotācija"</dc:title>
  <dc:subject>Anotācija</dc:subject>
  <dc:creator>Inese Veinberga</dc:creator>
  <dc:description>Finanšu ministrijas Tiešo nodokļu departamenta
Īpašuma un iedzīvotāju ienākuma 
nodokļu nodaļas vadītājas vietniece
Veinberga 67083848, faksa Nr.67095421
Inese.Veinberga@fm.gov.lv</dc:description>
  <cp:lastModifiedBy>Inese Veinberga</cp:lastModifiedBy>
  <cp:revision>8</cp:revision>
  <cp:lastPrinted>2018-11-15T07:15:00Z</cp:lastPrinted>
  <dcterms:created xsi:type="dcterms:W3CDTF">2018-11-13T12:02:00Z</dcterms:created>
  <dcterms:modified xsi:type="dcterms:W3CDTF">2018-11-15T09:13:00Z</dcterms:modified>
</cp:coreProperties>
</file>