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89356A" w14:textId="40F7F15F" w:rsidR="00AF121C" w:rsidRPr="002E572F" w:rsidRDefault="00AF121C" w:rsidP="00AF121C">
      <w:pPr>
        <w:jc w:val="center"/>
        <w:rPr>
          <w:b/>
          <w:bCs/>
          <w:sz w:val="28"/>
          <w:szCs w:val="28"/>
        </w:rPr>
      </w:pPr>
      <w:r w:rsidRPr="002E572F">
        <w:rPr>
          <w:b/>
          <w:bCs/>
          <w:sz w:val="28"/>
          <w:szCs w:val="28"/>
        </w:rPr>
        <w:t xml:space="preserve">Ministru kabineta noteikumu projekta “Grozījumi Ministru kabineta 2017.gada </w:t>
      </w:r>
      <w:r w:rsidR="00017D7B" w:rsidRPr="002E572F">
        <w:rPr>
          <w:b/>
          <w:bCs/>
          <w:sz w:val="28"/>
          <w:szCs w:val="28"/>
        </w:rPr>
        <w:t>3.janvāra</w:t>
      </w:r>
      <w:r w:rsidRPr="002E572F">
        <w:rPr>
          <w:b/>
          <w:bCs/>
          <w:sz w:val="28"/>
          <w:szCs w:val="28"/>
        </w:rPr>
        <w:t xml:space="preserve"> noteikumos Nr.</w:t>
      </w:r>
      <w:r w:rsidR="00017D7B" w:rsidRPr="002E572F">
        <w:rPr>
          <w:b/>
          <w:bCs/>
          <w:sz w:val="28"/>
          <w:szCs w:val="28"/>
        </w:rPr>
        <w:t>18</w:t>
      </w:r>
      <w:r w:rsidRPr="002E572F">
        <w:rPr>
          <w:b/>
          <w:bCs/>
          <w:sz w:val="28"/>
          <w:szCs w:val="28"/>
        </w:rPr>
        <w:t xml:space="preserve"> “</w:t>
      </w:r>
      <w:r w:rsidR="00017D7B" w:rsidRPr="002E572F">
        <w:rPr>
          <w:b/>
          <w:bCs/>
          <w:sz w:val="28"/>
          <w:szCs w:val="28"/>
        </w:rPr>
        <w:t>Noteikumi par reģistrāciju un identifikāciju muitas jomā</w:t>
      </w:r>
      <w:r w:rsidRPr="002E572F">
        <w:rPr>
          <w:b/>
          <w:bCs/>
          <w:sz w:val="28"/>
          <w:szCs w:val="28"/>
        </w:rPr>
        <w:t>”” sākotnējās ietekmes novērtējuma ziņojums (anotācija)</w:t>
      </w:r>
    </w:p>
    <w:p w14:paraId="0CD2F5DC" w14:textId="77777777" w:rsidR="00AF121C" w:rsidRPr="0020496D" w:rsidRDefault="00AF121C" w:rsidP="00AF121C">
      <w:pPr>
        <w:rPr>
          <w:b/>
          <w:bCs/>
          <w:sz w:val="26"/>
          <w:szCs w:val="26"/>
        </w:rPr>
      </w:pPr>
    </w:p>
    <w:tbl>
      <w:tblPr>
        <w:tblW w:w="5245" w:type="pct"/>
        <w:tblCellSpacing w:w="15" w:type="dxa"/>
        <w:tblInd w:w="-29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52"/>
        <w:gridCol w:w="5847"/>
      </w:tblGrid>
      <w:tr w:rsidR="00AF121C" w:rsidRPr="002E572F" w14:paraId="5B6DCFAF" w14:textId="77777777" w:rsidTr="00E47ECA">
        <w:trPr>
          <w:tblCellSpacing w:w="15" w:type="dxa"/>
        </w:trPr>
        <w:tc>
          <w:tcPr>
            <w:tcW w:w="4968" w:type="pct"/>
            <w:gridSpan w:val="2"/>
            <w:tcBorders>
              <w:top w:val="outset" w:sz="6" w:space="0" w:color="auto"/>
              <w:left w:val="outset" w:sz="6" w:space="0" w:color="auto"/>
              <w:bottom w:val="outset" w:sz="6" w:space="0" w:color="auto"/>
              <w:right w:val="outset" w:sz="6" w:space="0" w:color="auto"/>
            </w:tcBorders>
            <w:vAlign w:val="center"/>
            <w:hideMark/>
          </w:tcPr>
          <w:p w14:paraId="142E9DF1" w14:textId="77777777" w:rsidR="00AF121C" w:rsidRPr="002E572F" w:rsidRDefault="00AF121C" w:rsidP="003858EB">
            <w:pPr>
              <w:rPr>
                <w:b/>
                <w:bCs/>
                <w:sz w:val="28"/>
                <w:szCs w:val="28"/>
              </w:rPr>
            </w:pPr>
            <w:r w:rsidRPr="002E572F">
              <w:rPr>
                <w:b/>
                <w:bCs/>
                <w:sz w:val="28"/>
                <w:szCs w:val="28"/>
              </w:rPr>
              <w:t>Tiesību akta projekta anotācijas kopsavilkums</w:t>
            </w:r>
          </w:p>
        </w:tc>
      </w:tr>
      <w:tr w:rsidR="00AF121C" w:rsidRPr="002E572F" w14:paraId="3249B9C2" w14:textId="77777777" w:rsidTr="00E47ECA">
        <w:trPr>
          <w:tblCellSpacing w:w="15" w:type="dxa"/>
        </w:trPr>
        <w:tc>
          <w:tcPr>
            <w:tcW w:w="1905" w:type="pct"/>
            <w:tcBorders>
              <w:top w:val="outset" w:sz="6" w:space="0" w:color="auto"/>
              <w:left w:val="outset" w:sz="6" w:space="0" w:color="auto"/>
              <w:bottom w:val="outset" w:sz="6" w:space="0" w:color="auto"/>
              <w:right w:val="outset" w:sz="6" w:space="0" w:color="auto"/>
            </w:tcBorders>
            <w:hideMark/>
          </w:tcPr>
          <w:p w14:paraId="1EC56210" w14:textId="77777777" w:rsidR="00AF121C" w:rsidRPr="002E572F" w:rsidRDefault="00AF121C" w:rsidP="003858EB">
            <w:pPr>
              <w:rPr>
                <w:sz w:val="28"/>
                <w:szCs w:val="28"/>
              </w:rPr>
            </w:pPr>
            <w:r w:rsidRPr="002E572F">
              <w:rPr>
                <w:sz w:val="28"/>
                <w:szCs w:val="28"/>
              </w:rPr>
              <w:t>Mērķis, risinājums un projekta spēkā stāšanās laiks (500 zīmes bez atstarpēm)</w:t>
            </w:r>
          </w:p>
        </w:tc>
        <w:tc>
          <w:tcPr>
            <w:tcW w:w="3048" w:type="pct"/>
            <w:tcBorders>
              <w:top w:val="outset" w:sz="6" w:space="0" w:color="auto"/>
              <w:left w:val="outset" w:sz="6" w:space="0" w:color="auto"/>
              <w:bottom w:val="outset" w:sz="6" w:space="0" w:color="auto"/>
              <w:right w:val="outset" w:sz="6" w:space="0" w:color="auto"/>
            </w:tcBorders>
          </w:tcPr>
          <w:p w14:paraId="21FB5C0D" w14:textId="541B0570" w:rsidR="00D078E7" w:rsidRDefault="00F249CD" w:rsidP="00F249CD">
            <w:pPr>
              <w:jc w:val="both"/>
              <w:rPr>
                <w:sz w:val="28"/>
                <w:szCs w:val="28"/>
              </w:rPr>
            </w:pPr>
            <w:r w:rsidRPr="002E572F">
              <w:rPr>
                <w:sz w:val="28"/>
                <w:szCs w:val="28"/>
              </w:rPr>
              <w:t>Ministru kabineta 2017.gada 3.janvāra noteikumos Nr.18 “Noteikumi par reģistrāciju un identifikāciju muitas jomā”</w:t>
            </w:r>
            <w:r w:rsidR="00EA3C42" w:rsidRPr="002E572F">
              <w:rPr>
                <w:sz w:val="28"/>
                <w:szCs w:val="28"/>
              </w:rPr>
              <w:t xml:space="preserve"> (turpmāk –</w:t>
            </w:r>
            <w:r w:rsidR="00DF6957" w:rsidRPr="002E572F">
              <w:rPr>
                <w:sz w:val="28"/>
                <w:szCs w:val="28"/>
              </w:rPr>
              <w:t xml:space="preserve"> MK n</w:t>
            </w:r>
            <w:r w:rsidR="00EA3C42" w:rsidRPr="002E572F">
              <w:rPr>
                <w:sz w:val="28"/>
                <w:szCs w:val="28"/>
              </w:rPr>
              <w:t>oteikumi Nr.18)</w:t>
            </w:r>
            <w:r w:rsidRPr="002E572F">
              <w:rPr>
                <w:sz w:val="28"/>
                <w:szCs w:val="28"/>
              </w:rPr>
              <w:t xml:space="preserve"> ir nepieciešams veikt grozījumus attiecībā uz Eiropas Savienības</w:t>
            </w:r>
            <w:r w:rsidR="00E6143B" w:rsidRPr="002E572F">
              <w:rPr>
                <w:sz w:val="28"/>
                <w:szCs w:val="28"/>
              </w:rPr>
              <w:t xml:space="preserve"> (turpmāk </w:t>
            </w:r>
            <w:r w:rsidR="00E47ECA">
              <w:rPr>
                <w:b/>
                <w:bCs/>
                <w:sz w:val="28"/>
                <w:szCs w:val="28"/>
              </w:rPr>
              <w:t>–</w:t>
            </w:r>
            <w:r w:rsidR="00E6143B" w:rsidRPr="002E572F">
              <w:rPr>
                <w:sz w:val="28"/>
                <w:szCs w:val="28"/>
              </w:rPr>
              <w:t xml:space="preserve"> ES)</w:t>
            </w:r>
            <w:r w:rsidRPr="002E572F">
              <w:rPr>
                <w:sz w:val="28"/>
                <w:szCs w:val="28"/>
              </w:rPr>
              <w:t xml:space="preserve"> normatīvo aktu atsaucēm, jo ir beidzies ar personu (uzņēmēju) reģistrāciju un identifikāciju muitas jomā paredzētā regulējuma pārejas periods. </w:t>
            </w:r>
          </w:p>
          <w:p w14:paraId="154FD276" w14:textId="1451E04C" w:rsidR="002E572F" w:rsidRPr="002E572F" w:rsidRDefault="002E572F" w:rsidP="002E572F">
            <w:pPr>
              <w:jc w:val="both"/>
              <w:rPr>
                <w:sz w:val="28"/>
                <w:szCs w:val="28"/>
              </w:rPr>
            </w:pPr>
            <w:r w:rsidRPr="002E572F">
              <w:rPr>
                <w:rFonts w:cs="Times New Roman"/>
                <w:sz w:val="28"/>
                <w:szCs w:val="28"/>
              </w:rPr>
              <w:t>Ministru kabineta noteikumu projekt</w:t>
            </w:r>
            <w:r>
              <w:rPr>
                <w:rFonts w:cs="Times New Roman"/>
                <w:sz w:val="28"/>
                <w:szCs w:val="28"/>
              </w:rPr>
              <w:t>s</w:t>
            </w:r>
            <w:r w:rsidRPr="002E572F">
              <w:rPr>
                <w:rFonts w:cs="Times New Roman"/>
                <w:sz w:val="28"/>
                <w:szCs w:val="28"/>
              </w:rPr>
              <w:t xml:space="preserve"> “Grozījumi Ministru kabineta 2017.gada 3.janvāra noteikumos Nr.18 “Noteikumi par reģistrāciju un identifikāciju muitas jomā””</w:t>
            </w:r>
            <w:r w:rsidRPr="002E572F">
              <w:rPr>
                <w:b/>
                <w:bCs/>
                <w:sz w:val="28"/>
                <w:szCs w:val="28"/>
              </w:rPr>
              <w:t xml:space="preserve"> </w:t>
            </w:r>
            <w:r w:rsidRPr="002E572F">
              <w:rPr>
                <w:bCs/>
                <w:sz w:val="28"/>
                <w:szCs w:val="28"/>
              </w:rPr>
              <w:t>(turpmāk</w:t>
            </w:r>
            <w:r w:rsidRPr="002E572F">
              <w:rPr>
                <w:b/>
                <w:bCs/>
                <w:sz w:val="28"/>
                <w:szCs w:val="28"/>
              </w:rPr>
              <w:t xml:space="preserve"> </w:t>
            </w:r>
            <w:r w:rsidR="00240337">
              <w:rPr>
                <w:b/>
                <w:bCs/>
                <w:sz w:val="28"/>
                <w:szCs w:val="28"/>
              </w:rPr>
              <w:t>–</w:t>
            </w:r>
            <w:r w:rsidRPr="002E572F">
              <w:rPr>
                <w:b/>
                <w:bCs/>
                <w:sz w:val="28"/>
                <w:szCs w:val="28"/>
              </w:rPr>
              <w:t xml:space="preserve"> </w:t>
            </w:r>
            <w:r w:rsidRPr="002E572F">
              <w:rPr>
                <w:rFonts w:cs="Times New Roman"/>
                <w:sz w:val="28"/>
                <w:szCs w:val="28"/>
              </w:rPr>
              <w:t>noteikumu projekts)</w:t>
            </w:r>
            <w:r>
              <w:rPr>
                <w:rFonts w:cs="Times New Roman"/>
                <w:sz w:val="28"/>
                <w:szCs w:val="28"/>
              </w:rPr>
              <w:t xml:space="preserve"> </w:t>
            </w:r>
            <w:r w:rsidRPr="002E572F">
              <w:rPr>
                <w:sz w:val="28"/>
                <w:szCs w:val="28"/>
              </w:rPr>
              <w:t>stāsies spēkā vispārējā kārtībā pēc noteikumu pieņemšanas Ministru kabinetā.</w:t>
            </w:r>
          </w:p>
        </w:tc>
      </w:tr>
    </w:tbl>
    <w:p w14:paraId="5168067E" w14:textId="77777777" w:rsidR="00AF121C" w:rsidRPr="002E572F" w:rsidRDefault="00AF121C" w:rsidP="00AF121C">
      <w:pPr>
        <w:rPr>
          <w:sz w:val="28"/>
          <w:szCs w:val="28"/>
        </w:rPr>
      </w:pPr>
      <w:r w:rsidRPr="002E572F">
        <w:rPr>
          <w:sz w:val="28"/>
          <w:szCs w:val="28"/>
        </w:rPr>
        <w:t xml:space="preserve">  </w:t>
      </w:r>
    </w:p>
    <w:tbl>
      <w:tblPr>
        <w:tblW w:w="5245" w:type="pct"/>
        <w:tblCellSpacing w:w="15" w:type="dxa"/>
        <w:tblInd w:w="-29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18"/>
        <w:gridCol w:w="3223"/>
        <w:gridCol w:w="5858"/>
      </w:tblGrid>
      <w:tr w:rsidR="00AF121C" w:rsidRPr="002E572F" w14:paraId="5B266D9D" w14:textId="77777777" w:rsidTr="002E572F">
        <w:trPr>
          <w:tblCellSpacing w:w="15" w:type="dxa"/>
        </w:trPr>
        <w:tc>
          <w:tcPr>
            <w:tcW w:w="4968" w:type="pct"/>
            <w:gridSpan w:val="3"/>
            <w:tcBorders>
              <w:top w:val="outset" w:sz="6" w:space="0" w:color="auto"/>
              <w:left w:val="outset" w:sz="6" w:space="0" w:color="auto"/>
              <w:bottom w:val="outset" w:sz="6" w:space="0" w:color="auto"/>
              <w:right w:val="outset" w:sz="6" w:space="0" w:color="auto"/>
            </w:tcBorders>
            <w:vAlign w:val="center"/>
            <w:hideMark/>
          </w:tcPr>
          <w:p w14:paraId="1ECDE066" w14:textId="77777777" w:rsidR="00AF121C" w:rsidRPr="002E572F" w:rsidRDefault="00AF121C" w:rsidP="003858EB">
            <w:pPr>
              <w:rPr>
                <w:b/>
                <w:bCs/>
                <w:sz w:val="28"/>
                <w:szCs w:val="28"/>
              </w:rPr>
            </w:pPr>
            <w:r w:rsidRPr="002E572F">
              <w:rPr>
                <w:b/>
                <w:bCs/>
                <w:sz w:val="28"/>
                <w:szCs w:val="28"/>
              </w:rPr>
              <w:t>I. Tiesību akta projekta izstrādes nepieciešamība</w:t>
            </w:r>
          </w:p>
        </w:tc>
      </w:tr>
      <w:tr w:rsidR="00F249CD" w:rsidRPr="002E572F" w14:paraId="762341BA" w14:textId="77777777" w:rsidTr="002E572F">
        <w:trPr>
          <w:tblCellSpacing w:w="15" w:type="dxa"/>
        </w:trPr>
        <w:tc>
          <w:tcPr>
            <w:tcW w:w="198" w:type="pct"/>
            <w:tcBorders>
              <w:top w:val="outset" w:sz="6" w:space="0" w:color="auto"/>
              <w:left w:val="outset" w:sz="6" w:space="0" w:color="auto"/>
              <w:bottom w:val="outset" w:sz="6" w:space="0" w:color="auto"/>
              <w:right w:val="outset" w:sz="6" w:space="0" w:color="auto"/>
            </w:tcBorders>
            <w:hideMark/>
          </w:tcPr>
          <w:p w14:paraId="6C480197" w14:textId="77777777" w:rsidR="00F249CD" w:rsidRPr="002E572F" w:rsidRDefault="00F249CD" w:rsidP="00F249CD">
            <w:pPr>
              <w:rPr>
                <w:sz w:val="28"/>
                <w:szCs w:val="28"/>
              </w:rPr>
            </w:pPr>
            <w:r w:rsidRPr="002E572F">
              <w:rPr>
                <w:sz w:val="28"/>
                <w:szCs w:val="28"/>
              </w:rPr>
              <w:t>1.</w:t>
            </w:r>
          </w:p>
        </w:tc>
        <w:tc>
          <w:tcPr>
            <w:tcW w:w="1691" w:type="pct"/>
            <w:tcBorders>
              <w:top w:val="outset" w:sz="6" w:space="0" w:color="auto"/>
              <w:left w:val="outset" w:sz="6" w:space="0" w:color="auto"/>
              <w:bottom w:val="outset" w:sz="6" w:space="0" w:color="auto"/>
              <w:right w:val="outset" w:sz="6" w:space="0" w:color="auto"/>
            </w:tcBorders>
            <w:hideMark/>
          </w:tcPr>
          <w:p w14:paraId="2171EABA" w14:textId="77777777" w:rsidR="00F249CD" w:rsidRPr="002E572F" w:rsidRDefault="00F249CD" w:rsidP="00F249CD">
            <w:pPr>
              <w:rPr>
                <w:sz w:val="28"/>
                <w:szCs w:val="28"/>
              </w:rPr>
            </w:pPr>
            <w:r w:rsidRPr="002E572F">
              <w:rPr>
                <w:sz w:val="28"/>
                <w:szCs w:val="28"/>
              </w:rPr>
              <w:t>Pamatojums</w:t>
            </w:r>
          </w:p>
        </w:tc>
        <w:tc>
          <w:tcPr>
            <w:tcW w:w="3047" w:type="pct"/>
            <w:tcBorders>
              <w:top w:val="outset" w:sz="6" w:space="0" w:color="auto"/>
              <w:left w:val="outset" w:sz="6" w:space="0" w:color="auto"/>
              <w:bottom w:val="outset" w:sz="6" w:space="0" w:color="auto"/>
              <w:right w:val="outset" w:sz="6" w:space="0" w:color="auto"/>
            </w:tcBorders>
          </w:tcPr>
          <w:p w14:paraId="2A46B890" w14:textId="431AD9B8" w:rsidR="00F249CD" w:rsidRPr="002E572F" w:rsidRDefault="00F249CD" w:rsidP="00272B79">
            <w:pPr>
              <w:jc w:val="both"/>
              <w:rPr>
                <w:sz w:val="28"/>
                <w:szCs w:val="28"/>
              </w:rPr>
            </w:pPr>
            <w:r w:rsidRPr="002E572F">
              <w:rPr>
                <w:sz w:val="28"/>
                <w:szCs w:val="28"/>
              </w:rPr>
              <w:t>Ar 2018.gada 5.martu pilnā apjomā stājās spēkā Komisijas 2015.gada 28.jūlija Deleģētās regulas (ES) 2015/2446, ar ko papildina Eiropas Parlamenta un Padomes Regulu (ES) Nr.952/2013 attiecībā uz sīki izstrādātiem noteikumiem, kuri attiecas uz dažiem Savienības Muitas kodeksa noteikumiem (turpmāk – Regula Nr.2015/2446) 3.pant</w:t>
            </w:r>
            <w:r w:rsidR="00C04070" w:rsidRPr="002E572F">
              <w:rPr>
                <w:sz w:val="28"/>
                <w:szCs w:val="28"/>
              </w:rPr>
              <w:t>ā</w:t>
            </w:r>
            <w:r w:rsidRPr="002E572F">
              <w:rPr>
                <w:sz w:val="28"/>
                <w:szCs w:val="28"/>
              </w:rPr>
              <w:t xml:space="preserve"> un Komisijas 2015.gada 24.novembra Īstenošanas regulas (ES) 2015/2447, ar ko paredz sīki izstrādātus noteikumus, kas vajadzīgi, lai īstenotu konkrētus noteikumus Eiropas Parlamenta un Padomes Regulā (ES) Nr.952/2013, ar ko izveido Savienības Muitas kodeksu (turpmāk – Regula Nr.2015/2447)</w:t>
            </w:r>
            <w:r w:rsidR="00BD176E" w:rsidRPr="002E572F">
              <w:rPr>
                <w:sz w:val="28"/>
                <w:szCs w:val="28"/>
              </w:rPr>
              <w:t xml:space="preserve"> 7.panta 3.punktā noteiktie nosacījumi </w:t>
            </w:r>
            <w:r w:rsidRPr="002E572F">
              <w:rPr>
                <w:sz w:val="28"/>
                <w:szCs w:val="28"/>
              </w:rPr>
              <w:t>personu (uzņēmēju) reģistrācijai un identifikācijai muitas jomā.</w:t>
            </w:r>
            <w:r w:rsidR="00E90103" w:rsidRPr="002E572F">
              <w:rPr>
                <w:sz w:val="28"/>
                <w:szCs w:val="28"/>
              </w:rPr>
              <w:t xml:space="preserve"> </w:t>
            </w:r>
            <w:r w:rsidRPr="002E572F">
              <w:rPr>
                <w:sz w:val="28"/>
                <w:szCs w:val="28"/>
              </w:rPr>
              <w:t>Līdz ar to ir nepieciešams veikt groz</w:t>
            </w:r>
            <w:r w:rsidR="00DF6957" w:rsidRPr="002E572F">
              <w:rPr>
                <w:sz w:val="28"/>
                <w:szCs w:val="28"/>
              </w:rPr>
              <w:t>ījumus MK n</w:t>
            </w:r>
            <w:r w:rsidRPr="002E572F">
              <w:rPr>
                <w:sz w:val="28"/>
                <w:szCs w:val="28"/>
              </w:rPr>
              <w:t>oteikumos Nr.18</w:t>
            </w:r>
            <w:r w:rsidR="00E90103" w:rsidRPr="002E572F">
              <w:rPr>
                <w:sz w:val="28"/>
                <w:szCs w:val="28"/>
              </w:rPr>
              <w:t xml:space="preserve">, </w:t>
            </w:r>
            <w:r w:rsidRPr="002E572F">
              <w:rPr>
                <w:sz w:val="28"/>
                <w:szCs w:val="28"/>
              </w:rPr>
              <w:t xml:space="preserve">precizējot atsauces uz attiecīgo spēkā esošo </w:t>
            </w:r>
            <w:r w:rsidR="00272B79" w:rsidRPr="002E572F">
              <w:rPr>
                <w:sz w:val="28"/>
                <w:szCs w:val="28"/>
              </w:rPr>
              <w:t>ES</w:t>
            </w:r>
            <w:r w:rsidRPr="002E572F">
              <w:rPr>
                <w:sz w:val="28"/>
                <w:szCs w:val="28"/>
              </w:rPr>
              <w:t xml:space="preserve"> normatīvo aktu.</w:t>
            </w:r>
            <w:r w:rsidR="00BD176E" w:rsidRPr="002E572F">
              <w:rPr>
                <w:sz w:val="28"/>
                <w:szCs w:val="28"/>
              </w:rPr>
              <w:t xml:space="preserve"> </w:t>
            </w:r>
          </w:p>
        </w:tc>
      </w:tr>
      <w:tr w:rsidR="00F249CD" w:rsidRPr="002E572F" w14:paraId="58E865B2" w14:textId="77777777" w:rsidTr="002E572F">
        <w:trPr>
          <w:tblCellSpacing w:w="15" w:type="dxa"/>
        </w:trPr>
        <w:tc>
          <w:tcPr>
            <w:tcW w:w="198" w:type="pct"/>
            <w:tcBorders>
              <w:top w:val="outset" w:sz="6" w:space="0" w:color="auto"/>
              <w:left w:val="outset" w:sz="6" w:space="0" w:color="auto"/>
              <w:bottom w:val="outset" w:sz="6" w:space="0" w:color="auto"/>
              <w:right w:val="outset" w:sz="6" w:space="0" w:color="auto"/>
            </w:tcBorders>
            <w:hideMark/>
          </w:tcPr>
          <w:p w14:paraId="419D7F78" w14:textId="77777777" w:rsidR="00F249CD" w:rsidRPr="002E572F" w:rsidRDefault="00F249CD" w:rsidP="00F249CD">
            <w:pPr>
              <w:rPr>
                <w:sz w:val="28"/>
                <w:szCs w:val="28"/>
              </w:rPr>
            </w:pPr>
            <w:r w:rsidRPr="002E572F">
              <w:rPr>
                <w:sz w:val="28"/>
                <w:szCs w:val="28"/>
              </w:rPr>
              <w:lastRenderedPageBreak/>
              <w:t>2.</w:t>
            </w:r>
          </w:p>
        </w:tc>
        <w:tc>
          <w:tcPr>
            <w:tcW w:w="1691" w:type="pct"/>
            <w:tcBorders>
              <w:top w:val="outset" w:sz="6" w:space="0" w:color="auto"/>
              <w:left w:val="outset" w:sz="6" w:space="0" w:color="auto"/>
              <w:bottom w:val="outset" w:sz="6" w:space="0" w:color="auto"/>
              <w:right w:val="outset" w:sz="6" w:space="0" w:color="auto"/>
            </w:tcBorders>
            <w:hideMark/>
          </w:tcPr>
          <w:p w14:paraId="52300505" w14:textId="77777777" w:rsidR="00F249CD" w:rsidRPr="002E572F" w:rsidRDefault="00F249CD" w:rsidP="00F249CD">
            <w:pPr>
              <w:rPr>
                <w:sz w:val="28"/>
                <w:szCs w:val="28"/>
              </w:rPr>
            </w:pPr>
            <w:r w:rsidRPr="002E572F">
              <w:rPr>
                <w:sz w:val="28"/>
                <w:szCs w:val="28"/>
              </w:rPr>
              <w:t>Pašreizējā situācija un problēmas, kuru risināšanai tiesību akta projekts izstrādāts, tiesiskā regulējuma mērķis un būtība</w:t>
            </w:r>
          </w:p>
        </w:tc>
        <w:tc>
          <w:tcPr>
            <w:tcW w:w="3047" w:type="pct"/>
            <w:tcBorders>
              <w:top w:val="outset" w:sz="6" w:space="0" w:color="auto"/>
              <w:left w:val="outset" w:sz="6" w:space="0" w:color="auto"/>
              <w:bottom w:val="outset" w:sz="6" w:space="0" w:color="auto"/>
              <w:right w:val="outset" w:sz="6" w:space="0" w:color="auto"/>
            </w:tcBorders>
          </w:tcPr>
          <w:p w14:paraId="03CCAC3C" w14:textId="4FA444F7" w:rsidR="00F249CD" w:rsidRPr="002E572F" w:rsidRDefault="00E6143B" w:rsidP="00E6143B">
            <w:pPr>
              <w:pStyle w:val="ListParagraph"/>
              <w:numPr>
                <w:ilvl w:val="0"/>
                <w:numId w:val="3"/>
              </w:numPr>
              <w:ind w:left="0" w:firstLine="0"/>
              <w:jc w:val="both"/>
              <w:rPr>
                <w:sz w:val="28"/>
                <w:szCs w:val="28"/>
              </w:rPr>
            </w:pPr>
            <w:r w:rsidRPr="002E572F">
              <w:rPr>
                <w:rFonts w:cs="Times New Roman"/>
                <w:sz w:val="28"/>
                <w:szCs w:val="28"/>
              </w:rPr>
              <w:t>Saskaņā ar</w:t>
            </w:r>
            <w:r w:rsidR="00323A65" w:rsidRPr="002E572F">
              <w:rPr>
                <w:rFonts w:cs="Times New Roman"/>
                <w:sz w:val="28"/>
                <w:szCs w:val="28"/>
              </w:rPr>
              <w:t xml:space="preserve"> Eiropas Parlamenta un Padomes</w:t>
            </w:r>
            <w:r w:rsidRPr="002E572F">
              <w:rPr>
                <w:rFonts w:cs="Times New Roman"/>
                <w:sz w:val="28"/>
                <w:szCs w:val="28"/>
              </w:rPr>
              <w:t xml:space="preserve"> Regulas Nr.952/2013</w:t>
            </w:r>
            <w:r w:rsidR="00323A65" w:rsidRPr="002E572F">
              <w:rPr>
                <w:rFonts w:cs="Times New Roman"/>
                <w:sz w:val="28"/>
                <w:szCs w:val="28"/>
              </w:rPr>
              <w:t>, ar ko izveido Savienības Muitas kodeksu (turpmāk – Regula Nr.952/2013)</w:t>
            </w:r>
            <w:r w:rsidRPr="002E572F">
              <w:rPr>
                <w:rFonts w:cs="Times New Roman"/>
                <w:sz w:val="28"/>
                <w:szCs w:val="28"/>
              </w:rPr>
              <w:t xml:space="preserve"> 278.pantā un 280.c panta 1.punktā, Regulas Nr.2015/2446 3.panta otrajā un trešajā daļā un Regulas Nr.2015/2447 7.panta 4.punktā un attiecīgi Komisijas 2016.gada 11.aprīļa Īstenošanas lēmuma 2016/578/ES, ar ko izveido darba programmu par Savien</w:t>
            </w:r>
            <w:r w:rsidR="00272B79" w:rsidRPr="002E572F">
              <w:rPr>
                <w:rFonts w:cs="Times New Roman"/>
                <w:sz w:val="28"/>
                <w:szCs w:val="28"/>
              </w:rPr>
              <w:t>ības M</w:t>
            </w:r>
            <w:r w:rsidRPr="002E572F">
              <w:rPr>
                <w:rFonts w:cs="Times New Roman"/>
                <w:sz w:val="28"/>
                <w:szCs w:val="28"/>
              </w:rPr>
              <w:t>uitas kodeksā paredzēto elektronisko sistēmu izstrādi un ieviešanu, pielikuma 2.sadaļas “Ar elektronisko sistēmu izstrādi un ieviešanu saistītie projekti” A saraksta 6.punktā noteiktajiem pārejas pasākumiem attiecībā uz Savienības Muitas kodek</w:t>
            </w:r>
            <w:r w:rsidR="00F06629">
              <w:rPr>
                <w:rFonts w:cs="Times New Roman"/>
                <w:sz w:val="28"/>
                <w:szCs w:val="28"/>
              </w:rPr>
              <w:t>sa 6.panta 1.punktu un 9.pantu 2018.gada 5.martā</w:t>
            </w:r>
            <w:r w:rsidRPr="002E572F">
              <w:rPr>
                <w:rFonts w:cs="Times New Roman"/>
                <w:sz w:val="28"/>
                <w:szCs w:val="28"/>
              </w:rPr>
              <w:t xml:space="preserve"> ir ieviests projekts “Uzņēmēju reģistrācijas un identifikācijas sistēmas jaunināšana (EORI 2)” un pārejas periods ir noslēdzies. Līdz ar to stājas spēkā Regulas Nr.2015/2446 3.panta pirmajā daļā un Regulas Nr.2015/2447 7.panta 3.punktā personu (uzņēmēju) reģistrācijai un identifikācijai muitas jomā noteiktie nosacījumi. Ņemot vērā iepriekš minēto</w:t>
            </w:r>
            <w:r w:rsidR="00866DB2" w:rsidRPr="002E572F">
              <w:rPr>
                <w:rFonts w:cs="Times New Roman"/>
                <w:sz w:val="28"/>
                <w:szCs w:val="28"/>
              </w:rPr>
              <w:t xml:space="preserve">, </w:t>
            </w:r>
            <w:r w:rsidRPr="002E572F">
              <w:rPr>
                <w:rFonts w:cs="Times New Roman"/>
                <w:sz w:val="28"/>
                <w:szCs w:val="28"/>
              </w:rPr>
              <w:t>noteikumu projekt</w:t>
            </w:r>
            <w:r w:rsidR="002E572F">
              <w:rPr>
                <w:rFonts w:cs="Times New Roman"/>
                <w:sz w:val="28"/>
                <w:szCs w:val="28"/>
              </w:rPr>
              <w:t>a</w:t>
            </w:r>
            <w:r w:rsidRPr="002E572F">
              <w:rPr>
                <w:rFonts w:cs="Times New Roman"/>
                <w:sz w:val="28"/>
                <w:szCs w:val="28"/>
              </w:rPr>
              <w:t xml:space="preserve"> </w:t>
            </w:r>
            <w:r w:rsidRPr="002E572F">
              <w:rPr>
                <w:rFonts w:cs="Times New Roman"/>
                <w:b/>
                <w:sz w:val="28"/>
                <w:szCs w:val="28"/>
              </w:rPr>
              <w:t>1.punktā</w:t>
            </w:r>
            <w:r w:rsidRPr="002E572F">
              <w:rPr>
                <w:rFonts w:cs="Times New Roman"/>
                <w:sz w:val="28"/>
                <w:szCs w:val="28"/>
              </w:rPr>
              <w:t xml:space="preserve"> ir precizētas atsauces uz ES normatīvajiem aktiem.</w:t>
            </w:r>
          </w:p>
          <w:p w14:paraId="137C0309" w14:textId="1B283376" w:rsidR="00E6143B" w:rsidRPr="002E572F" w:rsidRDefault="00E6143B" w:rsidP="00047794">
            <w:pPr>
              <w:pStyle w:val="ListParagraph"/>
              <w:numPr>
                <w:ilvl w:val="0"/>
                <w:numId w:val="3"/>
              </w:numPr>
              <w:autoSpaceDE w:val="0"/>
              <w:autoSpaceDN w:val="0"/>
              <w:ind w:left="0" w:firstLine="31"/>
              <w:jc w:val="both"/>
              <w:rPr>
                <w:rFonts w:cs="Times New Roman"/>
                <w:sz w:val="28"/>
                <w:szCs w:val="28"/>
              </w:rPr>
            </w:pPr>
            <w:r w:rsidRPr="002E572F">
              <w:rPr>
                <w:rFonts w:cs="Times New Roman"/>
                <w:sz w:val="28"/>
                <w:szCs w:val="28"/>
              </w:rPr>
              <w:t>Līdz šim EORI numura</w:t>
            </w:r>
            <w:r w:rsidR="00380214" w:rsidRPr="002E572F">
              <w:rPr>
                <w:rStyle w:val="FootnoteReference"/>
                <w:rFonts w:cs="Times New Roman"/>
                <w:sz w:val="28"/>
                <w:szCs w:val="28"/>
              </w:rPr>
              <w:footnoteReference w:id="1"/>
            </w:r>
            <w:r w:rsidR="005E5FEA" w:rsidRPr="002E572F">
              <w:rPr>
                <w:rFonts w:cs="Times New Roman"/>
                <w:sz w:val="28"/>
                <w:szCs w:val="28"/>
              </w:rPr>
              <w:t xml:space="preserve"> </w:t>
            </w:r>
            <w:r w:rsidR="00D941A7" w:rsidRPr="002E572F">
              <w:rPr>
                <w:rFonts w:cs="Times New Roman"/>
                <w:sz w:val="28"/>
                <w:szCs w:val="28"/>
              </w:rPr>
              <w:t xml:space="preserve">piešķiršanai </w:t>
            </w:r>
            <w:r w:rsidRPr="002E572F">
              <w:rPr>
                <w:rFonts w:cs="Times New Roman"/>
                <w:sz w:val="28"/>
                <w:szCs w:val="28"/>
              </w:rPr>
              <w:t>jeb EORI ieraksta izveidošanai EORI sistēmā nepieciešamo ziņu</w:t>
            </w:r>
            <w:r w:rsidR="00D452D7" w:rsidRPr="002E572F">
              <w:rPr>
                <w:rFonts w:cs="Times New Roman"/>
                <w:sz w:val="28"/>
                <w:szCs w:val="28"/>
              </w:rPr>
              <w:t xml:space="preserve"> apjoms</w:t>
            </w:r>
            <w:r w:rsidRPr="002E572F">
              <w:rPr>
                <w:rFonts w:cs="Times New Roman"/>
                <w:sz w:val="28"/>
                <w:szCs w:val="28"/>
              </w:rPr>
              <w:t>, kas pārejas periodā saskaņā ar regulas Nr.2015/2446 3. panta otro un trešo daļu un Regulas Nr.2015/2447 7.panta 4</w:t>
            </w:r>
            <w:r w:rsidR="00E221DA" w:rsidRPr="002E572F">
              <w:rPr>
                <w:rFonts w:cs="Times New Roman"/>
                <w:sz w:val="28"/>
                <w:szCs w:val="28"/>
              </w:rPr>
              <w:t>.punkta otro daļu bija paredzēt</w:t>
            </w:r>
            <w:r w:rsidRPr="002E572F">
              <w:rPr>
                <w:rFonts w:cs="Times New Roman"/>
                <w:sz w:val="28"/>
                <w:szCs w:val="28"/>
              </w:rPr>
              <w:t>s Regulas Nr.2016/341 9. pielikuma E papildinājumā</w:t>
            </w:r>
            <w:r w:rsidR="00D452D7" w:rsidRPr="002E572F">
              <w:rPr>
                <w:rFonts w:cs="Times New Roman"/>
                <w:sz w:val="28"/>
                <w:szCs w:val="28"/>
              </w:rPr>
              <w:t>.</w:t>
            </w:r>
            <w:r w:rsidRPr="002E572F">
              <w:rPr>
                <w:rFonts w:cs="Times New Roman"/>
                <w:sz w:val="28"/>
                <w:szCs w:val="28"/>
              </w:rPr>
              <w:t xml:space="preserve"> </w:t>
            </w:r>
            <w:r w:rsidR="00D452D7" w:rsidRPr="002E572F">
              <w:rPr>
                <w:rFonts w:cs="Times New Roman"/>
                <w:sz w:val="28"/>
                <w:szCs w:val="28"/>
              </w:rPr>
              <w:t>T</w:t>
            </w:r>
            <w:r w:rsidRPr="002E572F">
              <w:rPr>
                <w:rFonts w:cs="Times New Roman"/>
                <w:sz w:val="28"/>
                <w:szCs w:val="28"/>
              </w:rPr>
              <w:t>aču turpmāk visu ES dalībvalstu muitas dienesti reģistrē un glabā datus, kā tas paredzēts Regulas Nr.2015/2446 3.panta pirmajā daļā un Regulas Nr.2015/2447 7.panta 3.punktā. L</w:t>
            </w:r>
            <w:r w:rsidR="00866DB2" w:rsidRPr="002E572F">
              <w:rPr>
                <w:rFonts w:cs="Times New Roman"/>
                <w:sz w:val="28"/>
                <w:szCs w:val="28"/>
              </w:rPr>
              <w:t>īdz ar to</w:t>
            </w:r>
            <w:r w:rsidR="00D452D7" w:rsidRPr="002E572F">
              <w:rPr>
                <w:rFonts w:cs="Times New Roman"/>
                <w:sz w:val="28"/>
                <w:szCs w:val="28"/>
              </w:rPr>
              <w:t xml:space="preserve"> ziņu apjoms, kas nepieciešams EORI numura piešķiršanai jeb EORI ieraksta izveidošanai un izmaiņām EORI ieraksta datos</w:t>
            </w:r>
            <w:r w:rsidR="00866DB2" w:rsidRPr="002E572F">
              <w:rPr>
                <w:rFonts w:cs="Times New Roman"/>
                <w:sz w:val="28"/>
                <w:szCs w:val="28"/>
              </w:rPr>
              <w:t xml:space="preserve"> ir precizēts</w:t>
            </w:r>
            <w:r w:rsidRPr="002E572F">
              <w:rPr>
                <w:rFonts w:cs="Times New Roman"/>
                <w:sz w:val="28"/>
                <w:szCs w:val="28"/>
              </w:rPr>
              <w:t xml:space="preserve"> noteikumu projekta </w:t>
            </w:r>
            <w:r w:rsidRPr="002E572F">
              <w:rPr>
                <w:rFonts w:cs="Times New Roman"/>
                <w:b/>
                <w:sz w:val="28"/>
                <w:szCs w:val="28"/>
              </w:rPr>
              <w:t>2.</w:t>
            </w:r>
            <w:r w:rsidRPr="002E572F">
              <w:rPr>
                <w:rFonts w:cs="Times New Roman"/>
                <w:sz w:val="28"/>
                <w:szCs w:val="28"/>
              </w:rPr>
              <w:t xml:space="preserve"> un </w:t>
            </w:r>
            <w:r w:rsidR="00E47ECA">
              <w:rPr>
                <w:rFonts w:cs="Times New Roman"/>
                <w:b/>
                <w:sz w:val="28"/>
                <w:szCs w:val="28"/>
              </w:rPr>
              <w:t>5</w:t>
            </w:r>
            <w:r w:rsidRPr="002E572F">
              <w:rPr>
                <w:rFonts w:cs="Times New Roman"/>
                <w:b/>
                <w:sz w:val="28"/>
                <w:szCs w:val="28"/>
              </w:rPr>
              <w:t>.punkt</w:t>
            </w:r>
            <w:r w:rsidR="00D452D7" w:rsidRPr="002E572F">
              <w:rPr>
                <w:rFonts w:cs="Times New Roman"/>
                <w:b/>
                <w:sz w:val="28"/>
                <w:szCs w:val="28"/>
              </w:rPr>
              <w:t>ā</w:t>
            </w:r>
            <w:r w:rsidRPr="002E572F">
              <w:rPr>
                <w:rFonts w:cs="Times New Roman"/>
                <w:sz w:val="28"/>
                <w:szCs w:val="28"/>
              </w:rPr>
              <w:t>.</w:t>
            </w:r>
          </w:p>
          <w:p w14:paraId="45FDF156" w14:textId="7D8C021F" w:rsidR="00E6143B" w:rsidRPr="002E572F" w:rsidRDefault="00E6143B" w:rsidP="00E6143B">
            <w:pPr>
              <w:pStyle w:val="naiskr"/>
              <w:numPr>
                <w:ilvl w:val="0"/>
                <w:numId w:val="3"/>
              </w:numPr>
              <w:spacing w:before="0" w:beforeAutospacing="0" w:after="0" w:afterAutospacing="0"/>
              <w:ind w:left="0" w:right="57" w:firstLine="31"/>
              <w:jc w:val="both"/>
              <w:rPr>
                <w:sz w:val="28"/>
                <w:szCs w:val="28"/>
              </w:rPr>
            </w:pPr>
            <w:r w:rsidRPr="002E572F">
              <w:rPr>
                <w:sz w:val="28"/>
                <w:szCs w:val="28"/>
              </w:rPr>
              <w:lastRenderedPageBreak/>
              <w:t xml:space="preserve">Lai nodrošinātu personām iespēju optimālākā veidā sniegt ziņas, kas atbilst Regulas Nr.2015/2446 12-01.pielikumā “Kopējās datu prasības attiecībā uz uzņēmēju un citu personu reģistrāciju” un Regulas Nr.2015/2447 12-01.pielikumā “Kopējo datu prasību formāti un kodi attiecībā uz uzņēmēju un citu personu reģistrāciju” noteiktajām prasībām, noteikumu projekta </w:t>
            </w:r>
            <w:r w:rsidR="00E47ECA">
              <w:rPr>
                <w:b/>
                <w:sz w:val="28"/>
                <w:szCs w:val="28"/>
              </w:rPr>
              <w:t>4</w:t>
            </w:r>
            <w:r w:rsidRPr="002E572F">
              <w:rPr>
                <w:b/>
                <w:sz w:val="28"/>
                <w:szCs w:val="28"/>
              </w:rPr>
              <w:t>.punktā</w:t>
            </w:r>
            <w:r w:rsidRPr="002E572F">
              <w:rPr>
                <w:sz w:val="28"/>
                <w:szCs w:val="28"/>
              </w:rPr>
              <w:t xml:space="preserve"> noteikts, ka Valsts ieņēmumu dienests publicē EORI numura pieprasījuma veidlapas paraugu savā tīmekļa vietnē.</w:t>
            </w:r>
            <w:r w:rsidR="00263D8D" w:rsidRPr="002E572F">
              <w:rPr>
                <w:sz w:val="28"/>
                <w:szCs w:val="28"/>
              </w:rPr>
              <w:t xml:space="preserve"> EORI numura pieprasījuma veidlapas paraugā atbilstoši Regulas Nr.2015/2446 12-01.pielikuma “Kopējās datu prasības attiecībā uz uzņēmēju un citu personu reģistrāciju” I sadaļas 3.nodaļas tabulas “Datu prasību tabula” trešajā kolonnā noteiktajam tiks sniegti skaidrojumi par obligāti norādāmiem datu elementiem un datu elementiem, kuru norādīšana nav obligāta.</w:t>
            </w:r>
          </w:p>
          <w:p w14:paraId="2FBBF666" w14:textId="446E8E97" w:rsidR="00E6143B" w:rsidRPr="002E572F" w:rsidRDefault="007A2393" w:rsidP="00E47ECA">
            <w:pPr>
              <w:pStyle w:val="ListParagraph"/>
              <w:numPr>
                <w:ilvl w:val="0"/>
                <w:numId w:val="3"/>
              </w:numPr>
              <w:ind w:left="0" w:firstLine="0"/>
              <w:jc w:val="both"/>
              <w:rPr>
                <w:sz w:val="28"/>
                <w:szCs w:val="28"/>
              </w:rPr>
            </w:pPr>
            <w:r w:rsidRPr="002E572F">
              <w:rPr>
                <w:sz w:val="28"/>
                <w:szCs w:val="28"/>
              </w:rPr>
              <w:t>Pārejas periodā</w:t>
            </w:r>
            <w:r w:rsidR="00EC7E0D" w:rsidRPr="002E572F">
              <w:rPr>
                <w:sz w:val="28"/>
                <w:szCs w:val="28"/>
              </w:rPr>
              <w:t xml:space="preserve"> EORI numura struktūru </w:t>
            </w:r>
            <w:r w:rsidRPr="002E572F">
              <w:rPr>
                <w:sz w:val="28"/>
                <w:szCs w:val="28"/>
              </w:rPr>
              <w:t xml:space="preserve">saskaņā ar Regulas Nr.2015/2447 7.panta 4.punkta otro daļu noteica Regulas Nr.2016/341 9.pielikuma D.1 papildinājumā, ņemot vērā, to ka </w:t>
            </w:r>
            <w:r w:rsidR="00861612" w:rsidRPr="002E572F">
              <w:rPr>
                <w:sz w:val="28"/>
                <w:szCs w:val="28"/>
              </w:rPr>
              <w:t>ar 2018.gada 5.martu EORI numura struktūr</w:t>
            </w:r>
            <w:r w:rsidR="00B30B6A" w:rsidRPr="002E572F">
              <w:rPr>
                <w:sz w:val="28"/>
                <w:szCs w:val="28"/>
              </w:rPr>
              <w:t>a</w:t>
            </w:r>
            <w:r w:rsidR="00861612" w:rsidRPr="002E572F">
              <w:rPr>
                <w:sz w:val="28"/>
                <w:szCs w:val="28"/>
              </w:rPr>
              <w:t xml:space="preserve"> </w:t>
            </w:r>
            <w:r w:rsidR="009A3A19" w:rsidRPr="002E572F">
              <w:rPr>
                <w:sz w:val="28"/>
                <w:szCs w:val="28"/>
              </w:rPr>
              <w:t xml:space="preserve">saskaņā ar Regulas Nr.2015/2447 7.panta 3.punktu </w:t>
            </w:r>
            <w:r w:rsidR="00861612" w:rsidRPr="002E572F">
              <w:rPr>
                <w:sz w:val="28"/>
                <w:szCs w:val="28"/>
              </w:rPr>
              <w:t>no</w:t>
            </w:r>
            <w:r w:rsidR="00B30B6A" w:rsidRPr="002E572F">
              <w:rPr>
                <w:sz w:val="28"/>
                <w:szCs w:val="28"/>
              </w:rPr>
              <w:t>teikta</w:t>
            </w:r>
            <w:r w:rsidR="00861612" w:rsidRPr="002E572F">
              <w:rPr>
                <w:sz w:val="28"/>
                <w:szCs w:val="28"/>
              </w:rPr>
              <w:t xml:space="preserve"> </w:t>
            </w:r>
            <w:r w:rsidR="009A3A19" w:rsidRPr="002E572F">
              <w:rPr>
                <w:sz w:val="28"/>
                <w:szCs w:val="28"/>
              </w:rPr>
              <w:t>šīs r</w:t>
            </w:r>
            <w:r w:rsidR="00861612" w:rsidRPr="002E572F">
              <w:rPr>
                <w:sz w:val="28"/>
                <w:szCs w:val="28"/>
              </w:rPr>
              <w:t>egulas 12-01.pielikum</w:t>
            </w:r>
            <w:r w:rsidR="00B30B6A" w:rsidRPr="002E572F">
              <w:rPr>
                <w:sz w:val="28"/>
                <w:szCs w:val="28"/>
              </w:rPr>
              <w:t>a</w:t>
            </w:r>
            <w:r w:rsidR="00861612" w:rsidRPr="002E572F">
              <w:rPr>
                <w:sz w:val="28"/>
                <w:szCs w:val="28"/>
              </w:rPr>
              <w:t xml:space="preserve"> </w:t>
            </w:r>
            <w:r w:rsidR="009A3A19" w:rsidRPr="002E572F">
              <w:rPr>
                <w:sz w:val="28"/>
                <w:szCs w:val="28"/>
              </w:rPr>
              <w:t>“</w:t>
            </w:r>
            <w:r w:rsidR="00861612" w:rsidRPr="002E572F">
              <w:rPr>
                <w:sz w:val="28"/>
                <w:szCs w:val="28"/>
              </w:rPr>
              <w:t>Kopējo datu prasību formāti un kodi attiecībā uz uzņēmēju un citu personu reģistrāciju”</w:t>
            </w:r>
            <w:r w:rsidR="00B30B6A" w:rsidRPr="002E572F">
              <w:rPr>
                <w:sz w:val="28"/>
                <w:szCs w:val="28"/>
              </w:rPr>
              <w:t xml:space="preserve"> II sadaļā</w:t>
            </w:r>
            <w:r w:rsidR="00861612" w:rsidRPr="002E572F">
              <w:rPr>
                <w:sz w:val="28"/>
                <w:szCs w:val="28"/>
              </w:rPr>
              <w:t>,</w:t>
            </w:r>
            <w:r w:rsidR="00B30B6A" w:rsidRPr="002E572F">
              <w:rPr>
                <w:sz w:val="28"/>
                <w:szCs w:val="28"/>
              </w:rPr>
              <w:t xml:space="preserve"> nosacījumi attiecībā uz EORI numura un pagaidu numura struktūru</w:t>
            </w:r>
            <w:r w:rsidR="00861612" w:rsidRPr="002E572F">
              <w:rPr>
                <w:sz w:val="28"/>
                <w:szCs w:val="28"/>
              </w:rPr>
              <w:t xml:space="preserve"> ir </w:t>
            </w:r>
            <w:r w:rsidR="00B30B6A" w:rsidRPr="002E572F">
              <w:rPr>
                <w:sz w:val="28"/>
                <w:szCs w:val="28"/>
              </w:rPr>
              <w:t>paredzēti</w:t>
            </w:r>
            <w:r w:rsidR="00861612" w:rsidRPr="002E572F">
              <w:rPr>
                <w:sz w:val="28"/>
                <w:szCs w:val="28"/>
              </w:rPr>
              <w:t xml:space="preserve"> noteikumu projekta </w:t>
            </w:r>
            <w:r w:rsidR="00E47ECA">
              <w:rPr>
                <w:b/>
                <w:sz w:val="28"/>
                <w:szCs w:val="28"/>
              </w:rPr>
              <w:t>6</w:t>
            </w:r>
            <w:r w:rsidR="00861612" w:rsidRPr="002E572F">
              <w:rPr>
                <w:b/>
                <w:sz w:val="28"/>
                <w:szCs w:val="28"/>
              </w:rPr>
              <w:t xml:space="preserve">., </w:t>
            </w:r>
            <w:r w:rsidR="00E47ECA">
              <w:rPr>
                <w:b/>
                <w:sz w:val="28"/>
                <w:szCs w:val="28"/>
              </w:rPr>
              <w:t>7</w:t>
            </w:r>
            <w:r w:rsidR="00861612" w:rsidRPr="002E572F">
              <w:rPr>
                <w:b/>
                <w:sz w:val="28"/>
                <w:szCs w:val="28"/>
              </w:rPr>
              <w:t xml:space="preserve">. un </w:t>
            </w:r>
            <w:r w:rsidR="00E47ECA">
              <w:rPr>
                <w:b/>
                <w:sz w:val="28"/>
                <w:szCs w:val="28"/>
              </w:rPr>
              <w:t>8</w:t>
            </w:r>
            <w:r w:rsidR="00861612" w:rsidRPr="002E572F">
              <w:rPr>
                <w:b/>
                <w:sz w:val="28"/>
                <w:szCs w:val="28"/>
              </w:rPr>
              <w:t>.punkt</w:t>
            </w:r>
            <w:r w:rsidR="00B30B6A" w:rsidRPr="002E572F">
              <w:rPr>
                <w:b/>
                <w:sz w:val="28"/>
                <w:szCs w:val="28"/>
              </w:rPr>
              <w:t>ā</w:t>
            </w:r>
            <w:r w:rsidR="00861612" w:rsidRPr="002E572F">
              <w:rPr>
                <w:b/>
                <w:sz w:val="28"/>
                <w:szCs w:val="28"/>
              </w:rPr>
              <w:t>.</w:t>
            </w:r>
          </w:p>
        </w:tc>
      </w:tr>
      <w:tr w:rsidR="00F249CD" w:rsidRPr="002E572F" w14:paraId="631049B5" w14:textId="77777777" w:rsidTr="002E572F">
        <w:trPr>
          <w:tblCellSpacing w:w="15" w:type="dxa"/>
        </w:trPr>
        <w:tc>
          <w:tcPr>
            <w:tcW w:w="198" w:type="pct"/>
            <w:tcBorders>
              <w:top w:val="outset" w:sz="6" w:space="0" w:color="auto"/>
              <w:left w:val="outset" w:sz="6" w:space="0" w:color="auto"/>
              <w:bottom w:val="outset" w:sz="6" w:space="0" w:color="auto"/>
              <w:right w:val="outset" w:sz="6" w:space="0" w:color="auto"/>
            </w:tcBorders>
            <w:hideMark/>
          </w:tcPr>
          <w:p w14:paraId="669231CE" w14:textId="76C48BDC" w:rsidR="00F249CD" w:rsidRPr="002E572F" w:rsidRDefault="005E5FEA" w:rsidP="00F249CD">
            <w:pPr>
              <w:rPr>
                <w:sz w:val="28"/>
                <w:szCs w:val="28"/>
              </w:rPr>
            </w:pPr>
            <w:r w:rsidRPr="002E572F">
              <w:rPr>
                <w:sz w:val="28"/>
                <w:szCs w:val="28"/>
              </w:rPr>
              <w:lastRenderedPageBreak/>
              <w:t xml:space="preserve"> </w:t>
            </w:r>
            <w:r w:rsidR="00F249CD" w:rsidRPr="002E572F">
              <w:rPr>
                <w:sz w:val="28"/>
                <w:szCs w:val="28"/>
              </w:rPr>
              <w:t>3.</w:t>
            </w:r>
          </w:p>
        </w:tc>
        <w:tc>
          <w:tcPr>
            <w:tcW w:w="1691" w:type="pct"/>
            <w:tcBorders>
              <w:top w:val="outset" w:sz="6" w:space="0" w:color="auto"/>
              <w:left w:val="outset" w:sz="6" w:space="0" w:color="auto"/>
              <w:bottom w:val="outset" w:sz="6" w:space="0" w:color="auto"/>
              <w:right w:val="outset" w:sz="6" w:space="0" w:color="auto"/>
            </w:tcBorders>
            <w:hideMark/>
          </w:tcPr>
          <w:p w14:paraId="118DAB5E" w14:textId="77777777" w:rsidR="00F249CD" w:rsidRPr="002E572F" w:rsidRDefault="00F249CD" w:rsidP="00F249CD">
            <w:pPr>
              <w:rPr>
                <w:sz w:val="28"/>
                <w:szCs w:val="28"/>
              </w:rPr>
            </w:pPr>
            <w:r w:rsidRPr="002E572F">
              <w:rPr>
                <w:sz w:val="28"/>
                <w:szCs w:val="28"/>
              </w:rPr>
              <w:t>Projekta izstrādē iesaistītās institūcijas un publiskas personas kapitālsabiedrības</w:t>
            </w:r>
          </w:p>
        </w:tc>
        <w:tc>
          <w:tcPr>
            <w:tcW w:w="3047" w:type="pct"/>
            <w:tcBorders>
              <w:top w:val="outset" w:sz="6" w:space="0" w:color="auto"/>
              <w:left w:val="outset" w:sz="6" w:space="0" w:color="auto"/>
              <w:bottom w:val="outset" w:sz="6" w:space="0" w:color="auto"/>
              <w:right w:val="outset" w:sz="6" w:space="0" w:color="auto"/>
            </w:tcBorders>
          </w:tcPr>
          <w:p w14:paraId="02F3EE79" w14:textId="77777777" w:rsidR="00F249CD" w:rsidRPr="002E572F" w:rsidRDefault="00F249CD" w:rsidP="00F249CD">
            <w:pPr>
              <w:jc w:val="both"/>
              <w:rPr>
                <w:sz w:val="28"/>
                <w:szCs w:val="28"/>
              </w:rPr>
            </w:pPr>
            <w:r w:rsidRPr="002E572F">
              <w:rPr>
                <w:sz w:val="28"/>
                <w:szCs w:val="28"/>
              </w:rPr>
              <w:t>Finanšu ministrija un Valsts ieņēmumu dienests</w:t>
            </w:r>
          </w:p>
        </w:tc>
      </w:tr>
      <w:tr w:rsidR="00F249CD" w:rsidRPr="002E572F" w14:paraId="42594745" w14:textId="77777777" w:rsidTr="002E572F">
        <w:trPr>
          <w:tblCellSpacing w:w="15" w:type="dxa"/>
        </w:trPr>
        <w:tc>
          <w:tcPr>
            <w:tcW w:w="198" w:type="pct"/>
            <w:tcBorders>
              <w:top w:val="outset" w:sz="6" w:space="0" w:color="auto"/>
              <w:left w:val="outset" w:sz="6" w:space="0" w:color="auto"/>
              <w:bottom w:val="outset" w:sz="6" w:space="0" w:color="auto"/>
              <w:right w:val="outset" w:sz="6" w:space="0" w:color="auto"/>
            </w:tcBorders>
            <w:hideMark/>
          </w:tcPr>
          <w:p w14:paraId="02E895FA" w14:textId="77777777" w:rsidR="00F249CD" w:rsidRPr="002E572F" w:rsidRDefault="00F249CD" w:rsidP="00F249CD">
            <w:pPr>
              <w:rPr>
                <w:sz w:val="28"/>
                <w:szCs w:val="28"/>
              </w:rPr>
            </w:pPr>
            <w:r w:rsidRPr="002E572F">
              <w:rPr>
                <w:sz w:val="28"/>
                <w:szCs w:val="28"/>
              </w:rPr>
              <w:t>4.</w:t>
            </w:r>
          </w:p>
        </w:tc>
        <w:tc>
          <w:tcPr>
            <w:tcW w:w="1691" w:type="pct"/>
            <w:tcBorders>
              <w:top w:val="outset" w:sz="6" w:space="0" w:color="auto"/>
              <w:left w:val="outset" w:sz="6" w:space="0" w:color="auto"/>
              <w:bottom w:val="outset" w:sz="6" w:space="0" w:color="auto"/>
              <w:right w:val="outset" w:sz="6" w:space="0" w:color="auto"/>
            </w:tcBorders>
            <w:hideMark/>
          </w:tcPr>
          <w:p w14:paraId="2FCE4D8C" w14:textId="77777777" w:rsidR="00F249CD" w:rsidRPr="002E572F" w:rsidRDefault="00F249CD" w:rsidP="00F249CD">
            <w:pPr>
              <w:rPr>
                <w:sz w:val="28"/>
                <w:szCs w:val="28"/>
              </w:rPr>
            </w:pPr>
            <w:r w:rsidRPr="002E572F">
              <w:rPr>
                <w:sz w:val="28"/>
                <w:szCs w:val="28"/>
              </w:rPr>
              <w:t>Cita informācija</w:t>
            </w:r>
          </w:p>
        </w:tc>
        <w:tc>
          <w:tcPr>
            <w:tcW w:w="3047" w:type="pct"/>
            <w:tcBorders>
              <w:top w:val="outset" w:sz="6" w:space="0" w:color="auto"/>
              <w:left w:val="outset" w:sz="6" w:space="0" w:color="auto"/>
              <w:bottom w:val="outset" w:sz="6" w:space="0" w:color="auto"/>
              <w:right w:val="outset" w:sz="6" w:space="0" w:color="auto"/>
            </w:tcBorders>
            <w:hideMark/>
          </w:tcPr>
          <w:p w14:paraId="1881B068" w14:textId="77777777" w:rsidR="00F249CD" w:rsidRPr="002E572F" w:rsidRDefault="00F249CD" w:rsidP="00F249CD">
            <w:pPr>
              <w:jc w:val="both"/>
              <w:rPr>
                <w:sz w:val="28"/>
                <w:szCs w:val="28"/>
              </w:rPr>
            </w:pPr>
            <w:r w:rsidRPr="002E572F">
              <w:rPr>
                <w:sz w:val="28"/>
                <w:szCs w:val="28"/>
              </w:rPr>
              <w:t>Nav</w:t>
            </w:r>
          </w:p>
        </w:tc>
      </w:tr>
    </w:tbl>
    <w:p w14:paraId="760FF276" w14:textId="77777777" w:rsidR="00AF121C" w:rsidRPr="002E572F" w:rsidRDefault="00AF121C" w:rsidP="00AF121C">
      <w:pPr>
        <w:rPr>
          <w:sz w:val="28"/>
          <w:szCs w:val="28"/>
        </w:rPr>
      </w:pPr>
      <w:r w:rsidRPr="002E572F">
        <w:rPr>
          <w:sz w:val="28"/>
          <w:szCs w:val="28"/>
        </w:rPr>
        <w:t xml:space="preserve">  </w:t>
      </w:r>
    </w:p>
    <w:tbl>
      <w:tblPr>
        <w:tblW w:w="5245" w:type="pct"/>
        <w:tblCellSpacing w:w="15" w:type="dxa"/>
        <w:tblInd w:w="-29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861"/>
        <w:gridCol w:w="3009"/>
        <w:gridCol w:w="5629"/>
      </w:tblGrid>
      <w:tr w:rsidR="00AF121C" w:rsidRPr="002E572F" w14:paraId="08CB7FCF" w14:textId="77777777" w:rsidTr="002E572F">
        <w:trPr>
          <w:tblCellSpacing w:w="15" w:type="dxa"/>
        </w:trPr>
        <w:tc>
          <w:tcPr>
            <w:tcW w:w="4968" w:type="pct"/>
            <w:gridSpan w:val="3"/>
            <w:tcBorders>
              <w:top w:val="outset" w:sz="6" w:space="0" w:color="auto"/>
              <w:left w:val="outset" w:sz="6" w:space="0" w:color="auto"/>
              <w:bottom w:val="outset" w:sz="6" w:space="0" w:color="auto"/>
              <w:right w:val="outset" w:sz="6" w:space="0" w:color="auto"/>
            </w:tcBorders>
            <w:vAlign w:val="center"/>
            <w:hideMark/>
          </w:tcPr>
          <w:p w14:paraId="5CD5953F" w14:textId="77777777" w:rsidR="00AF121C" w:rsidRPr="002E572F" w:rsidRDefault="00AF121C" w:rsidP="003858EB">
            <w:pPr>
              <w:rPr>
                <w:b/>
                <w:bCs/>
                <w:sz w:val="28"/>
                <w:szCs w:val="28"/>
              </w:rPr>
            </w:pPr>
            <w:r w:rsidRPr="002E572F">
              <w:rPr>
                <w:b/>
                <w:bCs/>
                <w:sz w:val="28"/>
                <w:szCs w:val="28"/>
              </w:rPr>
              <w:t>II. Tiesību akta projekta ietekme uz sabiedrību, tautsaimniecības attīstību un administratīvo slogu</w:t>
            </w:r>
          </w:p>
        </w:tc>
      </w:tr>
      <w:tr w:rsidR="00AF121C" w:rsidRPr="002E572F" w14:paraId="5B60A571" w14:textId="77777777" w:rsidTr="002E572F">
        <w:trPr>
          <w:tblCellSpacing w:w="15" w:type="dxa"/>
        </w:trPr>
        <w:tc>
          <w:tcPr>
            <w:tcW w:w="432" w:type="pct"/>
            <w:tcBorders>
              <w:top w:val="outset" w:sz="6" w:space="0" w:color="auto"/>
              <w:left w:val="outset" w:sz="6" w:space="0" w:color="auto"/>
              <w:bottom w:val="outset" w:sz="6" w:space="0" w:color="auto"/>
              <w:right w:val="outset" w:sz="6" w:space="0" w:color="auto"/>
            </w:tcBorders>
            <w:hideMark/>
          </w:tcPr>
          <w:p w14:paraId="01F2ED96" w14:textId="77777777" w:rsidR="00AF121C" w:rsidRPr="002E572F" w:rsidRDefault="00AF121C" w:rsidP="003858EB">
            <w:pPr>
              <w:rPr>
                <w:sz w:val="28"/>
                <w:szCs w:val="28"/>
              </w:rPr>
            </w:pPr>
            <w:r w:rsidRPr="002E572F">
              <w:rPr>
                <w:sz w:val="28"/>
                <w:szCs w:val="28"/>
              </w:rPr>
              <w:t>1.</w:t>
            </w:r>
          </w:p>
        </w:tc>
        <w:tc>
          <w:tcPr>
            <w:tcW w:w="1578" w:type="pct"/>
            <w:tcBorders>
              <w:top w:val="outset" w:sz="6" w:space="0" w:color="auto"/>
              <w:left w:val="outset" w:sz="6" w:space="0" w:color="auto"/>
              <w:bottom w:val="outset" w:sz="6" w:space="0" w:color="auto"/>
              <w:right w:val="outset" w:sz="6" w:space="0" w:color="auto"/>
            </w:tcBorders>
            <w:hideMark/>
          </w:tcPr>
          <w:p w14:paraId="5F914E9C" w14:textId="77777777" w:rsidR="00AF121C" w:rsidRPr="002E572F" w:rsidRDefault="00AF121C" w:rsidP="003858EB">
            <w:pPr>
              <w:rPr>
                <w:sz w:val="28"/>
                <w:szCs w:val="28"/>
              </w:rPr>
            </w:pPr>
            <w:r w:rsidRPr="002E572F">
              <w:rPr>
                <w:sz w:val="28"/>
                <w:szCs w:val="28"/>
              </w:rPr>
              <w:t xml:space="preserve">Sabiedrības </w:t>
            </w:r>
            <w:proofErr w:type="spellStart"/>
            <w:r w:rsidRPr="002E572F">
              <w:rPr>
                <w:sz w:val="28"/>
                <w:szCs w:val="28"/>
              </w:rPr>
              <w:t>mērķgrupas</w:t>
            </w:r>
            <w:proofErr w:type="spellEnd"/>
            <w:r w:rsidRPr="002E572F">
              <w:rPr>
                <w:sz w:val="28"/>
                <w:szCs w:val="28"/>
              </w:rPr>
              <w:t>, kuras tiesiskais regulējums ietekmē vai varētu ietekmēt</w:t>
            </w:r>
          </w:p>
        </w:tc>
        <w:tc>
          <w:tcPr>
            <w:tcW w:w="2927" w:type="pct"/>
            <w:tcBorders>
              <w:top w:val="outset" w:sz="6" w:space="0" w:color="auto"/>
              <w:left w:val="outset" w:sz="6" w:space="0" w:color="auto"/>
              <w:bottom w:val="outset" w:sz="6" w:space="0" w:color="auto"/>
              <w:right w:val="outset" w:sz="6" w:space="0" w:color="auto"/>
            </w:tcBorders>
          </w:tcPr>
          <w:p w14:paraId="3811E1EF" w14:textId="0BC8B75C" w:rsidR="00CC3766" w:rsidRPr="002E572F" w:rsidRDefault="00866DB2" w:rsidP="00CC3766">
            <w:pPr>
              <w:suppressAutoHyphens/>
              <w:ind w:right="112"/>
              <w:jc w:val="both"/>
              <w:rPr>
                <w:sz w:val="28"/>
                <w:szCs w:val="28"/>
              </w:rPr>
            </w:pPr>
            <w:r w:rsidRPr="002E572F">
              <w:rPr>
                <w:sz w:val="28"/>
                <w:szCs w:val="28"/>
              </w:rPr>
              <w:t>N</w:t>
            </w:r>
            <w:r w:rsidR="00CC3766" w:rsidRPr="002E572F">
              <w:rPr>
                <w:sz w:val="28"/>
                <w:szCs w:val="28"/>
              </w:rPr>
              <w:t xml:space="preserve">oteikumu projekts </w:t>
            </w:r>
            <w:r w:rsidR="00065517">
              <w:rPr>
                <w:sz w:val="28"/>
                <w:szCs w:val="28"/>
              </w:rPr>
              <w:t>saskaņā ar Regulas Nr.952/2013 5</w:t>
            </w:r>
            <w:r w:rsidR="00CC3766" w:rsidRPr="002E572F">
              <w:rPr>
                <w:sz w:val="28"/>
                <w:szCs w:val="28"/>
              </w:rPr>
              <w:t xml:space="preserve">.panta 5.punktu ir attiecināms uz personām, kas, veicot </w:t>
            </w:r>
            <w:proofErr w:type="spellStart"/>
            <w:r w:rsidR="00CC3766" w:rsidRPr="002E572F">
              <w:rPr>
                <w:sz w:val="28"/>
                <w:szCs w:val="28"/>
              </w:rPr>
              <w:t>darījumdarbību</w:t>
            </w:r>
            <w:proofErr w:type="spellEnd"/>
            <w:r w:rsidR="00CC3766" w:rsidRPr="002E572F">
              <w:rPr>
                <w:sz w:val="28"/>
                <w:szCs w:val="28"/>
              </w:rPr>
              <w:t>, ir iesaistītas darbībās, uz kurām attiecas tiesību akti muitas jomā:</w:t>
            </w:r>
          </w:p>
          <w:p w14:paraId="211550E3" w14:textId="77777777" w:rsidR="00CC3766" w:rsidRPr="002E572F" w:rsidRDefault="00CC3766" w:rsidP="00CC3766">
            <w:pPr>
              <w:jc w:val="both"/>
              <w:rPr>
                <w:sz w:val="28"/>
                <w:szCs w:val="28"/>
              </w:rPr>
            </w:pPr>
            <w:r w:rsidRPr="002E572F">
              <w:rPr>
                <w:sz w:val="28"/>
                <w:szCs w:val="28"/>
              </w:rPr>
              <w:lastRenderedPageBreak/>
              <w:t>- Latvijas Republikā reģistrētajām juridiskām personām un individuālajiem komersantiem;</w:t>
            </w:r>
          </w:p>
          <w:p w14:paraId="49CCDDBF" w14:textId="151BDF04" w:rsidR="00CC3766" w:rsidRPr="002E572F" w:rsidRDefault="00CC3766" w:rsidP="00CC3766">
            <w:pPr>
              <w:jc w:val="both"/>
              <w:rPr>
                <w:sz w:val="28"/>
                <w:szCs w:val="28"/>
              </w:rPr>
            </w:pPr>
            <w:r w:rsidRPr="002E572F">
              <w:rPr>
                <w:sz w:val="28"/>
                <w:szCs w:val="28"/>
              </w:rPr>
              <w:t xml:space="preserve">- ārpus </w:t>
            </w:r>
            <w:r w:rsidR="00272B79" w:rsidRPr="002E572F">
              <w:rPr>
                <w:sz w:val="28"/>
                <w:szCs w:val="28"/>
              </w:rPr>
              <w:t>ES</w:t>
            </w:r>
            <w:r w:rsidRPr="002E572F">
              <w:rPr>
                <w:sz w:val="28"/>
                <w:szCs w:val="28"/>
              </w:rPr>
              <w:t xml:space="preserve"> reģistrētām juridiskām personām;</w:t>
            </w:r>
          </w:p>
          <w:p w14:paraId="5363B497" w14:textId="77777777" w:rsidR="00CC3766" w:rsidRPr="002E572F" w:rsidRDefault="00CC3766" w:rsidP="00CC3766">
            <w:pPr>
              <w:suppressAutoHyphens/>
              <w:ind w:right="112"/>
              <w:jc w:val="both"/>
              <w:rPr>
                <w:sz w:val="28"/>
                <w:szCs w:val="28"/>
              </w:rPr>
            </w:pPr>
            <w:r w:rsidRPr="002E572F">
              <w:rPr>
                <w:sz w:val="28"/>
                <w:szCs w:val="28"/>
              </w:rPr>
              <w:t>- Latvijas Republikā reģistrētajām fiziskajām personām</w:t>
            </w:r>
          </w:p>
          <w:p w14:paraId="64819C93" w14:textId="02C9D6A8" w:rsidR="00AF121C" w:rsidRPr="002E572F" w:rsidRDefault="00CC3766" w:rsidP="00272B79">
            <w:pPr>
              <w:suppressAutoHyphens/>
              <w:ind w:right="112"/>
              <w:jc w:val="both"/>
              <w:rPr>
                <w:sz w:val="28"/>
                <w:szCs w:val="28"/>
              </w:rPr>
            </w:pPr>
            <w:r w:rsidRPr="002E572F">
              <w:rPr>
                <w:sz w:val="28"/>
                <w:szCs w:val="28"/>
              </w:rPr>
              <w:t xml:space="preserve">- Ārpus </w:t>
            </w:r>
            <w:r w:rsidR="00272B79" w:rsidRPr="002E572F">
              <w:rPr>
                <w:sz w:val="28"/>
                <w:szCs w:val="28"/>
              </w:rPr>
              <w:t>ES</w:t>
            </w:r>
            <w:r w:rsidRPr="002E572F">
              <w:rPr>
                <w:sz w:val="28"/>
                <w:szCs w:val="28"/>
              </w:rPr>
              <w:t xml:space="preserve"> un </w:t>
            </w:r>
            <w:r w:rsidR="00272B79" w:rsidRPr="002E572F">
              <w:rPr>
                <w:sz w:val="28"/>
                <w:szCs w:val="28"/>
              </w:rPr>
              <w:t>ES</w:t>
            </w:r>
            <w:r w:rsidRPr="002E572F">
              <w:rPr>
                <w:sz w:val="28"/>
                <w:szCs w:val="28"/>
              </w:rPr>
              <w:t xml:space="preserve"> dalībvalstī, kas nav Latvijas Republika, reģistrētajām fiziskām personām.</w:t>
            </w:r>
          </w:p>
        </w:tc>
      </w:tr>
      <w:tr w:rsidR="00AF121C" w:rsidRPr="002E572F" w14:paraId="06AB4C81" w14:textId="77777777" w:rsidTr="002E572F">
        <w:trPr>
          <w:tblCellSpacing w:w="15" w:type="dxa"/>
        </w:trPr>
        <w:tc>
          <w:tcPr>
            <w:tcW w:w="432" w:type="pct"/>
            <w:tcBorders>
              <w:top w:val="outset" w:sz="6" w:space="0" w:color="auto"/>
              <w:left w:val="outset" w:sz="6" w:space="0" w:color="auto"/>
              <w:bottom w:val="outset" w:sz="6" w:space="0" w:color="auto"/>
              <w:right w:val="outset" w:sz="6" w:space="0" w:color="auto"/>
            </w:tcBorders>
            <w:hideMark/>
          </w:tcPr>
          <w:p w14:paraId="25B7CB6D" w14:textId="77777777" w:rsidR="00AF121C" w:rsidRPr="002E572F" w:rsidRDefault="00AF121C" w:rsidP="003858EB">
            <w:pPr>
              <w:rPr>
                <w:sz w:val="28"/>
                <w:szCs w:val="28"/>
              </w:rPr>
            </w:pPr>
            <w:r w:rsidRPr="002E572F">
              <w:rPr>
                <w:sz w:val="28"/>
                <w:szCs w:val="28"/>
              </w:rPr>
              <w:lastRenderedPageBreak/>
              <w:t>2.</w:t>
            </w:r>
          </w:p>
        </w:tc>
        <w:tc>
          <w:tcPr>
            <w:tcW w:w="1578" w:type="pct"/>
            <w:tcBorders>
              <w:top w:val="outset" w:sz="6" w:space="0" w:color="auto"/>
              <w:left w:val="outset" w:sz="6" w:space="0" w:color="auto"/>
              <w:bottom w:val="outset" w:sz="6" w:space="0" w:color="auto"/>
              <w:right w:val="outset" w:sz="6" w:space="0" w:color="auto"/>
            </w:tcBorders>
            <w:hideMark/>
          </w:tcPr>
          <w:p w14:paraId="1703D33E" w14:textId="77777777" w:rsidR="00AF121C" w:rsidRPr="002E572F" w:rsidRDefault="00AF121C" w:rsidP="003858EB">
            <w:pPr>
              <w:rPr>
                <w:sz w:val="28"/>
                <w:szCs w:val="28"/>
              </w:rPr>
            </w:pPr>
            <w:r w:rsidRPr="002E572F">
              <w:rPr>
                <w:sz w:val="28"/>
                <w:szCs w:val="28"/>
              </w:rPr>
              <w:t>Tiesiskā regulējuma ietekme uz tautsaimniecību un administratīvo slogu</w:t>
            </w:r>
          </w:p>
        </w:tc>
        <w:tc>
          <w:tcPr>
            <w:tcW w:w="2927" w:type="pct"/>
            <w:tcBorders>
              <w:top w:val="outset" w:sz="6" w:space="0" w:color="auto"/>
              <w:left w:val="outset" w:sz="6" w:space="0" w:color="auto"/>
              <w:bottom w:val="outset" w:sz="6" w:space="0" w:color="auto"/>
              <w:right w:val="outset" w:sz="6" w:space="0" w:color="auto"/>
            </w:tcBorders>
            <w:hideMark/>
          </w:tcPr>
          <w:p w14:paraId="08CB9F4F" w14:textId="77777777" w:rsidR="00AF121C" w:rsidRPr="002E572F" w:rsidRDefault="00AF121C" w:rsidP="003858EB">
            <w:pPr>
              <w:jc w:val="both"/>
              <w:rPr>
                <w:rFonts w:eastAsia="Times New Roman"/>
                <w:sz w:val="28"/>
                <w:szCs w:val="28"/>
                <w:lang w:eastAsia="lv-LV"/>
              </w:rPr>
            </w:pPr>
            <w:r w:rsidRPr="002E572F">
              <w:rPr>
                <w:rFonts w:eastAsia="Times New Roman"/>
                <w:sz w:val="28"/>
                <w:szCs w:val="28"/>
                <w:lang w:eastAsia="lv-LV"/>
              </w:rPr>
              <w:t>Noteikumu projekts šo jomu neskar.</w:t>
            </w:r>
          </w:p>
        </w:tc>
      </w:tr>
      <w:tr w:rsidR="00AF121C" w:rsidRPr="002E572F" w14:paraId="36B3D91E" w14:textId="77777777" w:rsidTr="002E572F">
        <w:trPr>
          <w:tblCellSpacing w:w="15" w:type="dxa"/>
        </w:trPr>
        <w:tc>
          <w:tcPr>
            <w:tcW w:w="432" w:type="pct"/>
            <w:tcBorders>
              <w:top w:val="outset" w:sz="6" w:space="0" w:color="auto"/>
              <w:left w:val="outset" w:sz="6" w:space="0" w:color="auto"/>
              <w:bottom w:val="outset" w:sz="6" w:space="0" w:color="auto"/>
              <w:right w:val="outset" w:sz="6" w:space="0" w:color="auto"/>
            </w:tcBorders>
            <w:hideMark/>
          </w:tcPr>
          <w:p w14:paraId="74A2AA2E" w14:textId="77777777" w:rsidR="00AF121C" w:rsidRPr="002E572F" w:rsidRDefault="00AF121C" w:rsidP="003858EB">
            <w:pPr>
              <w:rPr>
                <w:sz w:val="28"/>
                <w:szCs w:val="28"/>
              </w:rPr>
            </w:pPr>
            <w:r w:rsidRPr="002E572F">
              <w:rPr>
                <w:sz w:val="28"/>
                <w:szCs w:val="28"/>
              </w:rPr>
              <w:t>3.</w:t>
            </w:r>
          </w:p>
        </w:tc>
        <w:tc>
          <w:tcPr>
            <w:tcW w:w="1578" w:type="pct"/>
            <w:tcBorders>
              <w:top w:val="outset" w:sz="6" w:space="0" w:color="auto"/>
              <w:left w:val="outset" w:sz="6" w:space="0" w:color="auto"/>
              <w:bottom w:val="outset" w:sz="6" w:space="0" w:color="auto"/>
              <w:right w:val="outset" w:sz="6" w:space="0" w:color="auto"/>
            </w:tcBorders>
            <w:hideMark/>
          </w:tcPr>
          <w:p w14:paraId="1F67A531" w14:textId="77777777" w:rsidR="00AF121C" w:rsidRPr="002E572F" w:rsidRDefault="00AF121C" w:rsidP="003858EB">
            <w:pPr>
              <w:rPr>
                <w:sz w:val="28"/>
                <w:szCs w:val="28"/>
              </w:rPr>
            </w:pPr>
            <w:r w:rsidRPr="002E572F">
              <w:rPr>
                <w:sz w:val="28"/>
                <w:szCs w:val="28"/>
              </w:rPr>
              <w:t>Administratīvo izmaksu monetārs novērtējums</w:t>
            </w:r>
          </w:p>
        </w:tc>
        <w:tc>
          <w:tcPr>
            <w:tcW w:w="2927" w:type="pct"/>
            <w:tcBorders>
              <w:top w:val="outset" w:sz="6" w:space="0" w:color="auto"/>
              <w:left w:val="outset" w:sz="6" w:space="0" w:color="auto"/>
              <w:bottom w:val="outset" w:sz="6" w:space="0" w:color="auto"/>
              <w:right w:val="outset" w:sz="6" w:space="0" w:color="auto"/>
            </w:tcBorders>
            <w:hideMark/>
          </w:tcPr>
          <w:p w14:paraId="663913A7" w14:textId="77777777" w:rsidR="00AF121C" w:rsidRPr="002E572F" w:rsidRDefault="00AF121C" w:rsidP="003858EB">
            <w:pPr>
              <w:jc w:val="both"/>
              <w:rPr>
                <w:rFonts w:eastAsia="Times New Roman"/>
                <w:sz w:val="28"/>
                <w:szCs w:val="28"/>
                <w:lang w:eastAsia="lv-LV"/>
              </w:rPr>
            </w:pPr>
            <w:r w:rsidRPr="002E572F">
              <w:rPr>
                <w:rFonts w:eastAsia="Times New Roman"/>
                <w:sz w:val="28"/>
                <w:szCs w:val="28"/>
                <w:lang w:eastAsia="lv-LV"/>
              </w:rPr>
              <w:t>Noteikumu projekts šo jomu neskar.</w:t>
            </w:r>
          </w:p>
        </w:tc>
      </w:tr>
      <w:tr w:rsidR="00AF121C" w:rsidRPr="002E572F" w14:paraId="1545318C" w14:textId="77777777" w:rsidTr="002E572F">
        <w:trPr>
          <w:tblCellSpacing w:w="15" w:type="dxa"/>
        </w:trPr>
        <w:tc>
          <w:tcPr>
            <w:tcW w:w="432" w:type="pct"/>
            <w:tcBorders>
              <w:top w:val="outset" w:sz="6" w:space="0" w:color="auto"/>
              <w:left w:val="outset" w:sz="6" w:space="0" w:color="auto"/>
              <w:bottom w:val="outset" w:sz="6" w:space="0" w:color="auto"/>
              <w:right w:val="outset" w:sz="6" w:space="0" w:color="auto"/>
            </w:tcBorders>
            <w:hideMark/>
          </w:tcPr>
          <w:p w14:paraId="2C9D1982" w14:textId="77777777" w:rsidR="00AF121C" w:rsidRPr="002E572F" w:rsidRDefault="00AF121C" w:rsidP="003858EB">
            <w:pPr>
              <w:rPr>
                <w:sz w:val="28"/>
                <w:szCs w:val="28"/>
              </w:rPr>
            </w:pPr>
            <w:r w:rsidRPr="002E572F">
              <w:rPr>
                <w:sz w:val="28"/>
                <w:szCs w:val="28"/>
              </w:rPr>
              <w:t>4.</w:t>
            </w:r>
          </w:p>
        </w:tc>
        <w:tc>
          <w:tcPr>
            <w:tcW w:w="1578" w:type="pct"/>
            <w:tcBorders>
              <w:top w:val="outset" w:sz="6" w:space="0" w:color="auto"/>
              <w:left w:val="outset" w:sz="6" w:space="0" w:color="auto"/>
              <w:bottom w:val="outset" w:sz="6" w:space="0" w:color="auto"/>
              <w:right w:val="outset" w:sz="6" w:space="0" w:color="auto"/>
            </w:tcBorders>
            <w:hideMark/>
          </w:tcPr>
          <w:p w14:paraId="21E86041" w14:textId="77777777" w:rsidR="00AF121C" w:rsidRPr="002E572F" w:rsidRDefault="00AF121C" w:rsidP="003858EB">
            <w:pPr>
              <w:rPr>
                <w:sz w:val="28"/>
                <w:szCs w:val="28"/>
              </w:rPr>
            </w:pPr>
            <w:r w:rsidRPr="002E572F">
              <w:rPr>
                <w:sz w:val="28"/>
                <w:szCs w:val="28"/>
              </w:rPr>
              <w:t>Atbilstības izmaksu monetārs novērtējums</w:t>
            </w:r>
          </w:p>
        </w:tc>
        <w:tc>
          <w:tcPr>
            <w:tcW w:w="2927" w:type="pct"/>
            <w:tcBorders>
              <w:top w:val="outset" w:sz="6" w:space="0" w:color="auto"/>
              <w:left w:val="outset" w:sz="6" w:space="0" w:color="auto"/>
              <w:bottom w:val="outset" w:sz="6" w:space="0" w:color="auto"/>
              <w:right w:val="outset" w:sz="6" w:space="0" w:color="auto"/>
            </w:tcBorders>
          </w:tcPr>
          <w:p w14:paraId="6AC150C9" w14:textId="77777777" w:rsidR="00AF121C" w:rsidRPr="002E572F" w:rsidRDefault="00AF121C" w:rsidP="003858EB">
            <w:pPr>
              <w:jc w:val="both"/>
              <w:rPr>
                <w:rFonts w:eastAsia="Times New Roman"/>
                <w:sz w:val="28"/>
                <w:szCs w:val="28"/>
                <w:lang w:eastAsia="lv-LV"/>
              </w:rPr>
            </w:pPr>
            <w:r w:rsidRPr="002E572F">
              <w:rPr>
                <w:rFonts w:eastAsia="Times New Roman"/>
                <w:sz w:val="28"/>
                <w:szCs w:val="28"/>
                <w:lang w:eastAsia="lv-LV"/>
              </w:rPr>
              <w:t>Noteikumu projekts šo jomu neskar.</w:t>
            </w:r>
          </w:p>
        </w:tc>
      </w:tr>
      <w:tr w:rsidR="00AF121C" w:rsidRPr="002E572F" w14:paraId="7CE9DFAB" w14:textId="77777777" w:rsidTr="002E572F">
        <w:trPr>
          <w:tblCellSpacing w:w="15" w:type="dxa"/>
        </w:trPr>
        <w:tc>
          <w:tcPr>
            <w:tcW w:w="432" w:type="pct"/>
            <w:tcBorders>
              <w:top w:val="outset" w:sz="6" w:space="0" w:color="auto"/>
              <w:left w:val="outset" w:sz="6" w:space="0" w:color="auto"/>
              <w:bottom w:val="outset" w:sz="6" w:space="0" w:color="auto"/>
              <w:right w:val="outset" w:sz="6" w:space="0" w:color="auto"/>
            </w:tcBorders>
            <w:hideMark/>
          </w:tcPr>
          <w:p w14:paraId="1A8A8B5F" w14:textId="77777777" w:rsidR="00AF121C" w:rsidRPr="002E572F" w:rsidRDefault="00AF121C" w:rsidP="003858EB">
            <w:pPr>
              <w:rPr>
                <w:sz w:val="28"/>
                <w:szCs w:val="28"/>
              </w:rPr>
            </w:pPr>
            <w:r w:rsidRPr="002E572F">
              <w:rPr>
                <w:sz w:val="28"/>
                <w:szCs w:val="28"/>
              </w:rPr>
              <w:t>5.</w:t>
            </w:r>
          </w:p>
        </w:tc>
        <w:tc>
          <w:tcPr>
            <w:tcW w:w="1578" w:type="pct"/>
            <w:tcBorders>
              <w:top w:val="outset" w:sz="6" w:space="0" w:color="auto"/>
              <w:left w:val="outset" w:sz="6" w:space="0" w:color="auto"/>
              <w:bottom w:val="outset" w:sz="6" w:space="0" w:color="auto"/>
              <w:right w:val="outset" w:sz="6" w:space="0" w:color="auto"/>
            </w:tcBorders>
            <w:hideMark/>
          </w:tcPr>
          <w:p w14:paraId="5011883D" w14:textId="77777777" w:rsidR="00AF121C" w:rsidRPr="002E572F" w:rsidRDefault="00AF121C" w:rsidP="003858EB">
            <w:pPr>
              <w:rPr>
                <w:sz w:val="28"/>
                <w:szCs w:val="28"/>
              </w:rPr>
            </w:pPr>
            <w:r w:rsidRPr="002E572F">
              <w:rPr>
                <w:sz w:val="28"/>
                <w:szCs w:val="28"/>
              </w:rPr>
              <w:t>Cita informācija</w:t>
            </w:r>
          </w:p>
        </w:tc>
        <w:tc>
          <w:tcPr>
            <w:tcW w:w="2927" w:type="pct"/>
            <w:tcBorders>
              <w:top w:val="outset" w:sz="6" w:space="0" w:color="auto"/>
              <w:left w:val="outset" w:sz="6" w:space="0" w:color="auto"/>
              <w:bottom w:val="outset" w:sz="6" w:space="0" w:color="auto"/>
              <w:right w:val="outset" w:sz="6" w:space="0" w:color="auto"/>
            </w:tcBorders>
            <w:hideMark/>
          </w:tcPr>
          <w:p w14:paraId="4BA46600" w14:textId="77777777" w:rsidR="00AF121C" w:rsidRPr="002E572F" w:rsidRDefault="00AF121C" w:rsidP="003858EB">
            <w:pPr>
              <w:rPr>
                <w:sz w:val="28"/>
                <w:szCs w:val="28"/>
              </w:rPr>
            </w:pPr>
            <w:r w:rsidRPr="002E572F">
              <w:rPr>
                <w:sz w:val="28"/>
                <w:szCs w:val="28"/>
              </w:rPr>
              <w:t>Nav</w:t>
            </w:r>
          </w:p>
        </w:tc>
      </w:tr>
    </w:tbl>
    <w:p w14:paraId="3336A2E0" w14:textId="77777777" w:rsidR="00AF121C" w:rsidRPr="002E572F" w:rsidRDefault="00AF121C" w:rsidP="00AF121C">
      <w:pPr>
        <w:rPr>
          <w:sz w:val="28"/>
          <w:szCs w:val="28"/>
        </w:rPr>
      </w:pPr>
      <w:r w:rsidRPr="002E572F">
        <w:rPr>
          <w:sz w:val="28"/>
          <w:szCs w:val="28"/>
        </w:rPr>
        <w:t xml:space="preserve">  </w:t>
      </w:r>
    </w:p>
    <w:tbl>
      <w:tblPr>
        <w:tblW w:w="5245" w:type="pct"/>
        <w:tblCellSpacing w:w="15" w:type="dxa"/>
        <w:tblInd w:w="-29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499"/>
      </w:tblGrid>
      <w:tr w:rsidR="00AF121C" w:rsidRPr="002E572F" w14:paraId="46987492" w14:textId="77777777" w:rsidTr="002E572F">
        <w:trPr>
          <w:tblCellSpacing w:w="15" w:type="dxa"/>
        </w:trPr>
        <w:tc>
          <w:tcPr>
            <w:tcW w:w="4968" w:type="pct"/>
            <w:tcBorders>
              <w:top w:val="outset" w:sz="6" w:space="0" w:color="auto"/>
              <w:left w:val="outset" w:sz="6" w:space="0" w:color="auto"/>
              <w:bottom w:val="outset" w:sz="6" w:space="0" w:color="auto"/>
              <w:right w:val="outset" w:sz="6" w:space="0" w:color="auto"/>
            </w:tcBorders>
            <w:vAlign w:val="center"/>
            <w:hideMark/>
          </w:tcPr>
          <w:p w14:paraId="521339AD" w14:textId="77777777" w:rsidR="00AF121C" w:rsidRPr="002E572F" w:rsidRDefault="00AF121C" w:rsidP="003858EB">
            <w:pPr>
              <w:rPr>
                <w:b/>
                <w:bCs/>
                <w:sz w:val="28"/>
                <w:szCs w:val="28"/>
              </w:rPr>
            </w:pPr>
            <w:r w:rsidRPr="002E572F">
              <w:rPr>
                <w:b/>
                <w:bCs/>
                <w:sz w:val="28"/>
                <w:szCs w:val="28"/>
              </w:rPr>
              <w:t>III. Tiesību akta projekta ietekme uz valsts budžetu un pašvaldību budžetiem</w:t>
            </w:r>
          </w:p>
        </w:tc>
      </w:tr>
      <w:tr w:rsidR="00AF121C" w:rsidRPr="002E572F" w14:paraId="230D4E73" w14:textId="77777777" w:rsidTr="002E572F">
        <w:trPr>
          <w:tblCellSpacing w:w="15" w:type="dxa"/>
        </w:trPr>
        <w:tc>
          <w:tcPr>
            <w:tcW w:w="4968" w:type="pct"/>
            <w:tcBorders>
              <w:top w:val="outset" w:sz="6" w:space="0" w:color="auto"/>
              <w:left w:val="outset" w:sz="6" w:space="0" w:color="auto"/>
              <w:bottom w:val="outset" w:sz="6" w:space="0" w:color="auto"/>
              <w:right w:val="outset" w:sz="6" w:space="0" w:color="auto"/>
            </w:tcBorders>
            <w:vAlign w:val="center"/>
          </w:tcPr>
          <w:p w14:paraId="61BCCCE5" w14:textId="77777777" w:rsidR="00AF121C" w:rsidRPr="002E572F" w:rsidRDefault="00AF121C" w:rsidP="00AF121C">
            <w:pPr>
              <w:jc w:val="center"/>
              <w:rPr>
                <w:bCs/>
                <w:sz w:val="28"/>
                <w:szCs w:val="28"/>
              </w:rPr>
            </w:pPr>
            <w:r w:rsidRPr="002E572F">
              <w:rPr>
                <w:bCs/>
                <w:sz w:val="28"/>
                <w:szCs w:val="28"/>
              </w:rPr>
              <w:t>Noteikumu projekts šo jomu neskar</w:t>
            </w:r>
          </w:p>
        </w:tc>
      </w:tr>
    </w:tbl>
    <w:p w14:paraId="508762C6" w14:textId="77777777" w:rsidR="00AF121C" w:rsidRPr="0020496D" w:rsidRDefault="00AF121C" w:rsidP="00AF121C">
      <w:pPr>
        <w:rPr>
          <w:sz w:val="26"/>
          <w:szCs w:val="26"/>
        </w:rPr>
      </w:pPr>
      <w:r w:rsidRPr="0020496D">
        <w:rPr>
          <w:sz w:val="26"/>
          <w:szCs w:val="26"/>
        </w:rPr>
        <w:t xml:space="preserve">  </w:t>
      </w:r>
    </w:p>
    <w:tbl>
      <w:tblPr>
        <w:tblW w:w="5245" w:type="pct"/>
        <w:tblCellSpacing w:w="15" w:type="dxa"/>
        <w:tblInd w:w="-29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499"/>
      </w:tblGrid>
      <w:tr w:rsidR="00AF121C" w:rsidRPr="002E572F" w14:paraId="1708E2D5" w14:textId="77777777" w:rsidTr="002E572F">
        <w:trPr>
          <w:tblCellSpacing w:w="15" w:type="dxa"/>
        </w:trPr>
        <w:tc>
          <w:tcPr>
            <w:tcW w:w="4968" w:type="pct"/>
            <w:tcBorders>
              <w:top w:val="outset" w:sz="6" w:space="0" w:color="auto"/>
              <w:left w:val="outset" w:sz="6" w:space="0" w:color="auto"/>
              <w:bottom w:val="outset" w:sz="6" w:space="0" w:color="auto"/>
              <w:right w:val="outset" w:sz="6" w:space="0" w:color="auto"/>
            </w:tcBorders>
            <w:vAlign w:val="center"/>
            <w:hideMark/>
          </w:tcPr>
          <w:p w14:paraId="74E52D54" w14:textId="77777777" w:rsidR="00AF121C" w:rsidRPr="002E572F" w:rsidRDefault="00AF121C" w:rsidP="003858EB">
            <w:pPr>
              <w:rPr>
                <w:b/>
                <w:bCs/>
                <w:sz w:val="28"/>
                <w:szCs w:val="28"/>
              </w:rPr>
            </w:pPr>
            <w:r w:rsidRPr="002E572F">
              <w:rPr>
                <w:b/>
                <w:bCs/>
                <w:sz w:val="28"/>
                <w:szCs w:val="28"/>
              </w:rPr>
              <w:t>IV. Tiesību akta projekta ietekme uz spēkā esošo tiesību normu sistēmu</w:t>
            </w:r>
          </w:p>
        </w:tc>
      </w:tr>
      <w:tr w:rsidR="00AF121C" w:rsidRPr="002E572F" w14:paraId="5FCF5704" w14:textId="77777777" w:rsidTr="002E572F">
        <w:trPr>
          <w:tblCellSpacing w:w="15" w:type="dxa"/>
        </w:trPr>
        <w:tc>
          <w:tcPr>
            <w:tcW w:w="4968" w:type="pct"/>
            <w:tcBorders>
              <w:top w:val="outset" w:sz="6" w:space="0" w:color="auto"/>
              <w:left w:val="outset" w:sz="6" w:space="0" w:color="auto"/>
              <w:bottom w:val="outset" w:sz="6" w:space="0" w:color="auto"/>
              <w:right w:val="outset" w:sz="6" w:space="0" w:color="auto"/>
            </w:tcBorders>
          </w:tcPr>
          <w:p w14:paraId="4AF2CDD6" w14:textId="77777777" w:rsidR="00AF121C" w:rsidRPr="002E572F" w:rsidRDefault="00AF121C" w:rsidP="00AF121C">
            <w:pPr>
              <w:jc w:val="center"/>
              <w:rPr>
                <w:sz w:val="28"/>
                <w:szCs w:val="28"/>
              </w:rPr>
            </w:pPr>
            <w:r w:rsidRPr="002E572F">
              <w:rPr>
                <w:sz w:val="28"/>
                <w:szCs w:val="28"/>
              </w:rPr>
              <w:t>Noteikumu projekts šo jomu neskar</w:t>
            </w:r>
          </w:p>
        </w:tc>
      </w:tr>
    </w:tbl>
    <w:p w14:paraId="304A3136" w14:textId="77777777" w:rsidR="00AF121C" w:rsidRPr="002E572F" w:rsidRDefault="00AF121C" w:rsidP="00AF121C">
      <w:pPr>
        <w:rPr>
          <w:sz w:val="28"/>
          <w:szCs w:val="28"/>
        </w:rPr>
      </w:pPr>
      <w:r w:rsidRPr="002E572F">
        <w:rPr>
          <w:sz w:val="28"/>
          <w:szCs w:val="28"/>
        </w:rPr>
        <w:t xml:space="preserve">  </w:t>
      </w:r>
    </w:p>
    <w:tbl>
      <w:tblPr>
        <w:tblW w:w="5245" w:type="pct"/>
        <w:tblCellSpacing w:w="15" w:type="dxa"/>
        <w:tblInd w:w="-29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45"/>
        <w:gridCol w:w="2422"/>
        <w:gridCol w:w="6132"/>
      </w:tblGrid>
      <w:tr w:rsidR="00AF121C" w:rsidRPr="002E572F" w14:paraId="49A8E5CF" w14:textId="77777777" w:rsidTr="002E572F">
        <w:trPr>
          <w:tblCellSpacing w:w="15" w:type="dxa"/>
        </w:trPr>
        <w:tc>
          <w:tcPr>
            <w:tcW w:w="4968" w:type="pct"/>
            <w:gridSpan w:val="3"/>
            <w:tcBorders>
              <w:top w:val="outset" w:sz="6" w:space="0" w:color="auto"/>
              <w:left w:val="outset" w:sz="6" w:space="0" w:color="auto"/>
              <w:bottom w:val="outset" w:sz="6" w:space="0" w:color="auto"/>
              <w:right w:val="outset" w:sz="6" w:space="0" w:color="auto"/>
            </w:tcBorders>
            <w:vAlign w:val="center"/>
            <w:hideMark/>
          </w:tcPr>
          <w:p w14:paraId="294EA8A7" w14:textId="77777777" w:rsidR="00AF121C" w:rsidRPr="002E572F" w:rsidRDefault="00AF121C" w:rsidP="003858EB">
            <w:pPr>
              <w:rPr>
                <w:b/>
                <w:bCs/>
                <w:sz w:val="28"/>
                <w:szCs w:val="28"/>
              </w:rPr>
            </w:pPr>
            <w:r w:rsidRPr="002E572F">
              <w:rPr>
                <w:b/>
                <w:bCs/>
                <w:sz w:val="28"/>
                <w:szCs w:val="28"/>
              </w:rPr>
              <w:t>V. Tiesību akta projekta atbilstība Latvijas Republikas starptautiskajām saistībām</w:t>
            </w:r>
          </w:p>
        </w:tc>
      </w:tr>
      <w:tr w:rsidR="009B6765" w:rsidRPr="002E572F" w14:paraId="603230E1" w14:textId="77777777" w:rsidTr="002E572F">
        <w:trPr>
          <w:tblCellSpacing w:w="15" w:type="dxa"/>
        </w:trPr>
        <w:tc>
          <w:tcPr>
            <w:tcW w:w="477" w:type="pct"/>
            <w:tcBorders>
              <w:top w:val="outset" w:sz="6" w:space="0" w:color="auto"/>
              <w:left w:val="outset" w:sz="6" w:space="0" w:color="auto"/>
              <w:bottom w:val="outset" w:sz="6" w:space="0" w:color="auto"/>
              <w:right w:val="outset" w:sz="6" w:space="0" w:color="auto"/>
            </w:tcBorders>
          </w:tcPr>
          <w:p w14:paraId="1EC1F274" w14:textId="771AFA09" w:rsidR="009B6765" w:rsidRPr="002E572F" w:rsidRDefault="009B6765" w:rsidP="003858EB">
            <w:pPr>
              <w:jc w:val="center"/>
              <w:rPr>
                <w:sz w:val="28"/>
                <w:szCs w:val="28"/>
              </w:rPr>
            </w:pPr>
            <w:r w:rsidRPr="002E572F">
              <w:rPr>
                <w:sz w:val="28"/>
                <w:szCs w:val="28"/>
              </w:rPr>
              <w:t>1.</w:t>
            </w:r>
          </w:p>
        </w:tc>
        <w:tc>
          <w:tcPr>
            <w:tcW w:w="1267" w:type="pct"/>
            <w:tcBorders>
              <w:top w:val="outset" w:sz="6" w:space="0" w:color="auto"/>
              <w:left w:val="outset" w:sz="6" w:space="0" w:color="auto"/>
              <w:bottom w:val="outset" w:sz="6" w:space="0" w:color="auto"/>
              <w:right w:val="outset" w:sz="6" w:space="0" w:color="auto"/>
            </w:tcBorders>
          </w:tcPr>
          <w:p w14:paraId="117F053D" w14:textId="2C6679E6" w:rsidR="009B6765" w:rsidRPr="002E572F" w:rsidRDefault="009B6765" w:rsidP="009B6765">
            <w:pPr>
              <w:rPr>
                <w:sz w:val="28"/>
                <w:szCs w:val="28"/>
              </w:rPr>
            </w:pPr>
            <w:r w:rsidRPr="002E572F">
              <w:rPr>
                <w:sz w:val="28"/>
                <w:szCs w:val="28"/>
              </w:rPr>
              <w:t>Saistības pret Eiropas Savienību</w:t>
            </w:r>
          </w:p>
        </w:tc>
        <w:tc>
          <w:tcPr>
            <w:tcW w:w="3193" w:type="pct"/>
            <w:tcBorders>
              <w:top w:val="outset" w:sz="6" w:space="0" w:color="auto"/>
              <w:left w:val="outset" w:sz="6" w:space="0" w:color="auto"/>
              <w:bottom w:val="outset" w:sz="6" w:space="0" w:color="auto"/>
              <w:right w:val="outset" w:sz="6" w:space="0" w:color="auto"/>
            </w:tcBorders>
          </w:tcPr>
          <w:p w14:paraId="1E4FE77C" w14:textId="3D813AF4" w:rsidR="00E546E9" w:rsidRPr="002E572F" w:rsidRDefault="00323A65" w:rsidP="00E546E9">
            <w:pPr>
              <w:tabs>
                <w:tab w:val="left" w:pos="34"/>
              </w:tabs>
              <w:jc w:val="both"/>
              <w:rPr>
                <w:rFonts w:cs="Times New Roman"/>
                <w:sz w:val="28"/>
                <w:szCs w:val="28"/>
              </w:rPr>
            </w:pPr>
            <w:r w:rsidRPr="002E572F">
              <w:rPr>
                <w:rFonts w:cs="Times New Roman"/>
                <w:sz w:val="28"/>
                <w:szCs w:val="28"/>
              </w:rPr>
              <w:t>- R</w:t>
            </w:r>
            <w:r w:rsidR="00E546E9" w:rsidRPr="002E572F">
              <w:rPr>
                <w:rFonts w:cs="Times New Roman"/>
                <w:sz w:val="28"/>
                <w:szCs w:val="28"/>
              </w:rPr>
              <w:t>egula Nr.2015/2446</w:t>
            </w:r>
            <w:r w:rsidRPr="002E572F">
              <w:rPr>
                <w:rFonts w:cs="Times New Roman"/>
                <w:sz w:val="28"/>
                <w:szCs w:val="28"/>
              </w:rPr>
              <w:t>;</w:t>
            </w:r>
          </w:p>
          <w:p w14:paraId="6F85198D" w14:textId="691AE973" w:rsidR="009B6765" w:rsidRPr="002E572F" w:rsidRDefault="00E546E9" w:rsidP="00323A65">
            <w:pPr>
              <w:tabs>
                <w:tab w:val="left" w:pos="34"/>
              </w:tabs>
              <w:jc w:val="both"/>
              <w:rPr>
                <w:sz w:val="28"/>
                <w:szCs w:val="28"/>
              </w:rPr>
            </w:pPr>
            <w:r w:rsidRPr="002E572F">
              <w:rPr>
                <w:rFonts w:cs="Times New Roman"/>
                <w:sz w:val="28"/>
                <w:szCs w:val="28"/>
              </w:rPr>
              <w:t xml:space="preserve">- </w:t>
            </w:r>
            <w:r w:rsidR="00323A65" w:rsidRPr="002E572F">
              <w:rPr>
                <w:rFonts w:cs="Times New Roman"/>
                <w:sz w:val="28"/>
                <w:szCs w:val="28"/>
              </w:rPr>
              <w:t xml:space="preserve">Regula </w:t>
            </w:r>
            <w:r w:rsidRPr="002E572F">
              <w:rPr>
                <w:rFonts w:cs="Times New Roman"/>
                <w:sz w:val="28"/>
                <w:szCs w:val="28"/>
              </w:rPr>
              <w:t>Nr.2015/</w:t>
            </w:r>
            <w:r w:rsidR="00323A65" w:rsidRPr="002E572F">
              <w:rPr>
                <w:rFonts w:cs="Times New Roman"/>
                <w:sz w:val="28"/>
                <w:szCs w:val="28"/>
              </w:rPr>
              <w:t>2447</w:t>
            </w:r>
            <w:r w:rsidRPr="002E572F">
              <w:rPr>
                <w:rFonts w:cs="Times New Roman"/>
                <w:sz w:val="28"/>
                <w:szCs w:val="28"/>
              </w:rPr>
              <w:t>.</w:t>
            </w:r>
          </w:p>
        </w:tc>
      </w:tr>
      <w:tr w:rsidR="009B6765" w:rsidRPr="002E572F" w14:paraId="761918A5" w14:textId="77777777" w:rsidTr="002E572F">
        <w:trPr>
          <w:tblCellSpacing w:w="15" w:type="dxa"/>
        </w:trPr>
        <w:tc>
          <w:tcPr>
            <w:tcW w:w="477" w:type="pct"/>
            <w:tcBorders>
              <w:top w:val="outset" w:sz="6" w:space="0" w:color="auto"/>
              <w:left w:val="outset" w:sz="6" w:space="0" w:color="auto"/>
              <w:bottom w:val="outset" w:sz="6" w:space="0" w:color="auto"/>
              <w:right w:val="outset" w:sz="6" w:space="0" w:color="auto"/>
            </w:tcBorders>
          </w:tcPr>
          <w:p w14:paraId="653039BE" w14:textId="0D502902" w:rsidR="009B6765" w:rsidRPr="002E572F" w:rsidRDefault="009B6765" w:rsidP="003858EB">
            <w:pPr>
              <w:jc w:val="center"/>
              <w:rPr>
                <w:sz w:val="28"/>
                <w:szCs w:val="28"/>
              </w:rPr>
            </w:pPr>
            <w:r w:rsidRPr="002E572F">
              <w:rPr>
                <w:sz w:val="28"/>
                <w:szCs w:val="28"/>
              </w:rPr>
              <w:t>2.</w:t>
            </w:r>
          </w:p>
        </w:tc>
        <w:tc>
          <w:tcPr>
            <w:tcW w:w="1267" w:type="pct"/>
            <w:tcBorders>
              <w:top w:val="outset" w:sz="6" w:space="0" w:color="auto"/>
              <w:left w:val="outset" w:sz="6" w:space="0" w:color="auto"/>
              <w:bottom w:val="outset" w:sz="6" w:space="0" w:color="auto"/>
              <w:right w:val="outset" w:sz="6" w:space="0" w:color="auto"/>
            </w:tcBorders>
          </w:tcPr>
          <w:p w14:paraId="06242101" w14:textId="27692CBD" w:rsidR="009B6765" w:rsidRPr="002E572F" w:rsidRDefault="009B6765" w:rsidP="009B6765">
            <w:pPr>
              <w:rPr>
                <w:sz w:val="28"/>
                <w:szCs w:val="28"/>
              </w:rPr>
            </w:pPr>
            <w:r w:rsidRPr="002E572F">
              <w:rPr>
                <w:sz w:val="28"/>
                <w:szCs w:val="28"/>
              </w:rPr>
              <w:t>Citas starptautiskās saistības</w:t>
            </w:r>
          </w:p>
        </w:tc>
        <w:tc>
          <w:tcPr>
            <w:tcW w:w="3193" w:type="pct"/>
            <w:tcBorders>
              <w:top w:val="outset" w:sz="6" w:space="0" w:color="auto"/>
              <w:left w:val="outset" w:sz="6" w:space="0" w:color="auto"/>
              <w:bottom w:val="outset" w:sz="6" w:space="0" w:color="auto"/>
              <w:right w:val="outset" w:sz="6" w:space="0" w:color="auto"/>
            </w:tcBorders>
          </w:tcPr>
          <w:p w14:paraId="3312DF9B" w14:textId="30EF8BEC" w:rsidR="009B6765" w:rsidRPr="002E572F" w:rsidRDefault="009B6765" w:rsidP="009B6765">
            <w:pPr>
              <w:rPr>
                <w:sz w:val="28"/>
                <w:szCs w:val="28"/>
              </w:rPr>
            </w:pPr>
            <w:r w:rsidRPr="002E572F">
              <w:rPr>
                <w:sz w:val="28"/>
                <w:szCs w:val="28"/>
              </w:rPr>
              <w:t>Projekts šo jomu neskar.</w:t>
            </w:r>
          </w:p>
        </w:tc>
      </w:tr>
      <w:tr w:rsidR="009B6765" w:rsidRPr="002E572F" w14:paraId="01ADDF80" w14:textId="77777777" w:rsidTr="002E572F">
        <w:trPr>
          <w:tblCellSpacing w:w="15" w:type="dxa"/>
        </w:trPr>
        <w:tc>
          <w:tcPr>
            <w:tcW w:w="477" w:type="pct"/>
            <w:tcBorders>
              <w:top w:val="outset" w:sz="6" w:space="0" w:color="auto"/>
              <w:left w:val="outset" w:sz="6" w:space="0" w:color="auto"/>
              <w:bottom w:val="outset" w:sz="6" w:space="0" w:color="auto"/>
              <w:right w:val="outset" w:sz="6" w:space="0" w:color="auto"/>
            </w:tcBorders>
          </w:tcPr>
          <w:p w14:paraId="644B2ABE" w14:textId="0A179AE1" w:rsidR="009B6765" w:rsidRPr="002E572F" w:rsidRDefault="009B6765" w:rsidP="003858EB">
            <w:pPr>
              <w:jc w:val="center"/>
              <w:rPr>
                <w:sz w:val="28"/>
                <w:szCs w:val="28"/>
              </w:rPr>
            </w:pPr>
            <w:r w:rsidRPr="002E572F">
              <w:rPr>
                <w:sz w:val="28"/>
                <w:szCs w:val="28"/>
              </w:rPr>
              <w:t>3.</w:t>
            </w:r>
          </w:p>
        </w:tc>
        <w:tc>
          <w:tcPr>
            <w:tcW w:w="1267" w:type="pct"/>
            <w:tcBorders>
              <w:top w:val="outset" w:sz="6" w:space="0" w:color="auto"/>
              <w:left w:val="outset" w:sz="6" w:space="0" w:color="auto"/>
              <w:bottom w:val="outset" w:sz="6" w:space="0" w:color="auto"/>
              <w:right w:val="outset" w:sz="6" w:space="0" w:color="auto"/>
            </w:tcBorders>
          </w:tcPr>
          <w:p w14:paraId="32B3A280" w14:textId="2A24E808" w:rsidR="009B6765" w:rsidRPr="002E572F" w:rsidRDefault="009B6765" w:rsidP="009B6765">
            <w:pPr>
              <w:rPr>
                <w:sz w:val="28"/>
                <w:szCs w:val="28"/>
              </w:rPr>
            </w:pPr>
            <w:r w:rsidRPr="002E572F">
              <w:rPr>
                <w:sz w:val="28"/>
                <w:szCs w:val="28"/>
              </w:rPr>
              <w:t>Cita informācija</w:t>
            </w:r>
          </w:p>
        </w:tc>
        <w:tc>
          <w:tcPr>
            <w:tcW w:w="3193" w:type="pct"/>
            <w:tcBorders>
              <w:top w:val="outset" w:sz="6" w:space="0" w:color="auto"/>
              <w:left w:val="outset" w:sz="6" w:space="0" w:color="auto"/>
              <w:bottom w:val="outset" w:sz="6" w:space="0" w:color="auto"/>
              <w:right w:val="outset" w:sz="6" w:space="0" w:color="auto"/>
            </w:tcBorders>
          </w:tcPr>
          <w:p w14:paraId="306DDC6C" w14:textId="47161CCC" w:rsidR="009B6765" w:rsidRPr="002E572F" w:rsidRDefault="009B6765" w:rsidP="009B6765">
            <w:pPr>
              <w:rPr>
                <w:sz w:val="28"/>
                <w:szCs w:val="28"/>
              </w:rPr>
            </w:pPr>
            <w:r w:rsidRPr="002E572F">
              <w:rPr>
                <w:sz w:val="28"/>
                <w:szCs w:val="28"/>
              </w:rPr>
              <w:t>Nav</w:t>
            </w:r>
          </w:p>
        </w:tc>
      </w:tr>
    </w:tbl>
    <w:p w14:paraId="1A54C86C" w14:textId="38D01C56" w:rsidR="009B6765" w:rsidRPr="0020496D" w:rsidRDefault="009B6765" w:rsidP="009B6765">
      <w:pPr>
        <w:rPr>
          <w:i/>
          <w:sz w:val="26"/>
          <w:szCs w:val="26"/>
        </w:rPr>
      </w:pPr>
    </w:p>
    <w:tbl>
      <w:tblPr>
        <w:tblW w:w="5245" w:type="pct"/>
        <w:tblCellSpacing w:w="15" w:type="dxa"/>
        <w:tblInd w:w="-29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185"/>
        <w:gridCol w:w="1897"/>
        <w:gridCol w:w="1894"/>
        <w:gridCol w:w="3523"/>
      </w:tblGrid>
      <w:tr w:rsidR="00311CB5" w:rsidRPr="0020496D" w14:paraId="338445DB" w14:textId="77777777" w:rsidTr="002E572F">
        <w:trPr>
          <w:tblCellSpacing w:w="15" w:type="dxa"/>
        </w:trPr>
        <w:tc>
          <w:tcPr>
            <w:tcW w:w="4968" w:type="pct"/>
            <w:gridSpan w:val="4"/>
            <w:tcBorders>
              <w:top w:val="outset" w:sz="6" w:space="0" w:color="auto"/>
              <w:left w:val="outset" w:sz="6" w:space="0" w:color="auto"/>
              <w:bottom w:val="outset" w:sz="6" w:space="0" w:color="auto"/>
              <w:right w:val="outset" w:sz="6" w:space="0" w:color="auto"/>
            </w:tcBorders>
            <w:vAlign w:val="center"/>
            <w:hideMark/>
          </w:tcPr>
          <w:p w14:paraId="5824AA91" w14:textId="77777777" w:rsidR="00311CB5" w:rsidRPr="00E851A5" w:rsidRDefault="00311CB5" w:rsidP="00A76CC9">
            <w:pPr>
              <w:rPr>
                <w:b/>
                <w:bCs/>
                <w:sz w:val="27"/>
                <w:szCs w:val="27"/>
              </w:rPr>
            </w:pPr>
            <w:r w:rsidRPr="00E851A5">
              <w:rPr>
                <w:b/>
                <w:bCs/>
                <w:sz w:val="27"/>
                <w:szCs w:val="27"/>
              </w:rPr>
              <w:t>1.tabula</w:t>
            </w:r>
          </w:p>
          <w:p w14:paraId="7EAFA61B" w14:textId="6BD28379" w:rsidR="00311CB5" w:rsidRPr="00E851A5" w:rsidRDefault="00311CB5" w:rsidP="00A76CC9">
            <w:pPr>
              <w:rPr>
                <w:b/>
                <w:bCs/>
                <w:sz w:val="27"/>
                <w:szCs w:val="27"/>
              </w:rPr>
            </w:pPr>
            <w:r w:rsidRPr="00E851A5">
              <w:rPr>
                <w:b/>
                <w:bCs/>
                <w:sz w:val="27"/>
                <w:szCs w:val="27"/>
              </w:rPr>
              <w:t>Tiesību akta projekta atbilstība ES tiesību aktiem</w:t>
            </w:r>
          </w:p>
        </w:tc>
      </w:tr>
      <w:tr w:rsidR="00311CB5" w:rsidRPr="0020496D" w14:paraId="5678EB62" w14:textId="77777777" w:rsidTr="00FA4C17">
        <w:trPr>
          <w:tblCellSpacing w:w="15" w:type="dxa"/>
        </w:trPr>
        <w:tc>
          <w:tcPr>
            <w:tcW w:w="1137" w:type="pct"/>
            <w:tcBorders>
              <w:top w:val="outset" w:sz="6" w:space="0" w:color="auto"/>
              <w:left w:val="outset" w:sz="6" w:space="0" w:color="auto"/>
              <w:bottom w:val="outset" w:sz="6" w:space="0" w:color="auto"/>
              <w:right w:val="outset" w:sz="6" w:space="0" w:color="auto"/>
            </w:tcBorders>
          </w:tcPr>
          <w:p w14:paraId="685EE3C2" w14:textId="3BA58F94" w:rsidR="00311CB5" w:rsidRPr="00E851A5" w:rsidRDefault="00311CB5" w:rsidP="00311CB5">
            <w:pPr>
              <w:jc w:val="center"/>
              <w:rPr>
                <w:sz w:val="27"/>
                <w:szCs w:val="27"/>
              </w:rPr>
            </w:pPr>
            <w:r w:rsidRPr="00E851A5">
              <w:rPr>
                <w:sz w:val="27"/>
                <w:szCs w:val="27"/>
                <w:lang w:eastAsia="lv-LV"/>
              </w:rPr>
              <w:t>Attiecīgā ES tiesību akta datums, numurs un nosaukums</w:t>
            </w:r>
          </w:p>
        </w:tc>
        <w:tc>
          <w:tcPr>
            <w:tcW w:w="3815" w:type="pct"/>
            <w:gridSpan w:val="3"/>
            <w:tcBorders>
              <w:top w:val="outset" w:sz="6" w:space="0" w:color="auto"/>
              <w:left w:val="outset" w:sz="6" w:space="0" w:color="auto"/>
              <w:bottom w:val="outset" w:sz="6" w:space="0" w:color="auto"/>
              <w:right w:val="outset" w:sz="6" w:space="0" w:color="auto"/>
            </w:tcBorders>
          </w:tcPr>
          <w:p w14:paraId="24253F35" w14:textId="0A5CEE38" w:rsidR="00413031" w:rsidRPr="00D635D1" w:rsidRDefault="00413031" w:rsidP="00056A26">
            <w:pPr>
              <w:pStyle w:val="ListParagraph"/>
              <w:numPr>
                <w:ilvl w:val="0"/>
                <w:numId w:val="4"/>
              </w:numPr>
              <w:ind w:left="0" w:firstLine="360"/>
              <w:rPr>
                <w:sz w:val="27"/>
                <w:szCs w:val="27"/>
              </w:rPr>
            </w:pPr>
            <w:r w:rsidRPr="00D635D1">
              <w:rPr>
                <w:sz w:val="27"/>
                <w:szCs w:val="27"/>
              </w:rPr>
              <w:t>Komisijas Deleģētā regula (ES) 2015/2446 (2015. gada 28. jūlijs), ar ko papildina Eiropas Parlamenta un Padomes Regulu (ES) Nr. 952/2013 attiecībā uz sīki izstrādātiem noteikumiem, kuri attiecas uz dažiem Savienības Muitas kodeksa noteikumiem;</w:t>
            </w:r>
          </w:p>
          <w:p w14:paraId="7478B9B3" w14:textId="5246713A" w:rsidR="00323A65" w:rsidRPr="00056A26" w:rsidRDefault="00413031" w:rsidP="00056A26">
            <w:pPr>
              <w:pStyle w:val="ListParagraph"/>
              <w:numPr>
                <w:ilvl w:val="0"/>
                <w:numId w:val="4"/>
              </w:numPr>
              <w:ind w:left="20" w:firstLine="340"/>
              <w:rPr>
                <w:sz w:val="27"/>
                <w:szCs w:val="27"/>
              </w:rPr>
            </w:pPr>
            <w:r w:rsidRPr="00D635D1">
              <w:rPr>
                <w:sz w:val="27"/>
                <w:szCs w:val="27"/>
              </w:rPr>
              <w:lastRenderedPageBreak/>
              <w:t>Komisijas Īstenošanas regula (ES) 2015/2447 (2015. gada 24. novembris), ar ko paredz sīki izstrādātus noteikumus, kas vajadzīgi, lai īstenotu konkrētus noteikumus Eiropas Parlamenta un Padomes Regulā (ES) Nr. 952/2013, ar ko izveido Savienības Muitas kodeksu</w:t>
            </w:r>
          </w:p>
        </w:tc>
      </w:tr>
      <w:tr w:rsidR="00311CB5" w:rsidRPr="0020496D" w14:paraId="130C19D4" w14:textId="77777777" w:rsidTr="00FA4C17">
        <w:trPr>
          <w:tblCellSpacing w:w="15" w:type="dxa"/>
        </w:trPr>
        <w:tc>
          <w:tcPr>
            <w:tcW w:w="1137" w:type="pct"/>
            <w:tcBorders>
              <w:top w:val="outset" w:sz="6" w:space="0" w:color="auto"/>
              <w:left w:val="outset" w:sz="6" w:space="0" w:color="auto"/>
              <w:bottom w:val="outset" w:sz="6" w:space="0" w:color="auto"/>
              <w:right w:val="outset" w:sz="6" w:space="0" w:color="auto"/>
            </w:tcBorders>
          </w:tcPr>
          <w:p w14:paraId="50ED048F" w14:textId="5B3044DE" w:rsidR="00311CB5" w:rsidRPr="00E851A5" w:rsidRDefault="00311CB5" w:rsidP="00311CB5">
            <w:pPr>
              <w:rPr>
                <w:sz w:val="27"/>
                <w:szCs w:val="27"/>
              </w:rPr>
            </w:pPr>
            <w:r w:rsidRPr="00E851A5">
              <w:rPr>
                <w:sz w:val="27"/>
                <w:szCs w:val="27"/>
              </w:rPr>
              <w:lastRenderedPageBreak/>
              <w:t>A</w:t>
            </w:r>
          </w:p>
        </w:tc>
        <w:tc>
          <w:tcPr>
            <w:tcW w:w="992" w:type="pct"/>
            <w:tcBorders>
              <w:top w:val="outset" w:sz="6" w:space="0" w:color="auto"/>
              <w:left w:val="outset" w:sz="6" w:space="0" w:color="auto"/>
              <w:bottom w:val="outset" w:sz="6" w:space="0" w:color="auto"/>
              <w:right w:val="outset" w:sz="6" w:space="0" w:color="auto"/>
            </w:tcBorders>
          </w:tcPr>
          <w:p w14:paraId="2F6C365A" w14:textId="75B07C4D" w:rsidR="00311CB5" w:rsidRPr="00E851A5" w:rsidRDefault="00311CB5" w:rsidP="00311CB5">
            <w:pPr>
              <w:rPr>
                <w:sz w:val="27"/>
                <w:szCs w:val="27"/>
              </w:rPr>
            </w:pPr>
            <w:r w:rsidRPr="00E851A5">
              <w:rPr>
                <w:sz w:val="27"/>
                <w:szCs w:val="27"/>
              </w:rPr>
              <w:t>B</w:t>
            </w:r>
          </w:p>
        </w:tc>
        <w:tc>
          <w:tcPr>
            <w:tcW w:w="991" w:type="pct"/>
            <w:tcBorders>
              <w:top w:val="outset" w:sz="6" w:space="0" w:color="auto"/>
              <w:left w:val="outset" w:sz="6" w:space="0" w:color="auto"/>
              <w:bottom w:val="outset" w:sz="6" w:space="0" w:color="auto"/>
              <w:right w:val="outset" w:sz="6" w:space="0" w:color="auto"/>
            </w:tcBorders>
          </w:tcPr>
          <w:p w14:paraId="656DE925" w14:textId="6FBDEDD7" w:rsidR="00311CB5" w:rsidRPr="00E851A5" w:rsidRDefault="00311CB5" w:rsidP="00311CB5">
            <w:pPr>
              <w:rPr>
                <w:sz w:val="27"/>
                <w:szCs w:val="27"/>
              </w:rPr>
            </w:pPr>
            <w:r w:rsidRPr="00E851A5">
              <w:rPr>
                <w:sz w:val="27"/>
                <w:szCs w:val="27"/>
              </w:rPr>
              <w:t>C</w:t>
            </w:r>
          </w:p>
        </w:tc>
        <w:tc>
          <w:tcPr>
            <w:tcW w:w="1800" w:type="pct"/>
            <w:tcBorders>
              <w:top w:val="outset" w:sz="6" w:space="0" w:color="auto"/>
              <w:left w:val="outset" w:sz="6" w:space="0" w:color="auto"/>
              <w:bottom w:val="outset" w:sz="6" w:space="0" w:color="auto"/>
              <w:right w:val="outset" w:sz="6" w:space="0" w:color="auto"/>
            </w:tcBorders>
          </w:tcPr>
          <w:p w14:paraId="2FD4D56A" w14:textId="40714280" w:rsidR="00311CB5" w:rsidRPr="00E851A5" w:rsidRDefault="00311CB5" w:rsidP="00311CB5">
            <w:pPr>
              <w:rPr>
                <w:sz w:val="27"/>
                <w:szCs w:val="27"/>
              </w:rPr>
            </w:pPr>
            <w:r w:rsidRPr="00E851A5">
              <w:rPr>
                <w:sz w:val="27"/>
                <w:szCs w:val="27"/>
              </w:rPr>
              <w:t>D</w:t>
            </w:r>
          </w:p>
        </w:tc>
      </w:tr>
      <w:tr w:rsidR="00311CB5" w:rsidRPr="0020496D" w14:paraId="28C34D7A" w14:textId="77777777" w:rsidTr="00FA4C17">
        <w:trPr>
          <w:tblCellSpacing w:w="15" w:type="dxa"/>
        </w:trPr>
        <w:tc>
          <w:tcPr>
            <w:tcW w:w="1137" w:type="pct"/>
            <w:tcBorders>
              <w:top w:val="outset" w:sz="6" w:space="0" w:color="auto"/>
              <w:left w:val="outset" w:sz="6" w:space="0" w:color="auto"/>
              <w:bottom w:val="outset" w:sz="6" w:space="0" w:color="auto"/>
              <w:right w:val="outset" w:sz="6" w:space="0" w:color="auto"/>
            </w:tcBorders>
          </w:tcPr>
          <w:p w14:paraId="48218955" w14:textId="3342540E" w:rsidR="00311CB5" w:rsidRPr="00E851A5" w:rsidRDefault="00311CB5" w:rsidP="00311CB5">
            <w:pPr>
              <w:jc w:val="center"/>
              <w:rPr>
                <w:sz w:val="27"/>
                <w:szCs w:val="27"/>
              </w:rPr>
            </w:pPr>
            <w:r w:rsidRPr="00E851A5">
              <w:rPr>
                <w:sz w:val="27"/>
                <w:szCs w:val="27"/>
                <w:lang w:eastAsia="lv-LV"/>
              </w:rPr>
              <w:t>Attiecīgā ES tiesību akta panta numurs (uzskaitot katru tiesību akta vienību – pantu, daļu, punktu, apakšpunktu)</w:t>
            </w:r>
          </w:p>
        </w:tc>
        <w:tc>
          <w:tcPr>
            <w:tcW w:w="992" w:type="pct"/>
            <w:tcBorders>
              <w:top w:val="outset" w:sz="6" w:space="0" w:color="auto"/>
              <w:left w:val="outset" w:sz="6" w:space="0" w:color="auto"/>
              <w:bottom w:val="outset" w:sz="6" w:space="0" w:color="auto"/>
              <w:right w:val="outset" w:sz="6" w:space="0" w:color="auto"/>
            </w:tcBorders>
          </w:tcPr>
          <w:p w14:paraId="499E587F" w14:textId="1100E0B3" w:rsidR="00311CB5" w:rsidRPr="00E851A5" w:rsidRDefault="00311CB5" w:rsidP="00311CB5">
            <w:pPr>
              <w:jc w:val="center"/>
              <w:rPr>
                <w:sz w:val="27"/>
                <w:szCs w:val="27"/>
              </w:rPr>
            </w:pPr>
            <w:r w:rsidRPr="00E851A5">
              <w:rPr>
                <w:sz w:val="27"/>
                <w:szCs w:val="27"/>
                <w:lang w:eastAsia="lv-LV"/>
              </w:rPr>
              <w:t>Projekta vienība, kas pārņem vai ievieš katru šīs tabulas A ailē minēto ES tiesību akta vienību, vai tiesību akts, kur attiecīgā ES tiesību akta vienība pārņemta vai ieviesta</w:t>
            </w:r>
          </w:p>
        </w:tc>
        <w:tc>
          <w:tcPr>
            <w:tcW w:w="991" w:type="pct"/>
            <w:tcBorders>
              <w:top w:val="outset" w:sz="6" w:space="0" w:color="auto"/>
              <w:left w:val="outset" w:sz="6" w:space="0" w:color="auto"/>
              <w:bottom w:val="outset" w:sz="6" w:space="0" w:color="auto"/>
              <w:right w:val="outset" w:sz="6" w:space="0" w:color="auto"/>
            </w:tcBorders>
          </w:tcPr>
          <w:p w14:paraId="311C3016" w14:textId="77777777" w:rsidR="00311CB5" w:rsidRPr="00E851A5" w:rsidRDefault="00311CB5" w:rsidP="00311CB5">
            <w:pPr>
              <w:rPr>
                <w:sz w:val="27"/>
                <w:szCs w:val="27"/>
                <w:lang w:eastAsia="lv-LV"/>
              </w:rPr>
            </w:pPr>
            <w:r w:rsidRPr="00E851A5">
              <w:rPr>
                <w:sz w:val="27"/>
                <w:szCs w:val="27"/>
                <w:lang w:eastAsia="lv-LV"/>
              </w:rPr>
              <w:t xml:space="preserve">Informācija par to, vai šīs tabulas A ailē minētās ES tiesību akta vienības tiek pārņemtas vai ieviestas pilnībā vai daļēji. </w:t>
            </w:r>
          </w:p>
          <w:p w14:paraId="216D8460" w14:textId="77777777" w:rsidR="00311CB5" w:rsidRPr="00E851A5" w:rsidRDefault="00311CB5" w:rsidP="00311CB5">
            <w:pPr>
              <w:spacing w:before="100" w:beforeAutospacing="1" w:after="100" w:afterAutospacing="1"/>
              <w:rPr>
                <w:sz w:val="27"/>
                <w:szCs w:val="27"/>
                <w:lang w:eastAsia="lv-LV"/>
              </w:rPr>
            </w:pPr>
            <w:r w:rsidRPr="00E851A5">
              <w:rPr>
                <w:sz w:val="27"/>
                <w:szCs w:val="27"/>
                <w:lang w:eastAsia="lv-LV"/>
              </w:rPr>
              <w:t>Ja attiecīgā ES tiesību akta vienība tiek pārņemta vai ieviesta daļēji, sniedz attiecīgu skaidrojumu, kā arī precīzi norāda, kad un kādā veidā ES tiesību akta vienība tiks pārņemta vai ieviesta pilnībā.</w:t>
            </w:r>
          </w:p>
          <w:p w14:paraId="5AB5D913" w14:textId="017C1C30" w:rsidR="00311CB5" w:rsidRPr="00E851A5" w:rsidRDefault="00311CB5" w:rsidP="00311CB5">
            <w:pPr>
              <w:jc w:val="center"/>
              <w:rPr>
                <w:sz w:val="27"/>
                <w:szCs w:val="27"/>
              </w:rPr>
            </w:pPr>
            <w:r w:rsidRPr="00E851A5">
              <w:rPr>
                <w:sz w:val="27"/>
                <w:szCs w:val="27"/>
                <w:lang w:eastAsia="lv-LV"/>
              </w:rPr>
              <w:t>Norāda institūciju, kas ir atbildīga par šo saistību izpildi pilnībā</w:t>
            </w:r>
          </w:p>
        </w:tc>
        <w:tc>
          <w:tcPr>
            <w:tcW w:w="1800" w:type="pct"/>
            <w:tcBorders>
              <w:top w:val="outset" w:sz="6" w:space="0" w:color="auto"/>
              <w:left w:val="outset" w:sz="6" w:space="0" w:color="auto"/>
              <w:bottom w:val="outset" w:sz="6" w:space="0" w:color="auto"/>
              <w:right w:val="outset" w:sz="6" w:space="0" w:color="auto"/>
            </w:tcBorders>
          </w:tcPr>
          <w:p w14:paraId="27668D3F" w14:textId="77777777" w:rsidR="00311CB5" w:rsidRPr="00E851A5" w:rsidRDefault="00311CB5" w:rsidP="00311CB5">
            <w:pPr>
              <w:rPr>
                <w:sz w:val="27"/>
                <w:szCs w:val="27"/>
                <w:lang w:eastAsia="lv-LV"/>
              </w:rPr>
            </w:pPr>
            <w:r w:rsidRPr="00E851A5">
              <w:rPr>
                <w:sz w:val="27"/>
                <w:szCs w:val="27"/>
                <w:lang w:eastAsia="lv-LV"/>
              </w:rPr>
              <w:t xml:space="preserve">Informācija par to, vai šīs tabulas B ailē minētās projekta vienības paredz stingrākas prasības nekā šīs tabulas A ailē minētās ES tiesību akta vienības. </w:t>
            </w:r>
          </w:p>
          <w:p w14:paraId="24456156" w14:textId="77777777" w:rsidR="00311CB5" w:rsidRPr="00E851A5" w:rsidRDefault="00311CB5" w:rsidP="00311CB5">
            <w:pPr>
              <w:spacing w:before="100" w:beforeAutospacing="1" w:after="100" w:afterAutospacing="1"/>
              <w:rPr>
                <w:sz w:val="27"/>
                <w:szCs w:val="27"/>
                <w:lang w:eastAsia="lv-LV"/>
              </w:rPr>
            </w:pPr>
            <w:r w:rsidRPr="00E851A5">
              <w:rPr>
                <w:sz w:val="27"/>
                <w:szCs w:val="27"/>
                <w:lang w:eastAsia="lv-LV"/>
              </w:rPr>
              <w:t>Ja projekts satur stingrākas prasības nekā attiecīgais ES tiesību akts, norāda pamatojumu un samērīgumu.</w:t>
            </w:r>
          </w:p>
          <w:p w14:paraId="0D559F0C" w14:textId="14B3E39B" w:rsidR="00311CB5" w:rsidRPr="00E851A5" w:rsidRDefault="00311CB5" w:rsidP="00311CB5">
            <w:pPr>
              <w:jc w:val="center"/>
              <w:rPr>
                <w:sz w:val="27"/>
                <w:szCs w:val="27"/>
              </w:rPr>
            </w:pPr>
            <w:r w:rsidRPr="00E851A5">
              <w:rPr>
                <w:sz w:val="27"/>
                <w:szCs w:val="27"/>
                <w:lang w:eastAsia="lv-LV"/>
              </w:rPr>
              <w:t>Norāda iespējamās alternatīvas (t.sk. alternatīvas, kas neparedz tiesiskā regulējuma izstrādi) – kādos gadījumos būtu iespējams izvairīties no stingrāku prasību noteikšanas, nekā paredzēts attiecīgajos ES tiesību aktos</w:t>
            </w:r>
          </w:p>
        </w:tc>
      </w:tr>
      <w:tr w:rsidR="00311CB5" w:rsidRPr="0020496D" w14:paraId="4DE2648C" w14:textId="77777777" w:rsidTr="00FA4C17">
        <w:trPr>
          <w:tblCellSpacing w:w="15" w:type="dxa"/>
        </w:trPr>
        <w:tc>
          <w:tcPr>
            <w:tcW w:w="1137" w:type="pct"/>
            <w:tcBorders>
              <w:top w:val="outset" w:sz="6" w:space="0" w:color="auto"/>
              <w:left w:val="outset" w:sz="6" w:space="0" w:color="auto"/>
              <w:bottom w:val="outset" w:sz="6" w:space="0" w:color="auto"/>
              <w:right w:val="outset" w:sz="6" w:space="0" w:color="auto"/>
            </w:tcBorders>
          </w:tcPr>
          <w:p w14:paraId="28F1906B" w14:textId="77777777" w:rsidR="00311CB5" w:rsidRPr="00D635D1" w:rsidRDefault="00971157" w:rsidP="009A3A19">
            <w:pPr>
              <w:rPr>
                <w:sz w:val="27"/>
                <w:szCs w:val="27"/>
              </w:rPr>
            </w:pPr>
            <w:r w:rsidRPr="00D635D1">
              <w:rPr>
                <w:sz w:val="27"/>
                <w:szCs w:val="27"/>
              </w:rPr>
              <w:t>Regulas Nr.</w:t>
            </w:r>
            <w:r w:rsidR="009A3A19" w:rsidRPr="00D635D1">
              <w:rPr>
                <w:sz w:val="27"/>
                <w:szCs w:val="27"/>
              </w:rPr>
              <w:t>2015/2446</w:t>
            </w:r>
            <w:r w:rsidRPr="00D635D1">
              <w:rPr>
                <w:sz w:val="27"/>
                <w:szCs w:val="27"/>
              </w:rPr>
              <w:t xml:space="preserve"> </w:t>
            </w:r>
            <w:r w:rsidR="009A3A19" w:rsidRPr="00D635D1">
              <w:rPr>
                <w:sz w:val="27"/>
                <w:szCs w:val="27"/>
              </w:rPr>
              <w:t>3.panta pirmā daļa</w:t>
            </w:r>
          </w:p>
          <w:p w14:paraId="0D285C83" w14:textId="342C77BC" w:rsidR="009A3A19" w:rsidRPr="00E851A5" w:rsidRDefault="009A3A19" w:rsidP="009A3A19">
            <w:pPr>
              <w:rPr>
                <w:sz w:val="27"/>
                <w:szCs w:val="27"/>
                <w:highlight w:val="yellow"/>
              </w:rPr>
            </w:pPr>
          </w:p>
        </w:tc>
        <w:tc>
          <w:tcPr>
            <w:tcW w:w="992" w:type="pct"/>
            <w:tcBorders>
              <w:top w:val="outset" w:sz="6" w:space="0" w:color="auto"/>
              <w:left w:val="outset" w:sz="6" w:space="0" w:color="auto"/>
              <w:bottom w:val="outset" w:sz="6" w:space="0" w:color="auto"/>
              <w:right w:val="outset" w:sz="6" w:space="0" w:color="auto"/>
            </w:tcBorders>
          </w:tcPr>
          <w:p w14:paraId="6071D718" w14:textId="6BDED757" w:rsidR="00311CB5" w:rsidRPr="00E851A5" w:rsidRDefault="00971157" w:rsidP="00FA4C17">
            <w:pPr>
              <w:rPr>
                <w:sz w:val="27"/>
                <w:szCs w:val="27"/>
                <w:highlight w:val="yellow"/>
              </w:rPr>
            </w:pPr>
            <w:r w:rsidRPr="00E851A5">
              <w:rPr>
                <w:sz w:val="27"/>
                <w:szCs w:val="27"/>
              </w:rPr>
              <w:t>Noteikumu projekta 2.</w:t>
            </w:r>
            <w:r w:rsidR="00FA4C17">
              <w:rPr>
                <w:sz w:val="27"/>
                <w:szCs w:val="27"/>
              </w:rPr>
              <w:t>punkts</w:t>
            </w:r>
          </w:p>
        </w:tc>
        <w:tc>
          <w:tcPr>
            <w:tcW w:w="991" w:type="pct"/>
            <w:tcBorders>
              <w:top w:val="outset" w:sz="6" w:space="0" w:color="auto"/>
              <w:left w:val="outset" w:sz="6" w:space="0" w:color="auto"/>
              <w:bottom w:val="outset" w:sz="6" w:space="0" w:color="auto"/>
              <w:right w:val="outset" w:sz="6" w:space="0" w:color="auto"/>
            </w:tcBorders>
          </w:tcPr>
          <w:p w14:paraId="0A5594D4" w14:textId="3F15AFC7" w:rsidR="00311CB5" w:rsidRPr="00E851A5" w:rsidRDefault="00311CB5" w:rsidP="00311CB5">
            <w:pPr>
              <w:rPr>
                <w:sz w:val="27"/>
                <w:szCs w:val="27"/>
              </w:rPr>
            </w:pPr>
            <w:r w:rsidRPr="00E851A5">
              <w:rPr>
                <w:sz w:val="27"/>
                <w:szCs w:val="27"/>
              </w:rPr>
              <w:t>Tiek ieviests pilnībā</w:t>
            </w:r>
          </w:p>
        </w:tc>
        <w:tc>
          <w:tcPr>
            <w:tcW w:w="1800" w:type="pct"/>
            <w:tcBorders>
              <w:top w:val="outset" w:sz="6" w:space="0" w:color="auto"/>
              <w:left w:val="outset" w:sz="6" w:space="0" w:color="auto"/>
              <w:bottom w:val="outset" w:sz="6" w:space="0" w:color="auto"/>
              <w:right w:val="outset" w:sz="6" w:space="0" w:color="auto"/>
            </w:tcBorders>
          </w:tcPr>
          <w:p w14:paraId="103B4C14" w14:textId="3DBD326B" w:rsidR="00311CB5" w:rsidRPr="00E851A5" w:rsidRDefault="00311CB5" w:rsidP="00311CB5">
            <w:pPr>
              <w:rPr>
                <w:sz w:val="27"/>
                <w:szCs w:val="27"/>
              </w:rPr>
            </w:pPr>
            <w:r w:rsidRPr="00E851A5">
              <w:rPr>
                <w:sz w:val="27"/>
                <w:szCs w:val="27"/>
              </w:rPr>
              <w:t>Neparedz stingrākas prasības</w:t>
            </w:r>
          </w:p>
        </w:tc>
      </w:tr>
      <w:tr w:rsidR="00FA4C17" w:rsidRPr="0020496D" w14:paraId="0019706C" w14:textId="77777777" w:rsidTr="00FA4C17">
        <w:trPr>
          <w:tblCellSpacing w:w="15" w:type="dxa"/>
        </w:trPr>
        <w:tc>
          <w:tcPr>
            <w:tcW w:w="1137" w:type="pct"/>
            <w:tcBorders>
              <w:top w:val="outset" w:sz="6" w:space="0" w:color="auto"/>
              <w:left w:val="outset" w:sz="6" w:space="0" w:color="auto"/>
              <w:bottom w:val="outset" w:sz="6" w:space="0" w:color="auto"/>
              <w:right w:val="outset" w:sz="6" w:space="0" w:color="auto"/>
            </w:tcBorders>
          </w:tcPr>
          <w:p w14:paraId="66ACD4B9" w14:textId="65B2886D" w:rsidR="00FA4C17" w:rsidRPr="00D635D1" w:rsidRDefault="00FA4C17" w:rsidP="00FA4C17">
            <w:pPr>
              <w:rPr>
                <w:sz w:val="27"/>
                <w:szCs w:val="27"/>
              </w:rPr>
            </w:pPr>
            <w:r w:rsidRPr="00D635D1">
              <w:rPr>
                <w:sz w:val="27"/>
                <w:szCs w:val="27"/>
              </w:rPr>
              <w:t xml:space="preserve">Regulas Nr.2015/2446 3.panta pirmā daļa un regulas </w:t>
            </w:r>
            <w:r w:rsidRPr="00D635D1">
              <w:rPr>
                <w:sz w:val="27"/>
                <w:szCs w:val="27"/>
              </w:rPr>
              <w:lastRenderedPageBreak/>
              <w:t>Nr.2015/2447 7.panta 3.punkts</w:t>
            </w:r>
          </w:p>
          <w:p w14:paraId="50A5F883" w14:textId="77777777" w:rsidR="00FA4C17" w:rsidRPr="00D635D1" w:rsidRDefault="00FA4C17" w:rsidP="00FA4C17">
            <w:pPr>
              <w:rPr>
                <w:sz w:val="27"/>
                <w:szCs w:val="27"/>
              </w:rPr>
            </w:pPr>
          </w:p>
        </w:tc>
        <w:tc>
          <w:tcPr>
            <w:tcW w:w="992" w:type="pct"/>
            <w:tcBorders>
              <w:top w:val="outset" w:sz="6" w:space="0" w:color="auto"/>
              <w:left w:val="outset" w:sz="6" w:space="0" w:color="auto"/>
              <w:bottom w:val="outset" w:sz="6" w:space="0" w:color="auto"/>
              <w:right w:val="outset" w:sz="6" w:space="0" w:color="auto"/>
            </w:tcBorders>
          </w:tcPr>
          <w:p w14:paraId="0A3B9AB3" w14:textId="425EA0A8" w:rsidR="00FA4C17" w:rsidRPr="00D635D1" w:rsidRDefault="00FA4C17" w:rsidP="00FA4C17">
            <w:pPr>
              <w:rPr>
                <w:sz w:val="27"/>
                <w:szCs w:val="27"/>
              </w:rPr>
            </w:pPr>
            <w:r w:rsidRPr="00D635D1">
              <w:rPr>
                <w:sz w:val="27"/>
                <w:szCs w:val="27"/>
              </w:rPr>
              <w:lastRenderedPageBreak/>
              <w:t>Noteikumu projekta 5.punkts</w:t>
            </w:r>
          </w:p>
        </w:tc>
        <w:tc>
          <w:tcPr>
            <w:tcW w:w="991" w:type="pct"/>
            <w:tcBorders>
              <w:top w:val="outset" w:sz="6" w:space="0" w:color="auto"/>
              <w:left w:val="outset" w:sz="6" w:space="0" w:color="auto"/>
              <w:bottom w:val="outset" w:sz="6" w:space="0" w:color="auto"/>
              <w:right w:val="outset" w:sz="6" w:space="0" w:color="auto"/>
            </w:tcBorders>
          </w:tcPr>
          <w:p w14:paraId="2BAA8817" w14:textId="5347BEF3" w:rsidR="00FA4C17" w:rsidRPr="00E851A5" w:rsidRDefault="00FA4C17" w:rsidP="00FA4C17">
            <w:pPr>
              <w:rPr>
                <w:sz w:val="27"/>
                <w:szCs w:val="27"/>
              </w:rPr>
            </w:pPr>
            <w:r w:rsidRPr="00E851A5">
              <w:rPr>
                <w:sz w:val="27"/>
                <w:szCs w:val="27"/>
              </w:rPr>
              <w:t>Tiek ieviests pilnībā</w:t>
            </w:r>
          </w:p>
        </w:tc>
        <w:tc>
          <w:tcPr>
            <w:tcW w:w="1800" w:type="pct"/>
            <w:tcBorders>
              <w:top w:val="outset" w:sz="6" w:space="0" w:color="auto"/>
              <w:left w:val="outset" w:sz="6" w:space="0" w:color="auto"/>
              <w:bottom w:val="outset" w:sz="6" w:space="0" w:color="auto"/>
              <w:right w:val="outset" w:sz="6" w:space="0" w:color="auto"/>
            </w:tcBorders>
          </w:tcPr>
          <w:p w14:paraId="4833A3A3" w14:textId="4FAF6C3B" w:rsidR="00FA4C17" w:rsidRPr="00E851A5" w:rsidRDefault="00FA4C17" w:rsidP="00FA4C17">
            <w:pPr>
              <w:rPr>
                <w:sz w:val="27"/>
                <w:szCs w:val="27"/>
              </w:rPr>
            </w:pPr>
            <w:r w:rsidRPr="00E851A5">
              <w:rPr>
                <w:sz w:val="27"/>
                <w:szCs w:val="27"/>
              </w:rPr>
              <w:t>Neparedz stingrākas prasības</w:t>
            </w:r>
          </w:p>
        </w:tc>
      </w:tr>
      <w:tr w:rsidR="00FA4C17" w:rsidRPr="0020496D" w14:paraId="7BE06850" w14:textId="77777777" w:rsidTr="00FA4C17">
        <w:trPr>
          <w:tblCellSpacing w:w="15" w:type="dxa"/>
        </w:trPr>
        <w:tc>
          <w:tcPr>
            <w:tcW w:w="1137" w:type="pct"/>
            <w:tcBorders>
              <w:top w:val="outset" w:sz="6" w:space="0" w:color="auto"/>
              <w:left w:val="outset" w:sz="6" w:space="0" w:color="auto"/>
              <w:bottom w:val="outset" w:sz="6" w:space="0" w:color="auto"/>
              <w:right w:val="outset" w:sz="6" w:space="0" w:color="auto"/>
            </w:tcBorders>
          </w:tcPr>
          <w:p w14:paraId="6EB139F7" w14:textId="6121074E" w:rsidR="00FA4C17" w:rsidRPr="00E851A5" w:rsidRDefault="00FA4C17" w:rsidP="00FA4C17">
            <w:pPr>
              <w:rPr>
                <w:sz w:val="27"/>
                <w:szCs w:val="27"/>
                <w:highlight w:val="yellow"/>
              </w:rPr>
            </w:pPr>
            <w:r w:rsidRPr="00E851A5">
              <w:rPr>
                <w:sz w:val="27"/>
                <w:szCs w:val="27"/>
              </w:rPr>
              <w:t>Regulas Nr.2015/2447 7.panta 3.punkts</w:t>
            </w:r>
            <w:r>
              <w:rPr>
                <w:sz w:val="27"/>
                <w:szCs w:val="27"/>
              </w:rPr>
              <w:t xml:space="preserve"> </w:t>
            </w:r>
            <w:bookmarkStart w:id="0" w:name="_GoBack"/>
            <w:r w:rsidRPr="00D635D1">
              <w:rPr>
                <w:sz w:val="27"/>
                <w:szCs w:val="27"/>
              </w:rPr>
              <w:t>un 12-01.pielikums</w:t>
            </w:r>
            <w:bookmarkEnd w:id="0"/>
          </w:p>
        </w:tc>
        <w:tc>
          <w:tcPr>
            <w:tcW w:w="992" w:type="pct"/>
            <w:tcBorders>
              <w:top w:val="outset" w:sz="6" w:space="0" w:color="auto"/>
              <w:left w:val="outset" w:sz="6" w:space="0" w:color="auto"/>
              <w:bottom w:val="outset" w:sz="6" w:space="0" w:color="auto"/>
              <w:right w:val="outset" w:sz="6" w:space="0" w:color="auto"/>
            </w:tcBorders>
          </w:tcPr>
          <w:p w14:paraId="2009B257" w14:textId="2227E627" w:rsidR="00FA4C17" w:rsidRPr="00E851A5" w:rsidRDefault="00FA4C17" w:rsidP="00FA4C17">
            <w:pPr>
              <w:rPr>
                <w:sz w:val="27"/>
                <w:szCs w:val="27"/>
                <w:highlight w:val="yellow"/>
              </w:rPr>
            </w:pPr>
            <w:r w:rsidRPr="00E851A5">
              <w:rPr>
                <w:sz w:val="27"/>
                <w:szCs w:val="27"/>
              </w:rPr>
              <w:t>Noteikumu projekta 6.</w:t>
            </w:r>
            <w:r>
              <w:rPr>
                <w:sz w:val="27"/>
                <w:szCs w:val="27"/>
              </w:rPr>
              <w:t>, 7. un 8</w:t>
            </w:r>
            <w:r w:rsidRPr="00E851A5">
              <w:rPr>
                <w:sz w:val="27"/>
                <w:szCs w:val="27"/>
              </w:rPr>
              <w:t>.punkts</w:t>
            </w:r>
          </w:p>
        </w:tc>
        <w:tc>
          <w:tcPr>
            <w:tcW w:w="991" w:type="pct"/>
            <w:tcBorders>
              <w:top w:val="outset" w:sz="6" w:space="0" w:color="auto"/>
              <w:left w:val="outset" w:sz="6" w:space="0" w:color="auto"/>
              <w:bottom w:val="outset" w:sz="6" w:space="0" w:color="auto"/>
              <w:right w:val="outset" w:sz="6" w:space="0" w:color="auto"/>
            </w:tcBorders>
          </w:tcPr>
          <w:p w14:paraId="2F0B85F4" w14:textId="6DE014E0" w:rsidR="00FA4C17" w:rsidRPr="00E851A5" w:rsidRDefault="00FA4C17" w:rsidP="00FA4C17">
            <w:pPr>
              <w:rPr>
                <w:sz w:val="27"/>
                <w:szCs w:val="27"/>
              </w:rPr>
            </w:pPr>
            <w:r w:rsidRPr="00E851A5">
              <w:rPr>
                <w:sz w:val="27"/>
                <w:szCs w:val="27"/>
              </w:rPr>
              <w:t>Tiek ieviests pilnībā</w:t>
            </w:r>
          </w:p>
        </w:tc>
        <w:tc>
          <w:tcPr>
            <w:tcW w:w="1800" w:type="pct"/>
            <w:tcBorders>
              <w:top w:val="outset" w:sz="6" w:space="0" w:color="auto"/>
              <w:left w:val="outset" w:sz="6" w:space="0" w:color="auto"/>
              <w:bottom w:val="outset" w:sz="6" w:space="0" w:color="auto"/>
              <w:right w:val="outset" w:sz="6" w:space="0" w:color="auto"/>
            </w:tcBorders>
          </w:tcPr>
          <w:p w14:paraId="681EAD04" w14:textId="38BC5A34" w:rsidR="00FA4C17" w:rsidRPr="00E851A5" w:rsidRDefault="00FA4C17" w:rsidP="00FA4C17">
            <w:pPr>
              <w:rPr>
                <w:sz w:val="27"/>
                <w:szCs w:val="27"/>
              </w:rPr>
            </w:pPr>
            <w:r w:rsidRPr="00E851A5">
              <w:rPr>
                <w:sz w:val="27"/>
                <w:szCs w:val="27"/>
              </w:rPr>
              <w:t>Neparedz stingrākas prasības</w:t>
            </w:r>
          </w:p>
        </w:tc>
      </w:tr>
      <w:tr w:rsidR="00FA4C17" w:rsidRPr="0020496D" w14:paraId="3E97A57F" w14:textId="77777777" w:rsidTr="00FA4C17">
        <w:trPr>
          <w:tblCellSpacing w:w="15" w:type="dxa"/>
        </w:trPr>
        <w:tc>
          <w:tcPr>
            <w:tcW w:w="1137" w:type="pct"/>
            <w:tcBorders>
              <w:top w:val="outset" w:sz="6" w:space="0" w:color="auto"/>
              <w:left w:val="outset" w:sz="6" w:space="0" w:color="auto"/>
              <w:bottom w:val="outset" w:sz="6" w:space="0" w:color="auto"/>
              <w:right w:val="outset" w:sz="6" w:space="0" w:color="auto"/>
            </w:tcBorders>
          </w:tcPr>
          <w:p w14:paraId="5D2A2F63" w14:textId="5D3956B9" w:rsidR="00FA4C17" w:rsidRPr="00E851A5" w:rsidRDefault="00FA4C17" w:rsidP="00FA4C17">
            <w:pPr>
              <w:rPr>
                <w:sz w:val="27"/>
                <w:szCs w:val="27"/>
              </w:rPr>
            </w:pPr>
            <w:r w:rsidRPr="00E851A5">
              <w:rPr>
                <w:sz w:val="27"/>
                <w:szCs w:val="27"/>
              </w:rPr>
              <w:t xml:space="preserve">Kā ir izmantota ES tiesību aktā paredzētā rīcības brīvība </w:t>
            </w:r>
            <w:proofErr w:type="spellStart"/>
            <w:r w:rsidRPr="00E851A5">
              <w:rPr>
                <w:sz w:val="27"/>
                <w:szCs w:val="27"/>
              </w:rPr>
              <w:t>dalībv</w:t>
            </w:r>
            <w:proofErr w:type="spellEnd"/>
            <w:r w:rsidRPr="00E851A5">
              <w:rPr>
                <w:sz w:val="27"/>
                <w:szCs w:val="27"/>
              </w:rPr>
              <w:t xml:space="preserve"> </w:t>
            </w:r>
            <w:proofErr w:type="spellStart"/>
            <w:r w:rsidRPr="00E851A5">
              <w:rPr>
                <w:sz w:val="27"/>
                <w:szCs w:val="27"/>
              </w:rPr>
              <w:t>alstij</w:t>
            </w:r>
            <w:proofErr w:type="spellEnd"/>
            <w:r w:rsidRPr="00E851A5">
              <w:rPr>
                <w:sz w:val="27"/>
                <w:szCs w:val="27"/>
              </w:rPr>
              <w:t xml:space="preserve"> pārņemt vai ieviest noteiktas ES tiesību akta normas? Kādēļ?</w:t>
            </w:r>
          </w:p>
        </w:tc>
        <w:tc>
          <w:tcPr>
            <w:tcW w:w="3815" w:type="pct"/>
            <w:gridSpan w:val="3"/>
            <w:tcBorders>
              <w:top w:val="outset" w:sz="6" w:space="0" w:color="auto"/>
              <w:left w:val="outset" w:sz="6" w:space="0" w:color="auto"/>
              <w:bottom w:val="outset" w:sz="6" w:space="0" w:color="auto"/>
              <w:right w:val="outset" w:sz="6" w:space="0" w:color="auto"/>
            </w:tcBorders>
          </w:tcPr>
          <w:p w14:paraId="4F02EF00" w14:textId="2A389317" w:rsidR="00FA4C17" w:rsidRPr="00E851A5" w:rsidRDefault="00FA4C17" w:rsidP="00FA4C17">
            <w:pPr>
              <w:rPr>
                <w:sz w:val="27"/>
                <w:szCs w:val="27"/>
              </w:rPr>
            </w:pPr>
            <w:r w:rsidRPr="00E851A5">
              <w:rPr>
                <w:sz w:val="27"/>
                <w:szCs w:val="27"/>
              </w:rPr>
              <w:t>Projekts šo jomu neskar.</w:t>
            </w:r>
          </w:p>
        </w:tc>
      </w:tr>
      <w:tr w:rsidR="00FA4C17" w:rsidRPr="0020496D" w14:paraId="7F194A0D" w14:textId="77777777" w:rsidTr="00FA4C17">
        <w:trPr>
          <w:tblCellSpacing w:w="15" w:type="dxa"/>
        </w:trPr>
        <w:tc>
          <w:tcPr>
            <w:tcW w:w="1137" w:type="pct"/>
            <w:tcBorders>
              <w:top w:val="outset" w:sz="6" w:space="0" w:color="auto"/>
              <w:left w:val="outset" w:sz="6" w:space="0" w:color="auto"/>
              <w:bottom w:val="outset" w:sz="6" w:space="0" w:color="auto"/>
              <w:right w:val="outset" w:sz="6" w:space="0" w:color="auto"/>
            </w:tcBorders>
          </w:tcPr>
          <w:p w14:paraId="53F61162" w14:textId="2ED12F6C" w:rsidR="00FA4C17" w:rsidRPr="00E851A5" w:rsidRDefault="00FA4C17" w:rsidP="00FA4C17">
            <w:pPr>
              <w:rPr>
                <w:sz w:val="27"/>
                <w:szCs w:val="27"/>
              </w:rPr>
            </w:pPr>
            <w:r w:rsidRPr="00E851A5">
              <w:rPr>
                <w:sz w:val="27"/>
                <w:szCs w:val="27"/>
                <w:lang w:eastAsia="lv-LV"/>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815" w:type="pct"/>
            <w:gridSpan w:val="3"/>
            <w:tcBorders>
              <w:top w:val="outset" w:sz="6" w:space="0" w:color="auto"/>
              <w:left w:val="outset" w:sz="6" w:space="0" w:color="auto"/>
              <w:bottom w:val="outset" w:sz="6" w:space="0" w:color="auto"/>
              <w:right w:val="outset" w:sz="6" w:space="0" w:color="auto"/>
            </w:tcBorders>
          </w:tcPr>
          <w:p w14:paraId="2B2A235B" w14:textId="77777777" w:rsidR="00FA4C17" w:rsidRPr="00E851A5" w:rsidRDefault="00FA4C17" w:rsidP="00FA4C17">
            <w:pPr>
              <w:rPr>
                <w:sz w:val="27"/>
                <w:szCs w:val="27"/>
              </w:rPr>
            </w:pPr>
            <w:r w:rsidRPr="00E851A5">
              <w:rPr>
                <w:sz w:val="27"/>
                <w:szCs w:val="27"/>
              </w:rPr>
              <w:t>Projekts šo jomu neskar.</w:t>
            </w:r>
          </w:p>
          <w:p w14:paraId="6262B07B" w14:textId="43799A88" w:rsidR="00FA4C17" w:rsidRPr="00E851A5" w:rsidRDefault="00FA4C17" w:rsidP="00FA4C17">
            <w:pPr>
              <w:rPr>
                <w:sz w:val="27"/>
                <w:szCs w:val="27"/>
              </w:rPr>
            </w:pPr>
          </w:p>
        </w:tc>
      </w:tr>
      <w:tr w:rsidR="00FA4C17" w:rsidRPr="0020496D" w14:paraId="2D54718A" w14:textId="77777777" w:rsidTr="00FA4C17">
        <w:trPr>
          <w:tblCellSpacing w:w="15" w:type="dxa"/>
        </w:trPr>
        <w:tc>
          <w:tcPr>
            <w:tcW w:w="1137" w:type="pct"/>
            <w:tcBorders>
              <w:top w:val="outset" w:sz="6" w:space="0" w:color="auto"/>
              <w:left w:val="outset" w:sz="6" w:space="0" w:color="auto"/>
              <w:bottom w:val="outset" w:sz="6" w:space="0" w:color="auto"/>
              <w:right w:val="outset" w:sz="6" w:space="0" w:color="auto"/>
            </w:tcBorders>
          </w:tcPr>
          <w:p w14:paraId="215931A7" w14:textId="722E02D8" w:rsidR="00FA4C17" w:rsidRPr="00E851A5" w:rsidRDefault="00FA4C17" w:rsidP="00FA4C17">
            <w:pPr>
              <w:rPr>
                <w:sz w:val="27"/>
                <w:szCs w:val="27"/>
                <w:lang w:eastAsia="lv-LV"/>
              </w:rPr>
            </w:pPr>
            <w:r w:rsidRPr="00E851A5">
              <w:rPr>
                <w:sz w:val="27"/>
                <w:szCs w:val="27"/>
                <w:lang w:eastAsia="lv-LV"/>
              </w:rPr>
              <w:t>Cita informācija</w:t>
            </w:r>
          </w:p>
        </w:tc>
        <w:tc>
          <w:tcPr>
            <w:tcW w:w="3815" w:type="pct"/>
            <w:gridSpan w:val="3"/>
            <w:tcBorders>
              <w:top w:val="outset" w:sz="6" w:space="0" w:color="auto"/>
              <w:left w:val="outset" w:sz="6" w:space="0" w:color="auto"/>
              <w:bottom w:val="outset" w:sz="6" w:space="0" w:color="auto"/>
              <w:right w:val="outset" w:sz="6" w:space="0" w:color="auto"/>
            </w:tcBorders>
          </w:tcPr>
          <w:p w14:paraId="75D2A6C3" w14:textId="1C283107" w:rsidR="00FA4C17" w:rsidRPr="00E851A5" w:rsidRDefault="00FA4C17" w:rsidP="00FA4C17">
            <w:pPr>
              <w:rPr>
                <w:sz w:val="27"/>
                <w:szCs w:val="27"/>
              </w:rPr>
            </w:pPr>
            <w:r w:rsidRPr="00E851A5">
              <w:rPr>
                <w:sz w:val="27"/>
                <w:szCs w:val="27"/>
              </w:rPr>
              <w:t>Nav</w:t>
            </w:r>
          </w:p>
        </w:tc>
      </w:tr>
    </w:tbl>
    <w:p w14:paraId="22DBEACF" w14:textId="760B0E4D" w:rsidR="00311CB5" w:rsidRPr="0020496D" w:rsidRDefault="00311CB5" w:rsidP="009B6765">
      <w:pPr>
        <w:rPr>
          <w:sz w:val="26"/>
          <w:szCs w:val="26"/>
        </w:rPr>
      </w:pPr>
    </w:p>
    <w:tbl>
      <w:tblPr>
        <w:tblW w:w="5245" w:type="pct"/>
        <w:tblCellSpacing w:w="15" w:type="dxa"/>
        <w:tblInd w:w="-29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45"/>
        <w:gridCol w:w="1753"/>
        <w:gridCol w:w="7401"/>
      </w:tblGrid>
      <w:tr w:rsidR="0020496D" w:rsidRPr="0020496D" w14:paraId="64507780" w14:textId="77777777" w:rsidTr="002E572F">
        <w:trPr>
          <w:tblCellSpacing w:w="15" w:type="dxa"/>
        </w:trPr>
        <w:tc>
          <w:tcPr>
            <w:tcW w:w="4968" w:type="pct"/>
            <w:gridSpan w:val="3"/>
            <w:tcBorders>
              <w:top w:val="outset" w:sz="6" w:space="0" w:color="auto"/>
              <w:left w:val="outset" w:sz="6" w:space="0" w:color="auto"/>
              <w:bottom w:val="outset" w:sz="6" w:space="0" w:color="auto"/>
              <w:right w:val="outset" w:sz="6" w:space="0" w:color="auto"/>
            </w:tcBorders>
            <w:vAlign w:val="center"/>
            <w:hideMark/>
          </w:tcPr>
          <w:p w14:paraId="79704D40" w14:textId="77777777" w:rsidR="0020496D" w:rsidRPr="0020496D" w:rsidRDefault="0020496D" w:rsidP="00954ABE">
            <w:pPr>
              <w:rPr>
                <w:b/>
                <w:bCs/>
                <w:sz w:val="26"/>
                <w:szCs w:val="26"/>
              </w:rPr>
            </w:pPr>
            <w:r w:rsidRPr="0020496D">
              <w:rPr>
                <w:b/>
                <w:bCs/>
                <w:sz w:val="26"/>
                <w:szCs w:val="26"/>
              </w:rPr>
              <w:t>VI. Sabiedrības līdzdalība un komunikācijas aktivitātes</w:t>
            </w:r>
          </w:p>
        </w:tc>
      </w:tr>
      <w:tr w:rsidR="0020496D" w:rsidRPr="0020496D" w14:paraId="001F23AD" w14:textId="77777777" w:rsidTr="002E572F">
        <w:trPr>
          <w:tblCellSpacing w:w="15" w:type="dxa"/>
        </w:trPr>
        <w:tc>
          <w:tcPr>
            <w:tcW w:w="154" w:type="pct"/>
            <w:tcBorders>
              <w:top w:val="outset" w:sz="6" w:space="0" w:color="auto"/>
              <w:left w:val="outset" w:sz="6" w:space="0" w:color="auto"/>
              <w:bottom w:val="outset" w:sz="6" w:space="0" w:color="auto"/>
              <w:right w:val="outset" w:sz="6" w:space="0" w:color="auto"/>
            </w:tcBorders>
            <w:hideMark/>
          </w:tcPr>
          <w:p w14:paraId="7E054F06" w14:textId="77777777" w:rsidR="0020496D" w:rsidRPr="0020496D" w:rsidRDefault="0020496D" w:rsidP="00954ABE">
            <w:pPr>
              <w:rPr>
                <w:sz w:val="26"/>
                <w:szCs w:val="26"/>
              </w:rPr>
            </w:pPr>
            <w:r w:rsidRPr="0020496D">
              <w:rPr>
                <w:sz w:val="26"/>
                <w:szCs w:val="26"/>
              </w:rPr>
              <w:t>1.</w:t>
            </w:r>
          </w:p>
        </w:tc>
        <w:tc>
          <w:tcPr>
            <w:tcW w:w="884" w:type="pct"/>
            <w:tcBorders>
              <w:top w:val="outset" w:sz="6" w:space="0" w:color="auto"/>
              <w:left w:val="outset" w:sz="6" w:space="0" w:color="auto"/>
              <w:bottom w:val="outset" w:sz="6" w:space="0" w:color="auto"/>
              <w:right w:val="outset" w:sz="6" w:space="0" w:color="auto"/>
            </w:tcBorders>
            <w:hideMark/>
          </w:tcPr>
          <w:p w14:paraId="2CB59E1B" w14:textId="77777777" w:rsidR="0020496D" w:rsidRPr="002E572F" w:rsidRDefault="0020496D" w:rsidP="00954ABE">
            <w:pPr>
              <w:rPr>
                <w:sz w:val="28"/>
                <w:szCs w:val="28"/>
              </w:rPr>
            </w:pPr>
            <w:r w:rsidRPr="002E572F">
              <w:rPr>
                <w:sz w:val="28"/>
                <w:szCs w:val="28"/>
              </w:rPr>
              <w:t>Plānotās sabiedrības līdzdalības un komunikācijas aktivitātes saistībā ar projektu</w:t>
            </w:r>
          </w:p>
        </w:tc>
        <w:tc>
          <w:tcPr>
            <w:tcW w:w="3899" w:type="pct"/>
            <w:tcBorders>
              <w:top w:val="outset" w:sz="6" w:space="0" w:color="auto"/>
              <w:left w:val="outset" w:sz="6" w:space="0" w:color="auto"/>
              <w:bottom w:val="outset" w:sz="6" w:space="0" w:color="auto"/>
              <w:right w:val="outset" w:sz="6" w:space="0" w:color="auto"/>
            </w:tcBorders>
          </w:tcPr>
          <w:p w14:paraId="4E7F2E46" w14:textId="77777777" w:rsidR="0020496D" w:rsidRPr="002E572F" w:rsidRDefault="0020496D" w:rsidP="00954ABE">
            <w:pPr>
              <w:jc w:val="both"/>
              <w:rPr>
                <w:sz w:val="28"/>
                <w:szCs w:val="28"/>
              </w:rPr>
            </w:pPr>
            <w:r w:rsidRPr="002E572F">
              <w:rPr>
                <w:sz w:val="28"/>
                <w:szCs w:val="28"/>
              </w:rPr>
              <w:t>Sabiedrības līdzdalība ir nodrošināta Finanšu ministrijas tīmekļvietnē sadaļā “Sabiedrības līdzdalība” - “Tiesību aktu projekti” – “Muitas politika” 2018.gada 10.jūlijā publicējot uzziņu par noteikumu projekta izstrādi.</w:t>
            </w:r>
          </w:p>
        </w:tc>
      </w:tr>
      <w:tr w:rsidR="0020496D" w:rsidRPr="0020496D" w14:paraId="45050DEC" w14:textId="77777777" w:rsidTr="002E572F">
        <w:trPr>
          <w:tblCellSpacing w:w="15" w:type="dxa"/>
        </w:trPr>
        <w:tc>
          <w:tcPr>
            <w:tcW w:w="154" w:type="pct"/>
            <w:tcBorders>
              <w:top w:val="outset" w:sz="6" w:space="0" w:color="auto"/>
              <w:left w:val="outset" w:sz="6" w:space="0" w:color="auto"/>
              <w:bottom w:val="outset" w:sz="6" w:space="0" w:color="auto"/>
              <w:right w:val="outset" w:sz="6" w:space="0" w:color="auto"/>
            </w:tcBorders>
            <w:hideMark/>
          </w:tcPr>
          <w:p w14:paraId="45A85B12" w14:textId="77777777" w:rsidR="0020496D" w:rsidRPr="0020496D" w:rsidRDefault="0020496D" w:rsidP="00954ABE">
            <w:pPr>
              <w:rPr>
                <w:sz w:val="26"/>
                <w:szCs w:val="26"/>
              </w:rPr>
            </w:pPr>
            <w:r w:rsidRPr="0020496D">
              <w:rPr>
                <w:sz w:val="26"/>
                <w:szCs w:val="26"/>
              </w:rPr>
              <w:lastRenderedPageBreak/>
              <w:t>2.</w:t>
            </w:r>
          </w:p>
        </w:tc>
        <w:tc>
          <w:tcPr>
            <w:tcW w:w="884" w:type="pct"/>
            <w:tcBorders>
              <w:top w:val="outset" w:sz="6" w:space="0" w:color="auto"/>
              <w:left w:val="outset" w:sz="6" w:space="0" w:color="auto"/>
              <w:bottom w:val="outset" w:sz="6" w:space="0" w:color="auto"/>
              <w:right w:val="outset" w:sz="6" w:space="0" w:color="auto"/>
            </w:tcBorders>
            <w:hideMark/>
          </w:tcPr>
          <w:p w14:paraId="66BA965B" w14:textId="77777777" w:rsidR="0020496D" w:rsidRPr="002E572F" w:rsidRDefault="0020496D" w:rsidP="00954ABE">
            <w:pPr>
              <w:rPr>
                <w:sz w:val="28"/>
                <w:szCs w:val="28"/>
              </w:rPr>
            </w:pPr>
            <w:r w:rsidRPr="002E572F">
              <w:rPr>
                <w:sz w:val="28"/>
                <w:szCs w:val="28"/>
              </w:rPr>
              <w:t>Sabiedrības līdzdalība projekta izstrādē</w:t>
            </w:r>
          </w:p>
        </w:tc>
        <w:tc>
          <w:tcPr>
            <w:tcW w:w="3899" w:type="pct"/>
            <w:tcBorders>
              <w:top w:val="outset" w:sz="6" w:space="0" w:color="auto"/>
              <w:left w:val="outset" w:sz="6" w:space="0" w:color="auto"/>
              <w:bottom w:val="outset" w:sz="6" w:space="0" w:color="auto"/>
              <w:right w:val="outset" w:sz="6" w:space="0" w:color="auto"/>
            </w:tcBorders>
            <w:hideMark/>
          </w:tcPr>
          <w:p w14:paraId="35EF7A58" w14:textId="77777777" w:rsidR="002E572F" w:rsidRDefault="0020496D" w:rsidP="002E572F">
            <w:pPr>
              <w:ind w:right="63"/>
              <w:jc w:val="both"/>
              <w:rPr>
                <w:sz w:val="28"/>
                <w:szCs w:val="28"/>
              </w:rPr>
            </w:pPr>
            <w:r w:rsidRPr="002E572F">
              <w:rPr>
                <w:sz w:val="28"/>
                <w:szCs w:val="28"/>
              </w:rPr>
              <w:t xml:space="preserve">Sabiedrības pārstāvji varēja līdzdarboties projekta izstrādē, </w:t>
            </w:r>
            <w:proofErr w:type="spellStart"/>
            <w:r w:rsidRPr="002E572F">
              <w:rPr>
                <w:sz w:val="28"/>
                <w:szCs w:val="28"/>
              </w:rPr>
              <w:t>rakstveidā</w:t>
            </w:r>
            <w:proofErr w:type="spellEnd"/>
            <w:r w:rsidRPr="002E572F">
              <w:rPr>
                <w:sz w:val="28"/>
                <w:szCs w:val="28"/>
              </w:rPr>
              <w:t xml:space="preserve"> sniedzot viedokļus par projektu, kas 2018.gada 10.jūlijā publicēts Finanšu ministrijas tīmekļvietnē sadaļā “Sabiedrības līdzdalība” – “Tiesību aktu projekti” – “Muitas </w:t>
            </w:r>
          </w:p>
          <w:p w14:paraId="04F4F91A" w14:textId="66B92B2A" w:rsidR="0020496D" w:rsidRPr="0020496D" w:rsidRDefault="0020496D" w:rsidP="002E572F">
            <w:pPr>
              <w:ind w:right="63"/>
              <w:rPr>
                <w:sz w:val="26"/>
                <w:szCs w:val="26"/>
              </w:rPr>
            </w:pPr>
            <w:r w:rsidRPr="002E572F">
              <w:rPr>
                <w:sz w:val="28"/>
                <w:szCs w:val="28"/>
              </w:rPr>
              <w:t>politika”, adrese:</w:t>
            </w:r>
            <w:r w:rsidRPr="0020496D">
              <w:rPr>
                <w:sz w:val="26"/>
                <w:szCs w:val="26"/>
              </w:rPr>
              <w:t xml:space="preserve">  </w:t>
            </w:r>
            <w:r w:rsidRPr="002E572F">
              <w:rPr>
                <w:rStyle w:val="Hyperlink"/>
                <w:sz w:val="20"/>
                <w:szCs w:val="20"/>
              </w:rPr>
              <w:t>http://www.fm.gov.lv/lv/sabiedribas_lidzdaliba/tiesibu_aktu_proj</w:t>
            </w:r>
            <w:r w:rsidR="002E572F">
              <w:rPr>
                <w:rStyle w:val="Hyperlink"/>
                <w:sz w:val="20"/>
                <w:szCs w:val="20"/>
              </w:rPr>
              <w:t>ekti/muitas_politika/</w:t>
            </w:r>
          </w:p>
        </w:tc>
      </w:tr>
      <w:tr w:rsidR="0020496D" w:rsidRPr="0020496D" w14:paraId="5591803D" w14:textId="77777777" w:rsidTr="002E572F">
        <w:trPr>
          <w:tblCellSpacing w:w="15" w:type="dxa"/>
        </w:trPr>
        <w:tc>
          <w:tcPr>
            <w:tcW w:w="154" w:type="pct"/>
            <w:tcBorders>
              <w:top w:val="outset" w:sz="6" w:space="0" w:color="auto"/>
              <w:left w:val="outset" w:sz="6" w:space="0" w:color="auto"/>
              <w:bottom w:val="outset" w:sz="6" w:space="0" w:color="auto"/>
              <w:right w:val="outset" w:sz="6" w:space="0" w:color="auto"/>
            </w:tcBorders>
            <w:hideMark/>
          </w:tcPr>
          <w:p w14:paraId="6DF3E867" w14:textId="77777777" w:rsidR="0020496D" w:rsidRPr="002E572F" w:rsidRDefault="0020496D" w:rsidP="00954ABE">
            <w:pPr>
              <w:rPr>
                <w:sz w:val="28"/>
                <w:szCs w:val="28"/>
              </w:rPr>
            </w:pPr>
            <w:r w:rsidRPr="002E572F">
              <w:rPr>
                <w:sz w:val="28"/>
                <w:szCs w:val="28"/>
              </w:rPr>
              <w:t>3.</w:t>
            </w:r>
          </w:p>
        </w:tc>
        <w:tc>
          <w:tcPr>
            <w:tcW w:w="884" w:type="pct"/>
            <w:tcBorders>
              <w:top w:val="outset" w:sz="6" w:space="0" w:color="auto"/>
              <w:left w:val="outset" w:sz="6" w:space="0" w:color="auto"/>
              <w:bottom w:val="outset" w:sz="6" w:space="0" w:color="auto"/>
              <w:right w:val="outset" w:sz="6" w:space="0" w:color="auto"/>
            </w:tcBorders>
            <w:hideMark/>
          </w:tcPr>
          <w:p w14:paraId="4127B72C" w14:textId="77777777" w:rsidR="0020496D" w:rsidRPr="002E572F" w:rsidRDefault="0020496D" w:rsidP="00954ABE">
            <w:pPr>
              <w:rPr>
                <w:sz w:val="28"/>
                <w:szCs w:val="28"/>
              </w:rPr>
            </w:pPr>
            <w:r w:rsidRPr="002E572F">
              <w:rPr>
                <w:sz w:val="28"/>
                <w:szCs w:val="28"/>
              </w:rPr>
              <w:t>Sabiedrības līdzdalības rezultāti</w:t>
            </w:r>
          </w:p>
        </w:tc>
        <w:tc>
          <w:tcPr>
            <w:tcW w:w="3899" w:type="pct"/>
            <w:tcBorders>
              <w:top w:val="outset" w:sz="6" w:space="0" w:color="auto"/>
              <w:left w:val="outset" w:sz="6" w:space="0" w:color="auto"/>
              <w:bottom w:val="outset" w:sz="6" w:space="0" w:color="auto"/>
              <w:right w:val="outset" w:sz="6" w:space="0" w:color="auto"/>
            </w:tcBorders>
            <w:hideMark/>
          </w:tcPr>
          <w:p w14:paraId="2BAAE149" w14:textId="77777777" w:rsidR="0020496D" w:rsidRPr="002E572F" w:rsidRDefault="0020496D" w:rsidP="00954ABE">
            <w:pPr>
              <w:rPr>
                <w:sz w:val="28"/>
                <w:szCs w:val="28"/>
              </w:rPr>
            </w:pPr>
            <w:r w:rsidRPr="002E572F">
              <w:rPr>
                <w:sz w:val="28"/>
                <w:szCs w:val="28"/>
              </w:rPr>
              <w:t>Sabiedrības pārstāvju iebildumi un priekšlikumi nav saņemti.</w:t>
            </w:r>
          </w:p>
        </w:tc>
      </w:tr>
      <w:tr w:rsidR="0020496D" w:rsidRPr="0020496D" w14:paraId="4D69E8C1" w14:textId="77777777" w:rsidTr="002E572F">
        <w:trPr>
          <w:tblCellSpacing w:w="15" w:type="dxa"/>
        </w:trPr>
        <w:tc>
          <w:tcPr>
            <w:tcW w:w="154" w:type="pct"/>
            <w:tcBorders>
              <w:top w:val="outset" w:sz="6" w:space="0" w:color="auto"/>
              <w:left w:val="outset" w:sz="6" w:space="0" w:color="auto"/>
              <w:bottom w:val="outset" w:sz="6" w:space="0" w:color="auto"/>
              <w:right w:val="outset" w:sz="6" w:space="0" w:color="auto"/>
            </w:tcBorders>
            <w:hideMark/>
          </w:tcPr>
          <w:p w14:paraId="49F19261" w14:textId="77777777" w:rsidR="0020496D" w:rsidRPr="002E572F" w:rsidRDefault="0020496D" w:rsidP="00954ABE">
            <w:pPr>
              <w:rPr>
                <w:sz w:val="28"/>
                <w:szCs w:val="28"/>
              </w:rPr>
            </w:pPr>
            <w:r w:rsidRPr="002E572F">
              <w:rPr>
                <w:sz w:val="28"/>
                <w:szCs w:val="28"/>
              </w:rPr>
              <w:t>4.</w:t>
            </w:r>
          </w:p>
        </w:tc>
        <w:tc>
          <w:tcPr>
            <w:tcW w:w="884" w:type="pct"/>
            <w:tcBorders>
              <w:top w:val="outset" w:sz="6" w:space="0" w:color="auto"/>
              <w:left w:val="outset" w:sz="6" w:space="0" w:color="auto"/>
              <w:bottom w:val="outset" w:sz="6" w:space="0" w:color="auto"/>
              <w:right w:val="outset" w:sz="6" w:space="0" w:color="auto"/>
            </w:tcBorders>
            <w:hideMark/>
          </w:tcPr>
          <w:p w14:paraId="5389747F" w14:textId="77777777" w:rsidR="0020496D" w:rsidRPr="002E572F" w:rsidRDefault="0020496D" w:rsidP="00954ABE">
            <w:pPr>
              <w:rPr>
                <w:sz w:val="28"/>
                <w:szCs w:val="28"/>
              </w:rPr>
            </w:pPr>
            <w:r w:rsidRPr="002E572F">
              <w:rPr>
                <w:sz w:val="28"/>
                <w:szCs w:val="28"/>
              </w:rPr>
              <w:t>Cita informācija</w:t>
            </w:r>
          </w:p>
        </w:tc>
        <w:tc>
          <w:tcPr>
            <w:tcW w:w="3899" w:type="pct"/>
            <w:tcBorders>
              <w:top w:val="outset" w:sz="6" w:space="0" w:color="auto"/>
              <w:left w:val="outset" w:sz="6" w:space="0" w:color="auto"/>
              <w:bottom w:val="outset" w:sz="6" w:space="0" w:color="auto"/>
              <w:right w:val="outset" w:sz="6" w:space="0" w:color="auto"/>
            </w:tcBorders>
            <w:hideMark/>
          </w:tcPr>
          <w:p w14:paraId="5B46FD22" w14:textId="77777777" w:rsidR="0020496D" w:rsidRPr="002E572F" w:rsidRDefault="0020496D" w:rsidP="00954ABE">
            <w:pPr>
              <w:rPr>
                <w:sz w:val="28"/>
                <w:szCs w:val="28"/>
              </w:rPr>
            </w:pPr>
            <w:r w:rsidRPr="002E572F">
              <w:rPr>
                <w:sz w:val="28"/>
                <w:szCs w:val="28"/>
              </w:rPr>
              <w:t>Nav</w:t>
            </w:r>
          </w:p>
        </w:tc>
      </w:tr>
    </w:tbl>
    <w:p w14:paraId="21308FD8" w14:textId="73130110" w:rsidR="0020496D" w:rsidRPr="0020496D" w:rsidRDefault="0020496D" w:rsidP="009B6765">
      <w:pPr>
        <w:rPr>
          <w:sz w:val="26"/>
          <w:szCs w:val="26"/>
        </w:rPr>
      </w:pPr>
      <w:r w:rsidRPr="0020496D">
        <w:rPr>
          <w:sz w:val="26"/>
          <w:szCs w:val="26"/>
        </w:rPr>
        <w:t> </w:t>
      </w:r>
    </w:p>
    <w:tbl>
      <w:tblPr>
        <w:tblW w:w="5245" w:type="pct"/>
        <w:tblCellSpacing w:w="15" w:type="dxa"/>
        <w:tblInd w:w="-29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19"/>
        <w:gridCol w:w="3336"/>
        <w:gridCol w:w="5744"/>
      </w:tblGrid>
      <w:tr w:rsidR="00AF121C" w:rsidRPr="0020496D" w14:paraId="14649F59" w14:textId="77777777" w:rsidTr="002E572F">
        <w:trPr>
          <w:tblCellSpacing w:w="15" w:type="dxa"/>
        </w:trPr>
        <w:tc>
          <w:tcPr>
            <w:tcW w:w="4968" w:type="pct"/>
            <w:gridSpan w:val="3"/>
            <w:tcBorders>
              <w:top w:val="outset" w:sz="6" w:space="0" w:color="auto"/>
              <w:left w:val="outset" w:sz="6" w:space="0" w:color="auto"/>
              <w:bottom w:val="outset" w:sz="6" w:space="0" w:color="auto"/>
              <w:right w:val="outset" w:sz="6" w:space="0" w:color="auto"/>
            </w:tcBorders>
            <w:vAlign w:val="center"/>
            <w:hideMark/>
          </w:tcPr>
          <w:p w14:paraId="4CFCAC23" w14:textId="77777777" w:rsidR="00AF121C" w:rsidRPr="002E572F" w:rsidRDefault="00AF121C" w:rsidP="003858EB">
            <w:pPr>
              <w:rPr>
                <w:b/>
                <w:bCs/>
                <w:sz w:val="28"/>
                <w:szCs w:val="28"/>
              </w:rPr>
            </w:pPr>
            <w:r w:rsidRPr="002E572F">
              <w:rPr>
                <w:b/>
                <w:bCs/>
                <w:sz w:val="28"/>
                <w:szCs w:val="28"/>
              </w:rPr>
              <w:t>VII. Tiesību akta projekta izpildes nodrošināšana un tās ietekme uz institūcijām</w:t>
            </w:r>
          </w:p>
        </w:tc>
      </w:tr>
      <w:tr w:rsidR="00AF121C" w:rsidRPr="0020496D" w14:paraId="2172BDA3" w14:textId="77777777" w:rsidTr="002E572F">
        <w:trPr>
          <w:tblCellSpacing w:w="15" w:type="dxa"/>
        </w:trPr>
        <w:tc>
          <w:tcPr>
            <w:tcW w:w="198" w:type="pct"/>
            <w:tcBorders>
              <w:top w:val="outset" w:sz="6" w:space="0" w:color="auto"/>
              <w:left w:val="outset" w:sz="6" w:space="0" w:color="auto"/>
              <w:bottom w:val="outset" w:sz="6" w:space="0" w:color="auto"/>
              <w:right w:val="outset" w:sz="6" w:space="0" w:color="auto"/>
            </w:tcBorders>
            <w:hideMark/>
          </w:tcPr>
          <w:p w14:paraId="7341CAA2" w14:textId="77777777" w:rsidR="00AF121C" w:rsidRPr="0020496D" w:rsidRDefault="00AF121C" w:rsidP="003858EB">
            <w:pPr>
              <w:rPr>
                <w:sz w:val="26"/>
                <w:szCs w:val="26"/>
              </w:rPr>
            </w:pPr>
            <w:r w:rsidRPr="0020496D">
              <w:rPr>
                <w:sz w:val="26"/>
                <w:szCs w:val="26"/>
              </w:rPr>
              <w:t>1.</w:t>
            </w:r>
          </w:p>
        </w:tc>
        <w:tc>
          <w:tcPr>
            <w:tcW w:w="1751" w:type="pct"/>
            <w:tcBorders>
              <w:top w:val="outset" w:sz="6" w:space="0" w:color="auto"/>
              <w:left w:val="outset" w:sz="6" w:space="0" w:color="auto"/>
              <w:bottom w:val="outset" w:sz="6" w:space="0" w:color="auto"/>
              <w:right w:val="outset" w:sz="6" w:space="0" w:color="auto"/>
            </w:tcBorders>
            <w:hideMark/>
          </w:tcPr>
          <w:p w14:paraId="3E07969F" w14:textId="77777777" w:rsidR="00AF121C" w:rsidRPr="002E572F" w:rsidRDefault="00AF121C" w:rsidP="003858EB">
            <w:pPr>
              <w:rPr>
                <w:sz w:val="28"/>
                <w:szCs w:val="28"/>
              </w:rPr>
            </w:pPr>
            <w:r w:rsidRPr="002E572F">
              <w:rPr>
                <w:sz w:val="28"/>
                <w:szCs w:val="28"/>
              </w:rPr>
              <w:t>Projekta izpildē iesaistītās institūcijas</w:t>
            </w:r>
          </w:p>
        </w:tc>
        <w:tc>
          <w:tcPr>
            <w:tcW w:w="2987" w:type="pct"/>
            <w:tcBorders>
              <w:top w:val="outset" w:sz="6" w:space="0" w:color="auto"/>
              <w:left w:val="outset" w:sz="6" w:space="0" w:color="auto"/>
              <w:bottom w:val="outset" w:sz="6" w:space="0" w:color="auto"/>
              <w:right w:val="outset" w:sz="6" w:space="0" w:color="auto"/>
            </w:tcBorders>
          </w:tcPr>
          <w:p w14:paraId="442A2FA6" w14:textId="77777777" w:rsidR="00AF121C" w:rsidRPr="002E572F" w:rsidRDefault="00D465E8" w:rsidP="003858EB">
            <w:pPr>
              <w:rPr>
                <w:sz w:val="28"/>
                <w:szCs w:val="28"/>
              </w:rPr>
            </w:pPr>
            <w:r w:rsidRPr="002E572F">
              <w:rPr>
                <w:sz w:val="28"/>
                <w:szCs w:val="28"/>
              </w:rPr>
              <w:t>Valsts ieņēmumu dienests</w:t>
            </w:r>
          </w:p>
        </w:tc>
      </w:tr>
      <w:tr w:rsidR="00AF121C" w:rsidRPr="0020496D" w14:paraId="72A98798" w14:textId="77777777" w:rsidTr="002E572F">
        <w:trPr>
          <w:tblCellSpacing w:w="15" w:type="dxa"/>
        </w:trPr>
        <w:tc>
          <w:tcPr>
            <w:tcW w:w="198" w:type="pct"/>
            <w:tcBorders>
              <w:top w:val="outset" w:sz="6" w:space="0" w:color="auto"/>
              <w:left w:val="outset" w:sz="6" w:space="0" w:color="auto"/>
              <w:bottom w:val="outset" w:sz="6" w:space="0" w:color="auto"/>
              <w:right w:val="outset" w:sz="6" w:space="0" w:color="auto"/>
            </w:tcBorders>
            <w:hideMark/>
          </w:tcPr>
          <w:p w14:paraId="49E1D0E2" w14:textId="77777777" w:rsidR="00AF121C" w:rsidRPr="0020496D" w:rsidRDefault="00AF121C" w:rsidP="003858EB">
            <w:pPr>
              <w:rPr>
                <w:sz w:val="26"/>
                <w:szCs w:val="26"/>
              </w:rPr>
            </w:pPr>
            <w:r w:rsidRPr="0020496D">
              <w:rPr>
                <w:sz w:val="26"/>
                <w:szCs w:val="26"/>
              </w:rPr>
              <w:t>2.</w:t>
            </w:r>
          </w:p>
        </w:tc>
        <w:tc>
          <w:tcPr>
            <w:tcW w:w="1751" w:type="pct"/>
            <w:tcBorders>
              <w:top w:val="outset" w:sz="6" w:space="0" w:color="auto"/>
              <w:left w:val="outset" w:sz="6" w:space="0" w:color="auto"/>
              <w:bottom w:val="outset" w:sz="6" w:space="0" w:color="auto"/>
              <w:right w:val="outset" w:sz="6" w:space="0" w:color="auto"/>
            </w:tcBorders>
            <w:hideMark/>
          </w:tcPr>
          <w:p w14:paraId="7717508E" w14:textId="77777777" w:rsidR="00AF121C" w:rsidRPr="002E572F" w:rsidRDefault="00AF121C" w:rsidP="003858EB">
            <w:pPr>
              <w:rPr>
                <w:sz w:val="28"/>
                <w:szCs w:val="28"/>
              </w:rPr>
            </w:pPr>
            <w:r w:rsidRPr="002E572F">
              <w:rPr>
                <w:sz w:val="28"/>
                <w:szCs w:val="28"/>
              </w:rPr>
              <w:t>Projekta izpildes ietekme uz pārvaldes funkcijām un institucionālo struktūru.</w:t>
            </w:r>
            <w:r w:rsidRPr="002E572F">
              <w:rPr>
                <w:sz w:val="28"/>
                <w:szCs w:val="28"/>
              </w:rPr>
              <w:br/>
              <w:t>Jaunu institūciju izveide, esošu institūciju likvidācija vai reorganizācija, to ietekme uz institūcijas cilvēkresursiem</w:t>
            </w:r>
          </w:p>
        </w:tc>
        <w:tc>
          <w:tcPr>
            <w:tcW w:w="2987" w:type="pct"/>
            <w:tcBorders>
              <w:top w:val="outset" w:sz="6" w:space="0" w:color="auto"/>
              <w:left w:val="outset" w:sz="6" w:space="0" w:color="auto"/>
              <w:bottom w:val="outset" w:sz="6" w:space="0" w:color="auto"/>
              <w:right w:val="outset" w:sz="6" w:space="0" w:color="auto"/>
            </w:tcBorders>
            <w:hideMark/>
          </w:tcPr>
          <w:p w14:paraId="547A4B59" w14:textId="736AD6D0" w:rsidR="00AF121C" w:rsidRPr="002E572F" w:rsidRDefault="007B0E1A" w:rsidP="00353F69">
            <w:pPr>
              <w:rPr>
                <w:sz w:val="28"/>
                <w:szCs w:val="28"/>
              </w:rPr>
            </w:pPr>
            <w:r w:rsidRPr="00353F69">
              <w:rPr>
                <w:sz w:val="28"/>
                <w:szCs w:val="28"/>
              </w:rPr>
              <w:t>Projekta izpilde neietekmē projekta izstrādē iesaistīto institūciju funkcijas un uzdevumus.</w:t>
            </w:r>
          </w:p>
        </w:tc>
      </w:tr>
      <w:tr w:rsidR="00AF121C" w:rsidRPr="0020496D" w14:paraId="74B7E7C8" w14:textId="77777777" w:rsidTr="002E572F">
        <w:trPr>
          <w:tblCellSpacing w:w="15" w:type="dxa"/>
        </w:trPr>
        <w:tc>
          <w:tcPr>
            <w:tcW w:w="198" w:type="pct"/>
            <w:tcBorders>
              <w:top w:val="outset" w:sz="6" w:space="0" w:color="auto"/>
              <w:left w:val="outset" w:sz="6" w:space="0" w:color="auto"/>
              <w:bottom w:val="outset" w:sz="6" w:space="0" w:color="auto"/>
              <w:right w:val="outset" w:sz="6" w:space="0" w:color="auto"/>
            </w:tcBorders>
            <w:hideMark/>
          </w:tcPr>
          <w:p w14:paraId="6CC3D27E" w14:textId="77777777" w:rsidR="00AF121C" w:rsidRPr="0020496D" w:rsidRDefault="00AF121C" w:rsidP="003858EB">
            <w:pPr>
              <w:rPr>
                <w:sz w:val="26"/>
                <w:szCs w:val="26"/>
              </w:rPr>
            </w:pPr>
            <w:r w:rsidRPr="0020496D">
              <w:rPr>
                <w:sz w:val="26"/>
                <w:szCs w:val="26"/>
              </w:rPr>
              <w:t>3.</w:t>
            </w:r>
          </w:p>
        </w:tc>
        <w:tc>
          <w:tcPr>
            <w:tcW w:w="1751" w:type="pct"/>
            <w:tcBorders>
              <w:top w:val="outset" w:sz="6" w:space="0" w:color="auto"/>
              <w:left w:val="outset" w:sz="6" w:space="0" w:color="auto"/>
              <w:bottom w:val="outset" w:sz="6" w:space="0" w:color="auto"/>
              <w:right w:val="outset" w:sz="6" w:space="0" w:color="auto"/>
            </w:tcBorders>
            <w:hideMark/>
          </w:tcPr>
          <w:p w14:paraId="2F6F2AC7" w14:textId="77777777" w:rsidR="00AF121C" w:rsidRPr="002E572F" w:rsidRDefault="00AF121C" w:rsidP="003858EB">
            <w:pPr>
              <w:rPr>
                <w:sz w:val="28"/>
                <w:szCs w:val="28"/>
              </w:rPr>
            </w:pPr>
            <w:r w:rsidRPr="002E572F">
              <w:rPr>
                <w:sz w:val="28"/>
                <w:szCs w:val="28"/>
              </w:rPr>
              <w:t>Cita informācija</w:t>
            </w:r>
          </w:p>
        </w:tc>
        <w:tc>
          <w:tcPr>
            <w:tcW w:w="2987" w:type="pct"/>
            <w:tcBorders>
              <w:top w:val="outset" w:sz="6" w:space="0" w:color="auto"/>
              <w:left w:val="outset" w:sz="6" w:space="0" w:color="auto"/>
              <w:bottom w:val="outset" w:sz="6" w:space="0" w:color="auto"/>
              <w:right w:val="outset" w:sz="6" w:space="0" w:color="auto"/>
            </w:tcBorders>
            <w:hideMark/>
          </w:tcPr>
          <w:p w14:paraId="56C8E9A3" w14:textId="77777777" w:rsidR="00AF121C" w:rsidRPr="002E572F" w:rsidRDefault="00AF121C" w:rsidP="003858EB">
            <w:pPr>
              <w:rPr>
                <w:sz w:val="28"/>
                <w:szCs w:val="28"/>
              </w:rPr>
            </w:pPr>
            <w:r w:rsidRPr="002E572F">
              <w:rPr>
                <w:sz w:val="28"/>
                <w:szCs w:val="28"/>
              </w:rPr>
              <w:t>Nav</w:t>
            </w:r>
          </w:p>
        </w:tc>
      </w:tr>
    </w:tbl>
    <w:p w14:paraId="37AC1DFC" w14:textId="6F15C91B" w:rsidR="00AF121C" w:rsidRPr="0020496D" w:rsidRDefault="00AF121C" w:rsidP="00AF121C">
      <w:pPr>
        <w:rPr>
          <w:sz w:val="26"/>
          <w:szCs w:val="26"/>
        </w:rPr>
      </w:pPr>
    </w:p>
    <w:p w14:paraId="31D110DD" w14:textId="3AB38047" w:rsidR="00614817" w:rsidRPr="0020496D" w:rsidRDefault="00614817" w:rsidP="00AF121C">
      <w:pPr>
        <w:rPr>
          <w:sz w:val="26"/>
          <w:szCs w:val="26"/>
        </w:rPr>
      </w:pPr>
    </w:p>
    <w:p w14:paraId="134CED3A" w14:textId="1B8EC2F5" w:rsidR="00614817" w:rsidRPr="0020496D" w:rsidRDefault="00614817" w:rsidP="00AF121C">
      <w:pPr>
        <w:rPr>
          <w:sz w:val="26"/>
          <w:szCs w:val="26"/>
        </w:rPr>
      </w:pPr>
    </w:p>
    <w:p w14:paraId="4ED9F530" w14:textId="77777777" w:rsidR="008A1D0D" w:rsidRPr="0020496D" w:rsidRDefault="008A1D0D" w:rsidP="00AF121C">
      <w:pPr>
        <w:rPr>
          <w:sz w:val="26"/>
          <w:szCs w:val="26"/>
        </w:rPr>
      </w:pPr>
    </w:p>
    <w:p w14:paraId="61073080" w14:textId="77777777" w:rsidR="00AF121C" w:rsidRPr="0020496D" w:rsidRDefault="00AF121C" w:rsidP="00AF121C">
      <w:pPr>
        <w:rPr>
          <w:sz w:val="26"/>
          <w:szCs w:val="26"/>
        </w:rPr>
      </w:pPr>
    </w:p>
    <w:p w14:paraId="6BDC842D" w14:textId="7B2F5BE6" w:rsidR="00AF121C" w:rsidRPr="002E572F" w:rsidRDefault="00AF121C" w:rsidP="00AF121C">
      <w:pPr>
        <w:rPr>
          <w:rFonts w:eastAsia="Calibri" w:cs="Times New Roman"/>
          <w:sz w:val="28"/>
          <w:szCs w:val="28"/>
        </w:rPr>
      </w:pPr>
      <w:r w:rsidRPr="002E572F">
        <w:rPr>
          <w:rFonts w:eastAsia="Times New Roman" w:cs="Times New Roman"/>
          <w:bCs/>
          <w:iCs/>
          <w:kern w:val="1"/>
          <w:sz w:val="28"/>
          <w:szCs w:val="28"/>
          <w:lang w:eastAsia="ar-SA"/>
        </w:rPr>
        <w:t xml:space="preserve">Finanšu ministre  </w:t>
      </w:r>
      <w:r w:rsidRPr="002E572F">
        <w:rPr>
          <w:rFonts w:eastAsia="Times New Roman" w:cs="Times New Roman"/>
          <w:bCs/>
          <w:iCs/>
          <w:kern w:val="1"/>
          <w:sz w:val="28"/>
          <w:szCs w:val="28"/>
          <w:lang w:eastAsia="ar-SA"/>
        </w:rPr>
        <w:tab/>
      </w:r>
      <w:r w:rsidRPr="002E572F">
        <w:rPr>
          <w:rFonts w:eastAsia="Times New Roman" w:cs="Times New Roman"/>
          <w:bCs/>
          <w:iCs/>
          <w:kern w:val="1"/>
          <w:sz w:val="28"/>
          <w:szCs w:val="28"/>
          <w:lang w:eastAsia="ar-SA"/>
        </w:rPr>
        <w:tab/>
      </w:r>
      <w:r w:rsidRPr="002E572F">
        <w:rPr>
          <w:rFonts w:eastAsia="Times New Roman" w:cs="Times New Roman"/>
          <w:bCs/>
          <w:iCs/>
          <w:kern w:val="1"/>
          <w:sz w:val="28"/>
          <w:szCs w:val="28"/>
          <w:lang w:eastAsia="ar-SA"/>
        </w:rPr>
        <w:tab/>
      </w:r>
      <w:r w:rsidRPr="002E572F">
        <w:rPr>
          <w:rFonts w:eastAsia="Times New Roman" w:cs="Times New Roman"/>
          <w:bCs/>
          <w:iCs/>
          <w:kern w:val="1"/>
          <w:sz w:val="28"/>
          <w:szCs w:val="28"/>
          <w:lang w:eastAsia="ar-SA"/>
        </w:rPr>
        <w:tab/>
      </w:r>
      <w:r w:rsidRPr="002E572F">
        <w:rPr>
          <w:rFonts w:eastAsia="Times New Roman" w:cs="Times New Roman"/>
          <w:bCs/>
          <w:iCs/>
          <w:kern w:val="1"/>
          <w:sz w:val="28"/>
          <w:szCs w:val="28"/>
          <w:lang w:eastAsia="ar-SA"/>
        </w:rPr>
        <w:tab/>
      </w:r>
      <w:r w:rsidRPr="002E572F">
        <w:rPr>
          <w:rFonts w:eastAsia="Times New Roman" w:cs="Times New Roman"/>
          <w:bCs/>
          <w:iCs/>
          <w:kern w:val="1"/>
          <w:sz w:val="28"/>
          <w:szCs w:val="28"/>
          <w:lang w:eastAsia="ar-SA"/>
        </w:rPr>
        <w:tab/>
        <w:t xml:space="preserve">      </w:t>
      </w:r>
      <w:r w:rsidRPr="002E572F">
        <w:rPr>
          <w:rFonts w:eastAsia="Times New Roman" w:cs="Times New Roman"/>
          <w:bCs/>
          <w:iCs/>
          <w:kern w:val="1"/>
          <w:sz w:val="28"/>
          <w:szCs w:val="28"/>
          <w:lang w:eastAsia="ar-SA"/>
        </w:rPr>
        <w:tab/>
      </w:r>
      <w:proofErr w:type="spellStart"/>
      <w:r w:rsidRPr="002E572F">
        <w:rPr>
          <w:rFonts w:eastAsia="Times New Roman" w:cs="Times New Roman"/>
          <w:bCs/>
          <w:iCs/>
          <w:kern w:val="1"/>
          <w:sz w:val="28"/>
          <w:szCs w:val="28"/>
          <w:lang w:eastAsia="ar-SA"/>
        </w:rPr>
        <w:t>D.Reizniece</w:t>
      </w:r>
      <w:proofErr w:type="spellEnd"/>
      <w:r w:rsidRPr="002E572F">
        <w:rPr>
          <w:rFonts w:eastAsia="Times New Roman" w:cs="Times New Roman"/>
          <w:bCs/>
          <w:iCs/>
          <w:kern w:val="1"/>
          <w:sz w:val="28"/>
          <w:szCs w:val="28"/>
          <w:lang w:eastAsia="ar-SA"/>
        </w:rPr>
        <w:t>-Ozola</w:t>
      </w:r>
    </w:p>
    <w:p w14:paraId="05C79ED9" w14:textId="3D35BB9D" w:rsidR="00AF121C" w:rsidRDefault="00AF121C" w:rsidP="00AF121C">
      <w:pPr>
        <w:tabs>
          <w:tab w:val="left" w:pos="5122"/>
        </w:tabs>
        <w:rPr>
          <w:rFonts w:eastAsia="Calibri" w:cs="Times New Roman"/>
          <w:sz w:val="20"/>
          <w:szCs w:val="20"/>
        </w:rPr>
      </w:pPr>
    </w:p>
    <w:p w14:paraId="516B3CD7" w14:textId="3587F4C6" w:rsidR="00380214" w:rsidRDefault="00380214" w:rsidP="00AF121C">
      <w:pPr>
        <w:tabs>
          <w:tab w:val="left" w:pos="5122"/>
        </w:tabs>
        <w:rPr>
          <w:rFonts w:eastAsia="Calibri" w:cs="Times New Roman"/>
          <w:sz w:val="20"/>
          <w:szCs w:val="20"/>
        </w:rPr>
      </w:pPr>
    </w:p>
    <w:p w14:paraId="3BC62965" w14:textId="5D9DE9EF" w:rsidR="008A1D0D" w:rsidRDefault="008A1D0D" w:rsidP="00AF121C">
      <w:pPr>
        <w:tabs>
          <w:tab w:val="left" w:pos="5122"/>
        </w:tabs>
        <w:rPr>
          <w:rFonts w:eastAsia="Calibri" w:cs="Times New Roman"/>
          <w:sz w:val="20"/>
          <w:szCs w:val="20"/>
        </w:rPr>
      </w:pPr>
    </w:p>
    <w:p w14:paraId="0E246C4A" w14:textId="77777777" w:rsidR="008A1D0D" w:rsidRDefault="008A1D0D" w:rsidP="00AF121C">
      <w:pPr>
        <w:tabs>
          <w:tab w:val="left" w:pos="5122"/>
        </w:tabs>
        <w:rPr>
          <w:rFonts w:eastAsia="Calibri" w:cs="Times New Roman"/>
          <w:sz w:val="20"/>
          <w:szCs w:val="20"/>
        </w:rPr>
      </w:pPr>
    </w:p>
    <w:p w14:paraId="63BF421E" w14:textId="77777777" w:rsidR="00380214" w:rsidRPr="00996724" w:rsidRDefault="00380214" w:rsidP="00AF121C">
      <w:pPr>
        <w:tabs>
          <w:tab w:val="left" w:pos="5122"/>
        </w:tabs>
        <w:rPr>
          <w:rFonts w:eastAsia="Calibri" w:cs="Times New Roman"/>
          <w:sz w:val="20"/>
          <w:szCs w:val="20"/>
        </w:rPr>
      </w:pPr>
    </w:p>
    <w:p w14:paraId="32168CD7" w14:textId="4E16CD57" w:rsidR="00AF121C" w:rsidRPr="00380214" w:rsidRDefault="00AF121C" w:rsidP="00AF121C">
      <w:pPr>
        <w:rPr>
          <w:rFonts w:eastAsia="Times New Roman" w:cs="Times New Roman"/>
          <w:sz w:val="22"/>
        </w:rPr>
      </w:pPr>
      <w:r w:rsidRPr="00380214">
        <w:rPr>
          <w:rFonts w:eastAsia="Times New Roman" w:cs="Times New Roman"/>
          <w:sz w:val="22"/>
        </w:rPr>
        <w:t>Kraņevska, 67095527</w:t>
      </w:r>
    </w:p>
    <w:p w14:paraId="189C0949" w14:textId="4E2407BC" w:rsidR="00AF121C" w:rsidRPr="00380214" w:rsidRDefault="00AF7BB8" w:rsidP="00AF121C">
      <w:pPr>
        <w:rPr>
          <w:rFonts w:eastAsia="Calibri" w:cs="Times New Roman"/>
          <w:color w:val="0000FF"/>
          <w:sz w:val="22"/>
          <w:u w:val="single"/>
        </w:rPr>
      </w:pPr>
      <w:hyperlink r:id="rId8" w:history="1">
        <w:r w:rsidR="00380214" w:rsidRPr="00380214">
          <w:rPr>
            <w:rStyle w:val="Hyperlink"/>
            <w:rFonts w:eastAsia="Calibri" w:cs="Times New Roman"/>
            <w:sz w:val="22"/>
          </w:rPr>
          <w:t>Sanita.Kranevska@fm.gov.lv</w:t>
        </w:r>
      </w:hyperlink>
    </w:p>
    <w:p w14:paraId="754200FA" w14:textId="22FB7EA2" w:rsidR="00272B79" w:rsidRPr="00380214" w:rsidRDefault="00272B79" w:rsidP="00AF121C">
      <w:pPr>
        <w:rPr>
          <w:rFonts w:eastAsia="Calibri" w:cs="Times New Roman"/>
          <w:sz w:val="22"/>
          <w:u w:val="single"/>
        </w:rPr>
      </w:pPr>
      <w:r w:rsidRPr="00380214">
        <w:rPr>
          <w:rFonts w:eastAsia="Calibri" w:cs="Times New Roman"/>
          <w:sz w:val="22"/>
          <w:u w:val="single"/>
        </w:rPr>
        <w:t>Konderko, 67120871</w:t>
      </w:r>
    </w:p>
    <w:p w14:paraId="2535C679" w14:textId="2EE6314A" w:rsidR="00272B79" w:rsidRPr="00380214" w:rsidRDefault="00380214" w:rsidP="00AF121C">
      <w:pPr>
        <w:rPr>
          <w:rStyle w:val="Hyperlink"/>
          <w:sz w:val="22"/>
        </w:rPr>
      </w:pPr>
      <w:r w:rsidRPr="00380214">
        <w:rPr>
          <w:rStyle w:val="Hyperlink"/>
          <w:sz w:val="22"/>
        </w:rPr>
        <w:t>Vladimirs.K</w:t>
      </w:r>
      <w:r w:rsidR="00272B79" w:rsidRPr="00380214">
        <w:rPr>
          <w:rStyle w:val="Hyperlink"/>
          <w:sz w:val="22"/>
        </w:rPr>
        <w:t>onderko@vid.gov.lv</w:t>
      </w:r>
    </w:p>
    <w:sectPr w:rsidR="00272B79" w:rsidRPr="00380214" w:rsidSect="002E572F">
      <w:headerReference w:type="default" r:id="rId9"/>
      <w:footerReference w:type="default" r:id="rId10"/>
      <w:headerReference w:type="first" r:id="rId11"/>
      <w:footerReference w:type="first" r:id="rId12"/>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D54367" w14:textId="77777777" w:rsidR="00AF7BB8" w:rsidRDefault="00AF7BB8" w:rsidP="00AF121C">
      <w:r>
        <w:separator/>
      </w:r>
    </w:p>
  </w:endnote>
  <w:endnote w:type="continuationSeparator" w:id="0">
    <w:p w14:paraId="6A974493" w14:textId="77777777" w:rsidR="00AF7BB8" w:rsidRDefault="00AF7BB8" w:rsidP="00AF12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altName w:val="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7AED55" w14:textId="78455CF1" w:rsidR="00292A20" w:rsidRPr="00292A20" w:rsidRDefault="00142E81" w:rsidP="00292A20">
    <w:pPr>
      <w:pStyle w:val="Footer"/>
      <w:rPr>
        <w:sz w:val="20"/>
        <w:szCs w:val="20"/>
      </w:rPr>
    </w:pPr>
    <w:r>
      <w:rPr>
        <w:sz w:val="20"/>
        <w:szCs w:val="20"/>
      </w:rPr>
      <w:t>FMAnot_</w:t>
    </w:r>
    <w:r w:rsidR="00FA4C17">
      <w:rPr>
        <w:sz w:val="20"/>
        <w:szCs w:val="20"/>
      </w:rPr>
      <w:t>1809</w:t>
    </w:r>
    <w:r w:rsidR="00AF121C">
      <w:rPr>
        <w:sz w:val="20"/>
        <w:szCs w:val="20"/>
      </w:rPr>
      <w:t>18</w:t>
    </w:r>
    <w:r w:rsidRPr="00292A20">
      <w:rPr>
        <w:sz w:val="20"/>
        <w:szCs w:val="20"/>
      </w:rPr>
      <w:t>_</w:t>
    </w:r>
    <w:r w:rsidR="00B43E7D">
      <w:rPr>
        <w:sz w:val="20"/>
        <w:szCs w:val="20"/>
      </w:rPr>
      <w:t>groz18</w:t>
    </w:r>
  </w:p>
  <w:p w14:paraId="2AEFBBC8" w14:textId="77777777" w:rsidR="00292A20" w:rsidRDefault="00AF7B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ACD649" w14:textId="63F35AA0" w:rsidR="00292A20" w:rsidRPr="00292A20" w:rsidRDefault="00142E81">
    <w:pPr>
      <w:pStyle w:val="Footer"/>
      <w:rPr>
        <w:sz w:val="20"/>
        <w:szCs w:val="20"/>
      </w:rPr>
    </w:pPr>
    <w:r>
      <w:rPr>
        <w:sz w:val="20"/>
        <w:szCs w:val="20"/>
      </w:rPr>
      <w:t>FMAnot_</w:t>
    </w:r>
    <w:r w:rsidR="008A1D0D">
      <w:rPr>
        <w:sz w:val="20"/>
        <w:szCs w:val="20"/>
      </w:rPr>
      <w:t>1</w:t>
    </w:r>
    <w:r w:rsidR="00FA4C17">
      <w:rPr>
        <w:sz w:val="20"/>
        <w:szCs w:val="20"/>
      </w:rPr>
      <w:t>809</w:t>
    </w:r>
    <w:r w:rsidR="00AF121C">
      <w:rPr>
        <w:sz w:val="20"/>
        <w:szCs w:val="20"/>
      </w:rPr>
      <w:t>18</w:t>
    </w:r>
    <w:r w:rsidRPr="00292A20">
      <w:rPr>
        <w:sz w:val="20"/>
        <w:szCs w:val="20"/>
      </w:rPr>
      <w:t>_</w:t>
    </w:r>
    <w:r w:rsidR="008A1D0D">
      <w:rPr>
        <w:sz w:val="20"/>
        <w:szCs w:val="20"/>
      </w:rPr>
      <w:t>groz18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585839" w14:textId="77777777" w:rsidR="00AF7BB8" w:rsidRDefault="00AF7BB8" w:rsidP="00AF121C">
      <w:r>
        <w:separator/>
      </w:r>
    </w:p>
  </w:footnote>
  <w:footnote w:type="continuationSeparator" w:id="0">
    <w:p w14:paraId="08EC515E" w14:textId="77777777" w:rsidR="00AF7BB8" w:rsidRDefault="00AF7BB8" w:rsidP="00AF121C">
      <w:r>
        <w:continuationSeparator/>
      </w:r>
    </w:p>
  </w:footnote>
  <w:footnote w:id="1">
    <w:p w14:paraId="6AA83F12" w14:textId="63C6C71D" w:rsidR="00380214" w:rsidRDefault="00380214">
      <w:pPr>
        <w:pStyle w:val="FootnoteText"/>
      </w:pPr>
      <w:r>
        <w:rPr>
          <w:rStyle w:val="FootnoteReference"/>
        </w:rPr>
        <w:footnoteRef/>
      </w:r>
      <w:r>
        <w:t xml:space="preserve"> </w:t>
      </w:r>
      <w:r w:rsidRPr="005E5FEA">
        <w:rPr>
          <w:rFonts w:cs="Times New Roman"/>
        </w:rPr>
        <w:t>EORI numurs (</w:t>
      </w:r>
      <w:proofErr w:type="spellStart"/>
      <w:r w:rsidRPr="005E5FEA">
        <w:rPr>
          <w:rFonts w:cs="Times New Roman"/>
          <w:i/>
          <w:iCs/>
        </w:rPr>
        <w:t>Economic</w:t>
      </w:r>
      <w:proofErr w:type="spellEnd"/>
      <w:r w:rsidRPr="005E5FEA">
        <w:rPr>
          <w:rFonts w:cs="Times New Roman"/>
          <w:i/>
          <w:iCs/>
        </w:rPr>
        <w:t xml:space="preserve"> Operators </w:t>
      </w:r>
      <w:proofErr w:type="spellStart"/>
      <w:r w:rsidRPr="005E5FEA">
        <w:rPr>
          <w:rFonts w:cs="Times New Roman"/>
          <w:i/>
          <w:iCs/>
        </w:rPr>
        <w:t>Registration</w:t>
      </w:r>
      <w:proofErr w:type="spellEnd"/>
      <w:r w:rsidRPr="005E5FEA">
        <w:rPr>
          <w:rFonts w:cs="Times New Roman"/>
          <w:i/>
          <w:iCs/>
        </w:rPr>
        <w:t xml:space="preserve"> </w:t>
      </w:r>
      <w:proofErr w:type="spellStart"/>
      <w:r w:rsidRPr="005E5FEA">
        <w:rPr>
          <w:rFonts w:cs="Times New Roman"/>
          <w:i/>
          <w:iCs/>
        </w:rPr>
        <w:t>and</w:t>
      </w:r>
      <w:proofErr w:type="spellEnd"/>
      <w:r w:rsidRPr="005E5FEA">
        <w:rPr>
          <w:rFonts w:cs="Times New Roman"/>
          <w:i/>
          <w:iCs/>
        </w:rPr>
        <w:t xml:space="preserve"> </w:t>
      </w:r>
      <w:proofErr w:type="spellStart"/>
      <w:r w:rsidRPr="005E5FEA">
        <w:rPr>
          <w:rFonts w:cs="Times New Roman"/>
          <w:i/>
          <w:iCs/>
        </w:rPr>
        <w:t>Identification</w:t>
      </w:r>
      <w:proofErr w:type="spellEnd"/>
      <w:r w:rsidRPr="005E5FEA">
        <w:rPr>
          <w:rFonts w:cs="Times New Roman"/>
          <w:i/>
          <w:iCs/>
        </w:rPr>
        <w:t xml:space="preserve"> </w:t>
      </w:r>
      <w:proofErr w:type="spellStart"/>
      <w:r w:rsidRPr="005E5FEA">
        <w:rPr>
          <w:rFonts w:cs="Times New Roman"/>
          <w:i/>
          <w:iCs/>
        </w:rPr>
        <w:t>number</w:t>
      </w:r>
      <w:proofErr w:type="spellEnd"/>
      <w:r w:rsidRPr="005E5FEA">
        <w:rPr>
          <w:rFonts w:cs="Times New Roman"/>
        </w:rPr>
        <w:t>) - ir Eiropas Savienībā (turpmāk – ES) muitas teritorijā unikāls identifikācijas numurs, ko muitas iestādes piešķir uzņēmējam vai citai personai, lai to reģistrētu muitas vajadzībām. Šāds identifikācijas numurs ir nepieciešams, lai piemērotu muitas procedūras (piemēram, importējot, eksportējot vai pārvietojot preces tranzīta procedūrā), pieprasītu tiesību aktos muitas jomā paredzētas atļaujas (t.sk. muitas vienkāršojumiem). Katrai personai piešķir tikai vienu EORI numuru. Konkrētajai personai piešķirto EORI numuru izmanto visās ES dalībvalstīs, neatkarīgi no tā, kurā dalībvalstī veikta EORI numura reģistrācija.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9016806"/>
      <w:docPartObj>
        <w:docPartGallery w:val="Page Numbers (Top of Page)"/>
        <w:docPartUnique/>
      </w:docPartObj>
    </w:sdtPr>
    <w:sdtEndPr>
      <w:rPr>
        <w:noProof/>
      </w:rPr>
    </w:sdtEndPr>
    <w:sdtContent>
      <w:p w14:paraId="42685365" w14:textId="046C0825" w:rsidR="00292A20" w:rsidRDefault="00142E81">
        <w:pPr>
          <w:pStyle w:val="Header"/>
          <w:jc w:val="center"/>
        </w:pPr>
        <w:r>
          <w:fldChar w:fldCharType="begin"/>
        </w:r>
        <w:r>
          <w:instrText xml:space="preserve"> PAGE   \* MERGEFORMAT </w:instrText>
        </w:r>
        <w:r>
          <w:fldChar w:fldCharType="separate"/>
        </w:r>
        <w:r w:rsidR="00D635D1">
          <w:rPr>
            <w:noProof/>
          </w:rPr>
          <w:t>7</w:t>
        </w:r>
        <w:r>
          <w:rPr>
            <w:noProof/>
          </w:rPr>
          <w:fldChar w:fldCharType="end"/>
        </w:r>
      </w:p>
    </w:sdtContent>
  </w:sdt>
  <w:p w14:paraId="37541140" w14:textId="77777777" w:rsidR="00292A20" w:rsidRDefault="00AF7BB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50F4BE" w14:textId="2BBD8B26" w:rsidR="00292A20" w:rsidRPr="00292A20" w:rsidRDefault="00AF7BB8">
    <w:pPr>
      <w:pStyle w:val="Header"/>
      <w:jc w:val="center"/>
      <w:rPr>
        <w:sz w:val="20"/>
        <w:szCs w:val="20"/>
      </w:rPr>
    </w:pPr>
  </w:p>
  <w:p w14:paraId="75C9DAD6" w14:textId="77777777" w:rsidR="00292A20" w:rsidRDefault="00AF7B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1910CD"/>
    <w:multiLevelType w:val="hybridMultilevel"/>
    <w:tmpl w:val="E2C8A352"/>
    <w:lvl w:ilvl="0" w:tplc="04260011">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C24569C"/>
    <w:multiLevelType w:val="hybridMultilevel"/>
    <w:tmpl w:val="852C6224"/>
    <w:lvl w:ilvl="0" w:tplc="F38031F2">
      <w:start w:val="1"/>
      <w:numFmt w:val="decimal"/>
      <w:lvlText w:val="%1."/>
      <w:lvlJc w:val="left"/>
      <w:pPr>
        <w:ind w:left="417" w:hanging="360"/>
      </w:pPr>
      <w:rPr>
        <w:rFonts w:ascii="Times New Roman" w:hAnsi="Times New Roman" w:cs="Times New Roman" w:hint="default"/>
        <w:sz w:val="24"/>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2" w15:restartNumberingAfterBreak="0">
    <w:nsid w:val="2A2B6281"/>
    <w:multiLevelType w:val="hybridMultilevel"/>
    <w:tmpl w:val="3E62B31C"/>
    <w:lvl w:ilvl="0" w:tplc="4810F074">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756C76E4"/>
    <w:multiLevelType w:val="hybridMultilevel"/>
    <w:tmpl w:val="CA2C9C26"/>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121C"/>
    <w:rsid w:val="00006E67"/>
    <w:rsid w:val="00017D7B"/>
    <w:rsid w:val="000208CF"/>
    <w:rsid w:val="000210AA"/>
    <w:rsid w:val="00032B89"/>
    <w:rsid w:val="00043D38"/>
    <w:rsid w:val="00056A26"/>
    <w:rsid w:val="00065517"/>
    <w:rsid w:val="00090D5A"/>
    <w:rsid w:val="000966A7"/>
    <w:rsid w:val="000A1A29"/>
    <w:rsid w:val="00142E81"/>
    <w:rsid w:val="001952E5"/>
    <w:rsid w:val="001C034F"/>
    <w:rsid w:val="001D27FC"/>
    <w:rsid w:val="001F02A6"/>
    <w:rsid w:val="00202E2D"/>
    <w:rsid w:val="002036CC"/>
    <w:rsid w:val="0020496D"/>
    <w:rsid w:val="0021394B"/>
    <w:rsid w:val="00240337"/>
    <w:rsid w:val="00252720"/>
    <w:rsid w:val="00263D8D"/>
    <w:rsid w:val="00272B79"/>
    <w:rsid w:val="00292EBD"/>
    <w:rsid w:val="002C3C9B"/>
    <w:rsid w:val="002E572F"/>
    <w:rsid w:val="00303AAA"/>
    <w:rsid w:val="00311CB5"/>
    <w:rsid w:val="00323A65"/>
    <w:rsid w:val="00346DBE"/>
    <w:rsid w:val="00353F69"/>
    <w:rsid w:val="00371C1D"/>
    <w:rsid w:val="00380214"/>
    <w:rsid w:val="003814FC"/>
    <w:rsid w:val="003F036C"/>
    <w:rsid w:val="00410DFB"/>
    <w:rsid w:val="00413031"/>
    <w:rsid w:val="00481632"/>
    <w:rsid w:val="00497D5B"/>
    <w:rsid w:val="004D1FFD"/>
    <w:rsid w:val="004F068D"/>
    <w:rsid w:val="004F0CF5"/>
    <w:rsid w:val="0051638A"/>
    <w:rsid w:val="005228C1"/>
    <w:rsid w:val="00523FDA"/>
    <w:rsid w:val="00546E81"/>
    <w:rsid w:val="00594BEF"/>
    <w:rsid w:val="005A6F2E"/>
    <w:rsid w:val="005B0908"/>
    <w:rsid w:val="005D6257"/>
    <w:rsid w:val="005E586B"/>
    <w:rsid w:val="005E5FEA"/>
    <w:rsid w:val="00614817"/>
    <w:rsid w:val="006357C0"/>
    <w:rsid w:val="00667905"/>
    <w:rsid w:val="006B4776"/>
    <w:rsid w:val="006B7D3C"/>
    <w:rsid w:val="006C1202"/>
    <w:rsid w:val="00700E68"/>
    <w:rsid w:val="00705F0D"/>
    <w:rsid w:val="00716729"/>
    <w:rsid w:val="00736309"/>
    <w:rsid w:val="00765744"/>
    <w:rsid w:val="007A144B"/>
    <w:rsid w:val="007A2393"/>
    <w:rsid w:val="007B0E1A"/>
    <w:rsid w:val="0082575F"/>
    <w:rsid w:val="008510F3"/>
    <w:rsid w:val="00851ED7"/>
    <w:rsid w:val="00861612"/>
    <w:rsid w:val="00866DB2"/>
    <w:rsid w:val="0087318F"/>
    <w:rsid w:val="008A1D0D"/>
    <w:rsid w:val="008B7AF8"/>
    <w:rsid w:val="0091793B"/>
    <w:rsid w:val="00971157"/>
    <w:rsid w:val="009A3A19"/>
    <w:rsid w:val="009B5843"/>
    <w:rsid w:val="009B6765"/>
    <w:rsid w:val="00A05CF5"/>
    <w:rsid w:val="00A50FD1"/>
    <w:rsid w:val="00A531B6"/>
    <w:rsid w:val="00A934D3"/>
    <w:rsid w:val="00AB1DB8"/>
    <w:rsid w:val="00AC1D2B"/>
    <w:rsid w:val="00AF121C"/>
    <w:rsid w:val="00AF7BB8"/>
    <w:rsid w:val="00B06391"/>
    <w:rsid w:val="00B30B6A"/>
    <w:rsid w:val="00B43E7D"/>
    <w:rsid w:val="00BA3EE1"/>
    <w:rsid w:val="00BB06BC"/>
    <w:rsid w:val="00BC133B"/>
    <w:rsid w:val="00BD0FE5"/>
    <w:rsid w:val="00BD176E"/>
    <w:rsid w:val="00BD2284"/>
    <w:rsid w:val="00BF5D9D"/>
    <w:rsid w:val="00C04070"/>
    <w:rsid w:val="00C1535B"/>
    <w:rsid w:val="00C577D6"/>
    <w:rsid w:val="00CC3766"/>
    <w:rsid w:val="00D041D6"/>
    <w:rsid w:val="00D078E7"/>
    <w:rsid w:val="00D24490"/>
    <w:rsid w:val="00D452D7"/>
    <w:rsid w:val="00D465E8"/>
    <w:rsid w:val="00D475F5"/>
    <w:rsid w:val="00D635D1"/>
    <w:rsid w:val="00D71D46"/>
    <w:rsid w:val="00D93309"/>
    <w:rsid w:val="00D941A7"/>
    <w:rsid w:val="00DD6B42"/>
    <w:rsid w:val="00DD7197"/>
    <w:rsid w:val="00DE099D"/>
    <w:rsid w:val="00DF1569"/>
    <w:rsid w:val="00DF6957"/>
    <w:rsid w:val="00E071C2"/>
    <w:rsid w:val="00E221DA"/>
    <w:rsid w:val="00E30F89"/>
    <w:rsid w:val="00E4227E"/>
    <w:rsid w:val="00E47ECA"/>
    <w:rsid w:val="00E546E9"/>
    <w:rsid w:val="00E6143B"/>
    <w:rsid w:val="00E61FEF"/>
    <w:rsid w:val="00E75C1F"/>
    <w:rsid w:val="00E851A5"/>
    <w:rsid w:val="00E90103"/>
    <w:rsid w:val="00E91E98"/>
    <w:rsid w:val="00EA1363"/>
    <w:rsid w:val="00EA3C42"/>
    <w:rsid w:val="00EC7E0D"/>
    <w:rsid w:val="00EE5021"/>
    <w:rsid w:val="00F06629"/>
    <w:rsid w:val="00F249CD"/>
    <w:rsid w:val="00F561EB"/>
    <w:rsid w:val="00F574A9"/>
    <w:rsid w:val="00F706EA"/>
    <w:rsid w:val="00F7659E"/>
    <w:rsid w:val="00F803ED"/>
    <w:rsid w:val="00F807AF"/>
    <w:rsid w:val="00F8208B"/>
    <w:rsid w:val="00FA1B63"/>
    <w:rsid w:val="00FA4C17"/>
    <w:rsid w:val="00FD32A8"/>
    <w:rsid w:val="00FE654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A2D9EE"/>
  <w15:chartTrackingRefBased/>
  <w15:docId w15:val="{0C498278-D486-4291-8EDD-5632A5804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1C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121C"/>
    <w:pPr>
      <w:tabs>
        <w:tab w:val="center" w:pos="4153"/>
        <w:tab w:val="right" w:pos="8306"/>
      </w:tabs>
    </w:pPr>
  </w:style>
  <w:style w:type="character" w:customStyle="1" w:styleId="HeaderChar">
    <w:name w:val="Header Char"/>
    <w:basedOn w:val="DefaultParagraphFont"/>
    <w:link w:val="Header"/>
    <w:uiPriority w:val="99"/>
    <w:rsid w:val="00AF121C"/>
  </w:style>
  <w:style w:type="paragraph" w:styleId="Footer">
    <w:name w:val="footer"/>
    <w:basedOn w:val="Normal"/>
    <w:link w:val="FooterChar"/>
    <w:uiPriority w:val="99"/>
    <w:unhideWhenUsed/>
    <w:rsid w:val="00AF121C"/>
    <w:pPr>
      <w:tabs>
        <w:tab w:val="center" w:pos="4153"/>
        <w:tab w:val="right" w:pos="8306"/>
      </w:tabs>
    </w:pPr>
  </w:style>
  <w:style w:type="character" w:customStyle="1" w:styleId="FooterChar">
    <w:name w:val="Footer Char"/>
    <w:basedOn w:val="DefaultParagraphFont"/>
    <w:link w:val="Footer"/>
    <w:uiPriority w:val="99"/>
    <w:rsid w:val="00AF121C"/>
  </w:style>
  <w:style w:type="paragraph" w:styleId="BalloonText">
    <w:name w:val="Balloon Text"/>
    <w:basedOn w:val="Normal"/>
    <w:link w:val="BalloonTextChar"/>
    <w:uiPriority w:val="99"/>
    <w:semiHidden/>
    <w:unhideWhenUsed/>
    <w:rsid w:val="008B7AF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7AF8"/>
    <w:rPr>
      <w:rFonts w:ascii="Segoe UI" w:hAnsi="Segoe UI" w:cs="Segoe UI"/>
      <w:sz w:val="18"/>
      <w:szCs w:val="18"/>
    </w:rPr>
  </w:style>
  <w:style w:type="character" w:styleId="CommentReference">
    <w:name w:val="annotation reference"/>
    <w:basedOn w:val="DefaultParagraphFont"/>
    <w:uiPriority w:val="99"/>
    <w:semiHidden/>
    <w:unhideWhenUsed/>
    <w:rsid w:val="00292EBD"/>
    <w:rPr>
      <w:sz w:val="16"/>
      <w:szCs w:val="16"/>
    </w:rPr>
  </w:style>
  <w:style w:type="paragraph" w:styleId="CommentText">
    <w:name w:val="annotation text"/>
    <w:basedOn w:val="Normal"/>
    <w:link w:val="CommentTextChar"/>
    <w:uiPriority w:val="99"/>
    <w:semiHidden/>
    <w:unhideWhenUsed/>
    <w:rsid w:val="00292EBD"/>
    <w:rPr>
      <w:sz w:val="20"/>
      <w:szCs w:val="20"/>
    </w:rPr>
  </w:style>
  <w:style w:type="character" w:customStyle="1" w:styleId="CommentTextChar">
    <w:name w:val="Comment Text Char"/>
    <w:basedOn w:val="DefaultParagraphFont"/>
    <w:link w:val="CommentText"/>
    <w:uiPriority w:val="99"/>
    <w:semiHidden/>
    <w:rsid w:val="00292EBD"/>
    <w:rPr>
      <w:sz w:val="20"/>
      <w:szCs w:val="20"/>
    </w:rPr>
  </w:style>
  <w:style w:type="paragraph" w:styleId="CommentSubject">
    <w:name w:val="annotation subject"/>
    <w:basedOn w:val="CommentText"/>
    <w:next w:val="CommentText"/>
    <w:link w:val="CommentSubjectChar"/>
    <w:uiPriority w:val="99"/>
    <w:semiHidden/>
    <w:unhideWhenUsed/>
    <w:rsid w:val="00292EBD"/>
    <w:rPr>
      <w:b/>
      <w:bCs/>
    </w:rPr>
  </w:style>
  <w:style w:type="character" w:customStyle="1" w:styleId="CommentSubjectChar">
    <w:name w:val="Comment Subject Char"/>
    <w:basedOn w:val="CommentTextChar"/>
    <w:link w:val="CommentSubject"/>
    <w:uiPriority w:val="99"/>
    <w:semiHidden/>
    <w:rsid w:val="00292EBD"/>
    <w:rPr>
      <w:b/>
      <w:bCs/>
      <w:sz w:val="20"/>
      <w:szCs w:val="20"/>
    </w:rPr>
  </w:style>
  <w:style w:type="paragraph" w:styleId="ListParagraph">
    <w:name w:val="List Paragraph"/>
    <w:basedOn w:val="Normal"/>
    <w:uiPriority w:val="34"/>
    <w:qFormat/>
    <w:rsid w:val="00594BEF"/>
    <w:pPr>
      <w:ind w:left="720"/>
      <w:contextualSpacing/>
    </w:pPr>
  </w:style>
  <w:style w:type="character" w:customStyle="1" w:styleId="sadalasteksts">
    <w:name w:val="sadalasteksts"/>
    <w:basedOn w:val="DefaultParagraphFont"/>
    <w:rsid w:val="009B6765"/>
  </w:style>
  <w:style w:type="paragraph" w:customStyle="1" w:styleId="naiskr">
    <w:name w:val="naiskr"/>
    <w:basedOn w:val="Normal"/>
    <w:rsid w:val="00E6143B"/>
    <w:pPr>
      <w:spacing w:before="100" w:beforeAutospacing="1" w:after="100" w:afterAutospacing="1"/>
    </w:pPr>
    <w:rPr>
      <w:rFonts w:eastAsia="Times New Roman" w:cs="Times New Roman"/>
      <w:szCs w:val="24"/>
      <w:lang w:eastAsia="lv-LV"/>
    </w:rPr>
  </w:style>
  <w:style w:type="character" w:styleId="Emphasis">
    <w:name w:val="Emphasis"/>
    <w:basedOn w:val="DefaultParagraphFont"/>
    <w:uiPriority w:val="20"/>
    <w:qFormat/>
    <w:rsid w:val="005E5FEA"/>
    <w:rPr>
      <w:i/>
      <w:iCs/>
    </w:rPr>
  </w:style>
  <w:style w:type="paragraph" w:styleId="BodyTextIndent3">
    <w:name w:val="Body Text Indent 3"/>
    <w:basedOn w:val="Normal"/>
    <w:link w:val="BodyTextIndent3Char"/>
    <w:uiPriority w:val="99"/>
    <w:semiHidden/>
    <w:unhideWhenUsed/>
    <w:rsid w:val="005E5FEA"/>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5E5FEA"/>
    <w:rPr>
      <w:sz w:val="16"/>
      <w:szCs w:val="16"/>
    </w:rPr>
  </w:style>
  <w:style w:type="character" w:styleId="Hyperlink">
    <w:name w:val="Hyperlink"/>
    <w:basedOn w:val="DefaultParagraphFont"/>
    <w:uiPriority w:val="99"/>
    <w:unhideWhenUsed/>
    <w:rsid w:val="00380214"/>
    <w:rPr>
      <w:color w:val="0563C1" w:themeColor="hyperlink"/>
      <w:u w:val="single"/>
    </w:rPr>
  </w:style>
  <w:style w:type="paragraph" w:styleId="FootnoteText">
    <w:name w:val="footnote text"/>
    <w:basedOn w:val="Normal"/>
    <w:link w:val="FootnoteTextChar"/>
    <w:uiPriority w:val="99"/>
    <w:semiHidden/>
    <w:unhideWhenUsed/>
    <w:rsid w:val="00380214"/>
    <w:rPr>
      <w:sz w:val="20"/>
      <w:szCs w:val="20"/>
    </w:rPr>
  </w:style>
  <w:style w:type="character" w:customStyle="1" w:styleId="FootnoteTextChar">
    <w:name w:val="Footnote Text Char"/>
    <w:basedOn w:val="DefaultParagraphFont"/>
    <w:link w:val="FootnoteText"/>
    <w:uiPriority w:val="99"/>
    <w:semiHidden/>
    <w:rsid w:val="00380214"/>
    <w:rPr>
      <w:sz w:val="20"/>
      <w:szCs w:val="20"/>
    </w:rPr>
  </w:style>
  <w:style w:type="character" w:styleId="FootnoteReference">
    <w:name w:val="footnote reference"/>
    <w:basedOn w:val="DefaultParagraphFont"/>
    <w:uiPriority w:val="99"/>
    <w:semiHidden/>
    <w:unhideWhenUsed/>
    <w:rsid w:val="00380214"/>
    <w:rPr>
      <w:vertAlign w:val="superscript"/>
    </w:rPr>
  </w:style>
  <w:style w:type="character" w:styleId="FollowedHyperlink">
    <w:name w:val="FollowedHyperlink"/>
    <w:basedOn w:val="DefaultParagraphFont"/>
    <w:uiPriority w:val="99"/>
    <w:semiHidden/>
    <w:unhideWhenUsed/>
    <w:rsid w:val="00D475F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5714537">
      <w:bodyDiv w:val="1"/>
      <w:marLeft w:val="0"/>
      <w:marRight w:val="0"/>
      <w:marTop w:val="0"/>
      <w:marBottom w:val="0"/>
      <w:divBdr>
        <w:top w:val="none" w:sz="0" w:space="0" w:color="auto"/>
        <w:left w:val="none" w:sz="0" w:space="0" w:color="auto"/>
        <w:bottom w:val="none" w:sz="0" w:space="0" w:color="auto"/>
        <w:right w:val="none" w:sz="0" w:space="0" w:color="auto"/>
      </w:divBdr>
    </w:div>
    <w:div w:id="666057494">
      <w:bodyDiv w:val="1"/>
      <w:marLeft w:val="0"/>
      <w:marRight w:val="0"/>
      <w:marTop w:val="0"/>
      <w:marBottom w:val="0"/>
      <w:divBdr>
        <w:top w:val="none" w:sz="0" w:space="0" w:color="auto"/>
        <w:left w:val="none" w:sz="0" w:space="0" w:color="auto"/>
        <w:bottom w:val="none" w:sz="0" w:space="0" w:color="auto"/>
        <w:right w:val="none" w:sz="0" w:space="0" w:color="auto"/>
      </w:divBdr>
    </w:div>
    <w:div w:id="2005159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nita.Kranevska@f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15AE2E-CEB2-4C54-87A0-770B8E8BED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7</Pages>
  <Words>6992</Words>
  <Characters>3987</Characters>
  <Application>Microsoft Office Word</Application>
  <DocSecurity>0</DocSecurity>
  <Lines>33</Lines>
  <Paragraphs>21</Paragraphs>
  <ScaleCrop>false</ScaleCrop>
  <HeadingPairs>
    <vt:vector size="2" baseType="variant">
      <vt:variant>
        <vt:lpstr>Title</vt:lpstr>
      </vt:variant>
      <vt:variant>
        <vt:i4>1</vt:i4>
      </vt:variant>
    </vt:vector>
  </HeadingPairs>
  <TitlesOfParts>
    <vt:vector size="1" baseType="lpstr">
      <vt:lpstr>MK noteikumu projekta "Grozījumi Ministru kabineta 2017.gada 3.janvāra noteikumos Nr.18 "Noteikumi par reģistrāciju un identifikāciju muitas jomā" anotācija</vt:lpstr>
    </vt:vector>
  </TitlesOfParts>
  <Company>Finanšu ministrija</Company>
  <LinksUpToDate>false</LinksUpToDate>
  <CharactersWithSpaces>10958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noteikumu projekta "Grozījumi Ministru kabineta 2017.gada 3.janvāra noteikumos Nr.18 "Noteikumi par reģistrāciju un identifikāciju muitas jomā" anotācija</dc:title>
  <dc:subject>Noteikumu projekta anotācija</dc:subject>
  <dc:creator>Sanita Kraņevska</dc:creator>
  <cp:keywords/>
  <dc:description>67095527, sanita.kranevska@fm.gov.lv</dc:description>
  <cp:lastModifiedBy>Sanita Kraņevska</cp:lastModifiedBy>
  <cp:revision>8</cp:revision>
  <cp:lastPrinted>2018-08-17T08:23:00Z</cp:lastPrinted>
  <dcterms:created xsi:type="dcterms:W3CDTF">2018-09-18T08:27:00Z</dcterms:created>
  <dcterms:modified xsi:type="dcterms:W3CDTF">2018-10-02T07:33:00Z</dcterms:modified>
</cp:coreProperties>
</file>