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E4" w:rsidRPr="00067988" w:rsidRDefault="003474E4" w:rsidP="003209D5">
      <w:pPr>
        <w:tabs>
          <w:tab w:val="left" w:pos="6840"/>
          <w:tab w:val="left" w:pos="7740"/>
        </w:tabs>
        <w:spacing w:after="0" w:line="240" w:lineRule="auto"/>
        <w:jc w:val="right"/>
        <w:rPr>
          <w:rFonts w:ascii="Times New Roman" w:hAnsi="Times New Roman" w:cs="Times New Roman"/>
          <w:sz w:val="26"/>
          <w:szCs w:val="26"/>
        </w:rPr>
      </w:pPr>
      <w:r w:rsidRPr="00067988">
        <w:rPr>
          <w:rFonts w:ascii="Times New Roman" w:hAnsi="Times New Roman" w:cs="Times New Roman"/>
          <w:sz w:val="26"/>
          <w:szCs w:val="26"/>
        </w:rPr>
        <w:t>Likumprojekts</w:t>
      </w:r>
    </w:p>
    <w:p w:rsidR="003474E4" w:rsidRPr="00067988" w:rsidRDefault="003474E4" w:rsidP="003209D5">
      <w:pPr>
        <w:tabs>
          <w:tab w:val="left" w:pos="6840"/>
          <w:tab w:val="left" w:pos="7740"/>
        </w:tabs>
        <w:spacing w:after="0" w:line="240" w:lineRule="auto"/>
        <w:jc w:val="right"/>
        <w:rPr>
          <w:rFonts w:ascii="Times New Roman" w:hAnsi="Times New Roman" w:cs="Times New Roman"/>
          <w:b/>
          <w:sz w:val="26"/>
          <w:szCs w:val="26"/>
        </w:rPr>
      </w:pPr>
    </w:p>
    <w:p w:rsidR="003474E4" w:rsidRPr="00067988" w:rsidRDefault="003474E4" w:rsidP="003209D5">
      <w:pPr>
        <w:spacing w:after="0" w:line="240" w:lineRule="auto"/>
        <w:ind w:firstLine="851"/>
        <w:jc w:val="right"/>
        <w:rPr>
          <w:rFonts w:ascii="Times New Roman" w:hAnsi="Times New Roman" w:cs="Times New Roman"/>
          <w:sz w:val="26"/>
          <w:szCs w:val="26"/>
        </w:rPr>
      </w:pPr>
    </w:p>
    <w:p w:rsidR="003474E4" w:rsidRPr="00067988" w:rsidRDefault="00D9148F" w:rsidP="003209D5">
      <w:pPr>
        <w:spacing w:after="0" w:line="240" w:lineRule="auto"/>
        <w:ind w:firstLine="851"/>
        <w:jc w:val="center"/>
        <w:rPr>
          <w:rFonts w:ascii="Times New Roman" w:hAnsi="Times New Roman" w:cs="Times New Roman"/>
          <w:b/>
          <w:sz w:val="26"/>
          <w:szCs w:val="26"/>
        </w:rPr>
      </w:pPr>
      <w:r w:rsidRPr="00067988">
        <w:rPr>
          <w:rFonts w:ascii="Times New Roman" w:hAnsi="Times New Roman" w:cs="Times New Roman"/>
          <w:b/>
          <w:sz w:val="26"/>
          <w:szCs w:val="26"/>
        </w:rPr>
        <w:t>Grozījumi Finanšu instrumentu tirgus likumā</w:t>
      </w:r>
    </w:p>
    <w:p w:rsidR="00D9148F" w:rsidRPr="00067988" w:rsidRDefault="00D9148F" w:rsidP="003209D5">
      <w:pPr>
        <w:spacing w:after="0" w:line="240" w:lineRule="auto"/>
        <w:rPr>
          <w:rFonts w:ascii="Times New Roman" w:hAnsi="Times New Roman" w:cs="Times New Roman"/>
          <w:color w:val="000000" w:themeColor="text1"/>
          <w:sz w:val="26"/>
          <w:szCs w:val="26"/>
        </w:rPr>
      </w:pPr>
    </w:p>
    <w:p w:rsidR="00D9148F" w:rsidRPr="00067988" w:rsidRDefault="00D9148F" w:rsidP="003209D5">
      <w:pPr>
        <w:spacing w:after="0" w:line="240" w:lineRule="auto"/>
        <w:rPr>
          <w:rFonts w:ascii="Times New Roman" w:hAnsi="Times New Roman" w:cs="Times New Roman"/>
          <w:color w:val="000000" w:themeColor="text1"/>
          <w:sz w:val="26"/>
          <w:szCs w:val="26"/>
        </w:rPr>
      </w:pPr>
    </w:p>
    <w:p w:rsidR="00D40AD5" w:rsidRPr="00067988" w:rsidRDefault="00D9148F" w:rsidP="00E13FD1">
      <w:pPr>
        <w:spacing w:after="0" w:line="240" w:lineRule="auto"/>
        <w:ind w:firstLine="851"/>
        <w:jc w:val="both"/>
        <w:rPr>
          <w:rFonts w:ascii="Times New Roman" w:hAnsi="Times New Roman" w:cs="Times New Roman"/>
          <w:color w:val="000000" w:themeColor="text1"/>
          <w:sz w:val="26"/>
          <w:szCs w:val="26"/>
        </w:rPr>
      </w:pPr>
      <w:r w:rsidRPr="00067988">
        <w:rPr>
          <w:rFonts w:ascii="Times New Roman" w:hAnsi="Times New Roman" w:cs="Times New Roman"/>
          <w:color w:val="000000" w:themeColor="text1"/>
          <w:sz w:val="26"/>
          <w:szCs w:val="26"/>
        </w:rPr>
        <w:t>Izdarīt Finanšu instrumentu tirgus likumā (Latvijas Republikas Saeimas un Ministru Kabineta Ziņotājs, 2004, 2. nr.; 2005, 10., 14. nr.; 2006, 14. nr.; 2007, 10., 22. nr.; 2008, 13., 14., 23. nr.; 2009, 7., 22. nr.; Latvijas Vēstnesis, 2011, 16. nr.; 2012, 56., 100., 186. nr.; 2013, 142., 193. nr.; 2014, 92. nr.; 2015, 124., 222. nr.; 2016, 31.,</w:t>
      </w:r>
      <w:r w:rsidR="0004721A">
        <w:rPr>
          <w:rFonts w:ascii="Times New Roman" w:hAnsi="Times New Roman" w:cs="Times New Roman"/>
          <w:color w:val="000000" w:themeColor="text1"/>
          <w:sz w:val="26"/>
          <w:szCs w:val="26"/>
        </w:rPr>
        <w:t xml:space="preserve"> 115., 254. nr.; 2017, 196.,</w:t>
      </w:r>
      <w:r w:rsidRPr="00067988">
        <w:rPr>
          <w:rFonts w:ascii="Times New Roman" w:hAnsi="Times New Roman" w:cs="Times New Roman"/>
          <w:color w:val="000000" w:themeColor="text1"/>
          <w:sz w:val="26"/>
          <w:szCs w:val="26"/>
        </w:rPr>
        <w:t xml:space="preserve"> 222. nr.</w:t>
      </w:r>
      <w:r w:rsidR="0004721A">
        <w:rPr>
          <w:rFonts w:ascii="Times New Roman" w:hAnsi="Times New Roman" w:cs="Times New Roman"/>
          <w:color w:val="000000" w:themeColor="text1"/>
          <w:sz w:val="26"/>
          <w:szCs w:val="26"/>
        </w:rPr>
        <w:t>; 2018, 132. nr.</w:t>
      </w:r>
      <w:r w:rsidRPr="00067988">
        <w:rPr>
          <w:rFonts w:ascii="Times New Roman" w:hAnsi="Times New Roman" w:cs="Times New Roman"/>
          <w:color w:val="000000" w:themeColor="text1"/>
          <w:sz w:val="26"/>
          <w:szCs w:val="26"/>
        </w:rPr>
        <w:t>) šādus grozījumus:</w:t>
      </w:r>
    </w:p>
    <w:p w:rsidR="00E13FD1" w:rsidRPr="00067988" w:rsidRDefault="00D40AD5" w:rsidP="00DA12E5">
      <w:pPr>
        <w:spacing w:after="0" w:line="240" w:lineRule="auto"/>
        <w:ind w:firstLine="851"/>
        <w:jc w:val="both"/>
        <w:rPr>
          <w:rFonts w:ascii="Times New Roman" w:hAnsi="Times New Roman" w:cs="Times New Roman"/>
          <w:color w:val="000000" w:themeColor="text1"/>
          <w:sz w:val="26"/>
          <w:szCs w:val="26"/>
        </w:rPr>
      </w:pPr>
      <w:r w:rsidRPr="00067988">
        <w:rPr>
          <w:rFonts w:ascii="Times New Roman" w:hAnsi="Times New Roman" w:cs="Times New Roman"/>
          <w:color w:val="000000" w:themeColor="text1"/>
          <w:sz w:val="26"/>
          <w:szCs w:val="26"/>
        </w:rPr>
        <w:t>1.</w:t>
      </w:r>
      <w:r w:rsidR="00E13FD1" w:rsidRPr="00067988">
        <w:rPr>
          <w:rFonts w:ascii="Times New Roman" w:hAnsi="Times New Roman" w:cs="Times New Roman"/>
          <w:color w:val="000000" w:themeColor="text1"/>
          <w:sz w:val="26"/>
          <w:szCs w:val="26"/>
        </w:rPr>
        <w:t xml:space="preserve"> 154.pantā:</w:t>
      </w:r>
    </w:p>
    <w:p w:rsidR="00E13FD1" w:rsidRPr="00067988" w:rsidRDefault="00E13FD1" w:rsidP="00245F8E">
      <w:pPr>
        <w:spacing w:after="0" w:line="240" w:lineRule="auto"/>
        <w:jc w:val="both"/>
        <w:rPr>
          <w:rFonts w:ascii="Times New Roman" w:hAnsi="Times New Roman" w:cs="Times New Roman"/>
          <w:color w:val="000000" w:themeColor="text1"/>
          <w:sz w:val="26"/>
          <w:szCs w:val="26"/>
        </w:rPr>
      </w:pPr>
    </w:p>
    <w:p w:rsidR="00DA12E5" w:rsidRPr="00067988" w:rsidRDefault="00E13FD1" w:rsidP="00245F8E">
      <w:pPr>
        <w:spacing w:after="0" w:line="240" w:lineRule="auto"/>
        <w:jc w:val="both"/>
        <w:rPr>
          <w:rFonts w:ascii="Times New Roman" w:hAnsi="Times New Roman" w:cs="Times New Roman"/>
          <w:color w:val="000000" w:themeColor="text1"/>
          <w:sz w:val="26"/>
          <w:szCs w:val="26"/>
        </w:rPr>
      </w:pPr>
      <w:r w:rsidRPr="00067988">
        <w:rPr>
          <w:rFonts w:ascii="Times New Roman" w:hAnsi="Times New Roman" w:cs="Times New Roman"/>
          <w:color w:val="000000" w:themeColor="text1"/>
          <w:sz w:val="26"/>
          <w:szCs w:val="26"/>
        </w:rPr>
        <w:t>p</w:t>
      </w:r>
      <w:r w:rsidR="00D40AD5" w:rsidRPr="00067988">
        <w:rPr>
          <w:rFonts w:ascii="Times New Roman" w:hAnsi="Times New Roman" w:cs="Times New Roman"/>
          <w:color w:val="000000" w:themeColor="text1"/>
          <w:sz w:val="26"/>
          <w:szCs w:val="26"/>
        </w:rPr>
        <w:t>apildināt pirmās daļas 2</w:t>
      </w:r>
      <w:r w:rsidR="009F2412" w:rsidRPr="00067988">
        <w:rPr>
          <w:rFonts w:ascii="Times New Roman" w:hAnsi="Times New Roman" w:cs="Times New Roman"/>
          <w:color w:val="000000" w:themeColor="text1"/>
          <w:sz w:val="26"/>
          <w:szCs w:val="26"/>
        </w:rPr>
        <w:t>.</w:t>
      </w:r>
      <w:r w:rsidR="00E0056A" w:rsidRPr="00067988">
        <w:rPr>
          <w:rFonts w:ascii="Times New Roman" w:hAnsi="Times New Roman" w:cs="Times New Roman"/>
          <w:color w:val="000000" w:themeColor="text1"/>
          <w:sz w:val="26"/>
          <w:szCs w:val="26"/>
        </w:rPr>
        <w:t> </w:t>
      </w:r>
      <w:r w:rsidR="00D40AD5" w:rsidRPr="00067988">
        <w:rPr>
          <w:rFonts w:ascii="Times New Roman" w:hAnsi="Times New Roman" w:cs="Times New Roman"/>
          <w:color w:val="000000" w:themeColor="text1"/>
          <w:sz w:val="26"/>
          <w:szCs w:val="26"/>
        </w:rPr>
        <w:t>apakšpunkt</w:t>
      </w:r>
      <w:r w:rsidR="00651808">
        <w:rPr>
          <w:rFonts w:ascii="Times New Roman" w:hAnsi="Times New Roman" w:cs="Times New Roman"/>
          <w:color w:val="000000" w:themeColor="text1"/>
          <w:sz w:val="26"/>
          <w:szCs w:val="26"/>
        </w:rPr>
        <w:t>u</w:t>
      </w:r>
      <w:r w:rsidR="00D40AD5" w:rsidRPr="00067988">
        <w:rPr>
          <w:rFonts w:ascii="Times New Roman" w:hAnsi="Times New Roman" w:cs="Times New Roman"/>
          <w:color w:val="000000" w:themeColor="text1"/>
          <w:sz w:val="26"/>
          <w:szCs w:val="26"/>
        </w:rPr>
        <w:t xml:space="preserve"> </w:t>
      </w:r>
      <w:r w:rsidR="008D0B96">
        <w:rPr>
          <w:rFonts w:ascii="Times New Roman" w:hAnsi="Times New Roman" w:cs="Times New Roman"/>
          <w:color w:val="000000" w:themeColor="text1"/>
          <w:sz w:val="26"/>
          <w:szCs w:val="26"/>
        </w:rPr>
        <w:t>pēc</w:t>
      </w:r>
      <w:r w:rsidR="00D40AD5" w:rsidRPr="00067988">
        <w:rPr>
          <w:rFonts w:ascii="Times New Roman" w:hAnsi="Times New Roman" w:cs="Times New Roman"/>
          <w:color w:val="000000" w:themeColor="text1"/>
          <w:sz w:val="26"/>
          <w:szCs w:val="26"/>
        </w:rPr>
        <w:t xml:space="preserve"> vārd</w:t>
      </w:r>
      <w:r w:rsidR="00651808">
        <w:rPr>
          <w:rFonts w:ascii="Times New Roman" w:hAnsi="Times New Roman" w:cs="Times New Roman"/>
          <w:color w:val="000000" w:themeColor="text1"/>
          <w:sz w:val="26"/>
          <w:szCs w:val="26"/>
        </w:rPr>
        <w:t>a</w:t>
      </w:r>
      <w:r w:rsidR="00D40AD5" w:rsidRPr="00067988">
        <w:rPr>
          <w:rFonts w:ascii="Times New Roman" w:hAnsi="Times New Roman" w:cs="Times New Roman"/>
          <w:color w:val="000000" w:themeColor="text1"/>
          <w:sz w:val="26"/>
          <w:szCs w:val="26"/>
        </w:rPr>
        <w:t xml:space="preserve"> “summas” ar vārdiem</w:t>
      </w:r>
      <w:r w:rsidR="00BA0D28" w:rsidRPr="00067988">
        <w:rPr>
          <w:rFonts w:ascii="Times New Roman" w:hAnsi="Times New Roman" w:cs="Times New Roman"/>
          <w:color w:val="000000" w:themeColor="text1"/>
          <w:sz w:val="26"/>
          <w:szCs w:val="26"/>
        </w:rPr>
        <w:t xml:space="preserve"> “</w:t>
      </w:r>
      <w:r w:rsidR="00D40AD5" w:rsidRPr="00067988">
        <w:rPr>
          <w:rFonts w:ascii="Times New Roman" w:hAnsi="Times New Roman" w:cs="Times New Roman"/>
          <w:color w:val="000000" w:themeColor="text1"/>
          <w:sz w:val="26"/>
          <w:szCs w:val="26"/>
        </w:rPr>
        <w:t>izņemot tos ieguldījumus, kas veikti, izmantojot ieguldījumu brokeru sabiedrības filiāli, kas atrodas ārpus Eiropas Savienības.”</w:t>
      </w:r>
      <w:r w:rsidRPr="00067988">
        <w:rPr>
          <w:rFonts w:ascii="Times New Roman" w:hAnsi="Times New Roman" w:cs="Times New Roman"/>
          <w:color w:val="000000" w:themeColor="text1"/>
          <w:sz w:val="26"/>
          <w:szCs w:val="26"/>
        </w:rPr>
        <w:t>;</w:t>
      </w:r>
    </w:p>
    <w:p w:rsidR="00DA12E5" w:rsidRPr="00067988" w:rsidRDefault="00DA12E5" w:rsidP="00DA12E5">
      <w:pPr>
        <w:spacing w:after="0" w:line="240" w:lineRule="auto"/>
        <w:jc w:val="both"/>
        <w:rPr>
          <w:rFonts w:ascii="Times New Roman" w:hAnsi="Times New Roman" w:cs="Times New Roman"/>
          <w:color w:val="000000" w:themeColor="text1"/>
          <w:sz w:val="26"/>
          <w:szCs w:val="26"/>
        </w:rPr>
      </w:pPr>
    </w:p>
    <w:p w:rsidR="00DA12E5" w:rsidRPr="00067988" w:rsidRDefault="00DA12E5" w:rsidP="00DA12E5">
      <w:pPr>
        <w:spacing w:after="0" w:line="240" w:lineRule="auto"/>
        <w:jc w:val="both"/>
        <w:rPr>
          <w:rFonts w:ascii="Times New Roman" w:hAnsi="Times New Roman" w:cs="Times New Roman"/>
          <w:color w:val="000000" w:themeColor="text1"/>
          <w:sz w:val="26"/>
          <w:szCs w:val="26"/>
        </w:rPr>
      </w:pPr>
      <w:r w:rsidRPr="00067988">
        <w:rPr>
          <w:rFonts w:ascii="Times New Roman" w:hAnsi="Times New Roman" w:cs="Times New Roman"/>
          <w:color w:val="000000" w:themeColor="text1"/>
          <w:sz w:val="26"/>
          <w:szCs w:val="26"/>
        </w:rPr>
        <w:t>izteikt trešo daļu šādā redakcijā:</w:t>
      </w:r>
    </w:p>
    <w:p w:rsidR="007F1615" w:rsidRPr="00067988" w:rsidRDefault="00E0056A" w:rsidP="00DA12E5">
      <w:pPr>
        <w:spacing w:after="0" w:line="240" w:lineRule="auto"/>
        <w:ind w:firstLine="851"/>
        <w:jc w:val="both"/>
        <w:rPr>
          <w:rFonts w:ascii="Times New Roman" w:hAnsi="Times New Roman" w:cs="Times New Roman"/>
          <w:color w:val="000000" w:themeColor="text1"/>
          <w:sz w:val="26"/>
          <w:szCs w:val="26"/>
        </w:rPr>
      </w:pPr>
      <w:r w:rsidRPr="00067988">
        <w:rPr>
          <w:rFonts w:ascii="Times New Roman" w:hAnsi="Times New Roman" w:cs="Times New Roman"/>
          <w:color w:val="000000" w:themeColor="text1"/>
          <w:sz w:val="26"/>
          <w:szCs w:val="26"/>
        </w:rPr>
        <w:t>“(3) </w:t>
      </w:r>
      <w:r w:rsidR="00DA12E5" w:rsidRPr="00067988">
        <w:rPr>
          <w:rFonts w:ascii="Times New Roman" w:hAnsi="Times New Roman" w:cs="Times New Roman"/>
          <w:color w:val="000000" w:themeColor="text1"/>
          <w:sz w:val="26"/>
          <w:szCs w:val="26"/>
        </w:rPr>
        <w:t>Pēc tam, kad pilnībā segtas šā panta pirmajā daļā minētās izmaksas un kreditoru prasījumi, pārējie nenodrošināto kreditoru prasījumi tiek segti </w:t>
      </w:r>
      <w:hyperlink r:id="rId7" w:history="1">
        <w:r w:rsidR="00DA12E5" w:rsidRPr="00067988">
          <w:rPr>
            <w:rFonts w:ascii="Times New Roman" w:hAnsi="Times New Roman" w:cs="Times New Roman"/>
            <w:color w:val="000000" w:themeColor="text1"/>
            <w:sz w:val="26"/>
            <w:szCs w:val="26"/>
          </w:rPr>
          <w:t>Maksātnespējas likumā</w:t>
        </w:r>
      </w:hyperlink>
      <w:r w:rsidR="00DA12E5" w:rsidRPr="00067988">
        <w:rPr>
          <w:rFonts w:ascii="Times New Roman" w:hAnsi="Times New Roman" w:cs="Times New Roman"/>
          <w:color w:val="000000" w:themeColor="text1"/>
          <w:sz w:val="26"/>
          <w:szCs w:val="26"/>
        </w:rPr>
        <w:t xml:space="preserve"> noteiktajā kreditoru prasījumu segšanas kārtībā, tai skaitā prasījumi, kas izriet no emitēta parādu vērstpapīra, kura dzēšanas termiņš saskaņā ar </w:t>
      </w:r>
      <w:r w:rsidR="00DB3A69">
        <w:rPr>
          <w:rFonts w:ascii="Times New Roman" w:hAnsi="Times New Roman" w:cs="Times New Roman"/>
          <w:color w:val="000000" w:themeColor="text1"/>
          <w:sz w:val="26"/>
          <w:szCs w:val="26"/>
        </w:rPr>
        <w:t xml:space="preserve">sākotnējo </w:t>
      </w:r>
      <w:r w:rsidR="00DA12E5" w:rsidRPr="00067988">
        <w:rPr>
          <w:rFonts w:ascii="Times New Roman" w:hAnsi="Times New Roman" w:cs="Times New Roman"/>
          <w:color w:val="000000" w:themeColor="text1"/>
          <w:sz w:val="26"/>
          <w:szCs w:val="26"/>
        </w:rPr>
        <w:t>līgumu ir vismaz viens gads, kas neietver tiesības uz nākotnē iegūstamiem atvasinātiem finanšu instrumentiem un nav uzskatāms par atvasinātu finanšu instrumentu un attiecībā uz kuru prospektā vai līgumā ir noteikta zemāka prioritāte kā š</w:t>
      </w:r>
      <w:r w:rsidR="00952953" w:rsidRPr="00067988">
        <w:rPr>
          <w:rFonts w:ascii="Times New Roman" w:hAnsi="Times New Roman" w:cs="Times New Roman"/>
          <w:color w:val="000000" w:themeColor="text1"/>
          <w:sz w:val="26"/>
          <w:szCs w:val="26"/>
        </w:rPr>
        <w:t>ā</w:t>
      </w:r>
      <w:r w:rsidR="00DA12E5" w:rsidRPr="00067988">
        <w:rPr>
          <w:rFonts w:ascii="Times New Roman" w:hAnsi="Times New Roman" w:cs="Times New Roman"/>
          <w:color w:val="000000" w:themeColor="text1"/>
          <w:sz w:val="26"/>
          <w:szCs w:val="26"/>
        </w:rPr>
        <w:t xml:space="preserve"> panta pirmajā daļā noteiktajiem kreditoru prasījumiem. Emitētus parāda vērtspapīrus ar mainīgu procentu likmi, kas izriet no vispāratzīti lietotas bāzes procentu likmes un emitētus parāda vērtspapīrus, kas nav izteikti emitenta vietējā valūtā, ar nosacījumu, ka pamatsumma, atmaksa un procentu likme ir izteikta vienā un tajā pašā valūtā, neuzskata par tādiem emitētiem parāda vērstpapīriem, kas ietver tiesības uz nākotnē iegūstamiem atvasinātiem finanšu instrumentiem tikai minēto pazīmju dēļ</w:t>
      </w:r>
      <w:r w:rsidR="00E13FD1" w:rsidRPr="00067988">
        <w:rPr>
          <w:rFonts w:ascii="Times New Roman" w:hAnsi="Times New Roman" w:cs="Times New Roman"/>
          <w:color w:val="000000" w:themeColor="text1"/>
          <w:sz w:val="26"/>
          <w:szCs w:val="26"/>
        </w:rPr>
        <w:t>.</w:t>
      </w:r>
      <w:r w:rsidR="00DA12E5" w:rsidRPr="00067988">
        <w:rPr>
          <w:rFonts w:ascii="Times New Roman" w:hAnsi="Times New Roman" w:cs="Times New Roman"/>
          <w:color w:val="000000" w:themeColor="text1"/>
          <w:sz w:val="26"/>
          <w:szCs w:val="26"/>
        </w:rPr>
        <w:t>”</w:t>
      </w:r>
      <w:r w:rsidR="00E13FD1" w:rsidRPr="00067988">
        <w:rPr>
          <w:rFonts w:ascii="Times New Roman" w:hAnsi="Times New Roman" w:cs="Times New Roman"/>
          <w:color w:val="000000" w:themeColor="text1"/>
          <w:sz w:val="26"/>
          <w:szCs w:val="26"/>
        </w:rPr>
        <w:t>;</w:t>
      </w:r>
    </w:p>
    <w:p w:rsidR="00DA12E5" w:rsidRPr="00067988" w:rsidRDefault="00DA12E5" w:rsidP="00DA12E5">
      <w:pPr>
        <w:spacing w:after="0" w:line="240" w:lineRule="auto"/>
        <w:jc w:val="both"/>
        <w:rPr>
          <w:rFonts w:ascii="Times New Roman" w:hAnsi="Times New Roman" w:cs="Times New Roman"/>
          <w:color w:val="000000" w:themeColor="text1"/>
          <w:sz w:val="26"/>
          <w:szCs w:val="26"/>
        </w:rPr>
      </w:pPr>
    </w:p>
    <w:p w:rsidR="00DA12E5" w:rsidRPr="00067988" w:rsidRDefault="00DA12E5" w:rsidP="00DA12E5">
      <w:pPr>
        <w:pStyle w:val="labojumupamats"/>
        <w:shd w:val="clear" w:color="auto" w:fill="FFFFFF"/>
        <w:spacing w:before="0" w:beforeAutospacing="0" w:after="0" w:afterAutospacing="0"/>
        <w:jc w:val="both"/>
        <w:rPr>
          <w:rFonts w:eastAsiaTheme="minorHAnsi"/>
          <w:color w:val="000000" w:themeColor="text1"/>
          <w:sz w:val="26"/>
          <w:szCs w:val="26"/>
          <w:lang w:eastAsia="en-US"/>
        </w:rPr>
      </w:pPr>
      <w:r w:rsidRPr="00067988">
        <w:rPr>
          <w:rFonts w:eastAsiaTheme="minorHAnsi"/>
          <w:color w:val="000000" w:themeColor="text1"/>
          <w:sz w:val="26"/>
          <w:szCs w:val="26"/>
          <w:lang w:eastAsia="en-US"/>
        </w:rPr>
        <w:t>papildināt ar ceturto daļu šādā redakcijā:</w:t>
      </w:r>
    </w:p>
    <w:p w:rsidR="00DA12E5" w:rsidRPr="00067988" w:rsidRDefault="00DA12E5" w:rsidP="0071015C">
      <w:pPr>
        <w:spacing w:after="0" w:line="240" w:lineRule="auto"/>
        <w:ind w:firstLine="851"/>
        <w:jc w:val="both"/>
        <w:rPr>
          <w:rFonts w:ascii="Times New Roman" w:hAnsi="Times New Roman" w:cs="Times New Roman"/>
          <w:color w:val="000000" w:themeColor="text1"/>
          <w:sz w:val="26"/>
          <w:szCs w:val="26"/>
        </w:rPr>
      </w:pPr>
      <w:r w:rsidRPr="00067988">
        <w:rPr>
          <w:rFonts w:ascii="Times New Roman" w:hAnsi="Times New Roman" w:cs="Times New Roman"/>
          <w:color w:val="000000" w:themeColor="text1"/>
          <w:sz w:val="26"/>
          <w:szCs w:val="26"/>
        </w:rPr>
        <w:t>“(</w:t>
      </w:r>
      <w:r w:rsidR="00E0056A" w:rsidRPr="00067988">
        <w:rPr>
          <w:rFonts w:ascii="Times New Roman" w:hAnsi="Times New Roman" w:cs="Times New Roman"/>
          <w:color w:val="000000" w:themeColor="text1"/>
          <w:sz w:val="26"/>
          <w:szCs w:val="26"/>
        </w:rPr>
        <w:t>4) </w:t>
      </w:r>
      <w:r w:rsidRPr="00067988">
        <w:rPr>
          <w:rFonts w:ascii="Times New Roman" w:hAnsi="Times New Roman" w:cs="Times New Roman"/>
          <w:color w:val="000000" w:themeColor="text1"/>
          <w:sz w:val="26"/>
          <w:szCs w:val="26"/>
        </w:rPr>
        <w:t>Kreditoru prasījumi par līdzekļiem, kurus kreditori aizdevuši ieguldījumu brokeru sabiedrībai uz noteiktu laiku ar nosacījumu, ka pirms termiņa tos var pieprasīt vienīgi ieguldījumu brokeru sabiedrības likvidācijas gadījumā, tiek segti pēc šā panta trešajā daļā noteikto prasījumu segšanas.”.</w:t>
      </w:r>
    </w:p>
    <w:p w:rsidR="00C23FF4" w:rsidRPr="00067988" w:rsidRDefault="00C23FF4" w:rsidP="003209D5">
      <w:pPr>
        <w:pStyle w:val="labojumupamats"/>
        <w:shd w:val="clear" w:color="auto" w:fill="FFFFFF"/>
        <w:spacing w:before="0" w:beforeAutospacing="0" w:after="0" w:afterAutospacing="0"/>
        <w:jc w:val="both"/>
        <w:rPr>
          <w:rFonts w:eastAsiaTheme="minorHAnsi"/>
          <w:color w:val="000000" w:themeColor="text1"/>
          <w:sz w:val="26"/>
          <w:szCs w:val="26"/>
          <w:lang w:eastAsia="en-US"/>
        </w:rPr>
      </w:pPr>
    </w:p>
    <w:p w:rsidR="00550FC8" w:rsidRPr="00067988" w:rsidRDefault="00AD1535" w:rsidP="003209D5">
      <w:pPr>
        <w:pStyle w:val="labojumupamats"/>
        <w:shd w:val="clear" w:color="auto" w:fill="FFFFFF"/>
        <w:spacing w:before="0" w:beforeAutospacing="0" w:after="0" w:afterAutospacing="0"/>
        <w:ind w:firstLine="851"/>
        <w:jc w:val="both"/>
        <w:rPr>
          <w:rFonts w:eastAsiaTheme="minorHAnsi"/>
          <w:color w:val="000000" w:themeColor="text1"/>
          <w:sz w:val="26"/>
          <w:szCs w:val="26"/>
          <w:lang w:eastAsia="en-US"/>
        </w:rPr>
      </w:pPr>
      <w:r>
        <w:rPr>
          <w:rFonts w:eastAsiaTheme="minorHAnsi"/>
          <w:color w:val="000000" w:themeColor="text1"/>
          <w:sz w:val="26"/>
          <w:szCs w:val="26"/>
          <w:lang w:eastAsia="en-US"/>
        </w:rPr>
        <w:t>2</w:t>
      </w:r>
      <w:r w:rsidR="00C23FF4" w:rsidRPr="00067988">
        <w:rPr>
          <w:rFonts w:eastAsiaTheme="minorHAnsi"/>
          <w:color w:val="000000" w:themeColor="text1"/>
          <w:sz w:val="26"/>
          <w:szCs w:val="26"/>
          <w:lang w:eastAsia="en-US"/>
        </w:rPr>
        <w:t>.</w:t>
      </w:r>
      <w:r w:rsidR="00E0056A" w:rsidRPr="00067988">
        <w:rPr>
          <w:rFonts w:eastAsiaTheme="minorHAnsi"/>
          <w:color w:val="000000" w:themeColor="text1"/>
          <w:sz w:val="26"/>
          <w:szCs w:val="26"/>
          <w:lang w:eastAsia="en-US"/>
        </w:rPr>
        <w:t> </w:t>
      </w:r>
      <w:r w:rsidR="00C23FF4" w:rsidRPr="00067988">
        <w:rPr>
          <w:rFonts w:eastAsiaTheme="minorHAnsi"/>
          <w:color w:val="000000" w:themeColor="text1"/>
          <w:sz w:val="26"/>
          <w:szCs w:val="26"/>
          <w:lang w:eastAsia="en-US"/>
        </w:rPr>
        <w:t xml:space="preserve">Papildināt </w:t>
      </w:r>
      <w:r w:rsidR="00E13FD1" w:rsidRPr="00067988">
        <w:rPr>
          <w:rFonts w:eastAsiaTheme="minorHAnsi"/>
          <w:color w:val="000000" w:themeColor="text1"/>
          <w:sz w:val="26"/>
          <w:szCs w:val="26"/>
          <w:lang w:eastAsia="en-US"/>
        </w:rPr>
        <w:t>i</w:t>
      </w:r>
      <w:r w:rsidR="00C23FF4" w:rsidRPr="00067988">
        <w:rPr>
          <w:rFonts w:eastAsiaTheme="minorHAnsi"/>
          <w:color w:val="000000" w:themeColor="text1"/>
          <w:sz w:val="26"/>
          <w:szCs w:val="26"/>
          <w:lang w:eastAsia="en-US"/>
        </w:rPr>
        <w:t>nformatīvo atsauci uz Eir</w:t>
      </w:r>
      <w:r w:rsidR="003B3963">
        <w:rPr>
          <w:rFonts w:eastAsiaTheme="minorHAnsi"/>
          <w:color w:val="000000" w:themeColor="text1"/>
          <w:sz w:val="26"/>
          <w:szCs w:val="26"/>
          <w:lang w:eastAsia="en-US"/>
        </w:rPr>
        <w:t>opas Savienības direktīvām ar 41</w:t>
      </w:r>
      <w:r w:rsidR="00713EC8" w:rsidRPr="00067988">
        <w:rPr>
          <w:rFonts w:eastAsiaTheme="minorHAnsi"/>
          <w:color w:val="000000" w:themeColor="text1"/>
          <w:sz w:val="26"/>
          <w:szCs w:val="26"/>
          <w:lang w:eastAsia="en-US"/>
        </w:rPr>
        <w:t>.</w:t>
      </w:r>
      <w:r w:rsidR="00E0056A" w:rsidRPr="00067988">
        <w:rPr>
          <w:rFonts w:eastAsiaTheme="minorHAnsi"/>
          <w:color w:val="000000" w:themeColor="text1"/>
          <w:sz w:val="26"/>
          <w:szCs w:val="26"/>
          <w:lang w:eastAsia="en-US"/>
        </w:rPr>
        <w:t> </w:t>
      </w:r>
      <w:r w:rsidR="00713EC8" w:rsidRPr="00067988">
        <w:rPr>
          <w:rFonts w:eastAsiaTheme="minorHAnsi"/>
          <w:color w:val="000000" w:themeColor="text1"/>
          <w:sz w:val="26"/>
          <w:szCs w:val="26"/>
          <w:lang w:eastAsia="en-US"/>
        </w:rPr>
        <w:t>punkt</w:t>
      </w:r>
      <w:r w:rsidR="00C23FF4" w:rsidRPr="00067988">
        <w:rPr>
          <w:rFonts w:eastAsiaTheme="minorHAnsi"/>
          <w:color w:val="000000" w:themeColor="text1"/>
          <w:sz w:val="26"/>
          <w:szCs w:val="26"/>
          <w:lang w:eastAsia="en-US"/>
        </w:rPr>
        <w:t>u šādā redakcijā:</w:t>
      </w:r>
    </w:p>
    <w:p w:rsidR="003F25A6" w:rsidRDefault="003F25A6" w:rsidP="003209D5">
      <w:pPr>
        <w:pStyle w:val="doc-ti"/>
        <w:spacing w:before="0" w:beforeAutospacing="0" w:after="0" w:afterAutospacing="0"/>
        <w:ind w:firstLine="851"/>
        <w:jc w:val="both"/>
        <w:rPr>
          <w:bCs/>
          <w:sz w:val="26"/>
          <w:szCs w:val="26"/>
        </w:rPr>
      </w:pPr>
    </w:p>
    <w:p w:rsidR="003F25A6" w:rsidRDefault="003F25A6" w:rsidP="003209D5">
      <w:pPr>
        <w:pStyle w:val="doc-ti"/>
        <w:spacing w:before="0" w:beforeAutospacing="0" w:after="0" w:afterAutospacing="0"/>
        <w:ind w:firstLine="851"/>
        <w:jc w:val="both"/>
        <w:rPr>
          <w:bCs/>
          <w:sz w:val="26"/>
          <w:szCs w:val="26"/>
        </w:rPr>
      </w:pPr>
    </w:p>
    <w:p w:rsidR="00713EC8" w:rsidRPr="00067988" w:rsidRDefault="00713EC8" w:rsidP="003209D5">
      <w:pPr>
        <w:pStyle w:val="doc-ti"/>
        <w:spacing w:before="0" w:beforeAutospacing="0" w:after="0" w:afterAutospacing="0"/>
        <w:ind w:firstLine="851"/>
        <w:jc w:val="both"/>
        <w:rPr>
          <w:bCs/>
          <w:sz w:val="26"/>
          <w:szCs w:val="26"/>
        </w:rPr>
      </w:pPr>
      <w:r w:rsidRPr="00067988">
        <w:rPr>
          <w:bCs/>
          <w:sz w:val="26"/>
          <w:szCs w:val="26"/>
        </w:rPr>
        <w:lastRenderedPageBreak/>
        <w:t>“</w:t>
      </w:r>
      <w:r w:rsidR="003B3963">
        <w:rPr>
          <w:bCs/>
          <w:sz w:val="26"/>
          <w:szCs w:val="26"/>
        </w:rPr>
        <w:t>41</w:t>
      </w:r>
      <w:r w:rsidR="002821F2" w:rsidRPr="00067988">
        <w:rPr>
          <w:bCs/>
          <w:sz w:val="26"/>
          <w:szCs w:val="26"/>
        </w:rPr>
        <w:t>)</w:t>
      </w:r>
      <w:r w:rsidR="00F0237F" w:rsidRPr="00067988">
        <w:rPr>
          <w:bCs/>
          <w:sz w:val="26"/>
          <w:szCs w:val="26"/>
        </w:rPr>
        <w:t> </w:t>
      </w:r>
      <w:r w:rsidRPr="00067988">
        <w:rPr>
          <w:bCs/>
          <w:sz w:val="26"/>
          <w:szCs w:val="26"/>
        </w:rPr>
        <w:t xml:space="preserve">Eiropas Parlamenta un Padomes </w:t>
      </w:r>
      <w:r w:rsidR="00977ADB" w:rsidRPr="00067988">
        <w:rPr>
          <w:bCs/>
          <w:sz w:val="26"/>
          <w:szCs w:val="26"/>
        </w:rPr>
        <w:t>2017. gada 12. decembra d</w:t>
      </w:r>
      <w:r w:rsidRPr="00067988">
        <w:rPr>
          <w:bCs/>
          <w:sz w:val="26"/>
          <w:szCs w:val="26"/>
        </w:rPr>
        <w:t>irektīva</w:t>
      </w:r>
      <w:r w:rsidR="00977ADB" w:rsidRPr="00067988">
        <w:rPr>
          <w:bCs/>
          <w:sz w:val="26"/>
          <w:szCs w:val="26"/>
        </w:rPr>
        <w:t>s</w:t>
      </w:r>
      <w:r w:rsidR="00213FA8">
        <w:rPr>
          <w:bCs/>
          <w:sz w:val="26"/>
          <w:szCs w:val="26"/>
        </w:rPr>
        <w:t xml:space="preserve"> (ES)</w:t>
      </w:r>
      <w:r w:rsidR="00977ADB" w:rsidRPr="00067988">
        <w:rPr>
          <w:bCs/>
          <w:sz w:val="26"/>
          <w:szCs w:val="26"/>
        </w:rPr>
        <w:t xml:space="preserve"> </w:t>
      </w:r>
      <w:r w:rsidRPr="00067988">
        <w:rPr>
          <w:bCs/>
          <w:sz w:val="26"/>
          <w:szCs w:val="26"/>
        </w:rPr>
        <w:t>2017/2399</w:t>
      </w:r>
      <w:r w:rsidR="00D94209" w:rsidRPr="00067988">
        <w:rPr>
          <w:bCs/>
          <w:sz w:val="26"/>
          <w:szCs w:val="26"/>
        </w:rPr>
        <w:t xml:space="preserve">, </w:t>
      </w:r>
      <w:r w:rsidRPr="00067988">
        <w:rPr>
          <w:bCs/>
          <w:sz w:val="26"/>
          <w:szCs w:val="26"/>
        </w:rPr>
        <w:t xml:space="preserve">ar ko groza </w:t>
      </w:r>
      <w:r w:rsidR="00AD3E0A" w:rsidRPr="00067988">
        <w:rPr>
          <w:bCs/>
          <w:sz w:val="26"/>
          <w:szCs w:val="26"/>
        </w:rPr>
        <w:t>d</w:t>
      </w:r>
      <w:r w:rsidRPr="00067988">
        <w:rPr>
          <w:bCs/>
          <w:sz w:val="26"/>
          <w:szCs w:val="26"/>
        </w:rPr>
        <w:t>irektīvu 2014/59/ES attiecībā uz nenodrošinātu parāda instrumentu prioritāti maksātnespējas hierarhijā.”.</w:t>
      </w:r>
    </w:p>
    <w:p w:rsidR="00550FC8" w:rsidRPr="003F25A6" w:rsidRDefault="00550FC8" w:rsidP="003209D5">
      <w:pPr>
        <w:pStyle w:val="labojumupamats"/>
        <w:shd w:val="clear" w:color="auto" w:fill="FFFFFF"/>
        <w:spacing w:before="0" w:beforeAutospacing="0" w:after="0" w:afterAutospacing="0"/>
        <w:jc w:val="both"/>
        <w:rPr>
          <w:rFonts w:eastAsiaTheme="minorHAnsi"/>
          <w:color w:val="000000" w:themeColor="text1"/>
          <w:lang w:eastAsia="en-US"/>
        </w:rPr>
      </w:pPr>
    </w:p>
    <w:p w:rsidR="00A15E50" w:rsidRPr="003F25A6" w:rsidRDefault="00A15E50" w:rsidP="003209D5">
      <w:pPr>
        <w:spacing w:after="0" w:line="240" w:lineRule="auto"/>
        <w:jc w:val="both"/>
        <w:rPr>
          <w:rFonts w:ascii="Times New Roman" w:hAnsi="Times New Roman" w:cs="Times New Roman"/>
          <w:sz w:val="24"/>
          <w:szCs w:val="24"/>
        </w:rPr>
      </w:pPr>
    </w:p>
    <w:p w:rsidR="003F25A6" w:rsidRPr="003F25A6" w:rsidRDefault="003F25A6" w:rsidP="003209D5">
      <w:pPr>
        <w:spacing w:after="0" w:line="240" w:lineRule="auto"/>
        <w:jc w:val="both"/>
        <w:rPr>
          <w:rFonts w:ascii="Times New Roman" w:hAnsi="Times New Roman" w:cs="Times New Roman"/>
          <w:sz w:val="24"/>
          <w:szCs w:val="24"/>
        </w:rPr>
      </w:pPr>
    </w:p>
    <w:p w:rsidR="009466D7" w:rsidRPr="00067988" w:rsidRDefault="00CF6975" w:rsidP="00CE6F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Finanšu ministr</w:t>
      </w:r>
      <w:r w:rsidR="00CE6F32">
        <w:rPr>
          <w:rFonts w:ascii="Times New Roman" w:hAnsi="Times New Roman" w:cs="Times New Roman"/>
          <w:sz w:val="26"/>
          <w:szCs w:val="26"/>
        </w:rPr>
        <w:t>e</w:t>
      </w:r>
      <w:bookmarkStart w:id="0" w:name="_GoBack"/>
      <w:bookmarkEnd w:id="0"/>
      <w:r w:rsidR="00CE6F32">
        <w:rPr>
          <w:rFonts w:ascii="Times New Roman" w:hAnsi="Times New Roman" w:cs="Times New Roman"/>
          <w:sz w:val="26"/>
          <w:szCs w:val="26"/>
        </w:rPr>
        <w:tab/>
      </w:r>
      <w:r w:rsidR="00CE6F32">
        <w:rPr>
          <w:rFonts w:ascii="Times New Roman" w:hAnsi="Times New Roman" w:cs="Times New Roman"/>
          <w:sz w:val="26"/>
          <w:szCs w:val="26"/>
        </w:rPr>
        <w:tab/>
      </w:r>
      <w:r w:rsidR="00CE6F32">
        <w:rPr>
          <w:rFonts w:ascii="Times New Roman" w:hAnsi="Times New Roman" w:cs="Times New Roman"/>
          <w:sz w:val="26"/>
          <w:szCs w:val="26"/>
        </w:rPr>
        <w:tab/>
      </w:r>
      <w:r w:rsidR="00CE6F32">
        <w:rPr>
          <w:rFonts w:ascii="Times New Roman" w:hAnsi="Times New Roman" w:cs="Times New Roman"/>
          <w:sz w:val="26"/>
          <w:szCs w:val="26"/>
        </w:rPr>
        <w:tab/>
      </w:r>
      <w:r w:rsidR="00CE6F32">
        <w:rPr>
          <w:rFonts w:ascii="Times New Roman" w:hAnsi="Times New Roman" w:cs="Times New Roman"/>
          <w:sz w:val="26"/>
          <w:szCs w:val="26"/>
        </w:rPr>
        <w:tab/>
      </w:r>
      <w:r w:rsidR="00CE6F32">
        <w:rPr>
          <w:rFonts w:ascii="Times New Roman" w:hAnsi="Times New Roman" w:cs="Times New Roman"/>
          <w:sz w:val="26"/>
          <w:szCs w:val="26"/>
        </w:rPr>
        <w:tab/>
        <w:t>D</w:t>
      </w:r>
      <w:r w:rsidR="009466D7" w:rsidRPr="00067988">
        <w:rPr>
          <w:rFonts w:ascii="Times New Roman" w:hAnsi="Times New Roman" w:cs="Times New Roman"/>
          <w:sz w:val="26"/>
          <w:szCs w:val="26"/>
        </w:rPr>
        <w:t>.</w:t>
      </w:r>
      <w:r w:rsidR="00CE6F32">
        <w:rPr>
          <w:rFonts w:ascii="Times New Roman" w:hAnsi="Times New Roman" w:cs="Times New Roman"/>
          <w:sz w:val="26"/>
          <w:szCs w:val="26"/>
        </w:rPr>
        <w:t>Reizniece-Ozola</w:t>
      </w:r>
    </w:p>
    <w:p w:rsidR="009466D7" w:rsidRPr="003F25A6" w:rsidRDefault="009466D7" w:rsidP="003209D5">
      <w:pPr>
        <w:tabs>
          <w:tab w:val="left" w:pos="6237"/>
        </w:tabs>
        <w:spacing w:after="0" w:line="240" w:lineRule="auto"/>
        <w:rPr>
          <w:rFonts w:ascii="Times New Roman" w:eastAsia="Calibri" w:hAnsi="Times New Roman" w:cs="Times New Roman"/>
          <w:sz w:val="24"/>
          <w:szCs w:val="24"/>
        </w:rPr>
      </w:pPr>
    </w:p>
    <w:p w:rsidR="00067988" w:rsidRPr="003F25A6" w:rsidRDefault="00067988" w:rsidP="003209D5">
      <w:pPr>
        <w:tabs>
          <w:tab w:val="left" w:pos="6237"/>
        </w:tabs>
        <w:spacing w:after="0" w:line="240" w:lineRule="auto"/>
        <w:rPr>
          <w:rFonts w:ascii="Times New Roman" w:eastAsia="Calibri" w:hAnsi="Times New Roman" w:cs="Times New Roman"/>
          <w:sz w:val="24"/>
          <w:szCs w:val="24"/>
        </w:rPr>
      </w:pPr>
    </w:p>
    <w:p w:rsidR="00067988" w:rsidRPr="003F25A6" w:rsidRDefault="00067988" w:rsidP="003209D5">
      <w:pPr>
        <w:tabs>
          <w:tab w:val="left" w:pos="6237"/>
        </w:tabs>
        <w:spacing w:after="0" w:line="240" w:lineRule="auto"/>
        <w:rPr>
          <w:rFonts w:ascii="Times New Roman" w:eastAsia="Calibri" w:hAnsi="Times New Roman" w:cs="Times New Roman"/>
          <w:sz w:val="24"/>
          <w:szCs w:val="24"/>
        </w:rPr>
      </w:pPr>
    </w:p>
    <w:p w:rsidR="00067988" w:rsidRPr="003F25A6" w:rsidRDefault="00067988" w:rsidP="003209D5">
      <w:pPr>
        <w:tabs>
          <w:tab w:val="left" w:pos="6237"/>
        </w:tabs>
        <w:spacing w:after="0" w:line="240" w:lineRule="auto"/>
        <w:rPr>
          <w:rFonts w:ascii="Times New Roman" w:eastAsia="Calibri" w:hAnsi="Times New Roman" w:cs="Times New Roman"/>
          <w:sz w:val="24"/>
          <w:szCs w:val="24"/>
        </w:rPr>
      </w:pPr>
    </w:p>
    <w:p w:rsidR="00067988" w:rsidRPr="003F25A6" w:rsidRDefault="00067988" w:rsidP="003209D5">
      <w:pPr>
        <w:tabs>
          <w:tab w:val="left" w:pos="6237"/>
        </w:tabs>
        <w:spacing w:after="0" w:line="240" w:lineRule="auto"/>
        <w:rPr>
          <w:rFonts w:ascii="Times New Roman" w:eastAsia="Calibri" w:hAnsi="Times New Roman" w:cs="Times New Roman"/>
          <w:sz w:val="24"/>
          <w:szCs w:val="24"/>
        </w:rPr>
      </w:pPr>
    </w:p>
    <w:p w:rsidR="009466D7" w:rsidRPr="0010307F" w:rsidRDefault="009466D7" w:rsidP="003209D5">
      <w:pPr>
        <w:tabs>
          <w:tab w:val="left" w:pos="6237"/>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Zvirgzdiņa, 67095601</w:t>
      </w:r>
    </w:p>
    <w:p w:rsidR="000873F2" w:rsidRDefault="009466D7" w:rsidP="003209D5">
      <w:pPr>
        <w:tabs>
          <w:tab w:val="left" w:pos="6237"/>
        </w:tabs>
        <w:spacing w:after="0" w:line="240" w:lineRule="auto"/>
        <w:rPr>
          <w:rFonts w:ascii="Times New Roman" w:hAnsi="Times New Roman" w:cs="Times New Roman"/>
          <w:color w:val="000000" w:themeColor="text1"/>
          <w:sz w:val="26"/>
          <w:szCs w:val="26"/>
        </w:rPr>
      </w:pPr>
      <w:r>
        <w:rPr>
          <w:rFonts w:ascii="Times New Roman" w:eastAsia="Calibri" w:hAnsi="Times New Roman" w:cs="Times New Roman"/>
          <w:sz w:val="20"/>
          <w:szCs w:val="20"/>
        </w:rPr>
        <w:t>Baiba</w:t>
      </w:r>
      <w:r w:rsidRPr="0010307F">
        <w:rPr>
          <w:rFonts w:ascii="Times New Roman" w:eastAsia="Calibri" w:hAnsi="Times New Roman" w:cs="Times New Roman"/>
          <w:sz w:val="20"/>
          <w:szCs w:val="20"/>
        </w:rPr>
        <w:t>.</w:t>
      </w:r>
      <w:r>
        <w:rPr>
          <w:rFonts w:ascii="Times New Roman" w:eastAsia="Calibri" w:hAnsi="Times New Roman" w:cs="Times New Roman"/>
          <w:sz w:val="20"/>
          <w:szCs w:val="20"/>
        </w:rPr>
        <w:t>Zvirgzdina</w:t>
      </w:r>
      <w:r w:rsidRPr="0010307F">
        <w:rPr>
          <w:rFonts w:ascii="Times New Roman" w:eastAsia="Calibri" w:hAnsi="Times New Roman" w:cs="Times New Roman"/>
          <w:sz w:val="20"/>
          <w:szCs w:val="20"/>
        </w:rPr>
        <w:t>@fm.gov.lv</w:t>
      </w:r>
    </w:p>
    <w:sectPr w:rsidR="000873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D8" w:rsidRDefault="004620D8" w:rsidP="00F86B78">
      <w:pPr>
        <w:spacing w:after="0" w:line="240" w:lineRule="auto"/>
      </w:pPr>
      <w:r>
        <w:separator/>
      </w:r>
    </w:p>
  </w:endnote>
  <w:endnote w:type="continuationSeparator" w:id="0">
    <w:p w:rsidR="004620D8" w:rsidRDefault="004620D8" w:rsidP="00F8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78" w:rsidRPr="00F86B78" w:rsidRDefault="003F25A6">
    <w:pPr>
      <w:pStyle w:val="Footer"/>
      <w:rPr>
        <w:rFonts w:ascii="Times New Roman" w:hAnsi="Times New Roman" w:cs="Times New Roman"/>
        <w:sz w:val="20"/>
        <w:szCs w:val="20"/>
      </w:rPr>
    </w:pPr>
    <w:r>
      <w:rPr>
        <w:rFonts w:ascii="Times New Roman" w:hAnsi="Times New Roman" w:cs="Times New Roman"/>
        <w:sz w:val="20"/>
        <w:szCs w:val="20"/>
      </w:rPr>
      <w:t>FMlik_0210</w:t>
    </w:r>
    <w:r w:rsidR="00F86B78" w:rsidRPr="00195614">
      <w:rPr>
        <w:rFonts w:ascii="Times New Roman" w:hAnsi="Times New Roman" w:cs="Times New Roman"/>
        <w:sz w:val="20"/>
        <w:szCs w:val="20"/>
      </w:rPr>
      <w:t>18_groz</w:t>
    </w:r>
    <w:r w:rsidR="00F86B78">
      <w:rPr>
        <w:rFonts w:ascii="Times New Roman" w:hAnsi="Times New Roman" w:cs="Times New Roman"/>
        <w:sz w:val="20"/>
        <w:szCs w:val="20"/>
      </w:rPr>
      <w:t>FIT</w:t>
    </w:r>
    <w:r w:rsidR="00F86B78" w:rsidRPr="00195614">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D8" w:rsidRDefault="004620D8" w:rsidP="00F86B78">
      <w:pPr>
        <w:spacing w:after="0" w:line="240" w:lineRule="auto"/>
      </w:pPr>
      <w:r>
        <w:separator/>
      </w:r>
    </w:p>
  </w:footnote>
  <w:footnote w:type="continuationSeparator" w:id="0">
    <w:p w:rsidR="004620D8" w:rsidRDefault="004620D8" w:rsidP="00F86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D03"/>
    <w:multiLevelType w:val="hybridMultilevel"/>
    <w:tmpl w:val="ADF402C8"/>
    <w:lvl w:ilvl="0" w:tplc="2B7A34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7B554A"/>
    <w:multiLevelType w:val="hybridMultilevel"/>
    <w:tmpl w:val="90EC5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58768E"/>
    <w:multiLevelType w:val="hybridMultilevel"/>
    <w:tmpl w:val="94B46B52"/>
    <w:lvl w:ilvl="0" w:tplc="2EE8D31C">
      <w:start w:val="1"/>
      <w:numFmt w:val="decimal"/>
      <w:lvlText w:val="%1."/>
      <w:lvlJc w:val="left"/>
      <w:pPr>
        <w:ind w:left="1022" w:hanging="360"/>
      </w:pPr>
      <w:rPr>
        <w:rFonts w:hint="default"/>
      </w:rPr>
    </w:lvl>
    <w:lvl w:ilvl="1" w:tplc="04260019" w:tentative="1">
      <w:start w:val="1"/>
      <w:numFmt w:val="lowerLetter"/>
      <w:lvlText w:val="%2."/>
      <w:lvlJc w:val="left"/>
      <w:pPr>
        <w:ind w:left="1742" w:hanging="360"/>
      </w:pPr>
    </w:lvl>
    <w:lvl w:ilvl="2" w:tplc="0426001B" w:tentative="1">
      <w:start w:val="1"/>
      <w:numFmt w:val="lowerRoman"/>
      <w:lvlText w:val="%3."/>
      <w:lvlJc w:val="right"/>
      <w:pPr>
        <w:ind w:left="2462" w:hanging="180"/>
      </w:pPr>
    </w:lvl>
    <w:lvl w:ilvl="3" w:tplc="0426000F" w:tentative="1">
      <w:start w:val="1"/>
      <w:numFmt w:val="decimal"/>
      <w:lvlText w:val="%4."/>
      <w:lvlJc w:val="left"/>
      <w:pPr>
        <w:ind w:left="3182" w:hanging="360"/>
      </w:pPr>
    </w:lvl>
    <w:lvl w:ilvl="4" w:tplc="04260019" w:tentative="1">
      <w:start w:val="1"/>
      <w:numFmt w:val="lowerLetter"/>
      <w:lvlText w:val="%5."/>
      <w:lvlJc w:val="left"/>
      <w:pPr>
        <w:ind w:left="3902" w:hanging="360"/>
      </w:pPr>
    </w:lvl>
    <w:lvl w:ilvl="5" w:tplc="0426001B" w:tentative="1">
      <w:start w:val="1"/>
      <w:numFmt w:val="lowerRoman"/>
      <w:lvlText w:val="%6."/>
      <w:lvlJc w:val="right"/>
      <w:pPr>
        <w:ind w:left="4622" w:hanging="180"/>
      </w:pPr>
    </w:lvl>
    <w:lvl w:ilvl="6" w:tplc="0426000F" w:tentative="1">
      <w:start w:val="1"/>
      <w:numFmt w:val="decimal"/>
      <w:lvlText w:val="%7."/>
      <w:lvlJc w:val="left"/>
      <w:pPr>
        <w:ind w:left="5342" w:hanging="360"/>
      </w:pPr>
    </w:lvl>
    <w:lvl w:ilvl="7" w:tplc="04260019" w:tentative="1">
      <w:start w:val="1"/>
      <w:numFmt w:val="lowerLetter"/>
      <w:lvlText w:val="%8."/>
      <w:lvlJc w:val="left"/>
      <w:pPr>
        <w:ind w:left="6062" w:hanging="360"/>
      </w:pPr>
    </w:lvl>
    <w:lvl w:ilvl="8" w:tplc="0426001B" w:tentative="1">
      <w:start w:val="1"/>
      <w:numFmt w:val="lowerRoman"/>
      <w:lvlText w:val="%9."/>
      <w:lvlJc w:val="right"/>
      <w:pPr>
        <w:ind w:left="6782" w:hanging="180"/>
      </w:pPr>
    </w:lvl>
  </w:abstractNum>
  <w:abstractNum w:abstractNumId="3" w15:restartNumberingAfterBreak="0">
    <w:nsid w:val="7969147A"/>
    <w:multiLevelType w:val="hybridMultilevel"/>
    <w:tmpl w:val="2CB8E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E3"/>
    <w:rsid w:val="0001630B"/>
    <w:rsid w:val="0003741D"/>
    <w:rsid w:val="0004721A"/>
    <w:rsid w:val="0005269B"/>
    <w:rsid w:val="0005417D"/>
    <w:rsid w:val="00057055"/>
    <w:rsid w:val="00067988"/>
    <w:rsid w:val="00067CEC"/>
    <w:rsid w:val="00072858"/>
    <w:rsid w:val="00074A92"/>
    <w:rsid w:val="00085CAE"/>
    <w:rsid w:val="000873F2"/>
    <w:rsid w:val="000973D7"/>
    <w:rsid w:val="000A7FE2"/>
    <w:rsid w:val="000B02B6"/>
    <w:rsid w:val="000B7248"/>
    <w:rsid w:val="000B7AB2"/>
    <w:rsid w:val="000C042C"/>
    <w:rsid w:val="00101511"/>
    <w:rsid w:val="00143567"/>
    <w:rsid w:val="00161175"/>
    <w:rsid w:val="001838BC"/>
    <w:rsid w:val="0019327E"/>
    <w:rsid w:val="001952A9"/>
    <w:rsid w:val="001D4718"/>
    <w:rsid w:val="001D60F9"/>
    <w:rsid w:val="00200C63"/>
    <w:rsid w:val="00213FA8"/>
    <w:rsid w:val="00231A10"/>
    <w:rsid w:val="00233EAC"/>
    <w:rsid w:val="002410EF"/>
    <w:rsid w:val="00241A40"/>
    <w:rsid w:val="00245F8E"/>
    <w:rsid w:val="002476ED"/>
    <w:rsid w:val="00275840"/>
    <w:rsid w:val="002821F2"/>
    <w:rsid w:val="002945F6"/>
    <w:rsid w:val="002C3179"/>
    <w:rsid w:val="002C7131"/>
    <w:rsid w:val="002D44C7"/>
    <w:rsid w:val="002E0911"/>
    <w:rsid w:val="003209D5"/>
    <w:rsid w:val="00327D6E"/>
    <w:rsid w:val="00331B7F"/>
    <w:rsid w:val="00346842"/>
    <w:rsid w:val="003474E4"/>
    <w:rsid w:val="00370E6E"/>
    <w:rsid w:val="003945F0"/>
    <w:rsid w:val="003B3963"/>
    <w:rsid w:val="003B3EF7"/>
    <w:rsid w:val="003D2C82"/>
    <w:rsid w:val="003E53E3"/>
    <w:rsid w:val="003F25A6"/>
    <w:rsid w:val="003F5B74"/>
    <w:rsid w:val="0042455B"/>
    <w:rsid w:val="004414DD"/>
    <w:rsid w:val="004620D8"/>
    <w:rsid w:val="00492B76"/>
    <w:rsid w:val="004C4FBF"/>
    <w:rsid w:val="004D0F5A"/>
    <w:rsid w:val="004D6F3D"/>
    <w:rsid w:val="00507B58"/>
    <w:rsid w:val="005143E0"/>
    <w:rsid w:val="00514659"/>
    <w:rsid w:val="00515048"/>
    <w:rsid w:val="00532B58"/>
    <w:rsid w:val="00540E5A"/>
    <w:rsid w:val="00550FC8"/>
    <w:rsid w:val="005B044A"/>
    <w:rsid w:val="005B1130"/>
    <w:rsid w:val="005B3F3B"/>
    <w:rsid w:val="005B518C"/>
    <w:rsid w:val="005D7CAE"/>
    <w:rsid w:val="005E705B"/>
    <w:rsid w:val="005F25DD"/>
    <w:rsid w:val="00651808"/>
    <w:rsid w:val="006813D0"/>
    <w:rsid w:val="00685601"/>
    <w:rsid w:val="00691A82"/>
    <w:rsid w:val="006D678B"/>
    <w:rsid w:val="006F1AD8"/>
    <w:rsid w:val="00702FA3"/>
    <w:rsid w:val="007043E6"/>
    <w:rsid w:val="0071015C"/>
    <w:rsid w:val="00713EC8"/>
    <w:rsid w:val="00717428"/>
    <w:rsid w:val="00740991"/>
    <w:rsid w:val="00743E07"/>
    <w:rsid w:val="00744074"/>
    <w:rsid w:val="00747C9E"/>
    <w:rsid w:val="00755729"/>
    <w:rsid w:val="00765F03"/>
    <w:rsid w:val="0077285B"/>
    <w:rsid w:val="007D0926"/>
    <w:rsid w:val="007F1615"/>
    <w:rsid w:val="0080259F"/>
    <w:rsid w:val="008033D3"/>
    <w:rsid w:val="00812F97"/>
    <w:rsid w:val="00814BE9"/>
    <w:rsid w:val="00824E22"/>
    <w:rsid w:val="008464BA"/>
    <w:rsid w:val="008536AF"/>
    <w:rsid w:val="00871269"/>
    <w:rsid w:val="00872A1A"/>
    <w:rsid w:val="00892C66"/>
    <w:rsid w:val="008969CB"/>
    <w:rsid w:val="008A199E"/>
    <w:rsid w:val="008B3868"/>
    <w:rsid w:val="008B713D"/>
    <w:rsid w:val="008D0B96"/>
    <w:rsid w:val="008D1F06"/>
    <w:rsid w:val="00903168"/>
    <w:rsid w:val="00932330"/>
    <w:rsid w:val="00936958"/>
    <w:rsid w:val="0094522C"/>
    <w:rsid w:val="009466D7"/>
    <w:rsid w:val="0095192C"/>
    <w:rsid w:val="00952953"/>
    <w:rsid w:val="00964693"/>
    <w:rsid w:val="0097543C"/>
    <w:rsid w:val="00976686"/>
    <w:rsid w:val="00977ADB"/>
    <w:rsid w:val="009C39FB"/>
    <w:rsid w:val="009E23BF"/>
    <w:rsid w:val="009F2412"/>
    <w:rsid w:val="009F6C9D"/>
    <w:rsid w:val="00A15BB3"/>
    <w:rsid w:val="00A15E50"/>
    <w:rsid w:val="00A27205"/>
    <w:rsid w:val="00A409E0"/>
    <w:rsid w:val="00A71D4B"/>
    <w:rsid w:val="00A91D14"/>
    <w:rsid w:val="00AA6EAA"/>
    <w:rsid w:val="00AA7510"/>
    <w:rsid w:val="00AC2F3F"/>
    <w:rsid w:val="00AD1535"/>
    <w:rsid w:val="00AD3E0A"/>
    <w:rsid w:val="00AE14C5"/>
    <w:rsid w:val="00AE60E5"/>
    <w:rsid w:val="00B20520"/>
    <w:rsid w:val="00B4091F"/>
    <w:rsid w:val="00B441E9"/>
    <w:rsid w:val="00B51580"/>
    <w:rsid w:val="00B63202"/>
    <w:rsid w:val="00B63317"/>
    <w:rsid w:val="00B71EC5"/>
    <w:rsid w:val="00B72180"/>
    <w:rsid w:val="00B93553"/>
    <w:rsid w:val="00B975D8"/>
    <w:rsid w:val="00BA0D28"/>
    <w:rsid w:val="00BC2FEC"/>
    <w:rsid w:val="00BC6B75"/>
    <w:rsid w:val="00BD3420"/>
    <w:rsid w:val="00BD5CAF"/>
    <w:rsid w:val="00BE245A"/>
    <w:rsid w:val="00BF7FDA"/>
    <w:rsid w:val="00C14B71"/>
    <w:rsid w:val="00C23FF4"/>
    <w:rsid w:val="00C34654"/>
    <w:rsid w:val="00C50EBC"/>
    <w:rsid w:val="00C7072B"/>
    <w:rsid w:val="00CA42A8"/>
    <w:rsid w:val="00CE6F32"/>
    <w:rsid w:val="00CE7702"/>
    <w:rsid w:val="00CF6975"/>
    <w:rsid w:val="00CF700A"/>
    <w:rsid w:val="00D03883"/>
    <w:rsid w:val="00D22FE0"/>
    <w:rsid w:val="00D236E2"/>
    <w:rsid w:val="00D27674"/>
    <w:rsid w:val="00D40AD5"/>
    <w:rsid w:val="00D717F0"/>
    <w:rsid w:val="00D9148F"/>
    <w:rsid w:val="00D94209"/>
    <w:rsid w:val="00DA12E5"/>
    <w:rsid w:val="00DB3A69"/>
    <w:rsid w:val="00DC775C"/>
    <w:rsid w:val="00DD0DE5"/>
    <w:rsid w:val="00DE5D18"/>
    <w:rsid w:val="00E0056A"/>
    <w:rsid w:val="00E11EBA"/>
    <w:rsid w:val="00E13FD1"/>
    <w:rsid w:val="00E6285C"/>
    <w:rsid w:val="00E954C6"/>
    <w:rsid w:val="00EB0941"/>
    <w:rsid w:val="00EB1B44"/>
    <w:rsid w:val="00EE315D"/>
    <w:rsid w:val="00EE7D52"/>
    <w:rsid w:val="00EF38E3"/>
    <w:rsid w:val="00F0237F"/>
    <w:rsid w:val="00F02742"/>
    <w:rsid w:val="00F05486"/>
    <w:rsid w:val="00F10335"/>
    <w:rsid w:val="00F150FD"/>
    <w:rsid w:val="00F5321F"/>
    <w:rsid w:val="00F86B78"/>
    <w:rsid w:val="00FA17A0"/>
    <w:rsid w:val="00FA6F0D"/>
    <w:rsid w:val="00FB2DF8"/>
    <w:rsid w:val="00FC4F9E"/>
    <w:rsid w:val="00FD22AA"/>
    <w:rsid w:val="00FD534B"/>
    <w:rsid w:val="00FE62A4"/>
    <w:rsid w:val="00FF3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4B98"/>
  <w15:docId w15:val="{5875ED12-004D-47A8-B34B-D97006B8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AE"/>
    <w:pPr>
      <w:ind w:left="720"/>
      <w:contextualSpacing/>
    </w:pPr>
  </w:style>
  <w:style w:type="paragraph" w:customStyle="1" w:styleId="tv213">
    <w:name w:val="tv213"/>
    <w:basedOn w:val="Normal"/>
    <w:rsid w:val="005D7CAE"/>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BalloonText">
    <w:name w:val="Balloon Text"/>
    <w:basedOn w:val="Normal"/>
    <w:link w:val="BalloonTextChar"/>
    <w:uiPriority w:val="99"/>
    <w:semiHidden/>
    <w:unhideWhenUsed/>
    <w:rsid w:val="0042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5B"/>
    <w:rPr>
      <w:rFonts w:ascii="Tahoma" w:hAnsi="Tahoma" w:cs="Tahoma"/>
      <w:sz w:val="16"/>
      <w:szCs w:val="16"/>
    </w:rPr>
  </w:style>
  <w:style w:type="paragraph" w:customStyle="1" w:styleId="labojumupamats">
    <w:name w:val="labojumu_pamats"/>
    <w:basedOn w:val="Normal"/>
    <w:rsid w:val="008B38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E23BF"/>
    <w:rPr>
      <w:color w:val="0000FF"/>
      <w:u w:val="single"/>
    </w:rPr>
  </w:style>
  <w:style w:type="character" w:styleId="CommentReference">
    <w:name w:val="annotation reference"/>
    <w:basedOn w:val="DefaultParagraphFont"/>
    <w:uiPriority w:val="99"/>
    <w:semiHidden/>
    <w:unhideWhenUsed/>
    <w:rsid w:val="00A15E50"/>
    <w:rPr>
      <w:sz w:val="16"/>
      <w:szCs w:val="16"/>
    </w:rPr>
  </w:style>
  <w:style w:type="paragraph" w:styleId="CommentText">
    <w:name w:val="annotation text"/>
    <w:basedOn w:val="Normal"/>
    <w:link w:val="CommentTextChar"/>
    <w:uiPriority w:val="99"/>
    <w:semiHidden/>
    <w:unhideWhenUsed/>
    <w:rsid w:val="00A15E50"/>
    <w:pPr>
      <w:spacing w:line="240" w:lineRule="auto"/>
    </w:pPr>
    <w:rPr>
      <w:sz w:val="20"/>
      <w:szCs w:val="20"/>
    </w:rPr>
  </w:style>
  <w:style w:type="character" w:customStyle="1" w:styleId="CommentTextChar">
    <w:name w:val="Comment Text Char"/>
    <w:basedOn w:val="DefaultParagraphFont"/>
    <w:link w:val="CommentText"/>
    <w:uiPriority w:val="99"/>
    <w:semiHidden/>
    <w:rsid w:val="00A15E50"/>
    <w:rPr>
      <w:sz w:val="20"/>
      <w:szCs w:val="20"/>
    </w:rPr>
  </w:style>
  <w:style w:type="paragraph" w:customStyle="1" w:styleId="doc-ti">
    <w:name w:val="doc-ti"/>
    <w:basedOn w:val="Normal"/>
    <w:rsid w:val="00713E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86B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B78"/>
  </w:style>
  <w:style w:type="paragraph" w:styleId="Footer">
    <w:name w:val="footer"/>
    <w:basedOn w:val="Normal"/>
    <w:link w:val="FooterChar"/>
    <w:uiPriority w:val="99"/>
    <w:unhideWhenUsed/>
    <w:rsid w:val="00F86B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14590-maksatnespej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1661</Words>
  <Characters>947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Finanšu instrumentu tirgus likumā</vt:lpstr>
    </vt:vector>
  </TitlesOfParts>
  <Company>Finanšu ministrija</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Likumprojekts</dc:subject>
  <dc:creator>Baiba Zvirgzdiņa</dc:creator>
  <dc:description>67095601, Baiba.Zvirgzdina@fm.gov.lv</dc:description>
  <cp:lastModifiedBy>Baiba Zvirgzdiņa</cp:lastModifiedBy>
  <cp:revision>38</cp:revision>
  <cp:lastPrinted>2018-05-18T09:33:00Z</cp:lastPrinted>
  <dcterms:created xsi:type="dcterms:W3CDTF">2018-06-06T12:35:00Z</dcterms:created>
  <dcterms:modified xsi:type="dcterms:W3CDTF">2018-10-02T12:18:00Z</dcterms:modified>
</cp:coreProperties>
</file>