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66A15" w14:textId="77777777" w:rsidR="007C27EB" w:rsidRDefault="007C27EB" w:rsidP="007C27EB">
      <w:pPr>
        <w:jc w:val="center"/>
        <w:rPr>
          <w:b/>
        </w:rPr>
      </w:pPr>
    </w:p>
    <w:p w14:paraId="104B8B18" w14:textId="77777777" w:rsidR="007C27EB" w:rsidRPr="007C27EB" w:rsidRDefault="007C27EB" w:rsidP="007C27EB">
      <w:pPr>
        <w:ind w:firstLine="340"/>
        <w:jc w:val="center"/>
        <w:rPr>
          <w:rFonts w:eastAsia="Times New Roman"/>
          <w:b/>
          <w:bCs/>
        </w:rPr>
      </w:pPr>
      <w:r w:rsidRPr="007C27EB">
        <w:rPr>
          <w:rFonts w:eastAsia="Times New Roman"/>
          <w:b/>
          <w:bCs/>
        </w:rPr>
        <w:t xml:space="preserve">Ministru kabineta noteikumu projekta </w:t>
      </w:r>
    </w:p>
    <w:p w14:paraId="3D23D2B0" w14:textId="4820A0FB" w:rsidR="007C27EB" w:rsidRPr="007C27EB" w:rsidRDefault="007C27EB" w:rsidP="007C27EB">
      <w:pPr>
        <w:ind w:firstLine="340"/>
        <w:jc w:val="center"/>
        <w:rPr>
          <w:rFonts w:eastAsia="Times New Roman" w:cstheme="minorBidi"/>
          <w:b/>
        </w:rPr>
      </w:pPr>
      <w:r w:rsidRPr="007C27EB">
        <w:rPr>
          <w:rFonts w:eastAsia="Times New Roman"/>
          <w:b/>
          <w:bCs/>
        </w:rPr>
        <w:t>“</w:t>
      </w:r>
      <w:r w:rsidRPr="007C27EB">
        <w:rPr>
          <w:rFonts w:eastAsia="Times New Roman"/>
          <w:b/>
        </w:rPr>
        <w:t>Grozījum</w:t>
      </w:r>
      <w:r w:rsidR="00732C52">
        <w:rPr>
          <w:rFonts w:eastAsia="Times New Roman"/>
          <w:b/>
        </w:rPr>
        <w:t>s</w:t>
      </w:r>
      <w:r w:rsidRPr="007C27EB">
        <w:rPr>
          <w:rFonts w:eastAsia="Times New Roman"/>
          <w:b/>
        </w:rPr>
        <w:t xml:space="preserve"> Ministru kabineta 201</w:t>
      </w:r>
      <w:r w:rsidR="00275DF9">
        <w:rPr>
          <w:rFonts w:eastAsia="Times New Roman"/>
          <w:b/>
        </w:rPr>
        <w:t>7</w:t>
      </w:r>
      <w:r w:rsidRPr="007C27EB">
        <w:rPr>
          <w:rFonts w:eastAsia="Times New Roman"/>
          <w:b/>
        </w:rPr>
        <w:t>. gada 2</w:t>
      </w:r>
      <w:r w:rsidR="00275DF9">
        <w:rPr>
          <w:rFonts w:eastAsia="Times New Roman"/>
          <w:b/>
        </w:rPr>
        <w:t>2</w:t>
      </w:r>
      <w:r w:rsidRPr="007C27EB">
        <w:rPr>
          <w:rFonts w:eastAsia="Times New Roman"/>
          <w:b/>
        </w:rPr>
        <w:t xml:space="preserve">. </w:t>
      </w:r>
      <w:r w:rsidR="00275DF9">
        <w:rPr>
          <w:rFonts w:eastAsia="Times New Roman"/>
          <w:b/>
        </w:rPr>
        <w:t>augusta</w:t>
      </w:r>
      <w:r w:rsidRPr="007C27EB">
        <w:rPr>
          <w:rFonts w:eastAsia="Times New Roman"/>
          <w:b/>
        </w:rPr>
        <w:t xml:space="preserve"> noteikumos Nr. </w:t>
      </w:r>
      <w:r w:rsidR="00275DF9">
        <w:rPr>
          <w:rFonts w:eastAsia="Times New Roman"/>
          <w:b/>
        </w:rPr>
        <w:t>4</w:t>
      </w:r>
      <w:r w:rsidRPr="007C27EB">
        <w:rPr>
          <w:rFonts w:eastAsia="Times New Roman"/>
          <w:b/>
        </w:rPr>
        <w:t>8</w:t>
      </w:r>
      <w:r w:rsidR="00275DF9">
        <w:rPr>
          <w:rFonts w:eastAsia="Times New Roman"/>
          <w:b/>
        </w:rPr>
        <w:t>7</w:t>
      </w:r>
      <w:r w:rsidRPr="007C27EB">
        <w:rPr>
          <w:rFonts w:eastAsia="Times New Roman"/>
          <w:b/>
        </w:rPr>
        <w:t xml:space="preserve"> „Darbības programmas “Izaugsme un nodarbinātība” </w:t>
      </w:r>
      <w:r w:rsidRPr="007C27EB">
        <w:rPr>
          <w:b/>
          <w:bCs/>
          <w:lang w:eastAsia="en-US"/>
        </w:rPr>
        <w:t>8.3.6. specifiskā atbalsta mērķa “Ieviest izglītības kvalitātes monitoringa sistēmu” 8.3.6.</w:t>
      </w:r>
      <w:r w:rsidR="00275DF9">
        <w:rPr>
          <w:b/>
          <w:bCs/>
          <w:lang w:eastAsia="en-US"/>
        </w:rPr>
        <w:t>2</w:t>
      </w:r>
      <w:r w:rsidRPr="007C27EB">
        <w:rPr>
          <w:b/>
          <w:bCs/>
          <w:lang w:eastAsia="en-US"/>
        </w:rPr>
        <w:t>. pasākuma “</w:t>
      </w:r>
      <w:r w:rsidR="00275DF9">
        <w:rPr>
          <w:b/>
          <w:bCs/>
          <w:lang w:eastAsia="en-US"/>
        </w:rPr>
        <w:t>Izglītības kvalitātes monitoringa sistēmas izveide</w:t>
      </w:r>
      <w:r w:rsidRPr="007C27EB">
        <w:rPr>
          <w:b/>
          <w:bCs/>
          <w:lang w:eastAsia="en-US"/>
        </w:rPr>
        <w:t>” īstenošanas noteikumi”</w:t>
      </w:r>
      <w:r w:rsidRPr="007C27EB">
        <w:rPr>
          <w:rFonts w:eastAsia="Times New Roman" w:cstheme="minorBidi"/>
          <w:b/>
        </w:rPr>
        <w:t xml:space="preserve">” </w:t>
      </w:r>
      <w:r w:rsidRPr="007C27EB">
        <w:rPr>
          <w:b/>
          <w:lang w:eastAsia="en-US"/>
        </w:rPr>
        <w:t>sākotnējās</w:t>
      </w:r>
      <w:r w:rsidRPr="007C27EB">
        <w:rPr>
          <w:rFonts w:eastAsia="Times New Roman"/>
          <w:b/>
          <w:bCs/>
        </w:rPr>
        <w:t xml:space="preserve"> ietekmes novērtējuma ziņojums (anotācija)</w:t>
      </w:r>
    </w:p>
    <w:p w14:paraId="4A0644E9" w14:textId="77777777" w:rsidR="00AE1DA4" w:rsidRPr="001351FC" w:rsidRDefault="00AE1DA4" w:rsidP="0015241F">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ED6931" w14:paraId="374AF7B2"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1351FC" w:rsidRDefault="00B650B7" w:rsidP="001351FC">
            <w:pPr>
              <w:pStyle w:val="ListParagraph"/>
              <w:tabs>
                <w:tab w:val="left" w:pos="2268"/>
                <w:tab w:val="left" w:pos="2410"/>
              </w:tabs>
              <w:ind w:left="1080"/>
              <w:jc w:val="center"/>
              <w:rPr>
                <w:b/>
                <w:sz w:val="24"/>
                <w:szCs w:val="24"/>
                <w:lang w:eastAsia="en-US"/>
              </w:rPr>
            </w:pPr>
            <w:r w:rsidRPr="001351FC">
              <w:rPr>
                <w:b/>
                <w:bCs/>
                <w:sz w:val="24"/>
                <w:szCs w:val="24"/>
              </w:rPr>
              <w:t>Tiesību akta projekta anotācijas kopsavilkums</w:t>
            </w:r>
          </w:p>
        </w:tc>
      </w:tr>
      <w:tr w:rsidR="00ED6931" w14:paraId="6457A4FB" w14:textId="77777777"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14:paraId="520D2D7F" w14:textId="77777777" w:rsidR="000952B3" w:rsidRPr="001351FC" w:rsidRDefault="00B650B7" w:rsidP="001351FC">
            <w:pPr>
              <w:tabs>
                <w:tab w:val="left" w:pos="1904"/>
              </w:tabs>
              <w:rPr>
                <w:lang w:eastAsia="en-US"/>
              </w:rPr>
            </w:pPr>
            <w:r w:rsidRPr="001351FC">
              <w:t>Mērķis, risinājums u</w:t>
            </w:r>
            <w:r w:rsidR="004210D4" w:rsidRPr="001351FC">
              <w:t>n projekta spēkā stāšanās laiks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6C67C759" w14:textId="1F16821A" w:rsidR="000952B3" w:rsidRPr="001351FC" w:rsidRDefault="00616CE1" w:rsidP="00616CE1">
            <w:pPr>
              <w:jc w:val="both"/>
              <w:rPr>
                <w:rFonts w:eastAsia="Times New Roman"/>
              </w:rPr>
            </w:pPr>
            <w:r w:rsidRPr="00835246">
              <w:rPr>
                <w:bCs/>
              </w:rPr>
              <w:t>Nav attiecināms</w:t>
            </w:r>
            <w:r>
              <w:rPr>
                <w:bCs/>
              </w:rPr>
              <w:t>.</w:t>
            </w:r>
          </w:p>
        </w:tc>
      </w:tr>
    </w:tbl>
    <w:p w14:paraId="11611092" w14:textId="77777777" w:rsidR="000952B3" w:rsidRPr="001351FC"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ED6931" w14:paraId="57FE3E7E"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1351FC" w:rsidRDefault="00B650B7" w:rsidP="001351FC">
            <w:pPr>
              <w:pStyle w:val="ListParagraph"/>
              <w:tabs>
                <w:tab w:val="left" w:pos="2268"/>
                <w:tab w:val="left" w:pos="2410"/>
              </w:tabs>
              <w:ind w:left="1080"/>
              <w:jc w:val="center"/>
              <w:rPr>
                <w:b/>
                <w:sz w:val="24"/>
                <w:szCs w:val="24"/>
                <w:lang w:eastAsia="en-US"/>
              </w:rPr>
            </w:pPr>
            <w:r w:rsidRPr="001351FC">
              <w:rPr>
                <w:b/>
                <w:bCs/>
                <w:sz w:val="24"/>
                <w:szCs w:val="24"/>
              </w:rPr>
              <w:t>I. Tiesību akta projekta izstrādes nepieciešamība</w:t>
            </w:r>
          </w:p>
        </w:tc>
      </w:tr>
      <w:tr w:rsidR="00ED6931" w14:paraId="64D4EB3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1351FC" w:rsidRDefault="00B650B7" w:rsidP="001351FC">
            <w:pPr>
              <w:jc w:val="center"/>
              <w:rPr>
                <w:lang w:eastAsia="en-US"/>
              </w:rPr>
            </w:pPr>
            <w:r w:rsidRPr="001351FC">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1351FC" w:rsidRDefault="00B650B7" w:rsidP="001351FC">
            <w:pPr>
              <w:tabs>
                <w:tab w:val="left" w:pos="1904"/>
              </w:tabs>
              <w:rPr>
                <w:lang w:eastAsia="en-US"/>
              </w:rPr>
            </w:pPr>
            <w:r w:rsidRPr="001351FC">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4D5F8743" w14:textId="7889C432" w:rsidR="000952B3" w:rsidRPr="001351FC" w:rsidRDefault="00B650B7" w:rsidP="00605314">
            <w:pPr>
              <w:jc w:val="both"/>
            </w:pPr>
            <w:r w:rsidRPr="001351FC">
              <w:rPr>
                <w:rFonts w:eastAsia="Times New Roman"/>
              </w:rPr>
              <w:t>Eiropas Savienības struktūrfondu un Kohēzijas fonda 2014.-2020.gada plānošanas perioda vadības likuma 20.panta 6. un 13.punkts.</w:t>
            </w:r>
          </w:p>
        </w:tc>
      </w:tr>
      <w:tr w:rsidR="00ED6931" w14:paraId="0CFF28F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5750303C" w14:textId="77777777" w:rsidR="00055596" w:rsidRPr="001351FC" w:rsidRDefault="00B650B7" w:rsidP="001351FC">
            <w:pPr>
              <w:jc w:val="center"/>
              <w:rPr>
                <w:lang w:eastAsia="en-US"/>
              </w:rPr>
            </w:pPr>
            <w:r w:rsidRPr="001351FC">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5761C9" w14:textId="0C38D069" w:rsidR="000C4928" w:rsidRDefault="00B650B7" w:rsidP="001351FC">
            <w:pPr>
              <w:jc w:val="both"/>
              <w:rPr>
                <w:lang w:eastAsia="en-US"/>
              </w:rPr>
            </w:pPr>
            <w:r w:rsidRPr="001351FC">
              <w:t xml:space="preserve">Pašreizējā situācija un problēmas, kuru risināšanai tiesību akta projekts izstrādāts, tiesiskā regulējuma mērķis un būtība </w:t>
            </w:r>
          </w:p>
          <w:p w14:paraId="11956AC0" w14:textId="77777777" w:rsidR="000C4928" w:rsidRPr="000C4928" w:rsidRDefault="000C4928" w:rsidP="000C4928">
            <w:pPr>
              <w:rPr>
                <w:lang w:eastAsia="en-US"/>
              </w:rPr>
            </w:pPr>
          </w:p>
          <w:p w14:paraId="53E85AAA" w14:textId="77777777" w:rsidR="000C4928" w:rsidRPr="000C4928" w:rsidRDefault="000C4928" w:rsidP="000C4928">
            <w:pPr>
              <w:rPr>
                <w:lang w:eastAsia="en-US"/>
              </w:rPr>
            </w:pPr>
          </w:p>
          <w:p w14:paraId="3C8FD5BE" w14:textId="77777777" w:rsidR="000C4928" w:rsidRPr="000C4928" w:rsidRDefault="000C4928" w:rsidP="000C4928">
            <w:pPr>
              <w:rPr>
                <w:lang w:eastAsia="en-US"/>
              </w:rPr>
            </w:pPr>
          </w:p>
          <w:p w14:paraId="435B1928" w14:textId="77777777" w:rsidR="000C4928" w:rsidRPr="000C4928" w:rsidRDefault="000C4928" w:rsidP="000C4928">
            <w:pPr>
              <w:rPr>
                <w:lang w:eastAsia="en-US"/>
              </w:rPr>
            </w:pPr>
          </w:p>
          <w:p w14:paraId="06F0F358" w14:textId="77777777" w:rsidR="000C4928" w:rsidRPr="000C4928" w:rsidRDefault="000C4928" w:rsidP="000C4928">
            <w:pPr>
              <w:rPr>
                <w:lang w:eastAsia="en-US"/>
              </w:rPr>
            </w:pPr>
          </w:p>
          <w:p w14:paraId="6F4BA365" w14:textId="77777777" w:rsidR="000C4928" w:rsidRPr="000C4928" w:rsidRDefault="000C4928" w:rsidP="000C4928">
            <w:pPr>
              <w:rPr>
                <w:lang w:eastAsia="en-US"/>
              </w:rPr>
            </w:pPr>
          </w:p>
          <w:p w14:paraId="73EEE8D2" w14:textId="77777777" w:rsidR="000C4928" w:rsidRPr="000C4928" w:rsidRDefault="000C4928" w:rsidP="000C4928">
            <w:pPr>
              <w:rPr>
                <w:lang w:eastAsia="en-US"/>
              </w:rPr>
            </w:pPr>
          </w:p>
          <w:p w14:paraId="12A8E252" w14:textId="77777777" w:rsidR="000C4928" w:rsidRPr="000C4928" w:rsidRDefault="000C4928" w:rsidP="000C4928">
            <w:pPr>
              <w:rPr>
                <w:lang w:eastAsia="en-US"/>
              </w:rPr>
            </w:pPr>
          </w:p>
          <w:p w14:paraId="1E2366BF" w14:textId="77777777" w:rsidR="000C4928" w:rsidRPr="000C4928" w:rsidRDefault="000C4928" w:rsidP="000C4928">
            <w:pPr>
              <w:rPr>
                <w:lang w:eastAsia="en-US"/>
              </w:rPr>
            </w:pPr>
          </w:p>
          <w:p w14:paraId="028F834A" w14:textId="77777777" w:rsidR="000C4928" w:rsidRPr="000C4928" w:rsidRDefault="000C4928" w:rsidP="000C4928">
            <w:pPr>
              <w:rPr>
                <w:lang w:eastAsia="en-US"/>
              </w:rPr>
            </w:pPr>
          </w:p>
          <w:p w14:paraId="7AA0072F" w14:textId="56AC4CAD" w:rsidR="000C4928" w:rsidRDefault="000C4928" w:rsidP="000C4928">
            <w:pPr>
              <w:rPr>
                <w:lang w:eastAsia="en-US"/>
              </w:rPr>
            </w:pPr>
          </w:p>
          <w:p w14:paraId="2B067BCB" w14:textId="32C7D74A" w:rsidR="000C4928" w:rsidRDefault="000C4928" w:rsidP="000C4928">
            <w:pPr>
              <w:rPr>
                <w:lang w:eastAsia="en-US"/>
              </w:rPr>
            </w:pPr>
          </w:p>
          <w:p w14:paraId="379B02BB" w14:textId="77777777" w:rsidR="00055596" w:rsidRPr="000C4928" w:rsidRDefault="00055596" w:rsidP="000C4928">
            <w:pPr>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2E5B9181" w14:textId="746E60EB" w:rsidR="00DB3555" w:rsidRPr="00EF394B" w:rsidRDefault="00DB3555" w:rsidP="00487E74">
            <w:pPr>
              <w:ind w:left="48" w:right="60"/>
              <w:jc w:val="both"/>
              <w:rPr>
                <w:rFonts w:eastAsia="Times New Roman"/>
              </w:rPr>
            </w:pPr>
            <w:r w:rsidRPr="00EF394B">
              <w:rPr>
                <w:rFonts w:eastAsia="Times New Roman"/>
              </w:rPr>
              <w:t xml:space="preserve">Ministru kabineta </w:t>
            </w:r>
            <w:r w:rsidR="00470EB6" w:rsidRPr="00EF394B">
              <w:rPr>
                <w:rFonts w:eastAsia="Times New Roman"/>
              </w:rPr>
              <w:t>2017</w:t>
            </w:r>
            <w:r w:rsidRPr="00EF394B">
              <w:rPr>
                <w:rFonts w:eastAsia="Times New Roman"/>
              </w:rPr>
              <w:t xml:space="preserve">. gada </w:t>
            </w:r>
            <w:r w:rsidR="00470EB6" w:rsidRPr="00EF394B">
              <w:rPr>
                <w:rFonts w:eastAsia="Times New Roman"/>
              </w:rPr>
              <w:t>22</w:t>
            </w:r>
            <w:r w:rsidRPr="00EF394B">
              <w:rPr>
                <w:rFonts w:eastAsia="Times New Roman"/>
              </w:rPr>
              <w:t xml:space="preserve">. </w:t>
            </w:r>
            <w:r w:rsidR="00470EB6" w:rsidRPr="00EF394B">
              <w:rPr>
                <w:rFonts w:eastAsia="Times New Roman"/>
              </w:rPr>
              <w:t xml:space="preserve">augusta </w:t>
            </w:r>
            <w:r w:rsidRPr="00EF394B">
              <w:rPr>
                <w:rFonts w:eastAsia="Times New Roman"/>
              </w:rPr>
              <w:t>noteikumos Nr.</w:t>
            </w:r>
            <w:r w:rsidR="00470EB6" w:rsidRPr="00EF394B">
              <w:rPr>
                <w:rFonts w:eastAsia="Times New Roman"/>
              </w:rPr>
              <w:t xml:space="preserve">487 </w:t>
            </w:r>
            <w:r w:rsidRPr="00EF394B">
              <w:rPr>
                <w:rFonts w:eastAsia="Times New Roman"/>
              </w:rPr>
              <w:t xml:space="preserve">„Darbības programmas "Izaugsme un nodarbinātība” </w:t>
            </w:r>
            <w:r w:rsidRPr="00EF394B">
              <w:rPr>
                <w:bCs/>
                <w:lang w:eastAsia="en-US"/>
              </w:rPr>
              <w:t>8.3.6. specifiskā atbalsta mērķa “Ieviest izglītības kvalitātes monitoringa sistēmu” 8.3.6.</w:t>
            </w:r>
            <w:r w:rsidR="00984570" w:rsidRPr="00EF394B">
              <w:rPr>
                <w:bCs/>
                <w:lang w:eastAsia="en-US"/>
              </w:rPr>
              <w:t>2</w:t>
            </w:r>
            <w:r w:rsidRPr="00EF394B">
              <w:rPr>
                <w:bCs/>
                <w:lang w:eastAsia="en-US"/>
              </w:rPr>
              <w:t>. pasākuma “</w:t>
            </w:r>
            <w:r w:rsidR="00984570" w:rsidRPr="00EF394B">
              <w:rPr>
                <w:bCs/>
                <w:lang w:eastAsia="en-US"/>
              </w:rPr>
              <w:t>Izglītības kvalitātes monitoringa sistēmas izveide</w:t>
            </w:r>
            <w:r w:rsidRPr="00EF394B">
              <w:rPr>
                <w:bCs/>
                <w:lang w:eastAsia="en-US"/>
              </w:rPr>
              <w:t xml:space="preserve">” (turpmāk - noteikumi) </w:t>
            </w:r>
            <w:r w:rsidRPr="00EF394B">
              <w:rPr>
                <w:rFonts w:eastAsia="Times New Roman"/>
              </w:rPr>
              <w:t>ir noteikta kārtība, kādā īstenojams 8.3.6.</w:t>
            </w:r>
            <w:r w:rsidR="008A2DB8" w:rsidRPr="00EF394B">
              <w:rPr>
                <w:rFonts w:eastAsia="Times New Roman"/>
              </w:rPr>
              <w:t>2</w:t>
            </w:r>
            <w:r w:rsidRPr="00EF394B">
              <w:rPr>
                <w:rFonts w:eastAsia="Times New Roman"/>
              </w:rPr>
              <w:t>.  pasākums „</w:t>
            </w:r>
            <w:r w:rsidR="008A2DB8" w:rsidRPr="00EF394B">
              <w:rPr>
                <w:bCs/>
                <w:lang w:eastAsia="en-US"/>
              </w:rPr>
              <w:t>Izglītības kvalitātes monitoringa sistēmas izveide</w:t>
            </w:r>
            <w:r w:rsidRPr="00EF394B">
              <w:rPr>
                <w:rFonts w:eastAsia="Times New Roman"/>
              </w:rPr>
              <w:t>” (turpmāk – 8.3.6.</w:t>
            </w:r>
            <w:r w:rsidR="008A2DB8" w:rsidRPr="00EF394B">
              <w:rPr>
                <w:rFonts w:eastAsia="Times New Roman"/>
              </w:rPr>
              <w:t>2</w:t>
            </w:r>
            <w:r w:rsidRPr="00EF394B">
              <w:rPr>
                <w:rFonts w:eastAsia="Times New Roman"/>
              </w:rPr>
              <w:t>.pasākums). 8.3.6.</w:t>
            </w:r>
            <w:r w:rsidR="008A2DB8" w:rsidRPr="00EF394B">
              <w:rPr>
                <w:rFonts w:eastAsia="Times New Roman"/>
              </w:rPr>
              <w:t>2</w:t>
            </w:r>
            <w:r w:rsidRPr="00EF394B">
              <w:rPr>
                <w:rFonts w:eastAsia="Times New Roman"/>
              </w:rPr>
              <w:t>.pasākuma ieviešanu nodrošina Izglītības un zinātnes ministrija, kas īsteno projektu “</w:t>
            </w:r>
            <w:r w:rsidR="008A2DB8" w:rsidRPr="00EF394B">
              <w:rPr>
                <w:color w:val="000000"/>
              </w:rPr>
              <w:t>Izglītības kvalitātes monitoringa sistēmas izveide un īstenošana</w:t>
            </w:r>
            <w:r w:rsidRPr="00EF394B">
              <w:rPr>
                <w:rFonts w:eastAsia="Times New Roman"/>
              </w:rPr>
              <w:t xml:space="preserve">” (Nr. </w:t>
            </w:r>
            <w:r w:rsidR="008A2DB8" w:rsidRPr="00EF394B">
              <w:rPr>
                <w:color w:val="000000"/>
              </w:rPr>
              <w:t>8.3.6.2/17/I/001</w:t>
            </w:r>
            <w:r w:rsidRPr="00EF394B">
              <w:rPr>
                <w:rFonts w:eastAsia="Times New Roman"/>
              </w:rPr>
              <w:t>) (turpmāk – projekts) un ir finansējuma saņēmējs.</w:t>
            </w:r>
          </w:p>
          <w:p w14:paraId="3E48562F" w14:textId="6987086A" w:rsidR="00EF394B" w:rsidRPr="00EF394B" w:rsidRDefault="00B80A9F" w:rsidP="00487E74">
            <w:pPr>
              <w:pStyle w:val="CommentText"/>
              <w:spacing w:after="0"/>
              <w:jc w:val="both"/>
              <w:rPr>
                <w:rFonts w:ascii="Times New Roman" w:hAnsi="Times New Roman"/>
                <w:sz w:val="24"/>
                <w:szCs w:val="24"/>
                <w:lang w:val="lv-LV"/>
              </w:rPr>
            </w:pPr>
            <w:r>
              <w:rPr>
                <w:rFonts w:ascii="Times New Roman" w:eastAsia="Times New Roman" w:hAnsi="Times New Roman"/>
                <w:sz w:val="24"/>
                <w:szCs w:val="24"/>
              </w:rPr>
              <w:t xml:space="preserve">Noteikumu </w:t>
            </w:r>
            <w:r w:rsidR="00EF394B">
              <w:rPr>
                <w:rFonts w:ascii="Times New Roman" w:eastAsiaTheme="minorHAnsi" w:hAnsi="Times New Roman"/>
                <w:sz w:val="24"/>
                <w:szCs w:val="24"/>
                <w:lang w:val="lv-LV" w:eastAsia="en-US"/>
              </w:rPr>
              <w:t xml:space="preserve">19.3.apakšpunkts paredz nacionālo pētījumu īstenošanu. </w:t>
            </w:r>
            <w:r w:rsidR="00EF394B" w:rsidRPr="00EF394B">
              <w:rPr>
                <w:rFonts w:ascii="Times New Roman" w:hAnsi="Times New Roman"/>
                <w:sz w:val="24"/>
                <w:szCs w:val="24"/>
                <w:lang w:val="lv-LV"/>
              </w:rPr>
              <w:t xml:space="preserve">Saskaņā ar apstiprināto projektu nacionālo </w:t>
            </w:r>
            <w:r w:rsidR="00EF394B">
              <w:rPr>
                <w:rFonts w:ascii="Times New Roman" w:hAnsi="Times New Roman"/>
                <w:sz w:val="24"/>
                <w:szCs w:val="24"/>
                <w:lang w:val="lv-LV"/>
              </w:rPr>
              <w:t>pētījumu īstenošana</w:t>
            </w:r>
            <w:r w:rsidR="001E72BE">
              <w:rPr>
                <w:rFonts w:ascii="Times New Roman" w:hAnsi="Times New Roman"/>
                <w:sz w:val="24"/>
                <w:szCs w:val="24"/>
                <w:lang w:val="lv-LV"/>
              </w:rPr>
              <w:t xml:space="preserve"> </w:t>
            </w:r>
            <w:r w:rsidR="00620D36">
              <w:rPr>
                <w:rFonts w:ascii="Times New Roman" w:hAnsi="Times New Roman"/>
                <w:sz w:val="24"/>
                <w:szCs w:val="24"/>
                <w:lang w:val="lv-LV"/>
              </w:rPr>
              <w:t>plānota augstākās izglītības un zinātn</w:t>
            </w:r>
            <w:r w:rsidR="00591DB1">
              <w:rPr>
                <w:rFonts w:ascii="Times New Roman" w:hAnsi="Times New Roman"/>
                <w:sz w:val="24"/>
                <w:szCs w:val="24"/>
                <w:lang w:val="lv-LV"/>
              </w:rPr>
              <w:t xml:space="preserve">isko </w:t>
            </w:r>
            <w:r w:rsidR="00EF394B">
              <w:rPr>
                <w:rFonts w:ascii="Times New Roman" w:hAnsi="Times New Roman"/>
                <w:sz w:val="24"/>
                <w:szCs w:val="24"/>
                <w:lang w:val="lv-LV"/>
              </w:rPr>
              <w:t>i</w:t>
            </w:r>
            <w:r w:rsidR="00EF394B" w:rsidRPr="00EF394B">
              <w:rPr>
                <w:rFonts w:ascii="Times New Roman" w:hAnsi="Times New Roman"/>
                <w:sz w:val="24"/>
                <w:szCs w:val="24"/>
                <w:lang w:val="lv-LV"/>
              </w:rPr>
              <w:t>nstitūciju nesaimnieciskās darbības ietvaros, t.i. īstenojama sadarbības projektu veidā</w:t>
            </w:r>
            <w:r w:rsidR="00EF394B">
              <w:rPr>
                <w:rFonts w:ascii="Times New Roman" w:hAnsi="Times New Roman"/>
                <w:sz w:val="24"/>
                <w:szCs w:val="24"/>
                <w:lang w:val="lv-LV"/>
              </w:rPr>
              <w:t xml:space="preserve">, vienlaicīgi stiprinot gan </w:t>
            </w:r>
            <w:r w:rsidR="00620D36">
              <w:rPr>
                <w:rFonts w:ascii="Times New Roman" w:hAnsi="Times New Roman"/>
                <w:sz w:val="24"/>
                <w:szCs w:val="24"/>
                <w:lang w:val="lv-LV"/>
              </w:rPr>
              <w:t>augstākās izglītības un zinātn</w:t>
            </w:r>
            <w:r w:rsidR="00591DB1">
              <w:rPr>
                <w:rFonts w:ascii="Times New Roman" w:hAnsi="Times New Roman"/>
                <w:sz w:val="24"/>
                <w:szCs w:val="24"/>
                <w:lang w:val="lv-LV"/>
              </w:rPr>
              <w:t>isko</w:t>
            </w:r>
            <w:r w:rsidR="00620D36" w:rsidRPr="00EF394B">
              <w:rPr>
                <w:rFonts w:ascii="Times New Roman" w:hAnsi="Times New Roman"/>
                <w:sz w:val="24"/>
                <w:szCs w:val="24"/>
                <w:lang w:val="lv-LV"/>
              </w:rPr>
              <w:t xml:space="preserve"> </w:t>
            </w:r>
            <w:r w:rsidR="00620D36">
              <w:rPr>
                <w:rFonts w:ascii="Times New Roman" w:hAnsi="Times New Roman"/>
                <w:sz w:val="24"/>
                <w:szCs w:val="24"/>
                <w:lang w:val="lv-LV"/>
              </w:rPr>
              <w:t>i</w:t>
            </w:r>
            <w:r w:rsidR="00620D36" w:rsidRPr="00EF394B">
              <w:rPr>
                <w:rFonts w:ascii="Times New Roman" w:hAnsi="Times New Roman"/>
                <w:sz w:val="24"/>
                <w:szCs w:val="24"/>
                <w:lang w:val="lv-LV"/>
              </w:rPr>
              <w:t>nstitūcij</w:t>
            </w:r>
            <w:r w:rsidR="00620D36">
              <w:rPr>
                <w:rFonts w:ascii="Times New Roman" w:hAnsi="Times New Roman"/>
                <w:sz w:val="24"/>
                <w:szCs w:val="24"/>
                <w:lang w:val="lv-LV"/>
              </w:rPr>
              <w:t xml:space="preserve">u </w:t>
            </w:r>
            <w:r w:rsidR="00EF394B" w:rsidRPr="00EF394B">
              <w:rPr>
                <w:rFonts w:ascii="Times New Roman" w:hAnsi="Times New Roman"/>
                <w:sz w:val="24"/>
                <w:szCs w:val="24"/>
                <w:lang w:val="lv-LV"/>
              </w:rPr>
              <w:t xml:space="preserve">kapacitāti, gan atbildot uz aktuālajiem izglītības politikas plānošanas jautājumiem. </w:t>
            </w:r>
            <w:r w:rsidR="001E72BE">
              <w:rPr>
                <w:rFonts w:ascii="Times New Roman" w:hAnsi="Times New Roman"/>
                <w:sz w:val="24"/>
                <w:szCs w:val="24"/>
                <w:lang w:val="lv-LV"/>
              </w:rPr>
              <w:t xml:space="preserve">Tādējādi svarīgi </w:t>
            </w:r>
            <w:r w:rsidR="00EF394B" w:rsidRPr="00EF394B">
              <w:rPr>
                <w:rFonts w:ascii="Times New Roman" w:hAnsi="Times New Roman"/>
                <w:sz w:val="24"/>
                <w:szCs w:val="24"/>
                <w:lang w:val="lv-LV"/>
              </w:rPr>
              <w:t xml:space="preserve">pētījumus īstenot sadarbības veidā, kur abām pusēm ir skaidri ieguvumi no sadarbības. </w:t>
            </w:r>
            <w:r w:rsidR="001E72BE">
              <w:rPr>
                <w:rFonts w:ascii="Times New Roman" w:hAnsi="Times New Roman"/>
                <w:sz w:val="24"/>
                <w:szCs w:val="24"/>
                <w:lang w:val="lv-LV"/>
              </w:rPr>
              <w:t>Šobrīd spēkā esošais noteikumu regulējums</w:t>
            </w:r>
            <w:r w:rsidR="00EF394B" w:rsidRPr="00EF394B">
              <w:rPr>
                <w:rFonts w:ascii="Times New Roman" w:hAnsi="Times New Roman"/>
                <w:sz w:val="24"/>
                <w:szCs w:val="24"/>
                <w:lang w:val="lv-LV"/>
              </w:rPr>
              <w:t xml:space="preserve"> </w:t>
            </w:r>
            <w:r w:rsidR="001E72BE">
              <w:rPr>
                <w:rFonts w:ascii="Times New Roman" w:hAnsi="Times New Roman"/>
                <w:sz w:val="24"/>
                <w:szCs w:val="24"/>
                <w:lang w:val="lv-LV"/>
              </w:rPr>
              <w:t>nenosaka</w:t>
            </w:r>
            <w:r w:rsidR="00EF394B" w:rsidRPr="00EF394B">
              <w:rPr>
                <w:rFonts w:ascii="Times New Roman" w:hAnsi="Times New Roman"/>
                <w:sz w:val="24"/>
                <w:szCs w:val="24"/>
                <w:lang w:val="lv-LV"/>
              </w:rPr>
              <w:t xml:space="preserve"> deleģējum</w:t>
            </w:r>
            <w:r w:rsidR="001E72BE">
              <w:rPr>
                <w:rFonts w:ascii="Times New Roman" w:hAnsi="Times New Roman"/>
                <w:sz w:val="24"/>
                <w:szCs w:val="24"/>
                <w:lang w:val="lv-LV"/>
              </w:rPr>
              <w:t>u</w:t>
            </w:r>
            <w:r w:rsidR="00EF394B" w:rsidRPr="00EF394B">
              <w:rPr>
                <w:rFonts w:ascii="Times New Roman" w:hAnsi="Times New Roman"/>
                <w:sz w:val="24"/>
                <w:szCs w:val="24"/>
                <w:lang w:val="lv-LV"/>
              </w:rPr>
              <w:t xml:space="preserve"> </w:t>
            </w:r>
            <w:r w:rsidR="001E72BE">
              <w:rPr>
                <w:rFonts w:ascii="Times New Roman" w:hAnsi="Times New Roman"/>
                <w:sz w:val="24"/>
                <w:szCs w:val="24"/>
                <w:lang w:val="lv-LV"/>
              </w:rPr>
              <w:t>slēgt</w:t>
            </w:r>
            <w:r w:rsidR="00EF394B" w:rsidRPr="00EF394B">
              <w:rPr>
                <w:rFonts w:ascii="Times New Roman" w:hAnsi="Times New Roman"/>
                <w:sz w:val="24"/>
                <w:szCs w:val="24"/>
                <w:lang w:val="lv-LV"/>
              </w:rPr>
              <w:t xml:space="preserve"> sadarbības līgum</w:t>
            </w:r>
            <w:r w:rsidR="001E72BE">
              <w:rPr>
                <w:rFonts w:ascii="Times New Roman" w:hAnsi="Times New Roman"/>
                <w:sz w:val="24"/>
                <w:szCs w:val="24"/>
                <w:lang w:val="lv-LV"/>
              </w:rPr>
              <w:t>u</w:t>
            </w:r>
            <w:r w:rsidR="00EF394B" w:rsidRPr="00EF394B">
              <w:rPr>
                <w:rFonts w:ascii="Times New Roman" w:hAnsi="Times New Roman"/>
                <w:sz w:val="24"/>
                <w:szCs w:val="24"/>
                <w:lang w:val="lv-LV"/>
              </w:rPr>
              <w:t xml:space="preserve"> ar nacionālā līmeņa izglītības pētījumu īstenotājiem. </w:t>
            </w:r>
          </w:p>
          <w:p w14:paraId="0BF1009C" w14:textId="35FC4EF3" w:rsidR="002F7398" w:rsidRDefault="00AB7CBC" w:rsidP="00487E74">
            <w:pPr>
              <w:keepNext/>
              <w:jc w:val="both"/>
              <w:outlineLvl w:val="0"/>
              <w:rPr>
                <w:rFonts w:eastAsiaTheme="minorHAnsi"/>
                <w:lang w:eastAsia="en-US"/>
              </w:rPr>
            </w:pPr>
            <w:r>
              <w:rPr>
                <w:rFonts w:eastAsiaTheme="minorHAnsi"/>
              </w:rPr>
              <w:t xml:space="preserve">Vienlaikus </w:t>
            </w:r>
            <w:r w:rsidR="002F7398" w:rsidRPr="002F7398">
              <w:rPr>
                <w:rFonts w:eastAsiaTheme="minorHAnsi"/>
              </w:rPr>
              <w:t xml:space="preserve">2018.gada 9.janvārī Ministru kabinetā tika prezentēts informatīvais ziņojums </w:t>
            </w:r>
            <w:r w:rsidR="002F7398" w:rsidRPr="002F7398">
              <w:rPr>
                <w:rFonts w:eastAsiaTheme="minorHAnsi"/>
                <w:bCs/>
                <w:lang w:eastAsia="en-US"/>
              </w:rPr>
              <w:t>“Priekšlikumi konceptuāli jaunas kompetencēs balstītas izglītības prasībām atbilstošas skolotāju izglītības nodrošināšanai Latvijā”, kura ietvaros viens no Izglītības un zinātnes ministrijas priekšlikumiem ir</w:t>
            </w:r>
            <w:r w:rsidR="002F7398" w:rsidRPr="002F7398">
              <w:rPr>
                <w:rFonts w:eastAsiaTheme="minorHAnsi"/>
                <w:b/>
                <w:bCs/>
                <w:lang w:eastAsia="en-US"/>
              </w:rPr>
              <w:t xml:space="preserve"> - </w:t>
            </w:r>
            <w:r w:rsidR="002F7398" w:rsidRPr="002F7398">
              <w:rPr>
                <w:rFonts w:eastAsiaTheme="minorHAnsi"/>
                <w:lang w:eastAsia="en-US"/>
              </w:rPr>
              <w:t xml:space="preserve">lai nodrošinātu resursu koplietošanu un sinerģiju starp dažādām augstskolu kompetencēm doktorantūras līmenī, ir jāizveido viena </w:t>
            </w:r>
            <w:proofErr w:type="spellStart"/>
            <w:r w:rsidR="002F7398" w:rsidRPr="002F7398">
              <w:rPr>
                <w:rFonts w:eastAsiaTheme="minorHAnsi"/>
                <w:lang w:eastAsia="en-US"/>
              </w:rPr>
              <w:t>starpaugstskolu</w:t>
            </w:r>
            <w:proofErr w:type="spellEnd"/>
            <w:r w:rsidR="002F7398" w:rsidRPr="002F7398">
              <w:rPr>
                <w:rFonts w:eastAsiaTheme="minorHAnsi"/>
                <w:lang w:eastAsia="en-US"/>
              </w:rPr>
              <w:t xml:space="preserve"> kopīgā doktora studiju programma, kuras moduļi tiek īstenoti vairākās augstskolās, tādējādi veicinot doktorantūras studentu iekšējo mobilitāti, palielinot augstskolu pētniecības kapacitāti.   Šīs studiju </w:t>
            </w:r>
            <w:r w:rsidR="002F7398" w:rsidRPr="002F7398">
              <w:rPr>
                <w:rFonts w:eastAsiaTheme="minorHAnsi"/>
                <w:lang w:eastAsia="en-US"/>
              </w:rPr>
              <w:lastRenderedPageBreak/>
              <w:t xml:space="preserve">programmas ietvaros jāizveido doktorantūras skola pedagoģijai augstākajā izglītībā, kura nodrošinātu gan darbam augstskolā nepieciešamo kompetenču apguvi visu jomu doktora studiju programmu studentiem, gan nodrošinātu aktuālu piedāvājumu augstskolu akadēmiskā personāla profesionālo kompetenču pilnveidei. </w:t>
            </w:r>
            <w:r>
              <w:rPr>
                <w:rFonts w:eastAsiaTheme="minorHAnsi"/>
                <w:lang w:eastAsia="en-US"/>
              </w:rPr>
              <w:t>T</w:t>
            </w:r>
            <w:r w:rsidR="002F7398" w:rsidRPr="002F7398">
              <w:rPr>
                <w:rFonts w:eastAsiaTheme="minorHAnsi"/>
                <w:lang w:eastAsia="en-US"/>
              </w:rPr>
              <w:t xml:space="preserve">ieši tāpēc arī šī projekta ietvaros ir svarīgi veidot kopīgu sadarbības modeli, kas nodrošinātu resursu koplietošanu un zināšanu pārnesi. </w:t>
            </w:r>
          </w:p>
          <w:p w14:paraId="56D6F55A" w14:textId="6FE02D9A" w:rsidR="00A04CAF" w:rsidRDefault="00A04CAF" w:rsidP="00A04CAF">
            <w:pPr>
              <w:jc w:val="both"/>
              <w:rPr>
                <w:b/>
                <w:lang w:eastAsia="en-US"/>
              </w:rPr>
            </w:pPr>
            <w:r w:rsidRPr="00521A07">
              <w:rPr>
                <w:lang w:eastAsia="en-US"/>
              </w:rPr>
              <w:t xml:space="preserve">Ņemot vērā minēto tiek veikti grozījumi </w:t>
            </w:r>
            <w:r>
              <w:t>noteikumos</w:t>
            </w:r>
            <w:r w:rsidRPr="00521A07">
              <w:rPr>
                <w:lang w:eastAsia="en-US"/>
              </w:rPr>
              <w:t xml:space="preserve">, </w:t>
            </w:r>
            <w:r w:rsidRPr="00B55459">
              <w:rPr>
                <w:lang w:eastAsia="en-US"/>
              </w:rPr>
              <w:t xml:space="preserve">lai korekti  atspoguļotu faktiski esošo situāciju projektā (t.i. jau projekta pieteikumā ir apstiprināts, ka pētījumi tiks veikti nesaimnieciskās darbības ietvaros un uz tiem nav attiecināms pievienotās vērtības nodoklis), </w:t>
            </w:r>
            <w:r w:rsidRPr="00521A07">
              <w:rPr>
                <w:lang w:eastAsia="en-US"/>
              </w:rPr>
              <w:t xml:space="preserve">paredzot  nacionālo pētījumu veikšanai  kā potenciālos sadarbības partnerus izvēlēties augstākās izglītības un zinātniskās institūcijas, kas īsteno izglītības programmas akreditētajā virzienā “Izglītība, pedagoģija un sports”. </w:t>
            </w:r>
            <w:r w:rsidRPr="00521A07">
              <w:t>Tādējādi tiks veicināta augstskolu sadarbība un attīstīta specializācija, stiprinot to akadēmisko un pētniecisko kapacitāti.</w:t>
            </w:r>
            <w:r w:rsidRPr="00521A07">
              <w:rPr>
                <w:lang w:eastAsia="en-US"/>
              </w:rPr>
              <w:t xml:space="preserve"> </w:t>
            </w:r>
            <w:r w:rsidRPr="00B55459">
              <w:rPr>
                <w:lang w:eastAsia="en-US"/>
              </w:rPr>
              <w:t>Izstrādājot prasības pētījumu īstenotājiem, IZM ir ņēmis vērā aktuālās nozares attīstības tendences, veicot situācijas analīzi un uzskatot, ka pētījumu īstenotājiem izvirzāmās prasības būs samērojamas ar Latvijas zinātnisko institūciju kapacitāti.</w:t>
            </w:r>
            <w:r w:rsidR="00B55459">
              <w:rPr>
                <w:b/>
                <w:lang w:eastAsia="en-US"/>
              </w:rPr>
              <w:t xml:space="preserve"> </w:t>
            </w:r>
          </w:p>
          <w:p w14:paraId="6E9CA01A" w14:textId="77777777" w:rsidR="00C40D85" w:rsidRPr="00350473" w:rsidRDefault="002C6A6F" w:rsidP="00C40D85">
            <w:pPr>
              <w:jc w:val="both"/>
              <w:rPr>
                <w:rFonts w:eastAsia="Times New Roman"/>
              </w:rPr>
            </w:pPr>
            <w:r w:rsidRPr="002F7398">
              <w:rPr>
                <w:lang w:eastAsia="en-US"/>
              </w:rPr>
              <w:t xml:space="preserve">Pētījuma īstenošanai, </w:t>
            </w:r>
            <w:r w:rsidR="0047345E">
              <w:rPr>
                <w:lang w:eastAsia="en-US"/>
              </w:rPr>
              <w:t>finansējuma saņēmējs</w:t>
            </w:r>
            <w:r w:rsidRPr="002F7398">
              <w:rPr>
                <w:lang w:eastAsia="en-US"/>
              </w:rPr>
              <w:t xml:space="preserve"> un pētījuma</w:t>
            </w:r>
            <w:r w:rsidR="00481966">
              <w:rPr>
                <w:lang w:eastAsia="en-US"/>
              </w:rPr>
              <w:t xml:space="preserve"> sadarbības</w:t>
            </w:r>
            <w:r w:rsidRPr="002F7398">
              <w:rPr>
                <w:lang w:eastAsia="en-US"/>
              </w:rPr>
              <w:t xml:space="preserve"> partneris/-i slē</w:t>
            </w:r>
            <w:r w:rsidR="00F566EB">
              <w:rPr>
                <w:lang w:eastAsia="en-US"/>
              </w:rPr>
              <w:t>gs</w:t>
            </w:r>
            <w:r w:rsidRPr="002F7398">
              <w:rPr>
                <w:lang w:eastAsia="en-US"/>
              </w:rPr>
              <w:t xml:space="preserve"> sadarbības līgumu. </w:t>
            </w:r>
            <w:r w:rsidR="00C40D85">
              <w:t xml:space="preserve">Attiecīgi finansējuma saņēmējs izstrādās </w:t>
            </w:r>
            <w:r w:rsidR="00C40D85" w:rsidRPr="00350473">
              <w:t>iekšējo nolikumu par nacionālā līmeņa pētījumu programmu izglītībā īstenošanu</w:t>
            </w:r>
            <w:r w:rsidR="00C40D85">
              <w:rPr>
                <w:b/>
              </w:rPr>
              <w:t xml:space="preserve"> </w:t>
            </w:r>
            <w:r w:rsidR="00C40D85">
              <w:t>(noteiks plānoto pētījumu īstenošanas pamatprincipus, t.i. prasības pētījuma pieteicējai – augstskolai, kas ir zinātniskā institūcija, pētījuma īstenotājiem, pētnieku komandai, pētījuma pieteikuma sagatavošanas, izvērtēšanas un apstiprināšanas kritērijus un kārtību)</w:t>
            </w:r>
            <w:r w:rsidR="00C40D85">
              <w:rPr>
                <w:b/>
              </w:rPr>
              <w:t xml:space="preserve">  </w:t>
            </w:r>
            <w:r w:rsidR="00C40D85" w:rsidRPr="00350473">
              <w:t>izvirzot sadarbības partnerim šādas prasības:</w:t>
            </w:r>
          </w:p>
          <w:p w14:paraId="16AEFF22" w14:textId="6C537D7A" w:rsidR="009C0FA7" w:rsidRPr="00DF0189" w:rsidRDefault="00F43712" w:rsidP="00487E74">
            <w:pPr>
              <w:numPr>
                <w:ilvl w:val="0"/>
                <w:numId w:val="14"/>
              </w:numPr>
              <w:contextualSpacing/>
              <w:jc w:val="both"/>
              <w:rPr>
                <w:lang w:eastAsia="en-US"/>
              </w:rPr>
            </w:pPr>
            <w:r w:rsidRPr="00DF0189">
              <w:t>p</w:t>
            </w:r>
            <w:r w:rsidR="009C0FA7" w:rsidRPr="00DF0189">
              <w:t xml:space="preserve">ētījuma pieteicēja </w:t>
            </w:r>
            <w:r w:rsidRPr="00DF0189">
              <w:t>–</w:t>
            </w:r>
            <w:r w:rsidR="009C0FA7" w:rsidRPr="00DF0189">
              <w:t xml:space="preserve"> </w:t>
            </w:r>
            <w:r w:rsidRPr="00DF0189">
              <w:t xml:space="preserve">augstskola, kas </w:t>
            </w:r>
            <w:r w:rsidR="009C0FA7" w:rsidRPr="00DF0189">
              <w:t>ir reģistrēta Latvijas Republikas Zinātnisko institūciju reģistrā;</w:t>
            </w:r>
          </w:p>
          <w:p w14:paraId="5C41CB12" w14:textId="632A82E1" w:rsidR="002C6A6F" w:rsidRPr="002F7398" w:rsidRDefault="002C6A6F" w:rsidP="00487E74">
            <w:pPr>
              <w:numPr>
                <w:ilvl w:val="0"/>
                <w:numId w:val="14"/>
              </w:numPr>
              <w:contextualSpacing/>
              <w:jc w:val="both"/>
              <w:rPr>
                <w:lang w:eastAsia="en-US"/>
              </w:rPr>
            </w:pPr>
            <w:r w:rsidRPr="002F7398">
              <w:rPr>
                <w:lang w:eastAsia="en-US"/>
              </w:rPr>
              <w:t>pētnieku komand</w:t>
            </w:r>
            <w:r w:rsidR="008A7475">
              <w:rPr>
                <w:lang w:eastAsia="en-US"/>
              </w:rPr>
              <w:t>u</w:t>
            </w:r>
            <w:r w:rsidRPr="002F7398">
              <w:rPr>
                <w:lang w:eastAsia="en-US"/>
              </w:rPr>
              <w:t xml:space="preserve"> </w:t>
            </w:r>
            <w:r w:rsidR="008A7475" w:rsidRPr="00DF0189">
              <w:rPr>
                <w:lang w:eastAsia="en-US"/>
              </w:rPr>
              <w:t>veido</w:t>
            </w:r>
            <w:r w:rsidRPr="002F7398">
              <w:rPr>
                <w:lang w:eastAsia="en-US"/>
              </w:rPr>
              <w:t>: pētījuma vadītāj</w:t>
            </w:r>
            <w:r w:rsidR="008A7475">
              <w:rPr>
                <w:lang w:eastAsia="en-US"/>
              </w:rPr>
              <w:t>s</w:t>
            </w:r>
            <w:r w:rsidRPr="002F7398">
              <w:rPr>
                <w:lang w:eastAsia="en-US"/>
              </w:rPr>
              <w:t xml:space="preserve"> (administratīvos jautājumos), pētījuma </w:t>
            </w:r>
            <w:r w:rsidR="00BD1198">
              <w:rPr>
                <w:lang w:eastAsia="en-US"/>
              </w:rPr>
              <w:t>īstenotāji</w:t>
            </w:r>
            <w:r w:rsidRPr="002F7398">
              <w:rPr>
                <w:lang w:eastAsia="en-US"/>
              </w:rPr>
              <w:t xml:space="preserve"> -  vadošais pētnieks (zinātniskais vadītājs),  vadošie pētnieki,  pētnieki, eksperti, zinātniskie asistenti, augstskolās studējošie un doktora zinātniskā grāda pretendenti;</w:t>
            </w:r>
          </w:p>
          <w:p w14:paraId="6318612E" w14:textId="77777777" w:rsidR="002C6A6F" w:rsidRPr="002F7398" w:rsidRDefault="002C6A6F" w:rsidP="00487E74">
            <w:pPr>
              <w:numPr>
                <w:ilvl w:val="0"/>
                <w:numId w:val="14"/>
              </w:numPr>
              <w:contextualSpacing/>
              <w:jc w:val="both"/>
              <w:rPr>
                <w:lang w:eastAsia="en-US"/>
              </w:rPr>
            </w:pPr>
            <w:r w:rsidRPr="002F7398">
              <w:rPr>
                <w:lang w:eastAsia="en-US"/>
              </w:rPr>
              <w:t>kā partnerus pētījuma aktivitāšu īstenošanai piesaista pētniekus un ekspertus no augstākās izglītības iestādēm, kas īsteno studijas pedagoģijas studiju programmas un/vai pētniecību izglītībā;</w:t>
            </w:r>
          </w:p>
          <w:p w14:paraId="39551447" w14:textId="7F93EBA2" w:rsidR="002C6A6F" w:rsidRPr="002F7398" w:rsidRDefault="002C6A6F" w:rsidP="00487E74">
            <w:pPr>
              <w:numPr>
                <w:ilvl w:val="0"/>
                <w:numId w:val="14"/>
              </w:numPr>
              <w:contextualSpacing/>
              <w:jc w:val="both"/>
              <w:rPr>
                <w:lang w:eastAsia="en-US"/>
              </w:rPr>
            </w:pPr>
            <w:r w:rsidRPr="002F7398">
              <w:rPr>
                <w:lang w:eastAsia="en-US"/>
              </w:rPr>
              <w:t xml:space="preserve">pētījuma </w:t>
            </w:r>
            <w:proofErr w:type="spellStart"/>
            <w:r w:rsidRPr="002F7398">
              <w:rPr>
                <w:lang w:eastAsia="en-US"/>
              </w:rPr>
              <w:t>starpdisciplinaritātes</w:t>
            </w:r>
            <w:proofErr w:type="spellEnd"/>
            <w:r w:rsidRPr="002F7398">
              <w:rPr>
                <w:lang w:eastAsia="en-US"/>
              </w:rPr>
              <w:t xml:space="preserve">  un ārējās ekspertīzes nodrošināšanai atsevišķu darba uzdevumu izpildei, </w:t>
            </w:r>
            <w:r w:rsidR="008A7475" w:rsidRPr="00DF0189">
              <w:rPr>
                <w:lang w:eastAsia="en-US"/>
              </w:rPr>
              <w:t>pētījuma pieteicēja</w:t>
            </w:r>
            <w:r w:rsidRPr="00DF0189">
              <w:rPr>
                <w:lang w:eastAsia="en-US"/>
              </w:rPr>
              <w:t xml:space="preserve"> var piesaistīt pētniekus un ekspertus no citām</w:t>
            </w:r>
            <w:r w:rsidRPr="002F7398">
              <w:rPr>
                <w:lang w:eastAsia="en-US"/>
              </w:rPr>
              <w:t xml:space="preserve"> institūcijām, tai skaitā no ārvalstīm;</w:t>
            </w:r>
          </w:p>
          <w:p w14:paraId="0FF7B738" w14:textId="77777777" w:rsidR="002C6A6F" w:rsidRPr="002F7398" w:rsidRDefault="002C6A6F" w:rsidP="00487E74">
            <w:pPr>
              <w:numPr>
                <w:ilvl w:val="0"/>
                <w:numId w:val="14"/>
              </w:numPr>
              <w:contextualSpacing/>
              <w:jc w:val="both"/>
              <w:rPr>
                <w:lang w:eastAsia="en-US"/>
              </w:rPr>
            </w:pPr>
            <w:r w:rsidRPr="002F7398">
              <w:rPr>
                <w:lang w:eastAsia="en-US"/>
              </w:rPr>
              <w:lastRenderedPageBreak/>
              <w:t>projekta darba uzdevumu izpildē jāiesaista augstskolās studējošo un doktora zinātniskā grāda pretendenti, kuru darba apjoms pētījuma ietvaros tiek noteikts pēc pētījuma ilguma un finanšu apjoma.</w:t>
            </w:r>
          </w:p>
          <w:p w14:paraId="0AF2B045" w14:textId="16A3B020" w:rsidR="002C6A6F" w:rsidRPr="009216D2" w:rsidRDefault="002C6A6F" w:rsidP="00487E74">
            <w:pPr>
              <w:jc w:val="both"/>
              <w:rPr>
                <w:lang w:eastAsia="en-US"/>
              </w:rPr>
            </w:pPr>
            <w:r w:rsidRPr="002F7398">
              <w:rPr>
                <w:lang w:eastAsia="en-US"/>
              </w:rPr>
              <w:t>Katra pētījuma īstenošanai ti</w:t>
            </w:r>
            <w:r w:rsidR="00F566EB">
              <w:rPr>
                <w:lang w:eastAsia="en-US"/>
              </w:rPr>
              <w:t>ks</w:t>
            </w:r>
            <w:r w:rsidRPr="002F7398">
              <w:rPr>
                <w:lang w:eastAsia="en-US"/>
              </w:rPr>
              <w:t xml:space="preserve"> izstrādāts pētījuma apraksts, definējot uzdevumus un sasniedzamos rezultātus, kurā tiek iekļautas specifiskās prasības</w:t>
            </w:r>
            <w:r w:rsidRPr="009216D2">
              <w:rPr>
                <w:lang w:eastAsia="en-US"/>
              </w:rPr>
              <w:t xml:space="preserve"> atbilstoši pētījuma tēmai. </w:t>
            </w:r>
          </w:p>
          <w:p w14:paraId="1B610795" w14:textId="77777777" w:rsidR="002C6A6F" w:rsidRPr="009751AB" w:rsidRDefault="002C6A6F" w:rsidP="00487E74">
            <w:pPr>
              <w:jc w:val="both"/>
              <w:rPr>
                <w:lang w:eastAsia="en-US"/>
              </w:rPr>
            </w:pPr>
          </w:p>
          <w:p w14:paraId="746CA1AA" w14:textId="47D9BB48" w:rsidR="002C6A6F" w:rsidRPr="009216D2" w:rsidRDefault="00F566EB" w:rsidP="00487E74">
            <w:pPr>
              <w:jc w:val="both"/>
              <w:rPr>
                <w:lang w:eastAsia="en-US"/>
              </w:rPr>
            </w:pPr>
            <w:r>
              <w:rPr>
                <w:lang w:eastAsia="en-US"/>
              </w:rPr>
              <w:t>Tādējādi i</w:t>
            </w:r>
            <w:r w:rsidR="002C6A6F" w:rsidRPr="009216D2">
              <w:rPr>
                <w:lang w:eastAsia="en-US"/>
              </w:rPr>
              <w:t xml:space="preserve">zvēlētās pētījuma </w:t>
            </w:r>
            <w:r w:rsidR="002C6A6F" w:rsidRPr="00985271">
              <w:rPr>
                <w:lang w:eastAsia="en-US"/>
              </w:rPr>
              <w:t xml:space="preserve">organizēšanas procedūras </w:t>
            </w:r>
            <w:r w:rsidR="002C6A6F" w:rsidRPr="009751AB">
              <w:rPr>
                <w:lang w:eastAsia="en-US"/>
              </w:rPr>
              <w:t>rezultātā ti</w:t>
            </w:r>
            <w:r>
              <w:rPr>
                <w:lang w:eastAsia="en-US"/>
              </w:rPr>
              <w:t>ks</w:t>
            </w:r>
            <w:r w:rsidR="002C6A6F" w:rsidRPr="009216D2">
              <w:rPr>
                <w:lang w:eastAsia="en-US"/>
              </w:rPr>
              <w:t>:</w:t>
            </w:r>
          </w:p>
          <w:p w14:paraId="0682DBFD" w14:textId="77777777" w:rsidR="002C6A6F" w:rsidRPr="009751AB" w:rsidRDefault="002C6A6F" w:rsidP="00487E74">
            <w:pPr>
              <w:numPr>
                <w:ilvl w:val="0"/>
                <w:numId w:val="15"/>
              </w:numPr>
              <w:contextualSpacing/>
              <w:jc w:val="both"/>
              <w:rPr>
                <w:lang w:eastAsia="en-US"/>
              </w:rPr>
            </w:pPr>
            <w:r w:rsidRPr="009751AB">
              <w:rPr>
                <w:lang w:eastAsia="en-US"/>
              </w:rPr>
              <w:t>stiprināta pedagoģijas un izglītības nozares pētnieku kapacitāte;</w:t>
            </w:r>
          </w:p>
          <w:p w14:paraId="653E3BAB" w14:textId="77777777" w:rsidR="002C6A6F" w:rsidRPr="002F7398" w:rsidRDefault="002C6A6F" w:rsidP="00487E74">
            <w:pPr>
              <w:numPr>
                <w:ilvl w:val="0"/>
                <w:numId w:val="15"/>
              </w:numPr>
              <w:contextualSpacing/>
              <w:jc w:val="both"/>
              <w:rPr>
                <w:lang w:eastAsia="en-US"/>
              </w:rPr>
            </w:pPr>
            <w:r w:rsidRPr="002F7398">
              <w:rPr>
                <w:lang w:eastAsia="en-US"/>
              </w:rPr>
              <w:t>veicināta augstāko izglītības iestāžu sadarbība nozares ietvaros;</w:t>
            </w:r>
          </w:p>
          <w:p w14:paraId="1F840942" w14:textId="77777777" w:rsidR="002C6A6F" w:rsidRPr="002F7398" w:rsidRDefault="002C6A6F" w:rsidP="00487E74">
            <w:pPr>
              <w:numPr>
                <w:ilvl w:val="0"/>
                <w:numId w:val="15"/>
              </w:numPr>
              <w:contextualSpacing/>
              <w:jc w:val="both"/>
              <w:rPr>
                <w:lang w:eastAsia="en-US"/>
              </w:rPr>
            </w:pPr>
            <w:r w:rsidRPr="002F7398">
              <w:rPr>
                <w:lang w:eastAsia="en-US"/>
              </w:rPr>
              <w:t>sekmēta jauno zinātnieku/pētnieku ataudze un iesaiste zinātniskajā darbībā;</w:t>
            </w:r>
          </w:p>
          <w:p w14:paraId="2763DF4D" w14:textId="77777777" w:rsidR="002C6A6F" w:rsidRPr="00535E2C" w:rsidRDefault="002C6A6F" w:rsidP="00487E74">
            <w:pPr>
              <w:numPr>
                <w:ilvl w:val="0"/>
                <w:numId w:val="15"/>
              </w:numPr>
              <w:contextualSpacing/>
              <w:rPr>
                <w:rFonts w:asciiTheme="minorHAnsi" w:eastAsiaTheme="minorHAnsi" w:hAnsiTheme="minorHAnsi" w:cstheme="minorBidi"/>
                <w:lang w:eastAsia="en-US"/>
              </w:rPr>
            </w:pPr>
            <w:r w:rsidRPr="002F7398">
              <w:rPr>
                <w:lang w:eastAsia="en-US"/>
              </w:rPr>
              <w:t>iniciētas jaunas pētniecības tēmas pedagoģijā un izglītības zinātnes nozarē;</w:t>
            </w:r>
          </w:p>
          <w:p w14:paraId="3D7A5AE6" w14:textId="77777777" w:rsidR="002C6A6F" w:rsidRPr="00535E2C" w:rsidRDefault="002C6A6F" w:rsidP="00487E74">
            <w:pPr>
              <w:numPr>
                <w:ilvl w:val="0"/>
                <w:numId w:val="15"/>
              </w:numPr>
              <w:contextualSpacing/>
              <w:jc w:val="both"/>
              <w:rPr>
                <w:rFonts w:asciiTheme="minorHAnsi" w:eastAsiaTheme="minorHAnsi" w:hAnsiTheme="minorHAnsi" w:cstheme="minorBidi"/>
                <w:lang w:eastAsia="en-US"/>
              </w:rPr>
            </w:pPr>
            <w:r w:rsidRPr="002F7398">
              <w:rPr>
                <w:lang w:eastAsia="en-US"/>
              </w:rPr>
              <w:t xml:space="preserve"> nacionālās pētījumu programmas izglītībā īstenošanas laikā gūtās atziņas tiks izmantotas Valsts pētījumu programmas izglītībā izveides procesā.  </w:t>
            </w:r>
          </w:p>
          <w:p w14:paraId="6E3AD174" w14:textId="77777777" w:rsidR="00212E78" w:rsidRDefault="00212E78" w:rsidP="00212E78">
            <w:pPr>
              <w:jc w:val="both"/>
              <w:rPr>
                <w:rFonts w:eastAsiaTheme="minorHAnsi"/>
                <w:lang w:eastAsia="en-US"/>
              </w:rPr>
            </w:pPr>
          </w:p>
          <w:p w14:paraId="4C3B1349" w14:textId="75F4D9C2" w:rsidR="005871EE" w:rsidRDefault="00212E78" w:rsidP="00212E78">
            <w:pPr>
              <w:jc w:val="both"/>
              <w:rPr>
                <w:rFonts w:eastAsiaTheme="minorHAnsi"/>
                <w:lang w:eastAsia="en-US"/>
              </w:rPr>
            </w:pPr>
            <w:r w:rsidRPr="00212E78">
              <w:rPr>
                <w:rFonts w:eastAsiaTheme="minorHAnsi"/>
                <w:lang w:eastAsia="en-US"/>
              </w:rPr>
              <w:t xml:space="preserve">Vienlaikus sadarbības partnera modelis paredz arī to, ka tas pētījumus veic savas nesaimnieciskās darbības ietvaros, atbilstoši </w:t>
            </w:r>
            <w:r w:rsidR="001312E0" w:rsidRPr="00962FD5">
              <w:t>Komisijas</w:t>
            </w:r>
            <w:bookmarkStart w:id="0" w:name="_GoBack"/>
            <w:bookmarkEnd w:id="0"/>
            <w:r w:rsidR="001312E0" w:rsidRPr="00962FD5">
              <w:t xml:space="preserve"> paziņojuma “Nostādnes par valsts atbalstu pētniecībai, izstrādei un inovācijai” 19.punkt</w:t>
            </w:r>
            <w:r w:rsidR="001312E0">
              <w:t>am</w:t>
            </w:r>
            <w:r w:rsidRPr="00212E78">
              <w:rPr>
                <w:rFonts w:eastAsiaTheme="minorHAnsi"/>
                <w:lang w:eastAsia="en-US"/>
              </w:rPr>
              <w:t>, t.i., (1) veiktā pētniecība būs neatkarīga, lai gūtu vairāk zināšanu un labāku izpratni, tostarp kopīga pētniecība, iesaistoties efektīvā sadarbībā, (2) izglītības nolūkā panāk</w:t>
            </w:r>
            <w:r w:rsidR="005871EE">
              <w:rPr>
                <w:rFonts w:eastAsiaTheme="minorHAnsi"/>
                <w:lang w:eastAsia="en-US"/>
              </w:rPr>
              <w:t>ot</w:t>
            </w:r>
            <w:r w:rsidRPr="00212E78">
              <w:rPr>
                <w:rFonts w:eastAsiaTheme="minorHAnsi"/>
                <w:lang w:eastAsia="en-US"/>
              </w:rPr>
              <w:t xml:space="preserve"> personāla skaita un kvalifikācijas pieaugumu, (3) pētniecības rezultāti/dati būs publiski pieejami ikvienam interesentam bez ekskluzivitātes un diskriminēšanas, tai skaitā izmantojot mācīšanu, brīvas piekļuves datu bāzes, atklātas publikācijas vai atklātā pirmkoda programmatūru un tie tiks izmantoti turpmākajiem pētījumiem. </w:t>
            </w:r>
          </w:p>
          <w:p w14:paraId="74C34415" w14:textId="115FBE06" w:rsidR="00212E78" w:rsidRDefault="00212E78" w:rsidP="00212E78">
            <w:pPr>
              <w:jc w:val="both"/>
              <w:rPr>
                <w:rFonts w:eastAsiaTheme="minorHAnsi"/>
                <w:lang w:eastAsia="en-US"/>
              </w:rPr>
            </w:pPr>
            <w:r w:rsidRPr="00212E78">
              <w:rPr>
                <w:rFonts w:eastAsiaTheme="minorHAnsi"/>
                <w:lang w:eastAsia="en-US"/>
              </w:rPr>
              <w:t>Projekta ietvaros tiks apmaksātas tikai sadarbības partnera reāli nepieciešamās izmaksas pētījumu veikšanai (bez papildus uzcenojuma, ņemot vērā katra pētījuma, kas nav salīdzināmi (unikāli), noteikto darbu apjomu, uzdevumus, izlases kopu un metodoloģiju), vienlaicīgi ļaujot sadarbības partnerim stiprināt savu kā pētnieciskās organizācijas kapacitāti (nesaimniecisko darbību), jo visa peļņa no šādas darbības tiks ieguldīta atkal pētniecības pamatdarbībā.</w:t>
            </w:r>
          </w:p>
          <w:p w14:paraId="36D0D597" w14:textId="77777777" w:rsidR="006747C6" w:rsidRPr="00505ED8" w:rsidRDefault="006747C6" w:rsidP="006747C6">
            <w:pPr>
              <w:jc w:val="both"/>
              <w:rPr>
                <w:lang w:eastAsia="en-US"/>
              </w:rPr>
            </w:pPr>
            <w:r w:rsidRPr="00505ED8">
              <w:rPr>
                <w:lang w:eastAsia="en-US"/>
              </w:rPr>
              <w:t xml:space="preserve">Tādējādi grozījums pēc būtības ir tikai papildinošs, t.i. finansējuma saņēmējam būs skaidrs deleģējums slēgt sadarbības līgumu, lai turpmāk neradītu pārpratumus projekta īstenošanas laikā. </w:t>
            </w:r>
          </w:p>
          <w:p w14:paraId="049EC36C" w14:textId="77777777" w:rsidR="006747C6" w:rsidRPr="00505ED8" w:rsidRDefault="006747C6" w:rsidP="006747C6">
            <w:pPr>
              <w:jc w:val="both"/>
              <w:rPr>
                <w:lang w:eastAsia="en-US"/>
              </w:rPr>
            </w:pPr>
            <w:r w:rsidRPr="00505ED8">
              <w:rPr>
                <w:lang w:eastAsia="en-US"/>
              </w:rPr>
              <w:t xml:space="preserve">Līdzīga pieeja par papildus sadarbības partneru piesaisti tiek piemērota arī 8.3.6.1. pasākuma īstenotajā projektā. </w:t>
            </w:r>
          </w:p>
          <w:p w14:paraId="12CC867F" w14:textId="77777777" w:rsidR="00746ACF" w:rsidRPr="00505ED8" w:rsidRDefault="00746ACF" w:rsidP="00212E78">
            <w:pPr>
              <w:jc w:val="both"/>
              <w:rPr>
                <w:rFonts w:eastAsiaTheme="minorHAnsi"/>
                <w:lang w:eastAsia="en-US"/>
              </w:rPr>
            </w:pPr>
          </w:p>
          <w:p w14:paraId="552D1CA7" w14:textId="77777777" w:rsidR="000A6C18" w:rsidRPr="00505ED8" w:rsidRDefault="000A6C18" w:rsidP="000A6C18">
            <w:pPr>
              <w:jc w:val="both"/>
              <w:rPr>
                <w:lang w:eastAsia="en-US"/>
              </w:rPr>
            </w:pPr>
            <w:r w:rsidRPr="00505ED8">
              <w:rPr>
                <w:lang w:eastAsia="en-US"/>
              </w:rPr>
              <w:t xml:space="preserve">Vienlaikus šobrīd piesaistītos sadarbības partnerus grozījumi nekādā mērā neietekmēs, jo VISC un IKVD lomas ir skaidri </w:t>
            </w:r>
            <w:r w:rsidRPr="00505ED8">
              <w:rPr>
                <w:lang w:eastAsia="en-US"/>
              </w:rPr>
              <w:lastRenderedPageBreak/>
              <w:t>noteiktas projektā un grozījumi būs attiecināmi tikai uz vienas aktivitātes īstenošanu projekta ietvaros. IKVD un VISC turpinās savu iepriekš noteikto aktivitāšu īstenošanu.</w:t>
            </w:r>
          </w:p>
          <w:p w14:paraId="3EB120F6" w14:textId="77777777" w:rsidR="000A6C18" w:rsidRPr="00505ED8" w:rsidRDefault="000A6C18" w:rsidP="000A6C18">
            <w:pPr>
              <w:jc w:val="both"/>
              <w:rPr>
                <w:lang w:eastAsia="en-US"/>
              </w:rPr>
            </w:pPr>
          </w:p>
          <w:p w14:paraId="2C4A6598" w14:textId="77777777" w:rsidR="000A6C18" w:rsidRPr="00505ED8" w:rsidRDefault="000A6C18" w:rsidP="000A6C18">
            <w:pPr>
              <w:jc w:val="both"/>
              <w:rPr>
                <w:lang w:eastAsia="en-US"/>
              </w:rPr>
            </w:pPr>
            <w:r w:rsidRPr="00505ED8">
              <w:rPr>
                <w:lang w:eastAsia="en-US"/>
              </w:rPr>
              <w:t>Paplašinot sadarbības partneru loku tas kopumā pozitīvi ietekmēs projekta gaitu, jo monitoringa sistēmā būs iesaistītas vairāk iestāžu, kas ir kompetentas darbā ar analīzes rīkiem, sniedz sistemātisku ieguldījumu izglītības sistēmisku attīstībā un ir arī tās dalībnieki.</w:t>
            </w:r>
          </w:p>
          <w:p w14:paraId="208E4524" w14:textId="22B5634D" w:rsidR="00777806" w:rsidRPr="002F7398" w:rsidRDefault="00777806" w:rsidP="00B735DB">
            <w:pPr>
              <w:jc w:val="both"/>
            </w:pPr>
          </w:p>
        </w:tc>
      </w:tr>
      <w:tr w:rsidR="00ED6931" w14:paraId="516B9E37"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33D2FF4B" w14:textId="31E29A32" w:rsidR="00055596" w:rsidRPr="001351FC" w:rsidRDefault="00B650B7" w:rsidP="001351FC">
            <w:pPr>
              <w:jc w:val="center"/>
              <w:rPr>
                <w:lang w:eastAsia="en-US"/>
              </w:rPr>
            </w:pPr>
            <w:r w:rsidRPr="001351FC">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4098B43E" w14:textId="77777777" w:rsidR="00055596" w:rsidRPr="001351FC" w:rsidRDefault="00B650B7" w:rsidP="00535E2C">
            <w:pPr>
              <w:jc w:val="both"/>
              <w:rPr>
                <w:lang w:eastAsia="en-US"/>
              </w:rPr>
            </w:pPr>
            <w:r w:rsidRPr="001351FC">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3D4779C0" w14:textId="49891E64" w:rsidR="00055596" w:rsidRPr="001351FC" w:rsidRDefault="009216D2" w:rsidP="001351FC">
            <w:pPr>
              <w:jc w:val="both"/>
              <w:rPr>
                <w:bCs/>
              </w:rPr>
            </w:pPr>
            <w:r>
              <w:rPr>
                <w:bCs/>
              </w:rPr>
              <w:t>Izglītības un zinātnes ministrija</w:t>
            </w:r>
            <w:r w:rsidR="00B650B7" w:rsidRPr="001351FC">
              <w:rPr>
                <w:bCs/>
              </w:rPr>
              <w:t>.</w:t>
            </w:r>
          </w:p>
          <w:p w14:paraId="7A16A2AC" w14:textId="77777777" w:rsidR="00055596" w:rsidRPr="001351FC" w:rsidRDefault="00055596" w:rsidP="001351FC">
            <w:pPr>
              <w:ind w:left="66"/>
              <w:jc w:val="both"/>
              <w:rPr>
                <w:bCs/>
                <w:strike/>
              </w:rPr>
            </w:pPr>
          </w:p>
        </w:tc>
      </w:tr>
      <w:tr w:rsidR="00ED6931" w14:paraId="67B406C4"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1351FC" w:rsidRDefault="00B650B7" w:rsidP="001351FC">
            <w:pPr>
              <w:jc w:val="center"/>
              <w:rPr>
                <w:lang w:eastAsia="en-US"/>
              </w:rPr>
            </w:pPr>
            <w:r w:rsidRPr="001351FC">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1351FC" w:rsidRDefault="00B650B7" w:rsidP="001351FC">
            <w:pPr>
              <w:rPr>
                <w:lang w:eastAsia="en-US"/>
              </w:rPr>
            </w:pPr>
            <w:r w:rsidRPr="001351FC">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00B62B9E" w14:textId="1314BA4D" w:rsidR="00055596" w:rsidRPr="001351FC" w:rsidRDefault="00616CE1" w:rsidP="002B0E96">
            <w:pPr>
              <w:pStyle w:val="Default"/>
              <w:jc w:val="both"/>
              <w:rPr>
                <w:rFonts w:eastAsia="Times New Roman"/>
                <w:lang w:bidi="lo-LA"/>
              </w:rPr>
            </w:pPr>
            <w:r>
              <w:rPr>
                <w:bCs/>
              </w:rPr>
              <w:t>Nav.</w:t>
            </w:r>
            <w:r w:rsidR="00B650B7" w:rsidRPr="00273E66">
              <w:rPr>
                <w:bCs/>
              </w:rPr>
              <w:t xml:space="preserve"> </w:t>
            </w:r>
          </w:p>
        </w:tc>
      </w:tr>
    </w:tbl>
    <w:p w14:paraId="00747A27" w14:textId="77777777" w:rsidR="000952B3" w:rsidRPr="001351FC"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860"/>
        <w:gridCol w:w="5924"/>
      </w:tblGrid>
      <w:tr w:rsidR="00ED6931" w14:paraId="135CD9D9"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1351FC" w:rsidRDefault="00B650B7" w:rsidP="001351FC">
            <w:pPr>
              <w:pStyle w:val="ListParagraph"/>
              <w:tabs>
                <w:tab w:val="left" w:pos="2268"/>
                <w:tab w:val="left" w:pos="2410"/>
              </w:tabs>
              <w:ind w:left="1080"/>
              <w:jc w:val="center"/>
              <w:rPr>
                <w:b/>
                <w:sz w:val="24"/>
                <w:szCs w:val="24"/>
                <w:lang w:eastAsia="en-US"/>
              </w:rPr>
            </w:pPr>
            <w:r w:rsidRPr="001351FC">
              <w:rPr>
                <w:b/>
                <w:bCs/>
                <w:sz w:val="24"/>
                <w:szCs w:val="24"/>
              </w:rPr>
              <w:t>II. Tiesību akta projekta ietekme uz sabiedrību, tautsaimniecības attīstību un administratīvo slogu</w:t>
            </w:r>
          </w:p>
        </w:tc>
      </w:tr>
      <w:tr w:rsidR="00ED6931" w14:paraId="30B0D353" w14:textId="77777777" w:rsidTr="0055278E">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1351FC" w:rsidRDefault="00B650B7" w:rsidP="001351FC">
            <w:pPr>
              <w:jc w:val="center"/>
              <w:rPr>
                <w:lang w:eastAsia="en-US"/>
              </w:rPr>
            </w:pPr>
            <w:r w:rsidRPr="001351FC">
              <w:t>1.</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1351FC" w:rsidRDefault="00B650B7" w:rsidP="00535E2C">
            <w:pPr>
              <w:jc w:val="both"/>
              <w:rPr>
                <w:lang w:eastAsia="en-US"/>
              </w:rPr>
            </w:pPr>
            <w:r w:rsidRPr="001351FC">
              <w:t xml:space="preserve">Sabiedrības </w:t>
            </w:r>
            <w:proofErr w:type="spellStart"/>
            <w:r w:rsidRPr="001351FC">
              <w:t>mērķgrupas</w:t>
            </w:r>
            <w:proofErr w:type="spellEnd"/>
            <w:r w:rsidRPr="001351FC">
              <w:t>, kuras tiesiskais regulējums ietekmē vai varētu ietekmēt</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4C7B491E" w14:textId="4E535F07" w:rsidR="000952B3" w:rsidRPr="00DD5E7A" w:rsidRDefault="009216D2" w:rsidP="009216D2">
            <w:pPr>
              <w:pStyle w:val="ListParagraph"/>
              <w:tabs>
                <w:tab w:val="left" w:pos="317"/>
              </w:tabs>
              <w:spacing w:before="100" w:beforeAutospacing="1"/>
              <w:ind w:left="-79"/>
              <w:jc w:val="both"/>
              <w:rPr>
                <w:sz w:val="24"/>
                <w:szCs w:val="24"/>
              </w:rPr>
            </w:pPr>
            <w:r>
              <w:rPr>
                <w:sz w:val="24"/>
                <w:szCs w:val="24"/>
              </w:rPr>
              <w:t>Izglītības un zinātnes ministrija, augstākās izglītības un zinātnes institūcijas un tajā</w:t>
            </w:r>
            <w:r w:rsidR="00B00B54">
              <w:rPr>
                <w:sz w:val="24"/>
                <w:szCs w:val="24"/>
              </w:rPr>
              <w:t>s</w:t>
            </w:r>
            <w:r>
              <w:rPr>
                <w:sz w:val="24"/>
                <w:szCs w:val="24"/>
              </w:rPr>
              <w:t xml:space="preserve"> studējošie</w:t>
            </w:r>
            <w:r w:rsidR="000E2601">
              <w:rPr>
                <w:sz w:val="24"/>
                <w:szCs w:val="24"/>
              </w:rPr>
              <w:t>, Izglītības kvalitātes valsts dienests un Valsts izglītības satura centrs</w:t>
            </w:r>
            <w:r>
              <w:rPr>
                <w:sz w:val="24"/>
                <w:szCs w:val="24"/>
              </w:rPr>
              <w:t>.</w:t>
            </w:r>
          </w:p>
        </w:tc>
      </w:tr>
      <w:tr w:rsidR="00ED6931" w14:paraId="3EBB70B5" w14:textId="77777777" w:rsidTr="0055278E">
        <w:tc>
          <w:tcPr>
            <w:tcW w:w="396" w:type="dxa"/>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1351FC" w:rsidRDefault="00B650B7" w:rsidP="001351FC">
            <w:pPr>
              <w:jc w:val="center"/>
            </w:pPr>
            <w:r w:rsidRPr="001351FC">
              <w:t>2.</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1351FC" w:rsidRDefault="00B650B7" w:rsidP="00535E2C">
            <w:pPr>
              <w:jc w:val="both"/>
              <w:rPr>
                <w:color w:val="414142"/>
              </w:rPr>
            </w:pPr>
            <w:r w:rsidRPr="001351FC">
              <w:t>Tiesiskā regulējuma ietekme uz tautsaimniecību un administratīvo slogu</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4B34AC1B" w14:textId="77777777" w:rsidR="000952B3" w:rsidRPr="001351FC" w:rsidRDefault="00B650B7" w:rsidP="001351FC">
            <w:pPr>
              <w:pStyle w:val="ListParagraph"/>
              <w:tabs>
                <w:tab w:val="left" w:pos="317"/>
              </w:tabs>
              <w:ind w:left="-79"/>
              <w:jc w:val="both"/>
              <w:rPr>
                <w:bCs/>
                <w:sz w:val="24"/>
                <w:szCs w:val="24"/>
                <w:lang w:eastAsia="en-US"/>
              </w:rPr>
            </w:pPr>
            <w:r w:rsidRPr="001351FC">
              <w:rPr>
                <w:sz w:val="24"/>
                <w:szCs w:val="24"/>
              </w:rPr>
              <w:t>Sabiedrības grupām un institūcijām projekta noteikumu tiesiskais regulējums nemaina tiesības un pienākumus, kā arī veicamās darbības.</w:t>
            </w:r>
          </w:p>
        </w:tc>
      </w:tr>
      <w:tr w:rsidR="00ED6931" w14:paraId="07A1EA65" w14:textId="77777777" w:rsidTr="0055278E">
        <w:tc>
          <w:tcPr>
            <w:tcW w:w="396" w:type="dxa"/>
            <w:tcBorders>
              <w:top w:val="single" w:sz="4" w:space="0" w:color="auto"/>
              <w:left w:val="single" w:sz="4" w:space="0" w:color="auto"/>
              <w:bottom w:val="single" w:sz="4" w:space="0" w:color="auto"/>
              <w:right w:val="single" w:sz="4" w:space="0" w:color="auto"/>
            </w:tcBorders>
            <w:shd w:val="clear" w:color="auto" w:fill="auto"/>
          </w:tcPr>
          <w:p w14:paraId="37DFB4FC" w14:textId="77777777" w:rsidR="000952B3" w:rsidRPr="001351FC" w:rsidRDefault="00B650B7" w:rsidP="001351FC">
            <w:pPr>
              <w:jc w:val="center"/>
            </w:pPr>
            <w:r w:rsidRPr="001351FC">
              <w:t>3.</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1351FC" w:rsidRDefault="00B650B7" w:rsidP="00535E2C">
            <w:pPr>
              <w:jc w:val="both"/>
              <w:rPr>
                <w:color w:val="414142"/>
              </w:rPr>
            </w:pPr>
            <w:r w:rsidRPr="001351FC">
              <w:t>Administratīvo izmaksu monetārs novērtējums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4EDCCC99" w14:textId="77777777" w:rsidR="000952B3" w:rsidRPr="001351FC" w:rsidRDefault="00B650B7" w:rsidP="001351FC">
            <w:pPr>
              <w:pStyle w:val="ListParagraph"/>
              <w:tabs>
                <w:tab w:val="left" w:pos="317"/>
              </w:tabs>
              <w:ind w:left="-79"/>
              <w:jc w:val="both"/>
              <w:rPr>
                <w:bCs/>
                <w:sz w:val="24"/>
                <w:szCs w:val="24"/>
                <w:lang w:eastAsia="en-US"/>
              </w:rPr>
            </w:pPr>
            <w:r w:rsidRPr="001351FC">
              <w:rPr>
                <w:sz w:val="24"/>
                <w:szCs w:val="24"/>
              </w:rPr>
              <w:t>Noteikumu projekts šo jomu neskar.</w:t>
            </w:r>
          </w:p>
        </w:tc>
      </w:tr>
      <w:tr w:rsidR="00ED6931" w14:paraId="29EDAB30" w14:textId="77777777" w:rsidTr="0055278E">
        <w:tc>
          <w:tcPr>
            <w:tcW w:w="396" w:type="dxa"/>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1351FC" w:rsidRDefault="00B650B7" w:rsidP="001351FC">
            <w:pPr>
              <w:jc w:val="center"/>
            </w:pPr>
            <w:r w:rsidRPr="001351FC">
              <w:t>4.</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1351FC" w:rsidRDefault="00B650B7" w:rsidP="00535E2C">
            <w:pPr>
              <w:jc w:val="both"/>
            </w:pPr>
            <w:r w:rsidRPr="001351FC">
              <w:t>Atbilstības izmaksu monetārs novērtējums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77777777" w:rsidR="000952B3" w:rsidRPr="001351FC" w:rsidRDefault="00B650B7" w:rsidP="001351FC">
            <w:pPr>
              <w:pStyle w:val="ListParagraph"/>
              <w:tabs>
                <w:tab w:val="left" w:pos="317"/>
              </w:tabs>
              <w:ind w:left="-79"/>
              <w:jc w:val="both"/>
              <w:rPr>
                <w:bCs/>
                <w:sz w:val="24"/>
                <w:szCs w:val="24"/>
                <w:lang w:eastAsia="en-US"/>
              </w:rPr>
            </w:pPr>
            <w:r w:rsidRPr="001351FC">
              <w:rPr>
                <w:sz w:val="24"/>
                <w:szCs w:val="24"/>
              </w:rPr>
              <w:t>Noteikumu projekts šo jomu neskar.</w:t>
            </w:r>
          </w:p>
        </w:tc>
      </w:tr>
      <w:tr w:rsidR="00ED6931" w14:paraId="5109668B" w14:textId="77777777" w:rsidTr="0055278E">
        <w:tc>
          <w:tcPr>
            <w:tcW w:w="396" w:type="dxa"/>
            <w:tcBorders>
              <w:top w:val="single" w:sz="4" w:space="0" w:color="auto"/>
              <w:left w:val="single" w:sz="4" w:space="0" w:color="auto"/>
              <w:bottom w:val="single" w:sz="4" w:space="0" w:color="auto"/>
              <w:right w:val="single" w:sz="4" w:space="0" w:color="auto"/>
            </w:tcBorders>
            <w:shd w:val="clear" w:color="auto" w:fill="auto"/>
          </w:tcPr>
          <w:p w14:paraId="1DCD1E4A" w14:textId="77777777" w:rsidR="000952B3" w:rsidRPr="001351FC" w:rsidRDefault="00B650B7" w:rsidP="001351FC">
            <w:pPr>
              <w:jc w:val="center"/>
            </w:pPr>
            <w:r w:rsidRPr="001351FC">
              <w:t>5.</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610FCC28" w14:textId="77777777" w:rsidR="000952B3" w:rsidRPr="001351FC" w:rsidRDefault="00B650B7" w:rsidP="001351FC">
            <w:pPr>
              <w:rPr>
                <w:color w:val="414142"/>
              </w:rPr>
            </w:pPr>
            <w:r w:rsidRPr="001351FC">
              <w:t>Cita informācija</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3617FB1D" w14:textId="77777777" w:rsidR="000952B3" w:rsidRPr="001351FC" w:rsidRDefault="00B650B7" w:rsidP="001351FC">
            <w:pPr>
              <w:pStyle w:val="ListParagraph"/>
              <w:tabs>
                <w:tab w:val="left" w:pos="317"/>
              </w:tabs>
              <w:ind w:left="-79"/>
              <w:jc w:val="both"/>
              <w:rPr>
                <w:bCs/>
                <w:sz w:val="24"/>
                <w:szCs w:val="24"/>
                <w:lang w:eastAsia="en-US"/>
              </w:rPr>
            </w:pPr>
            <w:r w:rsidRPr="001351FC">
              <w:rPr>
                <w:bCs/>
                <w:sz w:val="24"/>
                <w:szCs w:val="24"/>
                <w:lang w:eastAsia="en-US"/>
              </w:rPr>
              <w:t>Nav</w:t>
            </w:r>
            <w:r w:rsidR="00352BE9" w:rsidRPr="001351FC">
              <w:rPr>
                <w:bCs/>
                <w:sz w:val="24"/>
                <w:szCs w:val="24"/>
                <w:lang w:eastAsia="en-US"/>
              </w:rPr>
              <w:t>.</w:t>
            </w:r>
          </w:p>
        </w:tc>
      </w:tr>
    </w:tbl>
    <w:p w14:paraId="70AFC89F" w14:textId="77777777" w:rsidR="004D2E35" w:rsidRDefault="004D2E35" w:rsidP="001351FC"/>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109C0" w14:paraId="6D88513B" w14:textId="77777777" w:rsidTr="00FF4311">
        <w:tc>
          <w:tcPr>
            <w:tcW w:w="9180" w:type="dxa"/>
            <w:tcBorders>
              <w:top w:val="single" w:sz="4" w:space="0" w:color="auto"/>
              <w:left w:val="single" w:sz="4" w:space="0" w:color="auto"/>
              <w:bottom w:val="single" w:sz="4" w:space="0" w:color="auto"/>
              <w:right w:val="single" w:sz="4" w:space="0" w:color="auto"/>
            </w:tcBorders>
            <w:shd w:val="clear" w:color="auto" w:fill="auto"/>
          </w:tcPr>
          <w:p w14:paraId="7CAF5622" w14:textId="77777777" w:rsidR="006109C0" w:rsidRPr="00123090" w:rsidRDefault="006109C0" w:rsidP="00FF4311">
            <w:pPr>
              <w:pStyle w:val="ListParagraph"/>
              <w:tabs>
                <w:tab w:val="left" w:pos="317"/>
              </w:tabs>
              <w:ind w:left="0"/>
              <w:jc w:val="center"/>
              <w:rPr>
                <w:bCs/>
                <w:sz w:val="24"/>
                <w:szCs w:val="24"/>
                <w:lang w:eastAsia="en-US"/>
              </w:rPr>
            </w:pPr>
            <w:r w:rsidRPr="00123090">
              <w:rPr>
                <w:b/>
                <w:bCs/>
                <w:sz w:val="24"/>
                <w:szCs w:val="24"/>
                <w:lang w:eastAsia="ja-JP"/>
              </w:rPr>
              <w:t>III. Tiesību akta projekta ietekme uz valsts budžetu un pašvaldību budžetiem</w:t>
            </w:r>
          </w:p>
        </w:tc>
      </w:tr>
      <w:tr w:rsidR="00985271" w14:paraId="4D5EB9A3" w14:textId="77777777" w:rsidTr="00FF4311">
        <w:tc>
          <w:tcPr>
            <w:tcW w:w="9180" w:type="dxa"/>
            <w:tcBorders>
              <w:top w:val="single" w:sz="4" w:space="0" w:color="auto"/>
              <w:left w:val="single" w:sz="4" w:space="0" w:color="auto"/>
              <w:bottom w:val="single" w:sz="4" w:space="0" w:color="auto"/>
              <w:right w:val="single" w:sz="4" w:space="0" w:color="auto"/>
            </w:tcBorders>
            <w:shd w:val="clear" w:color="auto" w:fill="auto"/>
          </w:tcPr>
          <w:p w14:paraId="37C9A228" w14:textId="0C985321" w:rsidR="00985271" w:rsidRPr="00123090" w:rsidRDefault="00985271" w:rsidP="00FF4311">
            <w:pPr>
              <w:pStyle w:val="ListParagraph"/>
              <w:tabs>
                <w:tab w:val="left" w:pos="317"/>
              </w:tabs>
              <w:ind w:left="0"/>
              <w:jc w:val="center"/>
              <w:rPr>
                <w:b/>
                <w:bCs/>
                <w:sz w:val="24"/>
                <w:szCs w:val="24"/>
                <w:lang w:eastAsia="ja-JP"/>
              </w:rPr>
            </w:pPr>
            <w:r w:rsidRPr="001351FC">
              <w:t>Noteikumu projekts šo jomu neskar.</w:t>
            </w:r>
          </w:p>
        </w:tc>
      </w:tr>
    </w:tbl>
    <w:p w14:paraId="50D45435" w14:textId="77777777" w:rsidR="006109C0" w:rsidRPr="001351FC" w:rsidRDefault="006109C0" w:rsidP="001351FC"/>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9751AB" w:rsidRPr="009751AB" w14:paraId="0C4E5A65" w14:textId="77777777" w:rsidTr="000D0F0A">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222CE3B" w14:textId="77777777" w:rsidR="009751AB" w:rsidRPr="009751AB" w:rsidRDefault="009751AB" w:rsidP="009751AB">
            <w:pPr>
              <w:ind w:firstLine="300"/>
              <w:jc w:val="center"/>
              <w:rPr>
                <w:rFonts w:eastAsiaTheme="minorHAnsi"/>
                <w:b/>
                <w:bCs/>
                <w:lang w:eastAsia="en-US"/>
              </w:rPr>
            </w:pPr>
            <w:r w:rsidRPr="009751AB">
              <w:rPr>
                <w:rFonts w:eastAsiaTheme="minorHAnsi"/>
                <w:b/>
                <w:bCs/>
                <w:lang w:eastAsia="en-US"/>
              </w:rPr>
              <w:t>IV. Tiesību akta projekta ietekme uz spēkā esošo tiesību normu sistēmu</w:t>
            </w:r>
          </w:p>
        </w:tc>
      </w:tr>
      <w:tr w:rsidR="009751AB" w:rsidRPr="009751AB" w14:paraId="3DD3C352" w14:textId="77777777" w:rsidTr="000D0F0A">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4EE8792" w14:textId="77777777" w:rsidR="009751AB" w:rsidRPr="009751AB" w:rsidRDefault="009751AB" w:rsidP="009751AB">
            <w:pPr>
              <w:jc w:val="center"/>
              <w:rPr>
                <w:rFonts w:eastAsiaTheme="minorHAnsi"/>
                <w:spacing w:val="2"/>
                <w:lang w:eastAsia="en-US"/>
              </w:rPr>
            </w:pPr>
            <w:r w:rsidRPr="009751AB">
              <w:rPr>
                <w:bCs/>
                <w:lang w:eastAsia="en-US"/>
              </w:rPr>
              <w:t>Noteikumu projekts šo jomu neskar.</w:t>
            </w:r>
          </w:p>
        </w:tc>
      </w:tr>
    </w:tbl>
    <w:p w14:paraId="7FF902D4" w14:textId="77777777" w:rsidR="009751AB" w:rsidRPr="009751AB" w:rsidRDefault="009751AB" w:rsidP="009751AB">
      <w:pPr>
        <w:rPr>
          <w:rFonts w:eastAsiaTheme="minorHAnsi"/>
          <w:lang w:eastAsia="en-US"/>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9751AB" w:rsidRPr="009751AB" w14:paraId="6F98ED65" w14:textId="77777777" w:rsidTr="000D0F0A">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EEE860A" w14:textId="77777777" w:rsidR="009751AB" w:rsidRPr="009751AB" w:rsidRDefault="009751AB" w:rsidP="009751AB">
            <w:pPr>
              <w:ind w:firstLine="300"/>
              <w:jc w:val="center"/>
              <w:rPr>
                <w:rFonts w:eastAsiaTheme="minorHAnsi"/>
                <w:b/>
                <w:bCs/>
                <w:lang w:eastAsia="en-US"/>
              </w:rPr>
            </w:pPr>
            <w:r w:rsidRPr="009751AB">
              <w:rPr>
                <w:rFonts w:eastAsiaTheme="minorHAnsi"/>
                <w:b/>
                <w:bCs/>
                <w:lang w:eastAsia="en-US"/>
              </w:rPr>
              <w:t>V. Tiesību akta projekta atbilstība Latvijas Republikas starptautiskajām saistībām</w:t>
            </w:r>
          </w:p>
        </w:tc>
      </w:tr>
      <w:tr w:rsidR="009751AB" w:rsidRPr="009751AB" w14:paraId="780ECE13" w14:textId="77777777" w:rsidTr="000D0F0A">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8D82BA2" w14:textId="77777777" w:rsidR="009751AB" w:rsidRPr="009751AB" w:rsidRDefault="009751AB" w:rsidP="009751AB">
            <w:pPr>
              <w:jc w:val="center"/>
              <w:rPr>
                <w:rFonts w:eastAsiaTheme="minorHAnsi"/>
                <w:spacing w:val="2"/>
                <w:lang w:eastAsia="en-US"/>
              </w:rPr>
            </w:pPr>
            <w:r w:rsidRPr="009751AB">
              <w:rPr>
                <w:bCs/>
                <w:lang w:eastAsia="en-US"/>
              </w:rPr>
              <w:t>Noteikumu projekts šo jomu neskar.</w:t>
            </w:r>
          </w:p>
        </w:tc>
      </w:tr>
    </w:tbl>
    <w:p w14:paraId="6B04A224" w14:textId="77777777" w:rsidR="009751AB" w:rsidRPr="009751AB" w:rsidRDefault="009751AB" w:rsidP="009751AB">
      <w:pPr>
        <w:rPr>
          <w:rFonts w:eastAsiaTheme="minorHAnsi"/>
          <w:lang w:eastAsia="en-US"/>
        </w:rPr>
      </w:pPr>
    </w:p>
    <w:p w14:paraId="2BCD2701" w14:textId="77777777" w:rsidR="009751AB" w:rsidRPr="009751AB" w:rsidRDefault="009751AB" w:rsidP="009751AB">
      <w:pPr>
        <w:shd w:val="clear" w:color="auto" w:fill="FFFFFF"/>
        <w:rPr>
          <w:rFonts w:ascii="Arial" w:eastAsia="Times New Roman" w:hAnsi="Arial" w:cs="Arial"/>
          <w:color w:val="414142"/>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751AB" w:rsidRPr="009751AB" w14:paraId="4F503FB3" w14:textId="77777777" w:rsidTr="000D0F0A">
        <w:tc>
          <w:tcPr>
            <w:tcW w:w="0" w:type="auto"/>
            <w:tcBorders>
              <w:top w:val="outset" w:sz="6" w:space="0" w:color="414142"/>
              <w:left w:val="outset" w:sz="6" w:space="0" w:color="414142"/>
              <w:bottom w:val="outset" w:sz="6" w:space="0" w:color="414142"/>
              <w:right w:val="outset" w:sz="6" w:space="0" w:color="414142"/>
            </w:tcBorders>
            <w:vAlign w:val="center"/>
            <w:hideMark/>
          </w:tcPr>
          <w:p w14:paraId="785E28CD" w14:textId="77777777" w:rsidR="009751AB" w:rsidRPr="009751AB" w:rsidRDefault="009751AB" w:rsidP="009751AB">
            <w:pPr>
              <w:spacing w:after="100" w:afterAutospacing="1" w:line="254" w:lineRule="atLeast"/>
              <w:jc w:val="center"/>
              <w:rPr>
                <w:rFonts w:eastAsia="Times New Roman"/>
                <w:b/>
                <w:bCs/>
              </w:rPr>
            </w:pPr>
            <w:r w:rsidRPr="009751AB">
              <w:rPr>
                <w:rFonts w:eastAsia="Times New Roman"/>
                <w:b/>
                <w:bCs/>
              </w:rPr>
              <w:t>1. tabula</w:t>
            </w:r>
            <w:r w:rsidRPr="009751AB">
              <w:rPr>
                <w:rFonts w:eastAsia="Times New Roman"/>
                <w:b/>
                <w:bCs/>
              </w:rPr>
              <w:br/>
              <w:t>Tiesību akta projekta atbilstība ES tiesību aktiem</w:t>
            </w:r>
          </w:p>
        </w:tc>
      </w:tr>
      <w:tr w:rsidR="009751AB" w:rsidRPr="009751AB" w14:paraId="641C6CDE" w14:textId="77777777" w:rsidTr="000D0F0A">
        <w:tc>
          <w:tcPr>
            <w:tcW w:w="5000" w:type="pct"/>
            <w:tcBorders>
              <w:top w:val="outset" w:sz="6" w:space="0" w:color="414142"/>
              <w:left w:val="outset" w:sz="6" w:space="0" w:color="414142"/>
              <w:bottom w:val="outset" w:sz="6" w:space="0" w:color="414142"/>
              <w:right w:val="outset" w:sz="6" w:space="0" w:color="414142"/>
            </w:tcBorders>
            <w:hideMark/>
          </w:tcPr>
          <w:p w14:paraId="54A8A05A" w14:textId="77777777" w:rsidR="009751AB" w:rsidRPr="009751AB" w:rsidRDefault="009751AB" w:rsidP="009751AB">
            <w:pPr>
              <w:jc w:val="center"/>
              <w:rPr>
                <w:rFonts w:eastAsia="Times New Roman"/>
              </w:rPr>
            </w:pPr>
            <w:r w:rsidRPr="009751AB">
              <w:rPr>
                <w:rFonts w:eastAsia="Times New Roman"/>
              </w:rPr>
              <w:t>Noteikumu projekts šo jomu neskar.</w:t>
            </w:r>
          </w:p>
        </w:tc>
      </w:tr>
      <w:tr w:rsidR="009751AB" w:rsidRPr="009751AB" w14:paraId="7F6C678B" w14:textId="77777777" w:rsidTr="000D0F0A">
        <w:tc>
          <w:tcPr>
            <w:tcW w:w="0" w:type="auto"/>
            <w:tcBorders>
              <w:top w:val="outset" w:sz="6" w:space="0" w:color="414142"/>
              <w:left w:val="outset" w:sz="6" w:space="0" w:color="414142"/>
              <w:bottom w:val="outset" w:sz="6" w:space="0" w:color="414142"/>
              <w:right w:val="outset" w:sz="6" w:space="0" w:color="414142"/>
            </w:tcBorders>
            <w:vAlign w:val="center"/>
            <w:hideMark/>
          </w:tcPr>
          <w:p w14:paraId="31896820" w14:textId="77777777" w:rsidR="009751AB" w:rsidRPr="009751AB" w:rsidRDefault="009751AB" w:rsidP="009751AB">
            <w:pPr>
              <w:spacing w:after="100" w:afterAutospacing="1" w:line="254" w:lineRule="atLeast"/>
              <w:jc w:val="center"/>
              <w:rPr>
                <w:rFonts w:eastAsia="Times New Roman"/>
                <w:b/>
                <w:bCs/>
              </w:rPr>
            </w:pPr>
            <w:r w:rsidRPr="009751AB">
              <w:rPr>
                <w:rFonts w:eastAsia="Times New Roman"/>
                <w:b/>
                <w:bCs/>
              </w:rPr>
              <w:t>2. tabula</w:t>
            </w:r>
            <w:r w:rsidRPr="009751AB">
              <w:rPr>
                <w:rFonts w:eastAsia="Times New Roman"/>
                <w:b/>
                <w:bCs/>
              </w:rPr>
              <w:br/>
              <w:t xml:space="preserve">Ar tiesību akta projektu izpildītās vai uzņemtās saistības, kas izriet no starptautiskajiem tiesību aktiem vai starptautiskas institūcijas vai organizācijas </w:t>
            </w:r>
            <w:r w:rsidRPr="009751AB">
              <w:rPr>
                <w:rFonts w:eastAsia="Times New Roman"/>
                <w:b/>
                <w:bCs/>
              </w:rPr>
              <w:lastRenderedPageBreak/>
              <w:t>dokumentiem.</w:t>
            </w:r>
            <w:r w:rsidRPr="009751AB">
              <w:rPr>
                <w:rFonts w:eastAsia="Times New Roman"/>
                <w:b/>
                <w:bCs/>
              </w:rPr>
              <w:br/>
              <w:t>Pasākumi šo saistību izpildei</w:t>
            </w:r>
          </w:p>
        </w:tc>
      </w:tr>
      <w:tr w:rsidR="009751AB" w:rsidRPr="009751AB" w14:paraId="65D5AD05" w14:textId="77777777" w:rsidTr="000D0F0A">
        <w:tc>
          <w:tcPr>
            <w:tcW w:w="5000" w:type="pct"/>
            <w:tcBorders>
              <w:top w:val="outset" w:sz="6" w:space="0" w:color="414142"/>
              <w:left w:val="outset" w:sz="6" w:space="0" w:color="414142"/>
              <w:bottom w:val="outset" w:sz="6" w:space="0" w:color="414142"/>
              <w:right w:val="outset" w:sz="6" w:space="0" w:color="414142"/>
            </w:tcBorders>
            <w:hideMark/>
          </w:tcPr>
          <w:p w14:paraId="7CCD2A1E" w14:textId="77777777" w:rsidR="009751AB" w:rsidRPr="009751AB" w:rsidRDefault="009751AB" w:rsidP="009751AB">
            <w:pPr>
              <w:jc w:val="center"/>
              <w:rPr>
                <w:rFonts w:eastAsia="Times New Roman"/>
              </w:rPr>
            </w:pPr>
            <w:r w:rsidRPr="009751AB">
              <w:rPr>
                <w:rFonts w:eastAsia="Times New Roman"/>
              </w:rPr>
              <w:lastRenderedPageBreak/>
              <w:t>Noteikumu projekts šo jomu neskar.</w:t>
            </w:r>
          </w:p>
        </w:tc>
      </w:tr>
    </w:tbl>
    <w:p w14:paraId="11BB16CE" w14:textId="77777777" w:rsidR="000952B3" w:rsidRPr="009751AB" w:rsidRDefault="000952B3" w:rsidP="001351FC"/>
    <w:p w14:paraId="6757F4C5" w14:textId="77777777" w:rsidR="000952B3" w:rsidRPr="001351FC" w:rsidRDefault="000952B3" w:rsidP="001351FC">
      <w:pPr>
        <w:tabs>
          <w:tab w:val="left" w:pos="3382"/>
        </w:tabs>
        <w:rPr>
          <w:lang w:eastAsia="en-US"/>
        </w:rPr>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3219"/>
        <w:gridCol w:w="5812"/>
      </w:tblGrid>
      <w:tr w:rsidR="00ED6931" w14:paraId="63D312AF" w14:textId="77777777" w:rsidTr="00477F62">
        <w:trPr>
          <w:trHeight w:val="421"/>
        </w:trPr>
        <w:tc>
          <w:tcPr>
            <w:tcW w:w="9346" w:type="dxa"/>
            <w:gridSpan w:val="3"/>
            <w:vAlign w:val="center"/>
          </w:tcPr>
          <w:p w14:paraId="34560A3A" w14:textId="77777777" w:rsidR="000952B3" w:rsidRPr="001351FC" w:rsidRDefault="00B650B7" w:rsidP="001351FC">
            <w:pPr>
              <w:pStyle w:val="naisnod"/>
              <w:spacing w:before="0" w:beforeAutospacing="0" w:after="0" w:afterAutospacing="0"/>
              <w:ind w:left="57" w:right="57"/>
              <w:jc w:val="center"/>
            </w:pPr>
            <w:r w:rsidRPr="001351FC">
              <w:rPr>
                <w:b/>
              </w:rPr>
              <w:t>VI. Sabiedrības līdzdalība un komunikācijas aktivitātes</w:t>
            </w:r>
          </w:p>
        </w:tc>
      </w:tr>
      <w:tr w:rsidR="00046846" w14:paraId="708744C5" w14:textId="77777777" w:rsidTr="002B7C2F">
        <w:trPr>
          <w:trHeight w:val="553"/>
        </w:trPr>
        <w:tc>
          <w:tcPr>
            <w:tcW w:w="315" w:type="dxa"/>
          </w:tcPr>
          <w:p w14:paraId="3380A595" w14:textId="77777777" w:rsidR="00046846" w:rsidRPr="001351FC" w:rsidRDefault="00046846" w:rsidP="00046846">
            <w:pPr>
              <w:ind w:left="57" w:right="57"/>
              <w:jc w:val="both"/>
              <w:rPr>
                <w:bCs/>
              </w:rPr>
            </w:pPr>
            <w:r w:rsidRPr="001351FC">
              <w:rPr>
                <w:bCs/>
              </w:rPr>
              <w:t>1.</w:t>
            </w:r>
          </w:p>
        </w:tc>
        <w:tc>
          <w:tcPr>
            <w:tcW w:w="3219" w:type="dxa"/>
          </w:tcPr>
          <w:p w14:paraId="695D0F15" w14:textId="77777777" w:rsidR="00046846" w:rsidRPr="001351FC" w:rsidRDefault="00046846" w:rsidP="00046846">
            <w:pPr>
              <w:tabs>
                <w:tab w:val="left" w:pos="170"/>
              </w:tabs>
              <w:ind w:left="57" w:right="57"/>
              <w:jc w:val="both"/>
            </w:pPr>
            <w:r w:rsidRPr="001351FC">
              <w:t>Plānotās sabiedrības līdzdalības un komunikācijas aktivitātes saistībā ar projektu</w:t>
            </w:r>
          </w:p>
        </w:tc>
        <w:tc>
          <w:tcPr>
            <w:tcW w:w="5812" w:type="dxa"/>
          </w:tcPr>
          <w:p w14:paraId="32187D2F" w14:textId="296DB591" w:rsidR="00046846" w:rsidRPr="001351FC" w:rsidRDefault="005871EE" w:rsidP="005871EE">
            <w:pPr>
              <w:ind w:left="94" w:right="142"/>
              <w:jc w:val="both"/>
            </w:pPr>
            <w:bookmarkStart w:id="1" w:name="p61"/>
            <w:bookmarkEnd w:id="1"/>
            <w:r w:rsidRPr="005871EE">
              <w:rPr>
                <w:bCs/>
              </w:rPr>
              <w:t>Lai informētu sabiedrību par noteikumu projektu un dotu iespēju izteikt viedokli, noteikumu projekts ievietots IZM tīmekļvietnē</w:t>
            </w:r>
            <w:r>
              <w:rPr>
                <w:bCs/>
              </w:rPr>
              <w:t>.</w:t>
            </w:r>
          </w:p>
        </w:tc>
      </w:tr>
      <w:tr w:rsidR="00B35913" w14:paraId="68BD6DB8" w14:textId="77777777" w:rsidTr="002B7C2F">
        <w:trPr>
          <w:trHeight w:val="339"/>
        </w:trPr>
        <w:tc>
          <w:tcPr>
            <w:tcW w:w="315" w:type="dxa"/>
          </w:tcPr>
          <w:p w14:paraId="10662B76" w14:textId="77777777" w:rsidR="00B35913" w:rsidRPr="001351FC" w:rsidRDefault="00B35913" w:rsidP="00B35913">
            <w:pPr>
              <w:ind w:left="57" w:right="57"/>
              <w:jc w:val="both"/>
              <w:rPr>
                <w:bCs/>
              </w:rPr>
            </w:pPr>
            <w:r w:rsidRPr="001351FC">
              <w:rPr>
                <w:bCs/>
              </w:rPr>
              <w:t>2.</w:t>
            </w:r>
          </w:p>
        </w:tc>
        <w:tc>
          <w:tcPr>
            <w:tcW w:w="3219" w:type="dxa"/>
          </w:tcPr>
          <w:p w14:paraId="3A9E04F1" w14:textId="77777777" w:rsidR="00B35913" w:rsidRPr="001351FC" w:rsidRDefault="00B35913" w:rsidP="00B35913">
            <w:pPr>
              <w:ind w:left="57" w:right="57"/>
              <w:jc w:val="both"/>
            </w:pPr>
            <w:r w:rsidRPr="001351FC">
              <w:t>Sabiedrības līdzdalība projekta izstrādē</w:t>
            </w:r>
          </w:p>
        </w:tc>
        <w:tc>
          <w:tcPr>
            <w:tcW w:w="5812" w:type="dxa"/>
          </w:tcPr>
          <w:p w14:paraId="5B30586E" w14:textId="6C03500F" w:rsidR="00B35913" w:rsidRPr="001351FC" w:rsidRDefault="005871EE" w:rsidP="005F4671">
            <w:pPr>
              <w:shd w:val="clear" w:color="auto" w:fill="FFFFFF"/>
              <w:ind w:left="94" w:right="57"/>
              <w:jc w:val="both"/>
              <w:rPr>
                <w:rFonts w:eastAsia="Times New Roman"/>
                <w:b/>
                <w:iCs/>
              </w:rPr>
            </w:pPr>
            <w:bookmarkStart w:id="2" w:name="p62"/>
            <w:bookmarkEnd w:id="2"/>
            <w:r>
              <w:rPr>
                <w:rFonts w:eastAsiaTheme="minorHAnsi"/>
                <w:lang w:eastAsia="en-US"/>
              </w:rPr>
              <w:t>N</w:t>
            </w:r>
            <w:r w:rsidR="00B35913" w:rsidRPr="00AE6D6A">
              <w:rPr>
                <w:rFonts w:eastAsiaTheme="minorHAnsi"/>
                <w:lang w:eastAsia="en-US"/>
              </w:rPr>
              <w:t>oteikumu projekts 2018. gada  </w:t>
            </w:r>
            <w:r w:rsidR="00A74FC5">
              <w:rPr>
                <w:rFonts w:eastAsiaTheme="minorHAnsi"/>
                <w:lang w:eastAsia="en-US"/>
              </w:rPr>
              <w:t>25.</w:t>
            </w:r>
            <w:r w:rsidR="00B35913">
              <w:rPr>
                <w:rFonts w:eastAsiaTheme="minorHAnsi"/>
                <w:lang w:eastAsia="en-US"/>
              </w:rPr>
              <w:t>septembrī</w:t>
            </w:r>
            <w:r w:rsidR="00B35913" w:rsidRPr="00AE6D6A">
              <w:rPr>
                <w:rFonts w:eastAsiaTheme="minorHAnsi"/>
                <w:lang w:eastAsia="en-US"/>
              </w:rPr>
              <w:t xml:space="preserve"> ievietots IZM tīmekļvietnē</w:t>
            </w:r>
            <w:r w:rsidR="00A74FC5">
              <w:rPr>
                <w:rFonts w:eastAsiaTheme="minorHAnsi"/>
                <w:lang w:eastAsia="en-US"/>
              </w:rPr>
              <w:t xml:space="preserve"> (</w:t>
            </w:r>
            <w:r w:rsidR="00A74FC5" w:rsidRPr="00A74FC5">
              <w:rPr>
                <w:rFonts w:eastAsiaTheme="minorHAnsi"/>
                <w:lang w:eastAsia="en-US"/>
              </w:rPr>
              <w:t>http://www.izm.gov.lv/lv/es-strukturfondi/2014-2020/normativo-aktu-un-nosacijumu-projekti/3136-8-3-6-2-grozijumu-projekts</w:t>
            </w:r>
            <w:r w:rsidR="00A74FC5">
              <w:rPr>
                <w:rFonts w:eastAsiaTheme="minorHAnsi"/>
                <w:lang w:eastAsia="en-US"/>
              </w:rPr>
              <w:t>)</w:t>
            </w:r>
            <w:r w:rsidR="00B35913" w:rsidRPr="00AE6D6A">
              <w:rPr>
                <w:rFonts w:eastAsiaTheme="minorHAnsi"/>
                <w:lang w:eastAsia="en-US"/>
              </w:rPr>
              <w:t xml:space="preserve">, </w:t>
            </w:r>
            <w:r w:rsidR="00B35913" w:rsidRPr="00AE6D6A">
              <w:rPr>
                <w:rFonts w:eastAsiaTheme="minorHAnsi"/>
                <w:bCs/>
                <w:lang w:eastAsia="en-US"/>
              </w:rPr>
              <w:t xml:space="preserve"> aicinot sabiedrības pārstāvjus </w:t>
            </w:r>
            <w:r w:rsidR="005F4671">
              <w:rPr>
                <w:rFonts w:eastAsiaTheme="minorHAnsi"/>
                <w:bCs/>
                <w:lang w:eastAsia="en-US"/>
              </w:rPr>
              <w:t xml:space="preserve">līdz š.g. 3.oktobrim </w:t>
            </w:r>
            <w:r w:rsidR="00B35913" w:rsidRPr="00AE6D6A">
              <w:rPr>
                <w:rFonts w:eastAsiaTheme="minorHAnsi"/>
                <w:bCs/>
                <w:lang w:eastAsia="en-US"/>
              </w:rPr>
              <w:t xml:space="preserve">rakstiski sniegt viedokli par noteikumu projektu tā izstrādes stadijā – nosūtot elektroniski uz e-pastu: </w:t>
            </w:r>
            <w:hyperlink r:id="rId8" w:history="1">
              <w:r w:rsidR="00B35913" w:rsidRPr="00AE6D6A">
                <w:rPr>
                  <w:rFonts w:eastAsiaTheme="minorHAnsi"/>
                  <w:bCs/>
                  <w:color w:val="0000FF"/>
                  <w:u w:val="single"/>
                  <w:lang w:eastAsia="en-US"/>
                </w:rPr>
                <w:t>pasts@izm.gov.lv</w:t>
              </w:r>
            </w:hyperlink>
            <w:r w:rsidR="00B35913" w:rsidRPr="00AE6D6A">
              <w:rPr>
                <w:rFonts w:eastAsiaTheme="minorHAnsi"/>
                <w:bCs/>
                <w:color w:val="0000FF"/>
                <w:u w:val="single"/>
                <w:lang w:eastAsia="en-US"/>
              </w:rPr>
              <w:t>, esf@izm.gov.lv</w:t>
            </w:r>
            <w:r w:rsidR="00B35913" w:rsidRPr="00AE6D6A">
              <w:rPr>
                <w:rFonts w:eastAsiaTheme="minorHAnsi"/>
                <w:bCs/>
                <w:lang w:eastAsia="en-US"/>
              </w:rPr>
              <w:t>.</w:t>
            </w:r>
          </w:p>
        </w:tc>
      </w:tr>
      <w:tr w:rsidR="00B35913" w14:paraId="2CF4B141" w14:textId="77777777" w:rsidTr="002B7C2F">
        <w:trPr>
          <w:trHeight w:val="476"/>
        </w:trPr>
        <w:tc>
          <w:tcPr>
            <w:tcW w:w="315" w:type="dxa"/>
          </w:tcPr>
          <w:p w14:paraId="46270C0D" w14:textId="77777777" w:rsidR="00B35913" w:rsidRPr="001351FC" w:rsidRDefault="00B35913" w:rsidP="00B35913">
            <w:pPr>
              <w:ind w:left="57" w:right="57"/>
              <w:jc w:val="both"/>
              <w:rPr>
                <w:bCs/>
              </w:rPr>
            </w:pPr>
            <w:r w:rsidRPr="001351FC">
              <w:rPr>
                <w:bCs/>
              </w:rPr>
              <w:t>3.</w:t>
            </w:r>
          </w:p>
        </w:tc>
        <w:tc>
          <w:tcPr>
            <w:tcW w:w="3219" w:type="dxa"/>
          </w:tcPr>
          <w:p w14:paraId="63063140" w14:textId="77777777" w:rsidR="00B35913" w:rsidRPr="001351FC" w:rsidRDefault="00B35913" w:rsidP="00B35913">
            <w:pPr>
              <w:ind w:left="57" w:right="57"/>
            </w:pPr>
            <w:r w:rsidRPr="001351FC">
              <w:t>Sabiedrības līdzdalības rezultāti</w:t>
            </w:r>
          </w:p>
        </w:tc>
        <w:tc>
          <w:tcPr>
            <w:tcW w:w="5812" w:type="dxa"/>
          </w:tcPr>
          <w:p w14:paraId="7F9C5EFB" w14:textId="533E1849" w:rsidR="00B35913" w:rsidRPr="001351FC" w:rsidRDefault="00851314" w:rsidP="00B35913">
            <w:pPr>
              <w:shd w:val="clear" w:color="auto" w:fill="FFFFFF"/>
              <w:tabs>
                <w:tab w:val="left" w:pos="878"/>
              </w:tabs>
              <w:ind w:left="94" w:right="57"/>
              <w:jc w:val="both"/>
            </w:pPr>
            <w:r w:rsidRPr="00851314">
              <w:t>Sabiedrības līdzdalības un komunikācijas aktivitātēs netika saņemti projekta papildinājumi un labojumi.</w:t>
            </w:r>
          </w:p>
        </w:tc>
      </w:tr>
      <w:tr w:rsidR="00ED6931" w14:paraId="73E5606D" w14:textId="77777777" w:rsidTr="002B7C2F">
        <w:trPr>
          <w:trHeight w:val="205"/>
        </w:trPr>
        <w:tc>
          <w:tcPr>
            <w:tcW w:w="315" w:type="dxa"/>
          </w:tcPr>
          <w:p w14:paraId="4240DE02" w14:textId="77777777" w:rsidR="004D5248" w:rsidRPr="001351FC" w:rsidRDefault="00B650B7" w:rsidP="001351FC">
            <w:pPr>
              <w:ind w:left="57" w:right="57"/>
              <w:jc w:val="both"/>
              <w:rPr>
                <w:bCs/>
              </w:rPr>
            </w:pPr>
            <w:r w:rsidRPr="001351FC">
              <w:rPr>
                <w:bCs/>
              </w:rPr>
              <w:t>4.</w:t>
            </w:r>
          </w:p>
        </w:tc>
        <w:tc>
          <w:tcPr>
            <w:tcW w:w="3219" w:type="dxa"/>
          </w:tcPr>
          <w:p w14:paraId="4D91D2EF" w14:textId="77777777" w:rsidR="004D5248" w:rsidRPr="001351FC" w:rsidRDefault="00B650B7" w:rsidP="001351FC">
            <w:pPr>
              <w:ind w:left="57" w:right="57"/>
            </w:pPr>
            <w:r w:rsidRPr="001351FC">
              <w:t>Cita informācija</w:t>
            </w:r>
          </w:p>
        </w:tc>
        <w:tc>
          <w:tcPr>
            <w:tcW w:w="5812" w:type="dxa"/>
          </w:tcPr>
          <w:p w14:paraId="6E55FD5A" w14:textId="77777777" w:rsidR="004D5248" w:rsidRPr="001351FC" w:rsidRDefault="00B650B7" w:rsidP="001351FC">
            <w:pPr>
              <w:ind w:left="57" w:right="113" w:firstLine="37"/>
              <w:jc w:val="both"/>
            </w:pPr>
            <w:r w:rsidRPr="001351FC">
              <w:t>Nav.</w:t>
            </w:r>
          </w:p>
        </w:tc>
      </w:tr>
    </w:tbl>
    <w:p w14:paraId="41B123D1" w14:textId="77777777" w:rsidR="000952B3" w:rsidRPr="001351FC" w:rsidRDefault="000952B3" w:rsidP="001351FC">
      <w:pPr>
        <w:jc w:val="both"/>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3201"/>
        <w:gridCol w:w="5812"/>
      </w:tblGrid>
      <w:tr w:rsidR="00ED6931" w14:paraId="01A2BDF2" w14:textId="77777777" w:rsidTr="00477F62">
        <w:trPr>
          <w:trHeight w:val="421"/>
        </w:trPr>
        <w:tc>
          <w:tcPr>
            <w:tcW w:w="9346" w:type="dxa"/>
            <w:gridSpan w:val="3"/>
            <w:vAlign w:val="center"/>
          </w:tcPr>
          <w:p w14:paraId="43B7EA42" w14:textId="77777777" w:rsidR="000952B3" w:rsidRPr="001351FC" w:rsidRDefault="00B650B7" w:rsidP="001351FC">
            <w:pPr>
              <w:pStyle w:val="naisnod"/>
              <w:spacing w:before="0" w:beforeAutospacing="0" w:after="0" w:afterAutospacing="0"/>
              <w:ind w:left="57" w:right="57"/>
              <w:jc w:val="center"/>
            </w:pPr>
            <w:r w:rsidRPr="001351FC">
              <w:rPr>
                <w:b/>
              </w:rPr>
              <w:t>VII. Tiesību akta projekta izpildes nodrošināšana un tās ietekme uz institūcijām</w:t>
            </w:r>
          </w:p>
        </w:tc>
      </w:tr>
      <w:tr w:rsidR="00ED6931" w14:paraId="4802C351" w14:textId="77777777" w:rsidTr="00AF0818">
        <w:trPr>
          <w:trHeight w:val="553"/>
        </w:trPr>
        <w:tc>
          <w:tcPr>
            <w:tcW w:w="333" w:type="dxa"/>
          </w:tcPr>
          <w:p w14:paraId="5B5DA9D4" w14:textId="77777777" w:rsidR="000952B3" w:rsidRPr="001351FC" w:rsidRDefault="00B650B7" w:rsidP="001351FC">
            <w:pPr>
              <w:ind w:left="57" w:right="57"/>
              <w:jc w:val="both"/>
              <w:rPr>
                <w:bCs/>
              </w:rPr>
            </w:pPr>
            <w:r w:rsidRPr="001351FC">
              <w:rPr>
                <w:bCs/>
              </w:rPr>
              <w:t>1.</w:t>
            </w:r>
          </w:p>
        </w:tc>
        <w:tc>
          <w:tcPr>
            <w:tcW w:w="3201" w:type="dxa"/>
          </w:tcPr>
          <w:p w14:paraId="33491DB5" w14:textId="16FC079F" w:rsidR="000952B3" w:rsidRPr="001351FC" w:rsidRDefault="00DA7EBF" w:rsidP="00535E2C">
            <w:pPr>
              <w:ind w:left="57" w:right="57"/>
              <w:jc w:val="both"/>
            </w:pPr>
            <w:r>
              <w:t>Projekta izpildē iesaistītās instit</w:t>
            </w:r>
            <w:r w:rsidR="00731E83">
              <w:t>ūcijas</w:t>
            </w:r>
          </w:p>
        </w:tc>
        <w:tc>
          <w:tcPr>
            <w:tcW w:w="5812" w:type="dxa"/>
          </w:tcPr>
          <w:p w14:paraId="17057914" w14:textId="4E741FA4" w:rsidR="000952B3" w:rsidRPr="001351FC" w:rsidRDefault="000E2601" w:rsidP="00FD487B">
            <w:pPr>
              <w:shd w:val="clear" w:color="auto" w:fill="FFFFFF"/>
              <w:ind w:left="57" w:right="113"/>
              <w:jc w:val="both"/>
            </w:pPr>
            <w:r>
              <w:t xml:space="preserve"> Izglītības un zinātnes ministrija, augstākās izglītības un zinātnes institūcijas un tajā studējošie, Izglītības kvalitātes valsts dienests un Valsts izglītības satura centrs.</w:t>
            </w:r>
          </w:p>
        </w:tc>
      </w:tr>
      <w:tr w:rsidR="00ED6931" w14:paraId="4F24F579" w14:textId="77777777" w:rsidTr="00AF0818">
        <w:trPr>
          <w:trHeight w:val="339"/>
        </w:trPr>
        <w:tc>
          <w:tcPr>
            <w:tcW w:w="333" w:type="dxa"/>
          </w:tcPr>
          <w:p w14:paraId="2D0BC61B" w14:textId="77777777" w:rsidR="000952B3" w:rsidRPr="001351FC" w:rsidRDefault="00B650B7" w:rsidP="001351FC">
            <w:pPr>
              <w:ind w:left="57" w:right="57"/>
              <w:jc w:val="both"/>
              <w:rPr>
                <w:bCs/>
              </w:rPr>
            </w:pPr>
            <w:r w:rsidRPr="001351FC">
              <w:rPr>
                <w:bCs/>
              </w:rPr>
              <w:t>2.</w:t>
            </w:r>
          </w:p>
        </w:tc>
        <w:tc>
          <w:tcPr>
            <w:tcW w:w="3201" w:type="dxa"/>
          </w:tcPr>
          <w:p w14:paraId="37BBBED2" w14:textId="77777777" w:rsidR="000952B3" w:rsidRPr="001351FC" w:rsidRDefault="00B650B7" w:rsidP="00535E2C">
            <w:pPr>
              <w:ind w:left="57" w:right="57"/>
              <w:jc w:val="both"/>
            </w:pPr>
            <w:r w:rsidRPr="001351FC">
              <w:t xml:space="preserve">Projekta izpildes ietekme uz pārvaldes funkcijām un institucionālo struktūru. </w:t>
            </w:r>
          </w:p>
          <w:p w14:paraId="38943CEE" w14:textId="77777777" w:rsidR="000952B3" w:rsidRPr="001351FC" w:rsidRDefault="00B650B7" w:rsidP="00535E2C">
            <w:pPr>
              <w:ind w:left="57" w:right="57"/>
              <w:jc w:val="both"/>
            </w:pPr>
            <w:r w:rsidRPr="001351FC">
              <w:t>Jaunu institūciju izveide, esošu institūciju likvidācija vai reorganizācija, to ietekme uz institūcijas cilvēkresursiem</w:t>
            </w:r>
          </w:p>
        </w:tc>
        <w:tc>
          <w:tcPr>
            <w:tcW w:w="5812" w:type="dxa"/>
          </w:tcPr>
          <w:p w14:paraId="29F24A9B" w14:textId="77777777" w:rsidR="000952B3" w:rsidRPr="001351FC" w:rsidRDefault="00B650B7" w:rsidP="001351FC">
            <w:pPr>
              <w:shd w:val="clear" w:color="auto" w:fill="FFFFFF"/>
              <w:ind w:left="57" w:right="113"/>
              <w:jc w:val="both"/>
              <w:rPr>
                <w:kern w:val="24"/>
              </w:rPr>
            </w:pPr>
            <w:r w:rsidRPr="001351FC">
              <w:t>Nav plānota jaunu institūciju izveide, esošu ins</w:t>
            </w:r>
            <w:r w:rsidR="007A045B" w:rsidRPr="001351FC">
              <w:t>titūciju likvidācija vai reorga</w:t>
            </w:r>
            <w:r w:rsidRPr="001351FC">
              <w:t>nizācija.</w:t>
            </w:r>
          </w:p>
        </w:tc>
      </w:tr>
      <w:tr w:rsidR="00ED6931" w14:paraId="48A2FB66" w14:textId="77777777" w:rsidTr="00AF0818">
        <w:trPr>
          <w:trHeight w:val="476"/>
        </w:trPr>
        <w:tc>
          <w:tcPr>
            <w:tcW w:w="333" w:type="dxa"/>
          </w:tcPr>
          <w:p w14:paraId="57EA02A4" w14:textId="77777777" w:rsidR="000952B3" w:rsidRPr="001351FC" w:rsidRDefault="00B650B7" w:rsidP="001351FC">
            <w:pPr>
              <w:ind w:left="57" w:right="57"/>
              <w:jc w:val="both"/>
              <w:rPr>
                <w:bCs/>
              </w:rPr>
            </w:pPr>
            <w:r w:rsidRPr="001351FC">
              <w:rPr>
                <w:bCs/>
              </w:rPr>
              <w:t>3.</w:t>
            </w:r>
          </w:p>
        </w:tc>
        <w:tc>
          <w:tcPr>
            <w:tcW w:w="3201" w:type="dxa"/>
          </w:tcPr>
          <w:p w14:paraId="477425B2" w14:textId="77777777" w:rsidR="000952B3" w:rsidRPr="001351FC" w:rsidRDefault="00B650B7" w:rsidP="001351FC">
            <w:pPr>
              <w:ind w:left="57" w:right="57"/>
            </w:pPr>
            <w:r w:rsidRPr="001351FC">
              <w:t>Cita informācija</w:t>
            </w:r>
          </w:p>
        </w:tc>
        <w:tc>
          <w:tcPr>
            <w:tcW w:w="5812" w:type="dxa"/>
          </w:tcPr>
          <w:p w14:paraId="4DD6E884" w14:textId="047DD238" w:rsidR="000952B3" w:rsidRPr="001351FC" w:rsidRDefault="000E2601" w:rsidP="00FE5FE2">
            <w:pPr>
              <w:shd w:val="clear" w:color="auto" w:fill="FFFFFF"/>
              <w:ind w:left="57" w:right="113"/>
              <w:jc w:val="both"/>
            </w:pPr>
            <w:r>
              <w:t>Nav.</w:t>
            </w:r>
          </w:p>
        </w:tc>
      </w:tr>
    </w:tbl>
    <w:p w14:paraId="2F936407" w14:textId="77777777" w:rsidR="007A045B" w:rsidRDefault="007A045B" w:rsidP="001351FC">
      <w:pPr>
        <w:rPr>
          <w:b/>
        </w:rPr>
      </w:pPr>
    </w:p>
    <w:p w14:paraId="44713091" w14:textId="77777777" w:rsidR="00AF0818" w:rsidRPr="001351FC" w:rsidRDefault="00AF0818" w:rsidP="001351FC"/>
    <w:tbl>
      <w:tblPr>
        <w:tblW w:w="0" w:type="auto"/>
        <w:tblLook w:val="04A0" w:firstRow="1" w:lastRow="0" w:firstColumn="1" w:lastColumn="0" w:noHBand="0" w:noVBand="1"/>
      </w:tblPr>
      <w:tblGrid>
        <w:gridCol w:w="5767"/>
        <w:gridCol w:w="3304"/>
      </w:tblGrid>
      <w:tr w:rsidR="00ED6931" w14:paraId="5834315E" w14:textId="77777777" w:rsidTr="00EA151B">
        <w:tc>
          <w:tcPr>
            <w:tcW w:w="5767" w:type="dxa"/>
          </w:tcPr>
          <w:p w14:paraId="45610437" w14:textId="77777777" w:rsidR="007A045B" w:rsidRPr="001351FC" w:rsidRDefault="00B650B7" w:rsidP="001351FC">
            <w:pPr>
              <w:tabs>
                <w:tab w:val="left" w:pos="4320"/>
              </w:tabs>
            </w:pPr>
            <w:r w:rsidRPr="001351FC">
              <w:t>Izglītības un zinātnes ministrs</w:t>
            </w:r>
          </w:p>
        </w:tc>
        <w:tc>
          <w:tcPr>
            <w:tcW w:w="3304" w:type="dxa"/>
          </w:tcPr>
          <w:p w14:paraId="35EB8E25" w14:textId="17CC3DFA" w:rsidR="007A045B" w:rsidRPr="001351FC" w:rsidRDefault="00B650B7" w:rsidP="001351FC">
            <w:pPr>
              <w:tabs>
                <w:tab w:val="left" w:pos="4320"/>
              </w:tabs>
              <w:jc w:val="center"/>
            </w:pPr>
            <w:r>
              <w:t xml:space="preserve">                  Kārlis </w:t>
            </w:r>
            <w:r w:rsidRPr="001351FC">
              <w:t>Šadurskis</w:t>
            </w:r>
          </w:p>
          <w:p w14:paraId="28B8E4F4" w14:textId="77777777" w:rsidR="007A045B" w:rsidRPr="001351FC" w:rsidRDefault="007A045B" w:rsidP="001351FC">
            <w:pPr>
              <w:tabs>
                <w:tab w:val="left" w:pos="4320"/>
              </w:tabs>
              <w:jc w:val="right"/>
            </w:pPr>
          </w:p>
        </w:tc>
      </w:tr>
      <w:tr w:rsidR="00ED6931" w:rsidRPr="00605C6C" w14:paraId="184E6440" w14:textId="77777777" w:rsidTr="00EA151B">
        <w:tc>
          <w:tcPr>
            <w:tcW w:w="5767" w:type="dxa"/>
          </w:tcPr>
          <w:p w14:paraId="6556BCFC" w14:textId="77777777" w:rsidR="007A045B" w:rsidRPr="001351FC" w:rsidRDefault="007A045B" w:rsidP="001351FC">
            <w:pPr>
              <w:pStyle w:val="NormalWeb"/>
              <w:spacing w:before="0" w:beforeAutospacing="0" w:after="0" w:afterAutospacing="0"/>
            </w:pPr>
          </w:p>
          <w:p w14:paraId="4B9D0795" w14:textId="2B799526" w:rsidR="007A045B" w:rsidRPr="00605C6C" w:rsidRDefault="00B650B7" w:rsidP="00EA151B">
            <w:pPr>
              <w:pStyle w:val="NormalWeb"/>
              <w:spacing w:before="0" w:beforeAutospacing="0" w:after="0" w:afterAutospacing="0"/>
            </w:pPr>
            <w:r w:rsidRPr="00605C6C">
              <w:t>Vizē:</w:t>
            </w:r>
            <w:r w:rsidRPr="00605C6C">
              <w:tab/>
            </w:r>
          </w:p>
        </w:tc>
        <w:tc>
          <w:tcPr>
            <w:tcW w:w="3304" w:type="dxa"/>
          </w:tcPr>
          <w:p w14:paraId="6238B884" w14:textId="77777777" w:rsidR="007A045B" w:rsidRPr="00605C6C" w:rsidRDefault="007A045B" w:rsidP="001351FC">
            <w:pPr>
              <w:tabs>
                <w:tab w:val="left" w:pos="4320"/>
              </w:tabs>
              <w:jc w:val="right"/>
            </w:pPr>
          </w:p>
          <w:p w14:paraId="350B948B" w14:textId="0FC3E964" w:rsidR="007A045B" w:rsidRPr="00605C6C" w:rsidRDefault="007A045B" w:rsidP="001351FC">
            <w:pPr>
              <w:tabs>
                <w:tab w:val="left" w:pos="4320"/>
              </w:tabs>
              <w:jc w:val="center"/>
            </w:pPr>
          </w:p>
        </w:tc>
      </w:tr>
    </w:tbl>
    <w:p w14:paraId="452EB243" w14:textId="6D98923F" w:rsidR="00EA151B" w:rsidRPr="00EA151B" w:rsidRDefault="00F3153D" w:rsidP="00EA151B">
      <w:pPr>
        <w:tabs>
          <w:tab w:val="left" w:pos="4020"/>
        </w:tabs>
        <w:ind w:left="709" w:hanging="567"/>
      </w:pPr>
      <w:r w:rsidRPr="00605C6C">
        <w:t>Valsts sekretāre</w:t>
      </w:r>
      <w:r w:rsidRPr="00605C6C">
        <w:tab/>
      </w:r>
      <w:r w:rsidRPr="00605C6C">
        <w:tab/>
      </w:r>
      <w:r w:rsidRPr="00605C6C">
        <w:tab/>
      </w:r>
      <w:r w:rsidRPr="00605C6C">
        <w:tab/>
      </w:r>
      <w:r w:rsidRPr="00605C6C">
        <w:tab/>
      </w:r>
      <w:r w:rsidRPr="00605C6C">
        <w:tab/>
      </w:r>
      <w:r w:rsidR="00FE5FE2" w:rsidRPr="00605C6C">
        <w:t>L</w:t>
      </w:r>
      <w:r w:rsidRPr="00605C6C">
        <w:t xml:space="preserve">īga </w:t>
      </w:r>
      <w:r w:rsidR="00FE5FE2" w:rsidRPr="00605C6C">
        <w:t>Lejiņa</w:t>
      </w:r>
    </w:p>
    <w:p w14:paraId="1268B73B" w14:textId="77777777" w:rsidR="007A045B" w:rsidRDefault="007A045B" w:rsidP="001351FC"/>
    <w:p w14:paraId="3A308D42" w14:textId="77777777" w:rsidR="00F3153D" w:rsidRDefault="00F3153D" w:rsidP="00F3153D">
      <w:pPr>
        <w:tabs>
          <w:tab w:val="left" w:pos="2340"/>
          <w:tab w:val="center" w:pos="4153"/>
          <w:tab w:val="right" w:pos="8306"/>
        </w:tabs>
        <w:rPr>
          <w:rFonts w:eastAsia="Times New Roman"/>
          <w:sz w:val="20"/>
          <w:szCs w:val="20"/>
        </w:rPr>
      </w:pPr>
    </w:p>
    <w:p w14:paraId="0FF10811" w14:textId="77777777" w:rsidR="003676E2" w:rsidRDefault="003676E2" w:rsidP="00F3153D">
      <w:pPr>
        <w:rPr>
          <w:rFonts w:eastAsia="Times New Roman"/>
          <w:color w:val="0000FF"/>
          <w:sz w:val="20"/>
          <w:szCs w:val="20"/>
          <w:u w:val="single"/>
        </w:rPr>
      </w:pPr>
    </w:p>
    <w:p w14:paraId="0B3DED45" w14:textId="3B408F8D" w:rsidR="003676E2" w:rsidRDefault="00C431C0" w:rsidP="003676E2">
      <w:pPr>
        <w:rPr>
          <w:rFonts w:eastAsiaTheme="minorHAnsi"/>
          <w:sz w:val="20"/>
          <w:szCs w:val="22"/>
          <w:lang w:eastAsia="en-US"/>
        </w:rPr>
      </w:pPr>
      <w:r>
        <w:rPr>
          <w:sz w:val="20"/>
        </w:rPr>
        <w:t>Rudene</w:t>
      </w:r>
      <w:r w:rsidR="003676E2">
        <w:rPr>
          <w:sz w:val="20"/>
        </w:rPr>
        <w:t xml:space="preserve"> </w:t>
      </w:r>
      <w:r w:rsidR="009E2DD6">
        <w:rPr>
          <w:sz w:val="20"/>
        </w:rPr>
        <w:t>67047992</w:t>
      </w:r>
    </w:p>
    <w:p w14:paraId="2CCF40D4" w14:textId="6B4CF09A" w:rsidR="003676E2" w:rsidRPr="003676E2" w:rsidRDefault="00350473" w:rsidP="003676E2">
      <w:pPr>
        <w:rPr>
          <w:sz w:val="20"/>
        </w:rPr>
      </w:pPr>
      <w:hyperlink r:id="rId9" w:history="1">
        <w:r w:rsidR="009E2DD6">
          <w:rPr>
            <w:sz w:val="20"/>
          </w:rPr>
          <w:t>zanda.rudene</w:t>
        </w:r>
        <w:r w:rsidR="009E2DD6" w:rsidRPr="003676E2">
          <w:rPr>
            <w:sz w:val="20"/>
          </w:rPr>
          <w:t>@izm.gov.lv</w:t>
        </w:r>
      </w:hyperlink>
    </w:p>
    <w:sectPr w:rsidR="003676E2" w:rsidRPr="003676E2" w:rsidSect="003B01C6">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78008" w14:textId="77777777" w:rsidR="00A9263C" w:rsidRDefault="00A9263C">
      <w:r>
        <w:separator/>
      </w:r>
    </w:p>
  </w:endnote>
  <w:endnote w:type="continuationSeparator" w:id="0">
    <w:p w14:paraId="177C62CA" w14:textId="77777777" w:rsidR="00A9263C" w:rsidRDefault="00A9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12A2" w14:textId="60CFD19C" w:rsidR="00DB3879" w:rsidRDefault="00B650B7" w:rsidP="00B94A93">
    <w:pPr>
      <w:pStyle w:val="Footer"/>
      <w:tabs>
        <w:tab w:val="clear" w:pos="8306"/>
      </w:tabs>
      <w:jc w:val="both"/>
    </w:pPr>
    <w:r>
      <w:rPr>
        <w:noProof/>
        <w:sz w:val="20"/>
        <w:szCs w:val="20"/>
      </w:rPr>
      <w:t>IZMAnot_</w:t>
    </w:r>
    <w:r w:rsidR="00645C57">
      <w:rPr>
        <w:noProof/>
        <w:sz w:val="20"/>
        <w:szCs w:val="20"/>
      </w:rPr>
      <w:t>23</w:t>
    </w:r>
    <w:r w:rsidR="00AE7A8E">
      <w:rPr>
        <w:noProof/>
        <w:sz w:val="20"/>
        <w:szCs w:val="20"/>
      </w:rPr>
      <w:t>10</w:t>
    </w:r>
    <w:r w:rsidR="00F72B61">
      <w:rPr>
        <w:noProof/>
        <w:sz w:val="20"/>
        <w:szCs w:val="20"/>
      </w:rPr>
      <w:t>18</w:t>
    </w:r>
    <w:r>
      <w:rPr>
        <w:noProof/>
        <w:sz w:val="20"/>
        <w:szCs w:val="20"/>
      </w:rPr>
      <w:t>_</w:t>
    </w:r>
    <w:r w:rsidR="00624449">
      <w:rPr>
        <w:noProof/>
        <w:sz w:val="20"/>
        <w:szCs w:val="20"/>
      </w:rPr>
      <w:t>groz</w:t>
    </w:r>
    <w:r w:rsidR="00501221">
      <w:rPr>
        <w:noProof/>
        <w:sz w:val="20"/>
        <w:szCs w:val="20"/>
      </w:rPr>
      <w:t>836</w:t>
    </w:r>
    <w:r w:rsidR="002138DE">
      <w:rPr>
        <w:noProof/>
        <w:sz w:val="20"/>
        <w:szCs w:val="20"/>
      </w:rPr>
      <w:t>2</w:t>
    </w:r>
    <w:r w:rsidRPr="00B4020C">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5FA8C5AB" w:rsidR="00DB3879" w:rsidRPr="00521075" w:rsidRDefault="00B94A93" w:rsidP="00521075">
    <w:pPr>
      <w:pStyle w:val="Footer"/>
      <w:tabs>
        <w:tab w:val="clear" w:pos="8306"/>
      </w:tabs>
      <w:jc w:val="both"/>
      <w:rPr>
        <w:noProof/>
        <w:sz w:val="20"/>
        <w:szCs w:val="20"/>
      </w:rPr>
    </w:pPr>
    <w:r>
      <w:rPr>
        <w:noProof/>
        <w:sz w:val="20"/>
        <w:szCs w:val="20"/>
      </w:rPr>
      <w:t>IZMAnot_</w:t>
    </w:r>
    <w:r w:rsidR="00645C57">
      <w:rPr>
        <w:noProof/>
        <w:sz w:val="20"/>
        <w:szCs w:val="20"/>
      </w:rPr>
      <w:t>23</w:t>
    </w:r>
    <w:r w:rsidR="00AE7A8E">
      <w:rPr>
        <w:noProof/>
        <w:sz w:val="20"/>
        <w:szCs w:val="20"/>
      </w:rPr>
      <w:t>10</w:t>
    </w:r>
    <w:r w:rsidR="00F72B61">
      <w:rPr>
        <w:noProof/>
        <w:sz w:val="20"/>
        <w:szCs w:val="20"/>
      </w:rPr>
      <w:t>18</w:t>
    </w:r>
    <w:r>
      <w:rPr>
        <w:noProof/>
        <w:sz w:val="20"/>
        <w:szCs w:val="20"/>
      </w:rPr>
      <w:t>_</w:t>
    </w:r>
    <w:r w:rsidR="00624449">
      <w:rPr>
        <w:noProof/>
        <w:sz w:val="20"/>
        <w:szCs w:val="20"/>
      </w:rPr>
      <w:t>groz</w:t>
    </w:r>
    <w:r w:rsidR="00501221">
      <w:rPr>
        <w:noProof/>
        <w:sz w:val="20"/>
        <w:szCs w:val="20"/>
      </w:rPr>
      <w:t>836</w:t>
    </w:r>
    <w:r w:rsidR="002138DE">
      <w:rPr>
        <w:noProof/>
        <w:sz w:val="20"/>
        <w:szCs w:val="20"/>
      </w:rPr>
      <w:t>2</w:t>
    </w:r>
    <w:r w:rsidRPr="00B4020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F4D2B" w14:textId="77777777" w:rsidR="00A9263C" w:rsidRDefault="00A9263C">
      <w:r>
        <w:separator/>
      </w:r>
    </w:p>
  </w:footnote>
  <w:footnote w:type="continuationSeparator" w:id="0">
    <w:p w14:paraId="7A782F92" w14:textId="77777777" w:rsidR="00A9263C" w:rsidRDefault="00A92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DB3879" w:rsidRDefault="00B650B7">
        <w:pPr>
          <w:pStyle w:val="Header"/>
          <w:jc w:val="center"/>
        </w:pPr>
        <w:r>
          <w:fldChar w:fldCharType="begin"/>
        </w:r>
        <w:r>
          <w:instrText xml:space="preserve"> PAGE   \* MERGEFORMAT </w:instrText>
        </w:r>
        <w:r>
          <w:fldChar w:fldCharType="separate"/>
        </w:r>
        <w:r w:rsidR="00350473">
          <w:rPr>
            <w:noProof/>
          </w:rPr>
          <w:t>4</w:t>
        </w:r>
        <w:r>
          <w:rPr>
            <w:noProof/>
          </w:rPr>
          <w:fldChar w:fldCharType="end"/>
        </w:r>
      </w:p>
    </w:sdtContent>
  </w:sdt>
  <w:p w14:paraId="08EA09F9" w14:textId="77777777" w:rsidR="00DB3879" w:rsidRDefault="00DB3879"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1" w15:restartNumberingAfterBreak="0">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2" w15:restartNumberingAfterBreak="0">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3" w15:restartNumberingAfterBreak="0">
    <w:nsid w:val="0F903DB0"/>
    <w:multiLevelType w:val="hybridMultilevel"/>
    <w:tmpl w:val="B47C8BF2"/>
    <w:lvl w:ilvl="0" w:tplc="D982DFB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5" w15:restartNumberingAfterBreak="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6" w15:restartNumberingAfterBreak="0">
    <w:nsid w:val="491A2266"/>
    <w:multiLevelType w:val="hybridMultilevel"/>
    <w:tmpl w:val="5DFC173C"/>
    <w:lvl w:ilvl="0" w:tplc="A3F8F9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8" w15:restartNumberingAfterBreak="0">
    <w:nsid w:val="5C9513DC"/>
    <w:multiLevelType w:val="hybridMultilevel"/>
    <w:tmpl w:val="9D820576"/>
    <w:lvl w:ilvl="0" w:tplc="872298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0" w15:restartNumberingAfterBreak="0">
    <w:nsid w:val="71743B0A"/>
    <w:multiLevelType w:val="hybridMultilevel"/>
    <w:tmpl w:val="35CE8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2" w15:restartNumberingAfterBreak="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13" w15:restartNumberingAfterBreak="0">
    <w:nsid w:val="756046B6"/>
    <w:multiLevelType w:val="hybridMultilevel"/>
    <w:tmpl w:val="64AA3E38"/>
    <w:lvl w:ilvl="0" w:tplc="E9C23D06">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5"/>
  </w:num>
  <w:num w:numId="5">
    <w:abstractNumId w:val="4"/>
  </w:num>
  <w:num w:numId="6">
    <w:abstractNumId w:val="7"/>
  </w:num>
  <w:num w:numId="7">
    <w:abstractNumId w:val="0"/>
  </w:num>
  <w:num w:numId="8">
    <w:abstractNumId w:val="12"/>
  </w:num>
  <w:num w:numId="9">
    <w:abstractNumId w:val="14"/>
  </w:num>
  <w:num w:numId="10">
    <w:abstractNumId w:val="11"/>
  </w:num>
  <w:num w:numId="11">
    <w:abstractNumId w:val="3"/>
  </w:num>
  <w:num w:numId="12">
    <w:abstractNumId w:val="8"/>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14C1A"/>
    <w:rsid w:val="00017924"/>
    <w:rsid w:val="00044224"/>
    <w:rsid w:val="00046846"/>
    <w:rsid w:val="00047A59"/>
    <w:rsid w:val="000532A9"/>
    <w:rsid w:val="00055596"/>
    <w:rsid w:val="00055FF5"/>
    <w:rsid w:val="000604AB"/>
    <w:rsid w:val="000726BF"/>
    <w:rsid w:val="00073541"/>
    <w:rsid w:val="000864C7"/>
    <w:rsid w:val="000952B3"/>
    <w:rsid w:val="000A4EDF"/>
    <w:rsid w:val="000A6C18"/>
    <w:rsid w:val="000A7A0E"/>
    <w:rsid w:val="000B769B"/>
    <w:rsid w:val="000C4928"/>
    <w:rsid w:val="000C5969"/>
    <w:rsid w:val="000D24CB"/>
    <w:rsid w:val="000E2601"/>
    <w:rsid w:val="000F01C5"/>
    <w:rsid w:val="000F2179"/>
    <w:rsid w:val="000F21B1"/>
    <w:rsid w:val="000F796B"/>
    <w:rsid w:val="001226BE"/>
    <w:rsid w:val="001273A7"/>
    <w:rsid w:val="001312E0"/>
    <w:rsid w:val="001351FC"/>
    <w:rsid w:val="001435F6"/>
    <w:rsid w:val="001522EB"/>
    <w:rsid w:val="0015241F"/>
    <w:rsid w:val="00162663"/>
    <w:rsid w:val="0016654E"/>
    <w:rsid w:val="00166859"/>
    <w:rsid w:val="00173A4C"/>
    <w:rsid w:val="001740A1"/>
    <w:rsid w:val="0017518B"/>
    <w:rsid w:val="001930D7"/>
    <w:rsid w:val="0019383F"/>
    <w:rsid w:val="001A037F"/>
    <w:rsid w:val="001A52EA"/>
    <w:rsid w:val="001B348C"/>
    <w:rsid w:val="001C0AEA"/>
    <w:rsid w:val="001C0C9B"/>
    <w:rsid w:val="001D18B9"/>
    <w:rsid w:val="001D3C5A"/>
    <w:rsid w:val="001E2C60"/>
    <w:rsid w:val="001E5A9E"/>
    <w:rsid w:val="001E72BE"/>
    <w:rsid w:val="001F097E"/>
    <w:rsid w:val="001F3907"/>
    <w:rsid w:val="00212E78"/>
    <w:rsid w:val="002138DE"/>
    <w:rsid w:val="0023009A"/>
    <w:rsid w:val="00254E50"/>
    <w:rsid w:val="00261E34"/>
    <w:rsid w:val="00273E66"/>
    <w:rsid w:val="00275DF9"/>
    <w:rsid w:val="00276D5D"/>
    <w:rsid w:val="00277223"/>
    <w:rsid w:val="00294D5D"/>
    <w:rsid w:val="002960B5"/>
    <w:rsid w:val="00297863"/>
    <w:rsid w:val="002A0265"/>
    <w:rsid w:val="002A1724"/>
    <w:rsid w:val="002B0E96"/>
    <w:rsid w:val="002B7C2F"/>
    <w:rsid w:val="002C22BE"/>
    <w:rsid w:val="002C6A6F"/>
    <w:rsid w:val="002D02E7"/>
    <w:rsid w:val="002E4F95"/>
    <w:rsid w:val="002F28A3"/>
    <w:rsid w:val="002F7398"/>
    <w:rsid w:val="00301E2B"/>
    <w:rsid w:val="00302C11"/>
    <w:rsid w:val="00331EF7"/>
    <w:rsid w:val="0034707A"/>
    <w:rsid w:val="0034796B"/>
    <w:rsid w:val="00350473"/>
    <w:rsid w:val="00352BE9"/>
    <w:rsid w:val="00364B5A"/>
    <w:rsid w:val="003676E2"/>
    <w:rsid w:val="00371D3E"/>
    <w:rsid w:val="00376346"/>
    <w:rsid w:val="00381EB4"/>
    <w:rsid w:val="003847BD"/>
    <w:rsid w:val="00387D45"/>
    <w:rsid w:val="003A21D1"/>
    <w:rsid w:val="003B01C6"/>
    <w:rsid w:val="003B21AB"/>
    <w:rsid w:val="003B7C3C"/>
    <w:rsid w:val="003C2699"/>
    <w:rsid w:val="003F61CB"/>
    <w:rsid w:val="004040B1"/>
    <w:rsid w:val="00407F82"/>
    <w:rsid w:val="0041305A"/>
    <w:rsid w:val="00413BD9"/>
    <w:rsid w:val="004210D4"/>
    <w:rsid w:val="004219C7"/>
    <w:rsid w:val="00423149"/>
    <w:rsid w:val="00442A7F"/>
    <w:rsid w:val="0045535A"/>
    <w:rsid w:val="00456F59"/>
    <w:rsid w:val="004622C3"/>
    <w:rsid w:val="00465C98"/>
    <w:rsid w:val="00470EB6"/>
    <w:rsid w:val="0047345E"/>
    <w:rsid w:val="00477435"/>
    <w:rsid w:val="00477F62"/>
    <w:rsid w:val="00481966"/>
    <w:rsid w:val="00487E74"/>
    <w:rsid w:val="004A4EBE"/>
    <w:rsid w:val="004B3CDF"/>
    <w:rsid w:val="004C1D77"/>
    <w:rsid w:val="004C4068"/>
    <w:rsid w:val="004D2E35"/>
    <w:rsid w:val="004D2F32"/>
    <w:rsid w:val="004D5248"/>
    <w:rsid w:val="00501221"/>
    <w:rsid w:val="00505ED8"/>
    <w:rsid w:val="005068F5"/>
    <w:rsid w:val="00510199"/>
    <w:rsid w:val="00521075"/>
    <w:rsid w:val="0052108D"/>
    <w:rsid w:val="00527E10"/>
    <w:rsid w:val="0053202D"/>
    <w:rsid w:val="00535E2C"/>
    <w:rsid w:val="00544D39"/>
    <w:rsid w:val="005464A0"/>
    <w:rsid w:val="0055278E"/>
    <w:rsid w:val="00553EFC"/>
    <w:rsid w:val="005871EE"/>
    <w:rsid w:val="00591DB1"/>
    <w:rsid w:val="005B5962"/>
    <w:rsid w:val="005C451C"/>
    <w:rsid w:val="005D070A"/>
    <w:rsid w:val="005D682D"/>
    <w:rsid w:val="005F40F9"/>
    <w:rsid w:val="005F4671"/>
    <w:rsid w:val="00605314"/>
    <w:rsid w:val="00605C6C"/>
    <w:rsid w:val="00607451"/>
    <w:rsid w:val="006109C0"/>
    <w:rsid w:val="006130EC"/>
    <w:rsid w:val="00616CE1"/>
    <w:rsid w:val="00620D36"/>
    <w:rsid w:val="00621927"/>
    <w:rsid w:val="00624449"/>
    <w:rsid w:val="006260FC"/>
    <w:rsid w:val="00636186"/>
    <w:rsid w:val="00645C57"/>
    <w:rsid w:val="006747C6"/>
    <w:rsid w:val="0067518D"/>
    <w:rsid w:val="006B4F32"/>
    <w:rsid w:val="006C03A6"/>
    <w:rsid w:val="006C4B7C"/>
    <w:rsid w:val="006D1EAD"/>
    <w:rsid w:val="006D231B"/>
    <w:rsid w:val="006D4F7C"/>
    <w:rsid w:val="006E2626"/>
    <w:rsid w:val="006E48A2"/>
    <w:rsid w:val="006E6C0E"/>
    <w:rsid w:val="006E7918"/>
    <w:rsid w:val="00704DDD"/>
    <w:rsid w:val="007164D3"/>
    <w:rsid w:val="0072528C"/>
    <w:rsid w:val="007257CB"/>
    <w:rsid w:val="00731E83"/>
    <w:rsid w:val="00732C52"/>
    <w:rsid w:val="00745F7A"/>
    <w:rsid w:val="00746ACF"/>
    <w:rsid w:val="007660C6"/>
    <w:rsid w:val="00777806"/>
    <w:rsid w:val="00780E7D"/>
    <w:rsid w:val="00781529"/>
    <w:rsid w:val="00782FE5"/>
    <w:rsid w:val="00792051"/>
    <w:rsid w:val="007A045B"/>
    <w:rsid w:val="007A2571"/>
    <w:rsid w:val="007B1CFF"/>
    <w:rsid w:val="007C27EB"/>
    <w:rsid w:val="007C57DC"/>
    <w:rsid w:val="007D7AED"/>
    <w:rsid w:val="007E1279"/>
    <w:rsid w:val="00814195"/>
    <w:rsid w:val="0083701C"/>
    <w:rsid w:val="00851314"/>
    <w:rsid w:val="008542CA"/>
    <w:rsid w:val="0085612F"/>
    <w:rsid w:val="008573E5"/>
    <w:rsid w:val="008605BD"/>
    <w:rsid w:val="00867D90"/>
    <w:rsid w:val="008772B7"/>
    <w:rsid w:val="008939F7"/>
    <w:rsid w:val="00895249"/>
    <w:rsid w:val="00896040"/>
    <w:rsid w:val="008A0436"/>
    <w:rsid w:val="008A2DB8"/>
    <w:rsid w:val="008A7475"/>
    <w:rsid w:val="008B392D"/>
    <w:rsid w:val="008D312C"/>
    <w:rsid w:val="00913D6E"/>
    <w:rsid w:val="009216D2"/>
    <w:rsid w:val="0092196F"/>
    <w:rsid w:val="00930F1B"/>
    <w:rsid w:val="00946F67"/>
    <w:rsid w:val="009524A2"/>
    <w:rsid w:val="00955CD5"/>
    <w:rsid w:val="00960BCD"/>
    <w:rsid w:val="00962FB9"/>
    <w:rsid w:val="009751AB"/>
    <w:rsid w:val="009755BE"/>
    <w:rsid w:val="0098188F"/>
    <w:rsid w:val="00984570"/>
    <w:rsid w:val="00985271"/>
    <w:rsid w:val="00993742"/>
    <w:rsid w:val="0099481D"/>
    <w:rsid w:val="009966FA"/>
    <w:rsid w:val="00997420"/>
    <w:rsid w:val="0099780F"/>
    <w:rsid w:val="009A1BBC"/>
    <w:rsid w:val="009B1E75"/>
    <w:rsid w:val="009C0FA7"/>
    <w:rsid w:val="009E2DD6"/>
    <w:rsid w:val="009E6329"/>
    <w:rsid w:val="009F0CDF"/>
    <w:rsid w:val="00A01E2C"/>
    <w:rsid w:val="00A04CAF"/>
    <w:rsid w:val="00A262E5"/>
    <w:rsid w:val="00A40BB2"/>
    <w:rsid w:val="00A43762"/>
    <w:rsid w:val="00A74FC5"/>
    <w:rsid w:val="00A9263C"/>
    <w:rsid w:val="00A97723"/>
    <w:rsid w:val="00AA099F"/>
    <w:rsid w:val="00AA3AAB"/>
    <w:rsid w:val="00AB4FC4"/>
    <w:rsid w:val="00AB7CBC"/>
    <w:rsid w:val="00AC2645"/>
    <w:rsid w:val="00AE008E"/>
    <w:rsid w:val="00AE0688"/>
    <w:rsid w:val="00AE0973"/>
    <w:rsid w:val="00AE1DA4"/>
    <w:rsid w:val="00AE2653"/>
    <w:rsid w:val="00AE7A8E"/>
    <w:rsid w:val="00AF0818"/>
    <w:rsid w:val="00AF1864"/>
    <w:rsid w:val="00AF60F9"/>
    <w:rsid w:val="00B00B54"/>
    <w:rsid w:val="00B15E8C"/>
    <w:rsid w:val="00B17F1A"/>
    <w:rsid w:val="00B25163"/>
    <w:rsid w:val="00B27B46"/>
    <w:rsid w:val="00B31328"/>
    <w:rsid w:val="00B35913"/>
    <w:rsid w:val="00B4020C"/>
    <w:rsid w:val="00B53338"/>
    <w:rsid w:val="00B55459"/>
    <w:rsid w:val="00B57DE2"/>
    <w:rsid w:val="00B650B7"/>
    <w:rsid w:val="00B6710B"/>
    <w:rsid w:val="00B735DB"/>
    <w:rsid w:val="00B77F99"/>
    <w:rsid w:val="00B80A9F"/>
    <w:rsid w:val="00B94A93"/>
    <w:rsid w:val="00B94D4E"/>
    <w:rsid w:val="00BA020E"/>
    <w:rsid w:val="00BA5589"/>
    <w:rsid w:val="00BA7A9F"/>
    <w:rsid w:val="00BB4F00"/>
    <w:rsid w:val="00BC0E04"/>
    <w:rsid w:val="00BC4492"/>
    <w:rsid w:val="00BD1198"/>
    <w:rsid w:val="00BE06CF"/>
    <w:rsid w:val="00C00421"/>
    <w:rsid w:val="00C11118"/>
    <w:rsid w:val="00C20D0C"/>
    <w:rsid w:val="00C232D2"/>
    <w:rsid w:val="00C3351F"/>
    <w:rsid w:val="00C34D87"/>
    <w:rsid w:val="00C37BA6"/>
    <w:rsid w:val="00C37BBD"/>
    <w:rsid w:val="00C4035B"/>
    <w:rsid w:val="00C40D85"/>
    <w:rsid w:val="00C421D1"/>
    <w:rsid w:val="00C431C0"/>
    <w:rsid w:val="00C46410"/>
    <w:rsid w:val="00C53C73"/>
    <w:rsid w:val="00C55E67"/>
    <w:rsid w:val="00C70140"/>
    <w:rsid w:val="00C71641"/>
    <w:rsid w:val="00C722A7"/>
    <w:rsid w:val="00C92565"/>
    <w:rsid w:val="00CA4B12"/>
    <w:rsid w:val="00CB495F"/>
    <w:rsid w:val="00CD5BF8"/>
    <w:rsid w:val="00CF5953"/>
    <w:rsid w:val="00D019DA"/>
    <w:rsid w:val="00D01DF0"/>
    <w:rsid w:val="00D06379"/>
    <w:rsid w:val="00D07543"/>
    <w:rsid w:val="00D15822"/>
    <w:rsid w:val="00D15CDC"/>
    <w:rsid w:val="00D26436"/>
    <w:rsid w:val="00D279D0"/>
    <w:rsid w:val="00D27C0A"/>
    <w:rsid w:val="00D47E43"/>
    <w:rsid w:val="00D544B7"/>
    <w:rsid w:val="00D6166B"/>
    <w:rsid w:val="00D63F38"/>
    <w:rsid w:val="00D645B5"/>
    <w:rsid w:val="00D71A77"/>
    <w:rsid w:val="00D83AB0"/>
    <w:rsid w:val="00D85B21"/>
    <w:rsid w:val="00D872A3"/>
    <w:rsid w:val="00DA1882"/>
    <w:rsid w:val="00DA7EBF"/>
    <w:rsid w:val="00DB3555"/>
    <w:rsid w:val="00DB3879"/>
    <w:rsid w:val="00DC6FC0"/>
    <w:rsid w:val="00DD5E7A"/>
    <w:rsid w:val="00DD69D9"/>
    <w:rsid w:val="00DF0189"/>
    <w:rsid w:val="00DF3C5B"/>
    <w:rsid w:val="00DF4080"/>
    <w:rsid w:val="00E23120"/>
    <w:rsid w:val="00E24D2C"/>
    <w:rsid w:val="00E263CE"/>
    <w:rsid w:val="00E41CEB"/>
    <w:rsid w:val="00E4564E"/>
    <w:rsid w:val="00E501E8"/>
    <w:rsid w:val="00E55BA8"/>
    <w:rsid w:val="00E5666D"/>
    <w:rsid w:val="00E645DB"/>
    <w:rsid w:val="00E64D98"/>
    <w:rsid w:val="00E74F9D"/>
    <w:rsid w:val="00E86E59"/>
    <w:rsid w:val="00E94947"/>
    <w:rsid w:val="00EA151B"/>
    <w:rsid w:val="00EC6C87"/>
    <w:rsid w:val="00ED6931"/>
    <w:rsid w:val="00EF1CC5"/>
    <w:rsid w:val="00EF394B"/>
    <w:rsid w:val="00F06174"/>
    <w:rsid w:val="00F07651"/>
    <w:rsid w:val="00F14906"/>
    <w:rsid w:val="00F16E7B"/>
    <w:rsid w:val="00F22BBE"/>
    <w:rsid w:val="00F27283"/>
    <w:rsid w:val="00F3153D"/>
    <w:rsid w:val="00F31CB6"/>
    <w:rsid w:val="00F4193B"/>
    <w:rsid w:val="00F43712"/>
    <w:rsid w:val="00F52689"/>
    <w:rsid w:val="00F566EB"/>
    <w:rsid w:val="00F6381D"/>
    <w:rsid w:val="00F72B61"/>
    <w:rsid w:val="00F77D07"/>
    <w:rsid w:val="00F8323A"/>
    <w:rsid w:val="00F863D0"/>
    <w:rsid w:val="00F86F16"/>
    <w:rsid w:val="00FA699C"/>
    <w:rsid w:val="00FB6A69"/>
    <w:rsid w:val="00FD36BF"/>
    <w:rsid w:val="00FD487B"/>
    <w:rsid w:val="00FE414E"/>
    <w:rsid w:val="00FE5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basedOn w:val="DefaultParagraphFont"/>
    <w:uiPriority w:val="99"/>
    <w:semiHidden/>
    <w:unhideWhenUsed/>
    <w:rsid w:val="00B31328"/>
    <w:rPr>
      <w:vertAlign w:val="superscript"/>
    </w:rPr>
  </w:style>
  <w:style w:type="paragraph" w:styleId="FootnoteText">
    <w:name w:val="footnote text"/>
    <w:basedOn w:val="Normal"/>
    <w:link w:val="FootnoteTextChar"/>
    <w:uiPriority w:val="99"/>
    <w:semiHidden/>
    <w:unhideWhenUsed/>
    <w:rsid w:val="003F61CB"/>
    <w:rPr>
      <w:sz w:val="20"/>
      <w:szCs w:val="20"/>
    </w:rPr>
  </w:style>
  <w:style w:type="character" w:customStyle="1" w:styleId="FootnoteTextChar">
    <w:name w:val="Footnote Text Char"/>
    <w:basedOn w:val="DefaultParagraphFont"/>
    <w:link w:val="FootnoteText"/>
    <w:uiPriority w:val="99"/>
    <w:semiHidden/>
    <w:rsid w:val="003F61CB"/>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3325">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alv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0A32-D475-43D0-A3A8-8FFC7315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8.2.4.SAM MK noteikumu grozījumi</dc:subject>
  <dc:creator>Inese Kalva</dc:creator>
  <dc:description>tālr. 67047941_x000d_
Inese.Kalva@izm.gov.lv</dc:description>
  <cp:lastModifiedBy>Zanda Rudene</cp:lastModifiedBy>
  <cp:revision>13</cp:revision>
  <cp:lastPrinted>2018-10-11T12:52:00Z</cp:lastPrinted>
  <dcterms:created xsi:type="dcterms:W3CDTF">2018-10-11T14:33:00Z</dcterms:created>
  <dcterms:modified xsi:type="dcterms:W3CDTF">2018-10-23T07:20:00Z</dcterms:modified>
</cp:coreProperties>
</file>