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7643" w14:textId="77777777" w:rsidR="0042385F" w:rsidRDefault="0042385F" w:rsidP="009F6384">
      <w:pPr>
        <w:shd w:val="clear" w:color="auto" w:fill="FFFFFF"/>
        <w:jc w:val="center"/>
        <w:rPr>
          <w:b/>
          <w:bCs/>
          <w:sz w:val="27"/>
          <w:szCs w:val="27"/>
        </w:rPr>
      </w:pPr>
    </w:p>
    <w:p w14:paraId="1D369E06" w14:textId="37B01B66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Ministru kabineta noteikumu</w:t>
      </w:r>
    </w:p>
    <w:p w14:paraId="3CDDADE9" w14:textId="2AC5E1BE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“Grozījums Ministru kabineta 2017.</w:t>
      </w:r>
      <w:r w:rsidR="0020400F" w:rsidRPr="00D6418F">
        <w:rPr>
          <w:b/>
          <w:bCs/>
          <w:sz w:val="26"/>
          <w:szCs w:val="26"/>
        </w:rPr>
        <w:t> </w:t>
      </w:r>
      <w:r w:rsidRPr="00D6418F">
        <w:rPr>
          <w:b/>
          <w:bCs/>
          <w:sz w:val="26"/>
          <w:szCs w:val="26"/>
        </w:rPr>
        <w:t>gada 21.</w:t>
      </w:r>
      <w:r w:rsidR="0020400F" w:rsidRPr="00D6418F">
        <w:rPr>
          <w:b/>
          <w:bCs/>
          <w:sz w:val="26"/>
          <w:szCs w:val="26"/>
        </w:rPr>
        <w:t> </w:t>
      </w:r>
      <w:r w:rsidRPr="00D6418F">
        <w:rPr>
          <w:b/>
          <w:bCs/>
          <w:sz w:val="26"/>
          <w:szCs w:val="26"/>
        </w:rPr>
        <w:t>marta noteikumos Nr.</w:t>
      </w:r>
      <w:r w:rsidR="0020400F" w:rsidRPr="00D6418F">
        <w:rPr>
          <w:b/>
          <w:bCs/>
          <w:sz w:val="26"/>
          <w:szCs w:val="26"/>
        </w:rPr>
        <w:t> </w:t>
      </w:r>
      <w:r w:rsidRPr="00D6418F">
        <w:rPr>
          <w:b/>
          <w:bCs/>
          <w:sz w:val="26"/>
          <w:szCs w:val="26"/>
        </w:rPr>
        <w:t>153 “Kārtība, kādā policija veic novērošanu, izmantojot tehniskos līdzekļus, kā arī šādas novērošanas rezultātā iegūto datu apstrādi”” projekta,</w:t>
      </w:r>
    </w:p>
    <w:p w14:paraId="2E1F7A76" w14:textId="4D77A234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Ministru kabineta noteikumu</w:t>
      </w:r>
    </w:p>
    <w:p w14:paraId="0B052228" w14:textId="41D4DD9C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 xml:space="preserve">“Grozījums Ministru kabineta </w:t>
      </w:r>
      <w:r w:rsidRPr="00D6418F">
        <w:rPr>
          <w:b/>
          <w:sz w:val="26"/>
          <w:szCs w:val="26"/>
        </w:rPr>
        <w:t>2009.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gada 7.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jūlija noteikumos Nr.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735 “Kārtība, kādā personas tiek ievietotas un turētas pagaidu turēšanas vietās, un prasības šādu vietu aprīkošanai</w:t>
      </w:r>
      <w:r w:rsidRPr="00D6418F">
        <w:rPr>
          <w:b/>
          <w:bCs/>
          <w:sz w:val="26"/>
          <w:szCs w:val="26"/>
        </w:rPr>
        <w:t>”” projekta un</w:t>
      </w:r>
    </w:p>
    <w:p w14:paraId="14E363BB" w14:textId="6332D3EC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Ministru kabineta noteikumu</w:t>
      </w:r>
    </w:p>
    <w:p w14:paraId="53590307" w14:textId="7973B0C6" w:rsidR="009F6384" w:rsidRPr="00D6418F" w:rsidRDefault="009F6384" w:rsidP="009F63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“Grozījum</w:t>
      </w:r>
      <w:r w:rsidR="009319E3" w:rsidRPr="00D6418F">
        <w:rPr>
          <w:b/>
          <w:bCs/>
          <w:sz w:val="26"/>
          <w:szCs w:val="26"/>
        </w:rPr>
        <w:t>i</w:t>
      </w:r>
      <w:r w:rsidRPr="00D6418F">
        <w:rPr>
          <w:b/>
          <w:bCs/>
          <w:sz w:val="26"/>
          <w:szCs w:val="26"/>
        </w:rPr>
        <w:t xml:space="preserve"> Ministru kabineta </w:t>
      </w:r>
      <w:r w:rsidRPr="00D6418F">
        <w:rPr>
          <w:b/>
          <w:sz w:val="26"/>
          <w:szCs w:val="26"/>
        </w:rPr>
        <w:t>2017.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gada 31.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janvāra noteikumos Nr.</w:t>
      </w:r>
      <w:r w:rsidR="0020400F" w:rsidRPr="00D6418F">
        <w:rPr>
          <w:b/>
          <w:sz w:val="26"/>
          <w:szCs w:val="26"/>
        </w:rPr>
        <w:t> </w:t>
      </w:r>
      <w:r w:rsidRPr="00D6418F">
        <w:rPr>
          <w:b/>
          <w:sz w:val="26"/>
          <w:szCs w:val="26"/>
        </w:rPr>
        <w:t>57 “Aizturēto, apcietināto un notiesāto personu konvojēšanas kārtība”</w:t>
      </w:r>
      <w:r w:rsidRPr="00D6418F">
        <w:rPr>
          <w:b/>
          <w:bCs/>
          <w:sz w:val="26"/>
          <w:szCs w:val="26"/>
        </w:rPr>
        <w:t>” projekta</w:t>
      </w:r>
    </w:p>
    <w:p w14:paraId="6654B263" w14:textId="30536013" w:rsidR="003530C3" w:rsidRPr="00D6418F" w:rsidRDefault="004169B9" w:rsidP="0020386B">
      <w:pPr>
        <w:shd w:val="clear" w:color="auto" w:fill="FFFFFF"/>
        <w:jc w:val="center"/>
        <w:rPr>
          <w:b/>
          <w:bCs/>
          <w:sz w:val="26"/>
          <w:szCs w:val="26"/>
        </w:rPr>
      </w:pPr>
      <w:r w:rsidRPr="00D6418F">
        <w:rPr>
          <w:b/>
          <w:bCs/>
          <w:sz w:val="26"/>
          <w:szCs w:val="26"/>
        </w:rPr>
        <w:t>sākotnējās ietekmes novērtējuma ziņojums (anotācija)</w:t>
      </w:r>
    </w:p>
    <w:p w14:paraId="5A4C5EE6" w14:textId="77777777" w:rsidR="003530C3" w:rsidRPr="00D6418F" w:rsidRDefault="003530C3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5"/>
      </w:tblGrid>
      <w:tr w:rsidR="004F5117" w:rsidRPr="00D6418F" w14:paraId="076215FE" w14:textId="77777777" w:rsidTr="000F25F1">
        <w:trPr>
          <w:cantSplit/>
        </w:trPr>
        <w:tc>
          <w:tcPr>
            <w:tcW w:w="5000" w:type="pct"/>
            <w:vAlign w:val="center"/>
            <w:hideMark/>
          </w:tcPr>
          <w:p w14:paraId="0C788A66" w14:textId="77777777" w:rsidR="004F5117" w:rsidRPr="00D6418F" w:rsidRDefault="004F5117" w:rsidP="000F25F1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Tiesību akta projekta anotācijas kopsavilkums</w:t>
            </w:r>
          </w:p>
        </w:tc>
      </w:tr>
      <w:tr w:rsidR="004F5117" w:rsidRPr="00D6418F" w14:paraId="6685C61E" w14:textId="77777777" w:rsidTr="000F25F1">
        <w:trPr>
          <w:cantSplit/>
          <w:trHeight w:val="325"/>
        </w:trPr>
        <w:tc>
          <w:tcPr>
            <w:tcW w:w="5000" w:type="pct"/>
          </w:tcPr>
          <w:p w14:paraId="58F267D2" w14:textId="77777777" w:rsidR="004F5117" w:rsidRPr="00D6418F" w:rsidRDefault="004F5117" w:rsidP="000F25F1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Nav attiecināms.</w:t>
            </w:r>
          </w:p>
        </w:tc>
      </w:tr>
    </w:tbl>
    <w:p w14:paraId="0A76D93C" w14:textId="77777777" w:rsidR="004F5117" w:rsidRPr="00D6418F" w:rsidRDefault="004F5117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723"/>
        <w:gridCol w:w="5909"/>
      </w:tblGrid>
      <w:tr w:rsidR="003530C3" w:rsidRPr="00D6418F" w14:paraId="3574CE97" w14:textId="77777777" w:rsidTr="00F77A6F">
        <w:tc>
          <w:tcPr>
            <w:tcW w:w="5000" w:type="pct"/>
            <w:gridSpan w:val="3"/>
            <w:vAlign w:val="center"/>
            <w:hideMark/>
          </w:tcPr>
          <w:p w14:paraId="4720193B" w14:textId="77777777" w:rsidR="003530C3" w:rsidRPr="00D6418F" w:rsidRDefault="003530C3" w:rsidP="00F77A6F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3530C3" w:rsidRPr="00D6418F" w14:paraId="1BEDB9CF" w14:textId="77777777" w:rsidTr="00AD3594">
        <w:tc>
          <w:tcPr>
            <w:tcW w:w="311" w:type="pct"/>
            <w:hideMark/>
          </w:tcPr>
          <w:p w14:paraId="5D264EBF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1.</w:t>
            </w:r>
          </w:p>
        </w:tc>
        <w:tc>
          <w:tcPr>
            <w:tcW w:w="1479" w:type="pct"/>
            <w:hideMark/>
          </w:tcPr>
          <w:p w14:paraId="21A7D1B3" w14:textId="77777777" w:rsidR="003530C3" w:rsidRPr="00D6418F" w:rsidRDefault="003530C3" w:rsidP="00F77A6F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Pamatojums</w:t>
            </w:r>
          </w:p>
        </w:tc>
        <w:tc>
          <w:tcPr>
            <w:tcW w:w="3210" w:type="pct"/>
            <w:hideMark/>
          </w:tcPr>
          <w:p w14:paraId="39F95411" w14:textId="27768447" w:rsidR="001747D7" w:rsidRPr="00D6418F" w:rsidRDefault="00693DBC" w:rsidP="009B6529">
            <w:pPr>
              <w:ind w:firstLine="549"/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 xml:space="preserve">1. </w:t>
            </w:r>
            <w:r w:rsidR="001747D7" w:rsidRPr="00D6418F">
              <w:rPr>
                <w:sz w:val="26"/>
                <w:szCs w:val="26"/>
              </w:rPr>
              <w:t>Likumprojekts “Grozījumi likumā “Par policiju”” (</w:t>
            </w:r>
            <w:r w:rsidR="004F78EA" w:rsidRPr="00D6418F">
              <w:rPr>
                <w:sz w:val="26"/>
                <w:szCs w:val="26"/>
              </w:rPr>
              <w:t>2018.</w:t>
            </w:r>
            <w:r w:rsidR="0020400F" w:rsidRPr="00D6418F">
              <w:rPr>
                <w:sz w:val="26"/>
                <w:szCs w:val="26"/>
              </w:rPr>
              <w:t> </w:t>
            </w:r>
            <w:r w:rsidR="004F78EA" w:rsidRPr="00D6418F">
              <w:rPr>
                <w:sz w:val="26"/>
                <w:szCs w:val="26"/>
              </w:rPr>
              <w:t xml:space="preserve">gada </w:t>
            </w:r>
            <w:r w:rsidR="0084306C" w:rsidRPr="00D6418F">
              <w:rPr>
                <w:sz w:val="26"/>
                <w:szCs w:val="26"/>
              </w:rPr>
              <w:t>20</w:t>
            </w:r>
            <w:r w:rsidR="004F78EA" w:rsidRPr="00D6418F">
              <w:rPr>
                <w:sz w:val="26"/>
                <w:szCs w:val="26"/>
              </w:rPr>
              <w:t>.</w:t>
            </w:r>
            <w:r w:rsidR="0020400F" w:rsidRPr="00D6418F">
              <w:rPr>
                <w:sz w:val="26"/>
                <w:szCs w:val="26"/>
              </w:rPr>
              <w:t> </w:t>
            </w:r>
            <w:r w:rsidR="0084306C" w:rsidRPr="00D6418F">
              <w:rPr>
                <w:sz w:val="26"/>
                <w:szCs w:val="26"/>
              </w:rPr>
              <w:t>jūnijā</w:t>
            </w:r>
            <w:r w:rsidR="004F78EA" w:rsidRPr="00D6418F">
              <w:rPr>
                <w:sz w:val="26"/>
                <w:szCs w:val="26"/>
              </w:rPr>
              <w:t xml:space="preserve"> </w:t>
            </w:r>
            <w:r w:rsidR="0042385F" w:rsidRPr="00D6418F">
              <w:rPr>
                <w:sz w:val="26"/>
                <w:szCs w:val="26"/>
              </w:rPr>
              <w:t xml:space="preserve">Saeimā </w:t>
            </w:r>
            <w:r w:rsidR="004F78EA" w:rsidRPr="00D6418F">
              <w:rPr>
                <w:sz w:val="26"/>
                <w:szCs w:val="26"/>
              </w:rPr>
              <w:t xml:space="preserve">pieņemts </w:t>
            </w:r>
            <w:r w:rsidR="0084306C" w:rsidRPr="00D6418F">
              <w:rPr>
                <w:sz w:val="26"/>
                <w:szCs w:val="26"/>
              </w:rPr>
              <w:t>otrajā</w:t>
            </w:r>
            <w:r w:rsidR="004F78EA" w:rsidRPr="00D6418F">
              <w:rPr>
                <w:sz w:val="26"/>
                <w:szCs w:val="26"/>
              </w:rPr>
              <w:t xml:space="preserve"> lasījumā</w:t>
            </w:r>
            <w:r w:rsidR="00FF7E6B" w:rsidRPr="00D6418F">
              <w:rPr>
                <w:sz w:val="26"/>
                <w:szCs w:val="26"/>
              </w:rPr>
              <w:t>; Nr.</w:t>
            </w:r>
            <w:r w:rsidR="0020400F" w:rsidRPr="00D6418F">
              <w:rPr>
                <w:sz w:val="26"/>
                <w:szCs w:val="26"/>
              </w:rPr>
              <w:t> </w:t>
            </w:r>
            <w:r w:rsidR="00FF7E6B" w:rsidRPr="00D6418F">
              <w:rPr>
                <w:sz w:val="26"/>
                <w:szCs w:val="26"/>
              </w:rPr>
              <w:t>1181/Lp12</w:t>
            </w:r>
            <w:r w:rsidR="001747D7" w:rsidRPr="00D6418F">
              <w:rPr>
                <w:sz w:val="26"/>
                <w:szCs w:val="26"/>
              </w:rPr>
              <w:t>).</w:t>
            </w:r>
          </w:p>
          <w:p w14:paraId="3E24917A" w14:textId="1FD96227" w:rsidR="002F35C1" w:rsidRPr="00D6418F" w:rsidRDefault="00693DBC" w:rsidP="009B6529">
            <w:pPr>
              <w:ind w:firstLine="549"/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 xml:space="preserve">2. </w:t>
            </w:r>
            <w:r w:rsidR="00E91091" w:rsidRPr="00D6418F">
              <w:rPr>
                <w:sz w:val="26"/>
                <w:szCs w:val="26"/>
              </w:rPr>
              <w:t>Ministru kabineta 2018.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>gada 6.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 xml:space="preserve">marta </w:t>
            </w:r>
            <w:r w:rsidR="00D95C9D">
              <w:rPr>
                <w:sz w:val="26"/>
                <w:szCs w:val="26"/>
              </w:rPr>
              <w:t xml:space="preserve">sēdes </w:t>
            </w:r>
            <w:proofErr w:type="spellStart"/>
            <w:r w:rsidR="00E91091" w:rsidRPr="00D6418F">
              <w:rPr>
                <w:sz w:val="26"/>
                <w:szCs w:val="26"/>
              </w:rPr>
              <w:t>protokollēmuma</w:t>
            </w:r>
            <w:proofErr w:type="spellEnd"/>
            <w:r w:rsidR="00E91091" w:rsidRPr="00D6418F">
              <w:rPr>
                <w:sz w:val="26"/>
                <w:szCs w:val="26"/>
              </w:rPr>
              <w:t xml:space="preserve"> Nr.</w:t>
            </w:r>
            <w:r w:rsidR="0020400F" w:rsidRPr="00D6418F">
              <w:rPr>
                <w:sz w:val="26"/>
                <w:szCs w:val="26"/>
              </w:rPr>
              <w:t> </w:t>
            </w:r>
            <w:r w:rsidR="00EE47E7" w:rsidRPr="00D6418F">
              <w:rPr>
                <w:sz w:val="26"/>
                <w:szCs w:val="26"/>
              </w:rPr>
              <w:t>14</w:t>
            </w:r>
            <w:r w:rsidR="00E91091" w:rsidRPr="00D6418F">
              <w:rPr>
                <w:sz w:val="26"/>
                <w:szCs w:val="26"/>
              </w:rPr>
              <w:t xml:space="preserve"> 6.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>§ 4.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 xml:space="preserve">punkts, </w:t>
            </w:r>
            <w:r w:rsidR="00603F6F" w:rsidRPr="00D6418F">
              <w:rPr>
                <w:sz w:val="26"/>
                <w:szCs w:val="26"/>
              </w:rPr>
              <w:t xml:space="preserve">ar kuru </w:t>
            </w:r>
            <w:r w:rsidR="00E91091" w:rsidRPr="00D6418F">
              <w:rPr>
                <w:sz w:val="26"/>
                <w:szCs w:val="26"/>
              </w:rPr>
              <w:t xml:space="preserve">Iekšlietu ministrijai </w:t>
            </w:r>
            <w:r w:rsidR="00603F6F" w:rsidRPr="00D6418F">
              <w:rPr>
                <w:sz w:val="26"/>
                <w:szCs w:val="26"/>
              </w:rPr>
              <w:t xml:space="preserve">uzdots </w:t>
            </w:r>
            <w:r w:rsidR="00E91091" w:rsidRPr="00D6418F">
              <w:rPr>
                <w:sz w:val="26"/>
                <w:szCs w:val="26"/>
              </w:rPr>
              <w:t>līdz 2018.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>gada 1.</w:t>
            </w:r>
            <w:r w:rsidR="0020400F" w:rsidRPr="00D6418F">
              <w:rPr>
                <w:sz w:val="26"/>
                <w:szCs w:val="26"/>
              </w:rPr>
              <w:t> </w:t>
            </w:r>
            <w:r w:rsidR="00EE47E7" w:rsidRPr="00D6418F">
              <w:rPr>
                <w:sz w:val="26"/>
                <w:szCs w:val="26"/>
              </w:rPr>
              <w:t>oktobrim</w:t>
            </w:r>
            <w:r w:rsidR="00E91091" w:rsidRPr="00D6418F">
              <w:rPr>
                <w:sz w:val="26"/>
                <w:szCs w:val="26"/>
              </w:rPr>
              <w:t xml:space="preserve"> izstrādāt grozījumus Ministru kabineta 20</w:t>
            </w:r>
            <w:r w:rsidR="00EE47E7" w:rsidRPr="00D6418F">
              <w:rPr>
                <w:sz w:val="26"/>
                <w:szCs w:val="26"/>
              </w:rPr>
              <w:t>17</w:t>
            </w:r>
            <w:r w:rsidR="00E91091" w:rsidRPr="00D6418F">
              <w:rPr>
                <w:sz w:val="26"/>
                <w:szCs w:val="26"/>
              </w:rPr>
              <w:t>.</w:t>
            </w:r>
            <w:r w:rsidR="0020400F" w:rsidRPr="00D6418F">
              <w:rPr>
                <w:sz w:val="26"/>
                <w:szCs w:val="26"/>
              </w:rPr>
              <w:t> </w:t>
            </w:r>
            <w:r w:rsidR="00E91091" w:rsidRPr="00D6418F">
              <w:rPr>
                <w:sz w:val="26"/>
                <w:szCs w:val="26"/>
              </w:rPr>
              <w:t xml:space="preserve">gada </w:t>
            </w:r>
            <w:r w:rsidR="00EE47E7" w:rsidRPr="00D6418F">
              <w:rPr>
                <w:sz w:val="26"/>
                <w:szCs w:val="26"/>
              </w:rPr>
              <w:t>2</w:t>
            </w:r>
            <w:r w:rsidR="00E91091" w:rsidRPr="00D6418F">
              <w:rPr>
                <w:sz w:val="26"/>
                <w:szCs w:val="26"/>
              </w:rPr>
              <w:t>1.</w:t>
            </w:r>
            <w:r w:rsidR="0020400F" w:rsidRPr="00D6418F">
              <w:rPr>
                <w:sz w:val="26"/>
                <w:szCs w:val="26"/>
              </w:rPr>
              <w:t> </w:t>
            </w:r>
            <w:r w:rsidR="00EE47E7" w:rsidRPr="00D6418F">
              <w:rPr>
                <w:sz w:val="26"/>
                <w:szCs w:val="26"/>
              </w:rPr>
              <w:t xml:space="preserve">marta </w:t>
            </w:r>
            <w:r w:rsidR="00E91091" w:rsidRPr="00D6418F">
              <w:rPr>
                <w:sz w:val="26"/>
                <w:szCs w:val="26"/>
              </w:rPr>
              <w:t>noteikumos Nr.</w:t>
            </w:r>
            <w:r w:rsidR="0020400F" w:rsidRPr="00D6418F">
              <w:rPr>
                <w:sz w:val="26"/>
                <w:szCs w:val="26"/>
              </w:rPr>
              <w:t> </w:t>
            </w:r>
            <w:r w:rsidR="00EE47E7" w:rsidRPr="00D6418F">
              <w:rPr>
                <w:sz w:val="26"/>
                <w:szCs w:val="26"/>
              </w:rPr>
              <w:t>153</w:t>
            </w:r>
            <w:r w:rsidR="00E91091" w:rsidRPr="00D6418F">
              <w:rPr>
                <w:sz w:val="26"/>
                <w:szCs w:val="26"/>
              </w:rPr>
              <w:t xml:space="preserve"> “</w:t>
            </w:r>
            <w:r w:rsidR="00EE47E7" w:rsidRPr="00D6418F">
              <w:rPr>
                <w:sz w:val="26"/>
                <w:szCs w:val="26"/>
                <w:lang w:eastAsia="en-US"/>
              </w:rPr>
              <w:t>Kārtība, kādā policija veic videonovērošanu, izmantojot tehniskos līdzekļus, kā arī šādas novērošanas rezultātā iegūto datu apstrādi</w:t>
            </w:r>
            <w:r w:rsidR="00E91091" w:rsidRPr="00D6418F">
              <w:rPr>
                <w:sz w:val="26"/>
                <w:szCs w:val="26"/>
              </w:rPr>
              <w:t xml:space="preserve">”, </w:t>
            </w:r>
            <w:r w:rsidR="009B6529" w:rsidRPr="00D6418F">
              <w:rPr>
                <w:sz w:val="26"/>
                <w:szCs w:val="26"/>
              </w:rPr>
              <w:t>Ministru kabineta 2009.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>gada 7.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>jūlija noteikumos Nr.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>735 “Kārtība, kādā personas tiek ievietotas un turētas pagaidu turēšanas vietās, un prasības šādu vietu aprīkošanai” un Ministru kabineta 2017.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>gada 31.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>janvāra noteikumos Nr.</w:t>
            </w:r>
            <w:r w:rsidR="0020400F" w:rsidRPr="00D6418F">
              <w:rPr>
                <w:sz w:val="26"/>
                <w:szCs w:val="26"/>
              </w:rPr>
              <w:t> </w:t>
            </w:r>
            <w:r w:rsidR="009B6529" w:rsidRPr="00D6418F">
              <w:rPr>
                <w:sz w:val="26"/>
                <w:szCs w:val="26"/>
              </w:rPr>
              <w:t xml:space="preserve">57 “Aizturēto, apcietināto un notiesāto personu konvojēšanas kārtība”, </w:t>
            </w:r>
            <w:r w:rsidR="00E91091" w:rsidRPr="00D6418F">
              <w:rPr>
                <w:sz w:val="26"/>
                <w:szCs w:val="26"/>
              </w:rPr>
              <w:t>lai</w:t>
            </w:r>
            <w:r w:rsidR="00EE47E7" w:rsidRPr="00D6418F">
              <w:rPr>
                <w:sz w:val="26"/>
                <w:szCs w:val="26"/>
              </w:rPr>
              <w:t xml:space="preserve"> nodrošinātu to atbilstību likumprojektā “Grozījumi likumā “Par policiju”” </w:t>
            </w:r>
            <w:r w:rsidR="004903BD" w:rsidRPr="00D6418F">
              <w:rPr>
                <w:sz w:val="26"/>
                <w:szCs w:val="26"/>
              </w:rPr>
              <w:t>(</w:t>
            </w:r>
            <w:r w:rsidR="004F78EA" w:rsidRPr="00D6418F">
              <w:rPr>
                <w:sz w:val="26"/>
                <w:szCs w:val="26"/>
              </w:rPr>
              <w:t>Nr.</w:t>
            </w:r>
            <w:r w:rsidR="0020400F" w:rsidRPr="00D6418F">
              <w:rPr>
                <w:sz w:val="26"/>
                <w:szCs w:val="26"/>
              </w:rPr>
              <w:t> </w:t>
            </w:r>
            <w:r w:rsidR="004F78EA" w:rsidRPr="00D6418F">
              <w:rPr>
                <w:sz w:val="26"/>
                <w:szCs w:val="26"/>
              </w:rPr>
              <w:t>1181/Lp12</w:t>
            </w:r>
            <w:r w:rsidR="004903BD" w:rsidRPr="00D6418F">
              <w:rPr>
                <w:sz w:val="26"/>
                <w:szCs w:val="26"/>
              </w:rPr>
              <w:t xml:space="preserve">) </w:t>
            </w:r>
            <w:r w:rsidR="00EE47E7" w:rsidRPr="00D6418F">
              <w:rPr>
                <w:sz w:val="26"/>
                <w:szCs w:val="26"/>
              </w:rPr>
              <w:t>noteiktajam.</w:t>
            </w:r>
          </w:p>
        </w:tc>
      </w:tr>
      <w:tr w:rsidR="003530C3" w:rsidRPr="00D6418F" w14:paraId="42A58587" w14:textId="77777777" w:rsidTr="00AD3594">
        <w:tc>
          <w:tcPr>
            <w:tcW w:w="311" w:type="pct"/>
            <w:hideMark/>
          </w:tcPr>
          <w:p w14:paraId="09FDEE6E" w14:textId="3ADE71B3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2.</w:t>
            </w:r>
          </w:p>
        </w:tc>
        <w:tc>
          <w:tcPr>
            <w:tcW w:w="1479" w:type="pct"/>
            <w:hideMark/>
          </w:tcPr>
          <w:p w14:paraId="6DB09639" w14:textId="77777777" w:rsidR="003530C3" w:rsidRPr="00D6418F" w:rsidRDefault="003530C3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4D62AA13" w14:textId="5EFB4250" w:rsidR="00C87AEA" w:rsidRPr="00D6418F" w:rsidRDefault="00C87AEA" w:rsidP="000C3DA0">
            <w:pPr>
              <w:ind w:firstLine="549"/>
              <w:jc w:val="both"/>
              <w:rPr>
                <w:sz w:val="26"/>
                <w:szCs w:val="26"/>
                <w:lang w:eastAsia="en-US"/>
              </w:rPr>
            </w:pPr>
            <w:r w:rsidRPr="00D6418F">
              <w:rPr>
                <w:sz w:val="26"/>
                <w:szCs w:val="26"/>
                <w:lang w:eastAsia="en-US"/>
              </w:rPr>
              <w:t xml:space="preserve">Saskaņā ar likuma “Par policiju” </w:t>
            </w:r>
            <w:r w:rsidR="007B0F3C" w:rsidRPr="00D6418F">
              <w:rPr>
                <w:sz w:val="26"/>
                <w:szCs w:val="26"/>
                <w:lang w:eastAsia="en-US"/>
              </w:rPr>
              <w:t xml:space="preserve">2. pantā noteikto policijas darbinieks ir persona, kura ieņem amatu Valsts policijā vai Drošības policijā un kurai piešķirta speciālā dienesta pakāpe. Savukārt likuma “Par policiju” </w:t>
            </w:r>
            <w:r w:rsidRPr="00D6418F">
              <w:rPr>
                <w:sz w:val="26"/>
                <w:szCs w:val="26"/>
                <w:lang w:eastAsia="en-US"/>
              </w:rPr>
              <w:t>15.</w:t>
            </w:r>
            <w:r w:rsidR="0020400F" w:rsidRPr="00D6418F">
              <w:rPr>
                <w:sz w:val="26"/>
                <w:szCs w:val="26"/>
                <w:lang w:eastAsia="en-US"/>
              </w:rPr>
              <w:t> </w:t>
            </w:r>
            <w:r w:rsidRPr="00D6418F">
              <w:rPr>
                <w:sz w:val="26"/>
                <w:szCs w:val="26"/>
                <w:lang w:eastAsia="en-US"/>
              </w:rPr>
              <w:t>panta pirm</w:t>
            </w:r>
            <w:r w:rsidR="007B0F3C" w:rsidRPr="00D6418F">
              <w:rPr>
                <w:sz w:val="26"/>
                <w:szCs w:val="26"/>
                <w:lang w:eastAsia="en-US"/>
              </w:rPr>
              <w:t>ā</w:t>
            </w:r>
            <w:r w:rsidRPr="00D6418F">
              <w:rPr>
                <w:sz w:val="26"/>
                <w:szCs w:val="26"/>
                <w:lang w:eastAsia="en-US"/>
              </w:rPr>
              <w:t xml:space="preserve"> daļ</w:t>
            </w:r>
            <w:r w:rsidR="007B0F3C" w:rsidRPr="00D6418F">
              <w:rPr>
                <w:sz w:val="26"/>
                <w:szCs w:val="26"/>
                <w:lang w:eastAsia="en-US"/>
              </w:rPr>
              <w:t>a noteic, ka</w:t>
            </w:r>
            <w:r w:rsidRPr="00D6418F">
              <w:rPr>
                <w:sz w:val="26"/>
                <w:szCs w:val="26"/>
                <w:lang w:eastAsia="en-US"/>
              </w:rPr>
              <w:t xml:space="preserve"> policija sastāv no Valsts policijas, Drošības policijas, pašvaldības policijas un ostas policijas.</w:t>
            </w:r>
            <w:r w:rsidR="00F60362" w:rsidRPr="00D6418F">
              <w:rPr>
                <w:sz w:val="26"/>
                <w:szCs w:val="26"/>
                <w:lang w:eastAsia="en-US"/>
              </w:rPr>
              <w:t xml:space="preserve"> </w:t>
            </w:r>
            <w:r w:rsidR="00F0647E" w:rsidRPr="00D6418F">
              <w:rPr>
                <w:sz w:val="26"/>
                <w:szCs w:val="26"/>
                <w:lang w:eastAsia="en-US"/>
              </w:rPr>
              <w:t xml:space="preserve">Ņemot vērā minēto, </w:t>
            </w:r>
            <w:r w:rsidR="00F60362" w:rsidRPr="00D6418F">
              <w:rPr>
                <w:sz w:val="26"/>
                <w:szCs w:val="26"/>
                <w:lang w:eastAsia="en-US"/>
              </w:rPr>
              <w:t>pašreiz uz Drošības policiju attiec</w:t>
            </w:r>
            <w:r w:rsidR="00B336E3" w:rsidRPr="00D6418F">
              <w:rPr>
                <w:sz w:val="26"/>
                <w:szCs w:val="26"/>
                <w:lang w:eastAsia="en-US"/>
              </w:rPr>
              <w:t>ināms</w:t>
            </w:r>
            <w:r w:rsidR="00F60362" w:rsidRPr="00D6418F">
              <w:rPr>
                <w:sz w:val="26"/>
                <w:szCs w:val="26"/>
              </w:rPr>
              <w:t xml:space="preserve"> </w:t>
            </w:r>
            <w:r w:rsidR="00F0647E" w:rsidRPr="00D6418F">
              <w:rPr>
                <w:sz w:val="26"/>
                <w:szCs w:val="26"/>
              </w:rPr>
              <w:t xml:space="preserve">gan </w:t>
            </w:r>
            <w:r w:rsidR="00F60362" w:rsidRPr="00D6418F">
              <w:rPr>
                <w:sz w:val="26"/>
                <w:szCs w:val="26"/>
              </w:rPr>
              <w:t>Ministru kabineta 2017. gada 21. marta noteikum</w:t>
            </w:r>
            <w:r w:rsidR="00B336E3" w:rsidRPr="00D6418F">
              <w:rPr>
                <w:sz w:val="26"/>
                <w:szCs w:val="26"/>
              </w:rPr>
              <w:t>os</w:t>
            </w:r>
            <w:r w:rsidR="00F60362" w:rsidRPr="00D6418F">
              <w:rPr>
                <w:sz w:val="26"/>
                <w:szCs w:val="26"/>
              </w:rPr>
              <w:t xml:space="preserve"> Nr. 153 “</w:t>
            </w:r>
            <w:r w:rsidR="00F60362" w:rsidRPr="00D6418F">
              <w:rPr>
                <w:sz w:val="26"/>
                <w:szCs w:val="26"/>
                <w:lang w:eastAsia="en-US"/>
              </w:rPr>
              <w:t>Kārtība, kādā policija veic videonovērošanu, izmantojot tehniskos līdzekļus, kā arī šādas novērošanas rezultātā iegūto datu apstrādi</w:t>
            </w:r>
            <w:r w:rsidR="00F60362" w:rsidRPr="00D6418F">
              <w:rPr>
                <w:sz w:val="26"/>
                <w:szCs w:val="26"/>
              </w:rPr>
              <w:t xml:space="preserve">”, </w:t>
            </w:r>
            <w:r w:rsidR="00F0647E" w:rsidRPr="00D6418F">
              <w:rPr>
                <w:sz w:val="26"/>
                <w:szCs w:val="26"/>
              </w:rPr>
              <w:t xml:space="preserve">gan </w:t>
            </w:r>
            <w:r w:rsidR="00F60362" w:rsidRPr="00D6418F">
              <w:rPr>
                <w:sz w:val="26"/>
                <w:szCs w:val="26"/>
              </w:rPr>
              <w:t>Ministru kabineta 2009. gada 7. jūlija noteikum</w:t>
            </w:r>
            <w:r w:rsidR="00B336E3" w:rsidRPr="00D6418F">
              <w:rPr>
                <w:sz w:val="26"/>
                <w:szCs w:val="26"/>
              </w:rPr>
              <w:t>os</w:t>
            </w:r>
            <w:r w:rsidR="00F60362" w:rsidRPr="00D6418F">
              <w:rPr>
                <w:sz w:val="26"/>
                <w:szCs w:val="26"/>
              </w:rPr>
              <w:t xml:space="preserve"> </w:t>
            </w:r>
            <w:r w:rsidR="00F60362" w:rsidRPr="00D6418F">
              <w:rPr>
                <w:sz w:val="26"/>
                <w:szCs w:val="26"/>
              </w:rPr>
              <w:lastRenderedPageBreak/>
              <w:t>Nr. 735 “Kārtība, kādā personas tiek ievietotas un turētas pagaidu turēšanas vietās, un prasības šādu vietu aprīkošanai”</w:t>
            </w:r>
            <w:r w:rsidR="00F0647E" w:rsidRPr="00D6418F">
              <w:rPr>
                <w:sz w:val="26"/>
                <w:szCs w:val="26"/>
              </w:rPr>
              <w:t xml:space="preserve">, gan arī </w:t>
            </w:r>
            <w:r w:rsidR="00F60362" w:rsidRPr="00D6418F">
              <w:rPr>
                <w:sz w:val="26"/>
                <w:szCs w:val="26"/>
              </w:rPr>
              <w:t>Ministru kabineta 2017. gada 31. janvāra noteikum</w:t>
            </w:r>
            <w:r w:rsidR="00B336E3" w:rsidRPr="00D6418F">
              <w:rPr>
                <w:sz w:val="26"/>
                <w:szCs w:val="26"/>
              </w:rPr>
              <w:t>os</w:t>
            </w:r>
            <w:r w:rsidR="00F60362" w:rsidRPr="00D6418F">
              <w:rPr>
                <w:sz w:val="26"/>
                <w:szCs w:val="26"/>
              </w:rPr>
              <w:t xml:space="preserve"> Nr. 57 “Aizturēto, apcietināto un notiesāto personu konvojēšanas kārtība”</w:t>
            </w:r>
            <w:r w:rsidR="00F60362" w:rsidRPr="00D6418F">
              <w:rPr>
                <w:sz w:val="26"/>
                <w:szCs w:val="26"/>
                <w:lang w:eastAsia="en-US"/>
              </w:rPr>
              <w:t xml:space="preserve"> </w:t>
            </w:r>
            <w:r w:rsidR="00B336E3" w:rsidRPr="00D6418F">
              <w:rPr>
                <w:sz w:val="26"/>
                <w:szCs w:val="26"/>
                <w:lang w:eastAsia="en-US"/>
              </w:rPr>
              <w:t>ietvertais tiesiskais regulējums.</w:t>
            </w:r>
            <w:r w:rsidR="00F60362" w:rsidRPr="00D6418F">
              <w:rPr>
                <w:sz w:val="26"/>
                <w:szCs w:val="26"/>
                <w:lang w:eastAsia="en-US"/>
              </w:rPr>
              <w:t xml:space="preserve"> </w:t>
            </w:r>
          </w:p>
          <w:p w14:paraId="79598635" w14:textId="7B9584C8" w:rsidR="00E35BE9" w:rsidRPr="00D6418F" w:rsidRDefault="00E35BE9" w:rsidP="009E1539">
            <w:pPr>
              <w:ind w:firstLine="549"/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 xml:space="preserve">Likumprojekts “Grozījumi likumā “Par policiju””, ievērojot likumprojektā “Grozījumi Valsts drošības iestāžu likumā” </w:t>
            </w:r>
            <w:proofErr w:type="gramStart"/>
            <w:r w:rsidRPr="00D6418F">
              <w:rPr>
                <w:sz w:val="26"/>
                <w:szCs w:val="26"/>
              </w:rPr>
              <w:t>(</w:t>
            </w:r>
            <w:proofErr w:type="gramEnd"/>
            <w:r w:rsidR="004F78EA" w:rsidRPr="00D6418F">
              <w:rPr>
                <w:sz w:val="26"/>
                <w:szCs w:val="26"/>
              </w:rPr>
              <w:t>2018.</w:t>
            </w:r>
            <w:r w:rsidR="00C91D1C" w:rsidRPr="00D6418F">
              <w:rPr>
                <w:sz w:val="26"/>
                <w:szCs w:val="26"/>
              </w:rPr>
              <w:t> </w:t>
            </w:r>
            <w:r w:rsidR="004F78EA" w:rsidRPr="00D6418F">
              <w:rPr>
                <w:sz w:val="26"/>
                <w:szCs w:val="26"/>
              </w:rPr>
              <w:t>gada 2</w:t>
            </w:r>
            <w:r w:rsidR="00CF247A" w:rsidRPr="00D6418F">
              <w:rPr>
                <w:sz w:val="26"/>
                <w:szCs w:val="26"/>
              </w:rPr>
              <w:t>0</w:t>
            </w:r>
            <w:r w:rsidR="004F78EA" w:rsidRPr="00D6418F">
              <w:rPr>
                <w:sz w:val="26"/>
                <w:szCs w:val="26"/>
              </w:rPr>
              <w:t>.</w:t>
            </w:r>
            <w:r w:rsidR="00C91D1C" w:rsidRPr="00D6418F">
              <w:rPr>
                <w:sz w:val="26"/>
                <w:szCs w:val="26"/>
              </w:rPr>
              <w:t> </w:t>
            </w:r>
            <w:r w:rsidR="00CF247A" w:rsidRPr="00D6418F">
              <w:rPr>
                <w:sz w:val="26"/>
                <w:szCs w:val="26"/>
              </w:rPr>
              <w:t>jūnijā</w:t>
            </w:r>
            <w:r w:rsidR="004F78EA" w:rsidRPr="00D6418F">
              <w:rPr>
                <w:sz w:val="26"/>
                <w:szCs w:val="26"/>
              </w:rPr>
              <w:t xml:space="preserve"> </w:t>
            </w:r>
            <w:r w:rsidR="0042385F" w:rsidRPr="00D6418F">
              <w:rPr>
                <w:sz w:val="26"/>
                <w:szCs w:val="26"/>
              </w:rPr>
              <w:t xml:space="preserve">Saeimā </w:t>
            </w:r>
            <w:r w:rsidR="007A06F8" w:rsidRPr="00D6418F">
              <w:rPr>
                <w:sz w:val="26"/>
                <w:szCs w:val="26"/>
              </w:rPr>
              <w:t xml:space="preserve">pieņemts </w:t>
            </w:r>
            <w:r w:rsidR="00CF247A" w:rsidRPr="00D6418F">
              <w:rPr>
                <w:sz w:val="26"/>
                <w:szCs w:val="26"/>
              </w:rPr>
              <w:t>otrajā</w:t>
            </w:r>
            <w:r w:rsidR="007A06F8" w:rsidRPr="00D6418F">
              <w:rPr>
                <w:sz w:val="26"/>
                <w:szCs w:val="26"/>
              </w:rPr>
              <w:t xml:space="preserve"> lasījumā </w:t>
            </w:r>
            <w:r w:rsidR="007F0CB2" w:rsidRPr="00D6418F">
              <w:rPr>
                <w:sz w:val="26"/>
                <w:szCs w:val="26"/>
              </w:rPr>
              <w:t>(Nr</w:t>
            </w:r>
            <w:r w:rsidR="00942231" w:rsidRPr="00D6418F">
              <w:rPr>
                <w:sz w:val="26"/>
                <w:szCs w:val="26"/>
              </w:rPr>
              <w:t>.</w:t>
            </w:r>
            <w:r w:rsidR="007F0CB2" w:rsidRPr="00D6418F">
              <w:rPr>
                <w:sz w:val="26"/>
                <w:szCs w:val="26"/>
              </w:rPr>
              <w:t>:</w:t>
            </w:r>
            <w:r w:rsidR="00C91D1C" w:rsidRPr="00D6418F">
              <w:rPr>
                <w:sz w:val="26"/>
                <w:szCs w:val="26"/>
              </w:rPr>
              <w:t> </w:t>
            </w:r>
            <w:r w:rsidR="007F0CB2" w:rsidRPr="00D6418F">
              <w:rPr>
                <w:sz w:val="26"/>
                <w:szCs w:val="26"/>
              </w:rPr>
              <w:t>1176/Lp12)</w:t>
            </w:r>
            <w:r w:rsidR="004F78EA" w:rsidRPr="00D6418F">
              <w:rPr>
                <w:sz w:val="26"/>
                <w:szCs w:val="26"/>
              </w:rPr>
              <w:t xml:space="preserve"> </w:t>
            </w:r>
            <w:r w:rsidR="007F0CB2" w:rsidRPr="00D6418F">
              <w:rPr>
                <w:sz w:val="26"/>
                <w:szCs w:val="26"/>
              </w:rPr>
              <w:t>p</w:t>
            </w:r>
            <w:r w:rsidRPr="00D6418F">
              <w:rPr>
                <w:sz w:val="26"/>
                <w:szCs w:val="26"/>
              </w:rPr>
              <w:t>aredzētos grozījumus Valsts drošības iestāžu likumā, paredz no likuma “Par policiju” tiesiskā regulējuma jomas izslēgt Drošības policiju</w:t>
            </w:r>
            <w:r w:rsidR="00454EDB" w:rsidRPr="00D6418F">
              <w:rPr>
                <w:sz w:val="26"/>
                <w:szCs w:val="26"/>
              </w:rPr>
              <w:t xml:space="preserve">. Tādējādi, </w:t>
            </w:r>
            <w:r w:rsidR="00454EDB" w:rsidRPr="00D6418F">
              <w:rPr>
                <w:sz w:val="26"/>
                <w:szCs w:val="26"/>
                <w:lang w:eastAsia="en-US"/>
              </w:rPr>
              <w:t>stājoties spēkā grozījumiem likumā “Par policiju”, tajā ietvertais tiesiskais regulējums vairs nebūs attiecināms uz Drošības policiju</w:t>
            </w:r>
            <w:r w:rsidRPr="00D6418F">
              <w:rPr>
                <w:sz w:val="26"/>
                <w:szCs w:val="26"/>
              </w:rPr>
              <w:t>.</w:t>
            </w:r>
          </w:p>
          <w:p w14:paraId="25EC1E1A" w14:textId="565CE8F3" w:rsidR="00C87AEA" w:rsidRPr="00D6418F" w:rsidRDefault="00C87AEA" w:rsidP="00EB0E19">
            <w:pPr>
              <w:ind w:firstLine="549"/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 xml:space="preserve">Ņemot vērā </w:t>
            </w:r>
            <w:r w:rsidR="00EF0E2E" w:rsidRPr="00D6418F">
              <w:rPr>
                <w:sz w:val="26"/>
                <w:szCs w:val="26"/>
              </w:rPr>
              <w:t>minēto</w:t>
            </w:r>
            <w:r w:rsidRPr="00D6418F">
              <w:rPr>
                <w:sz w:val="26"/>
                <w:szCs w:val="26"/>
              </w:rPr>
              <w:t xml:space="preserve">, </w:t>
            </w:r>
            <w:r w:rsidR="00EB0E19" w:rsidRPr="00D6418F">
              <w:rPr>
                <w:sz w:val="26"/>
                <w:szCs w:val="26"/>
              </w:rPr>
              <w:t xml:space="preserve">lai nodrošinātu </w:t>
            </w:r>
            <w:r w:rsidRPr="00D6418F">
              <w:rPr>
                <w:sz w:val="26"/>
                <w:szCs w:val="26"/>
              </w:rPr>
              <w:t>uz likuma “Par policiju” pamata izdot</w:t>
            </w:r>
            <w:r w:rsidR="00EB0E19" w:rsidRPr="00D6418F">
              <w:rPr>
                <w:sz w:val="26"/>
                <w:szCs w:val="26"/>
              </w:rPr>
              <w:t>o</w:t>
            </w:r>
            <w:r w:rsidRPr="00D6418F">
              <w:rPr>
                <w:sz w:val="26"/>
                <w:szCs w:val="26"/>
              </w:rPr>
              <w:t xml:space="preserve"> Ministru kabineta </w:t>
            </w:r>
            <w:r w:rsidR="00BF3CC9" w:rsidRPr="00D6418F">
              <w:rPr>
                <w:sz w:val="26"/>
                <w:szCs w:val="26"/>
              </w:rPr>
              <w:t>2017.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gada 21.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marta noteikum</w:t>
            </w:r>
            <w:r w:rsidR="00EB0E19" w:rsidRPr="00D6418F">
              <w:rPr>
                <w:sz w:val="26"/>
                <w:szCs w:val="26"/>
              </w:rPr>
              <w:t>u</w:t>
            </w:r>
            <w:r w:rsidR="00BF3CC9" w:rsidRPr="00D6418F">
              <w:rPr>
                <w:sz w:val="26"/>
                <w:szCs w:val="26"/>
              </w:rPr>
              <w:t xml:space="preserve">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153 “</w:t>
            </w:r>
            <w:r w:rsidR="00BF3CC9" w:rsidRPr="00D6418F">
              <w:rPr>
                <w:sz w:val="26"/>
                <w:szCs w:val="26"/>
                <w:lang w:eastAsia="en-US"/>
              </w:rPr>
              <w:t>Kārtība, kādā policija veic videonovērošanu, izmantojot tehniskos līdzekļus, kā arī šādas novērošanas rezultātā iegūto datu apstrādi</w:t>
            </w:r>
            <w:r w:rsidR="00BF3CC9" w:rsidRPr="00D6418F">
              <w:rPr>
                <w:sz w:val="26"/>
                <w:szCs w:val="26"/>
              </w:rPr>
              <w:t>”, Ministru kabineta 2009.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gada 7.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jūlija noteikum</w:t>
            </w:r>
            <w:r w:rsidR="00EB0E19" w:rsidRPr="00D6418F">
              <w:rPr>
                <w:sz w:val="26"/>
                <w:szCs w:val="26"/>
              </w:rPr>
              <w:t>u</w:t>
            </w:r>
            <w:r w:rsidR="00BF3CC9" w:rsidRPr="00D6418F">
              <w:rPr>
                <w:sz w:val="26"/>
                <w:szCs w:val="26"/>
              </w:rPr>
              <w:t xml:space="preserve">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735 “Kārtība, kādā personas tiek ievietotas un turētas pagaidu turēšanas vietās, un prasības šādu vietu aprīkošanai” un Ministru kabineta 2017.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janvāra noteikum</w:t>
            </w:r>
            <w:r w:rsidR="00EB0E19" w:rsidRPr="00D6418F">
              <w:rPr>
                <w:sz w:val="26"/>
                <w:szCs w:val="26"/>
              </w:rPr>
              <w:t>u</w:t>
            </w:r>
            <w:r w:rsidR="00BF3CC9" w:rsidRPr="00D6418F">
              <w:rPr>
                <w:sz w:val="26"/>
                <w:szCs w:val="26"/>
              </w:rPr>
              <w:t xml:space="preserve">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BF3CC9" w:rsidRPr="00D6418F">
              <w:rPr>
                <w:sz w:val="26"/>
                <w:szCs w:val="26"/>
              </w:rPr>
              <w:t>57 “Aizturēto, apcietināto un notiesāto personu konvojēšanas kārtība”</w:t>
            </w:r>
            <w:r w:rsidR="00EB0E19" w:rsidRPr="00D6418F">
              <w:rPr>
                <w:sz w:val="26"/>
                <w:szCs w:val="26"/>
              </w:rPr>
              <w:t xml:space="preserve"> atbilstību likumprojektā “Grozījumi likumā “Par policiju”” </w:t>
            </w:r>
            <w:r w:rsidR="008013F5" w:rsidRPr="00D6418F">
              <w:rPr>
                <w:sz w:val="26"/>
                <w:szCs w:val="26"/>
              </w:rPr>
              <w:t>(Nr.</w:t>
            </w:r>
            <w:r w:rsidR="00C91D1C" w:rsidRPr="00D6418F">
              <w:rPr>
                <w:sz w:val="26"/>
                <w:szCs w:val="26"/>
              </w:rPr>
              <w:t> </w:t>
            </w:r>
            <w:r w:rsidR="008013F5" w:rsidRPr="00D6418F">
              <w:rPr>
                <w:sz w:val="26"/>
                <w:szCs w:val="26"/>
              </w:rPr>
              <w:t>1181/Lp12)</w:t>
            </w:r>
            <w:r w:rsidR="00EB0E19" w:rsidRPr="00D6418F">
              <w:rPr>
                <w:sz w:val="26"/>
                <w:szCs w:val="26"/>
              </w:rPr>
              <w:t xml:space="preserve"> noteiktajam</w:t>
            </w:r>
            <w:r w:rsidR="0080680F" w:rsidRPr="00D6418F">
              <w:rPr>
                <w:sz w:val="26"/>
                <w:szCs w:val="26"/>
              </w:rPr>
              <w:t xml:space="preserve">, </w:t>
            </w:r>
            <w:r w:rsidR="00EB0E19" w:rsidRPr="00D6418F">
              <w:rPr>
                <w:sz w:val="26"/>
                <w:szCs w:val="26"/>
              </w:rPr>
              <w:t xml:space="preserve">ir izstrādāti minēto noteikumu grozījumu projekti, </w:t>
            </w:r>
            <w:r w:rsidR="006A0783" w:rsidRPr="00D6418F">
              <w:rPr>
                <w:sz w:val="26"/>
                <w:szCs w:val="26"/>
              </w:rPr>
              <w:t xml:space="preserve">paredzot </w:t>
            </w:r>
            <w:r w:rsidR="0080680F" w:rsidRPr="00D6418F">
              <w:rPr>
                <w:sz w:val="26"/>
                <w:szCs w:val="26"/>
              </w:rPr>
              <w:t>izslē</w:t>
            </w:r>
            <w:r w:rsidR="006A0783" w:rsidRPr="00D6418F">
              <w:rPr>
                <w:sz w:val="26"/>
                <w:szCs w:val="26"/>
              </w:rPr>
              <w:t xml:space="preserve">gt </w:t>
            </w:r>
            <w:r w:rsidR="0080680F" w:rsidRPr="00D6418F">
              <w:rPr>
                <w:sz w:val="26"/>
                <w:szCs w:val="26"/>
                <w:lang w:eastAsia="en-US"/>
              </w:rPr>
              <w:t>Drošības policiju no to regulējuma jomas</w:t>
            </w:r>
            <w:r w:rsidR="00BF3CC9" w:rsidRPr="00D6418F">
              <w:rPr>
                <w:sz w:val="26"/>
                <w:szCs w:val="26"/>
              </w:rPr>
              <w:t>.</w:t>
            </w:r>
          </w:p>
          <w:p w14:paraId="2846E3FF" w14:textId="67899188" w:rsidR="00C16814" w:rsidRPr="00D6418F" w:rsidRDefault="0017216D" w:rsidP="00892427">
            <w:pPr>
              <w:ind w:firstLine="549"/>
              <w:jc w:val="both"/>
              <w:rPr>
                <w:sz w:val="26"/>
                <w:szCs w:val="26"/>
                <w:lang w:eastAsia="en-US"/>
              </w:rPr>
            </w:pPr>
            <w:r w:rsidRPr="00D6418F">
              <w:rPr>
                <w:sz w:val="26"/>
                <w:szCs w:val="26"/>
                <w:lang w:eastAsia="en-US"/>
              </w:rPr>
              <w:t xml:space="preserve">Atbilstoši </w:t>
            </w:r>
            <w:r w:rsidR="009860FC" w:rsidRPr="00D6418F">
              <w:rPr>
                <w:sz w:val="26"/>
                <w:szCs w:val="26"/>
              </w:rPr>
              <w:t xml:space="preserve">likumprojektā “Grozījumi likumā “Par policiju”” </w:t>
            </w:r>
            <w:r w:rsidRPr="00D6418F">
              <w:rPr>
                <w:sz w:val="26"/>
                <w:szCs w:val="26"/>
                <w:lang w:eastAsia="en-US"/>
              </w:rPr>
              <w:t>paredzētajam</w:t>
            </w:r>
            <w:r w:rsidR="00C16814" w:rsidRPr="00D6418F">
              <w:rPr>
                <w:sz w:val="26"/>
                <w:szCs w:val="26"/>
                <w:lang w:eastAsia="en-US"/>
              </w:rPr>
              <w:t>, likums stāsies spēkā 2019.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C16814" w:rsidRPr="00D6418F">
              <w:rPr>
                <w:sz w:val="26"/>
                <w:szCs w:val="26"/>
                <w:lang w:eastAsia="en-US"/>
              </w:rPr>
              <w:t>gada 1.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C16814" w:rsidRPr="00D6418F">
              <w:rPr>
                <w:sz w:val="26"/>
                <w:szCs w:val="26"/>
                <w:lang w:eastAsia="en-US"/>
              </w:rPr>
              <w:t xml:space="preserve">janvārī, </w:t>
            </w:r>
            <w:r w:rsidRPr="00D6418F">
              <w:rPr>
                <w:sz w:val="26"/>
                <w:szCs w:val="26"/>
                <w:lang w:eastAsia="en-US"/>
              </w:rPr>
              <w:t>tādējādi</w:t>
            </w:r>
            <w:r w:rsidR="004C4D3C" w:rsidRPr="00D6418F">
              <w:rPr>
                <w:sz w:val="26"/>
                <w:szCs w:val="26"/>
                <w:lang w:eastAsia="en-US"/>
              </w:rPr>
              <w:t xml:space="preserve">, ņemot vērā, ka </w:t>
            </w:r>
            <w:r w:rsidR="009860FC" w:rsidRPr="00D6418F">
              <w:rPr>
                <w:sz w:val="26"/>
                <w:szCs w:val="26"/>
                <w:lang w:eastAsia="en-US"/>
              </w:rPr>
              <w:t xml:space="preserve">Ministru kabineta </w:t>
            </w:r>
            <w:r w:rsidR="004C4D3C" w:rsidRPr="00D6418F">
              <w:rPr>
                <w:sz w:val="26"/>
                <w:szCs w:val="26"/>
                <w:lang w:eastAsia="en-US"/>
              </w:rPr>
              <w:t xml:space="preserve">noteikumi nevar stāties spēkā ātrāk par </w:t>
            </w:r>
            <w:r w:rsidR="008A506D" w:rsidRPr="00D6418F">
              <w:rPr>
                <w:sz w:val="26"/>
                <w:szCs w:val="26"/>
                <w:lang w:eastAsia="en-US"/>
              </w:rPr>
              <w:t xml:space="preserve">grozījumiem </w:t>
            </w:r>
            <w:r w:rsidR="004C4D3C" w:rsidRPr="00D6418F">
              <w:rPr>
                <w:sz w:val="26"/>
                <w:szCs w:val="26"/>
                <w:lang w:eastAsia="en-US"/>
              </w:rPr>
              <w:t>deleģējoš</w:t>
            </w:r>
            <w:r w:rsidR="008A506D" w:rsidRPr="00D6418F">
              <w:rPr>
                <w:sz w:val="26"/>
                <w:szCs w:val="26"/>
                <w:lang w:eastAsia="en-US"/>
              </w:rPr>
              <w:t>ā</w:t>
            </w:r>
            <w:r w:rsidR="004C4D3C" w:rsidRPr="00D6418F">
              <w:rPr>
                <w:sz w:val="26"/>
                <w:szCs w:val="26"/>
                <w:lang w:eastAsia="en-US"/>
              </w:rPr>
              <w:t xml:space="preserve"> likum</w:t>
            </w:r>
            <w:r w:rsidR="008A506D" w:rsidRPr="00D6418F">
              <w:rPr>
                <w:sz w:val="26"/>
                <w:szCs w:val="26"/>
                <w:lang w:eastAsia="en-US"/>
              </w:rPr>
              <w:t>ā</w:t>
            </w:r>
            <w:r w:rsidR="004C4D3C" w:rsidRPr="00D6418F">
              <w:rPr>
                <w:sz w:val="26"/>
                <w:szCs w:val="26"/>
                <w:lang w:eastAsia="en-US"/>
              </w:rPr>
              <w:t>, –</w:t>
            </w:r>
            <w:r w:rsidR="00EE3A17" w:rsidRPr="00D6418F">
              <w:rPr>
                <w:sz w:val="26"/>
                <w:szCs w:val="26"/>
                <w:lang w:eastAsia="en-US"/>
              </w:rPr>
              <w:t xml:space="preserve"> </w:t>
            </w:r>
            <w:r w:rsidR="00892427" w:rsidRPr="00D6418F">
              <w:rPr>
                <w:sz w:val="26"/>
                <w:szCs w:val="26"/>
                <w:lang w:eastAsia="en-US"/>
              </w:rPr>
              <w:t>p</w:t>
            </w:r>
            <w:r w:rsidR="00C16814" w:rsidRPr="00D6418F">
              <w:rPr>
                <w:sz w:val="26"/>
                <w:szCs w:val="26"/>
                <w:lang w:eastAsia="en-US"/>
              </w:rPr>
              <w:t>rojekt</w:t>
            </w:r>
            <w:r w:rsidR="009F46B4" w:rsidRPr="00D6418F">
              <w:rPr>
                <w:sz w:val="26"/>
                <w:szCs w:val="26"/>
                <w:lang w:eastAsia="en-US"/>
              </w:rPr>
              <w:t>os</w:t>
            </w:r>
            <w:r w:rsidR="00C16814" w:rsidRPr="00D6418F">
              <w:rPr>
                <w:sz w:val="26"/>
                <w:szCs w:val="26"/>
                <w:lang w:eastAsia="en-US"/>
              </w:rPr>
              <w:t xml:space="preserve"> </w:t>
            </w:r>
            <w:r w:rsidR="00BB359A" w:rsidRPr="00D6418F">
              <w:rPr>
                <w:sz w:val="26"/>
                <w:szCs w:val="26"/>
                <w:lang w:eastAsia="en-US"/>
              </w:rPr>
              <w:t xml:space="preserve">iekļauta norāde uz noteikumu spēkā stāšanās laiku, paredzot, ka noteikumi stāsies </w:t>
            </w:r>
            <w:r w:rsidR="00017D8A" w:rsidRPr="00D6418F">
              <w:rPr>
                <w:sz w:val="26"/>
                <w:szCs w:val="26"/>
                <w:lang w:eastAsia="en-US"/>
              </w:rPr>
              <w:t>spēkā 2019.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017D8A" w:rsidRPr="00D6418F">
              <w:rPr>
                <w:sz w:val="26"/>
                <w:szCs w:val="26"/>
                <w:lang w:eastAsia="en-US"/>
              </w:rPr>
              <w:t>gada 1.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017D8A" w:rsidRPr="00D6418F">
              <w:rPr>
                <w:sz w:val="26"/>
                <w:szCs w:val="26"/>
                <w:lang w:eastAsia="en-US"/>
              </w:rPr>
              <w:t>janvārī</w:t>
            </w:r>
            <w:r w:rsidR="00EF4384" w:rsidRPr="00D6418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530C3" w:rsidRPr="00D6418F" w14:paraId="12E41FB5" w14:textId="77777777" w:rsidTr="00AD3594">
        <w:tc>
          <w:tcPr>
            <w:tcW w:w="311" w:type="pct"/>
            <w:hideMark/>
          </w:tcPr>
          <w:p w14:paraId="6300685A" w14:textId="22EE9AE1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79" w:type="pct"/>
            <w:hideMark/>
          </w:tcPr>
          <w:p w14:paraId="21B03C82" w14:textId="77777777" w:rsidR="003530C3" w:rsidRPr="00D6418F" w:rsidRDefault="003530C3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010E0BB7" w14:textId="776398AD" w:rsidR="003530C3" w:rsidRPr="00D6418F" w:rsidRDefault="00A9353A" w:rsidP="00584457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Iekšlietu ministrija</w:t>
            </w:r>
            <w:r w:rsidR="001370D4" w:rsidRPr="00D6418F">
              <w:rPr>
                <w:sz w:val="26"/>
                <w:szCs w:val="26"/>
              </w:rPr>
              <w:t>, Valsts policija</w:t>
            </w:r>
          </w:p>
        </w:tc>
      </w:tr>
      <w:tr w:rsidR="003530C3" w:rsidRPr="00D6418F" w14:paraId="07A87F90" w14:textId="77777777" w:rsidTr="00AD3594">
        <w:tc>
          <w:tcPr>
            <w:tcW w:w="311" w:type="pct"/>
            <w:hideMark/>
          </w:tcPr>
          <w:p w14:paraId="54A12D62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4.</w:t>
            </w:r>
          </w:p>
        </w:tc>
        <w:tc>
          <w:tcPr>
            <w:tcW w:w="1479" w:type="pct"/>
            <w:hideMark/>
          </w:tcPr>
          <w:p w14:paraId="4656EAA5" w14:textId="77777777" w:rsidR="003530C3" w:rsidRPr="00D6418F" w:rsidRDefault="003530C3" w:rsidP="00F77A6F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Cita informācija</w:t>
            </w:r>
          </w:p>
        </w:tc>
        <w:tc>
          <w:tcPr>
            <w:tcW w:w="3210" w:type="pct"/>
            <w:hideMark/>
          </w:tcPr>
          <w:p w14:paraId="0F749C9A" w14:textId="52591246" w:rsidR="003530C3" w:rsidRPr="00D6418F" w:rsidRDefault="00C16814" w:rsidP="00AD3594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 xml:space="preserve">Nav </w:t>
            </w:r>
          </w:p>
        </w:tc>
      </w:tr>
    </w:tbl>
    <w:p w14:paraId="663272F4" w14:textId="77777777" w:rsidR="003530C3" w:rsidRPr="00D6418F" w:rsidRDefault="003530C3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723"/>
        <w:gridCol w:w="5909"/>
      </w:tblGrid>
      <w:tr w:rsidR="003530C3" w:rsidRPr="00D6418F" w14:paraId="5EF29D8E" w14:textId="77777777" w:rsidTr="00F77A6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870EAF5" w14:textId="77777777" w:rsidR="003530C3" w:rsidRPr="00D6418F" w:rsidRDefault="003530C3" w:rsidP="00F77A6F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1370D4" w:rsidRPr="00D6418F" w14:paraId="784B66CE" w14:textId="77777777" w:rsidTr="00F77A6F">
        <w:trPr>
          <w:cantSplit/>
        </w:trPr>
        <w:tc>
          <w:tcPr>
            <w:tcW w:w="311" w:type="pct"/>
            <w:hideMark/>
          </w:tcPr>
          <w:p w14:paraId="1C9347A6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479" w:type="pct"/>
            <w:hideMark/>
          </w:tcPr>
          <w:p w14:paraId="593076D5" w14:textId="77777777" w:rsidR="003530C3" w:rsidRPr="00D6418F" w:rsidRDefault="003530C3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334BA6D1" w14:textId="798C4EA4" w:rsidR="003530C3" w:rsidRPr="00D6418F" w:rsidRDefault="005B41D7" w:rsidP="004D0495">
            <w:pPr>
              <w:ind w:firstLine="549"/>
              <w:jc w:val="both"/>
              <w:rPr>
                <w:color w:val="FF0000"/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Drošības policij</w:t>
            </w:r>
            <w:r w:rsidR="00C478EA" w:rsidRPr="00D6418F">
              <w:rPr>
                <w:sz w:val="26"/>
                <w:szCs w:val="26"/>
              </w:rPr>
              <w:t>a</w:t>
            </w:r>
            <w:r w:rsidR="00A830DF" w:rsidRPr="00D6418F">
              <w:rPr>
                <w:sz w:val="26"/>
                <w:szCs w:val="26"/>
              </w:rPr>
              <w:t xml:space="preserve">, uz kuru </w:t>
            </w:r>
            <w:r w:rsidR="00220558" w:rsidRPr="00D6418F">
              <w:rPr>
                <w:sz w:val="26"/>
                <w:szCs w:val="26"/>
              </w:rPr>
              <w:t xml:space="preserve">ar </w:t>
            </w:r>
            <w:r w:rsidR="00AF2A56" w:rsidRPr="00D6418F">
              <w:rPr>
                <w:sz w:val="26"/>
                <w:szCs w:val="26"/>
              </w:rPr>
              <w:t xml:space="preserve">projekta spēkā stāšanās dienu </w:t>
            </w:r>
            <w:r w:rsidR="00A830DF" w:rsidRPr="00D6418F">
              <w:rPr>
                <w:sz w:val="26"/>
                <w:szCs w:val="26"/>
              </w:rPr>
              <w:t>vairs nebūs attiecināms</w:t>
            </w:r>
            <w:r w:rsidR="00A830DF" w:rsidRPr="00D6418F">
              <w:rPr>
                <w:sz w:val="26"/>
                <w:szCs w:val="26"/>
                <w:lang w:eastAsia="en-US"/>
              </w:rPr>
              <w:t xml:space="preserve"> Ministru kabineta 2017.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A830DF" w:rsidRPr="00D6418F">
              <w:rPr>
                <w:sz w:val="26"/>
                <w:szCs w:val="26"/>
                <w:lang w:eastAsia="en-US"/>
              </w:rPr>
              <w:t>gada 21.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A830DF" w:rsidRPr="00D6418F">
              <w:rPr>
                <w:sz w:val="26"/>
                <w:szCs w:val="26"/>
                <w:lang w:eastAsia="en-US"/>
              </w:rPr>
              <w:t>marta noteikum</w:t>
            </w:r>
            <w:r w:rsidR="004539C3" w:rsidRPr="00D6418F">
              <w:rPr>
                <w:sz w:val="26"/>
                <w:szCs w:val="26"/>
                <w:lang w:eastAsia="en-US"/>
              </w:rPr>
              <w:t>os</w:t>
            </w:r>
            <w:r w:rsidR="00A830DF" w:rsidRPr="00D6418F">
              <w:rPr>
                <w:sz w:val="26"/>
                <w:szCs w:val="26"/>
                <w:lang w:eastAsia="en-US"/>
              </w:rPr>
              <w:t xml:space="preserve"> Nr.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="00A830DF" w:rsidRPr="00D6418F">
              <w:rPr>
                <w:sz w:val="26"/>
                <w:szCs w:val="26"/>
                <w:lang w:eastAsia="en-US"/>
              </w:rPr>
              <w:t>153 “Kārtība, kādā policija veic videonovērošanu, izmantojot tehniskos līdzekļus, kā arī šādas novērošanas rezultātā iegūto datu apstrādi”</w:t>
            </w:r>
            <w:r w:rsidR="004D0495" w:rsidRPr="00D6418F">
              <w:rPr>
                <w:sz w:val="26"/>
                <w:szCs w:val="26"/>
                <w:lang w:eastAsia="en-US"/>
              </w:rPr>
              <w:t>,</w:t>
            </w:r>
            <w:r w:rsidR="004D0495" w:rsidRPr="00D6418F">
              <w:rPr>
                <w:sz w:val="26"/>
                <w:szCs w:val="26"/>
              </w:rPr>
              <w:t xml:space="preserve"> Ministru kabineta 2009.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gada 7.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jūlija noteikumos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735 “Kārtība, kādā personas tiek ievietotas un turētas pagaidu turēšanas vietās, un prasības šādu vietu aprīkošanai” un Ministru kabineta 2017.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janvāra noteikumos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4D0495" w:rsidRPr="00D6418F">
              <w:rPr>
                <w:sz w:val="26"/>
                <w:szCs w:val="26"/>
              </w:rPr>
              <w:t>57 “Aizturēto, apcietināto un notiesāto personu konvojēšanas kārtība”</w:t>
            </w:r>
            <w:r w:rsidR="004D0495" w:rsidRPr="00D6418F">
              <w:rPr>
                <w:sz w:val="26"/>
                <w:szCs w:val="26"/>
                <w:lang w:eastAsia="en-US"/>
              </w:rPr>
              <w:t xml:space="preserve"> ietvertais tiesiskais regulējums</w:t>
            </w:r>
            <w:r w:rsidR="00A830DF" w:rsidRPr="00D6418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84457" w:rsidRPr="00D6418F" w14:paraId="0FC5051F" w14:textId="77777777" w:rsidTr="00F77A6F">
        <w:trPr>
          <w:cantSplit/>
        </w:trPr>
        <w:tc>
          <w:tcPr>
            <w:tcW w:w="311" w:type="pct"/>
            <w:hideMark/>
          </w:tcPr>
          <w:p w14:paraId="7FB3E697" w14:textId="77777777" w:rsidR="00584457" w:rsidRPr="00D6418F" w:rsidRDefault="00584457" w:rsidP="00584457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2.</w:t>
            </w:r>
          </w:p>
        </w:tc>
        <w:tc>
          <w:tcPr>
            <w:tcW w:w="1479" w:type="pct"/>
            <w:hideMark/>
          </w:tcPr>
          <w:p w14:paraId="33A23581" w14:textId="77777777" w:rsidR="00584457" w:rsidRPr="00D6418F" w:rsidRDefault="00584457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70EB5912" w14:textId="73647184" w:rsidR="00584457" w:rsidRPr="00D6418F" w:rsidRDefault="00584457" w:rsidP="00584457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</w:t>
            </w:r>
          </w:p>
        </w:tc>
      </w:tr>
      <w:tr w:rsidR="00584457" w:rsidRPr="00D6418F" w14:paraId="050FA0E7" w14:textId="77777777" w:rsidTr="00F77A6F">
        <w:trPr>
          <w:cantSplit/>
        </w:trPr>
        <w:tc>
          <w:tcPr>
            <w:tcW w:w="311" w:type="pct"/>
            <w:hideMark/>
          </w:tcPr>
          <w:p w14:paraId="14623A3A" w14:textId="77777777" w:rsidR="00584457" w:rsidRPr="00D6418F" w:rsidRDefault="00584457" w:rsidP="00584457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3.</w:t>
            </w:r>
          </w:p>
        </w:tc>
        <w:tc>
          <w:tcPr>
            <w:tcW w:w="1479" w:type="pct"/>
            <w:hideMark/>
          </w:tcPr>
          <w:p w14:paraId="17606CE2" w14:textId="77777777" w:rsidR="00584457" w:rsidRPr="00D6418F" w:rsidRDefault="00584457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3210" w:type="pct"/>
            <w:hideMark/>
          </w:tcPr>
          <w:p w14:paraId="693DDB36" w14:textId="61065BC9" w:rsidR="00584457" w:rsidRPr="00D6418F" w:rsidRDefault="00584457" w:rsidP="00584457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</w:t>
            </w:r>
          </w:p>
        </w:tc>
      </w:tr>
      <w:tr w:rsidR="003530C3" w:rsidRPr="00D6418F" w14:paraId="75D787FD" w14:textId="77777777" w:rsidTr="00F77A6F">
        <w:trPr>
          <w:cantSplit/>
        </w:trPr>
        <w:tc>
          <w:tcPr>
            <w:tcW w:w="311" w:type="pct"/>
            <w:hideMark/>
          </w:tcPr>
          <w:p w14:paraId="439C822E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4.</w:t>
            </w:r>
          </w:p>
        </w:tc>
        <w:tc>
          <w:tcPr>
            <w:tcW w:w="1479" w:type="pct"/>
            <w:hideMark/>
          </w:tcPr>
          <w:p w14:paraId="663AE464" w14:textId="77777777" w:rsidR="003530C3" w:rsidRPr="00D6418F" w:rsidRDefault="003530C3" w:rsidP="00610BE1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Atbilstības izmaksu monetārs novērtējums</w:t>
            </w:r>
          </w:p>
        </w:tc>
        <w:tc>
          <w:tcPr>
            <w:tcW w:w="3210" w:type="pct"/>
            <w:hideMark/>
          </w:tcPr>
          <w:p w14:paraId="7C58CDAE" w14:textId="77777777" w:rsidR="003530C3" w:rsidRPr="00D6418F" w:rsidRDefault="003530C3" w:rsidP="00AD3594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</w:t>
            </w:r>
          </w:p>
        </w:tc>
      </w:tr>
      <w:tr w:rsidR="003530C3" w:rsidRPr="00D6418F" w14:paraId="28415E5C" w14:textId="77777777" w:rsidTr="00F77A6F">
        <w:trPr>
          <w:cantSplit/>
        </w:trPr>
        <w:tc>
          <w:tcPr>
            <w:tcW w:w="311" w:type="pct"/>
            <w:hideMark/>
          </w:tcPr>
          <w:p w14:paraId="6888F7CF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5.</w:t>
            </w:r>
          </w:p>
        </w:tc>
        <w:tc>
          <w:tcPr>
            <w:tcW w:w="1479" w:type="pct"/>
            <w:hideMark/>
          </w:tcPr>
          <w:p w14:paraId="6997A6A0" w14:textId="77777777" w:rsidR="003530C3" w:rsidRPr="00D6418F" w:rsidRDefault="003530C3" w:rsidP="006D7533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Cita informācija</w:t>
            </w:r>
          </w:p>
        </w:tc>
        <w:tc>
          <w:tcPr>
            <w:tcW w:w="3210" w:type="pct"/>
            <w:hideMark/>
          </w:tcPr>
          <w:p w14:paraId="79E02D93" w14:textId="77777777" w:rsidR="003530C3" w:rsidRPr="00D6418F" w:rsidRDefault="003530C3" w:rsidP="00AD3594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Nav</w:t>
            </w:r>
          </w:p>
        </w:tc>
      </w:tr>
    </w:tbl>
    <w:p w14:paraId="6ECDAFEF" w14:textId="77777777" w:rsidR="003530C3" w:rsidRPr="00D6418F" w:rsidRDefault="003530C3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8"/>
      </w:tblGrid>
      <w:tr w:rsidR="00B94402" w:rsidRPr="00D6418F" w14:paraId="22033A70" w14:textId="77777777" w:rsidTr="001370D4">
        <w:trPr>
          <w:cantSplit/>
        </w:trPr>
        <w:tc>
          <w:tcPr>
            <w:tcW w:w="9065" w:type="dxa"/>
            <w:shd w:val="clear" w:color="auto" w:fill="auto"/>
            <w:vAlign w:val="center"/>
            <w:hideMark/>
          </w:tcPr>
          <w:p w14:paraId="63E34CB9" w14:textId="77777777" w:rsidR="00A9353A" w:rsidRPr="00D6418F" w:rsidRDefault="00A9353A" w:rsidP="00D20447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6418F">
              <w:rPr>
                <w:sz w:val="26"/>
                <w:szCs w:val="26"/>
              </w:rPr>
              <w:br w:type="page"/>
            </w:r>
            <w:r w:rsidRPr="00D6418F">
              <w:rPr>
                <w:b/>
                <w:bCs/>
                <w:sz w:val="26"/>
                <w:szCs w:val="26"/>
                <w:lang w:eastAsia="en-US"/>
              </w:rPr>
              <w:t>III. Tiesību akta projekta ietekme uz valsts budžetu un pašvaldību budžetiem</w:t>
            </w:r>
          </w:p>
        </w:tc>
      </w:tr>
      <w:tr w:rsidR="001370D4" w:rsidRPr="00D6418F" w14:paraId="1285E0C6" w14:textId="77777777" w:rsidTr="00630A81">
        <w:trPr>
          <w:cantSplit/>
        </w:trPr>
        <w:tc>
          <w:tcPr>
            <w:tcW w:w="9065" w:type="dxa"/>
            <w:shd w:val="clear" w:color="auto" w:fill="FFFFFF"/>
            <w:vAlign w:val="center"/>
          </w:tcPr>
          <w:p w14:paraId="4F01C8EC" w14:textId="78898F0E" w:rsidR="001370D4" w:rsidRPr="00D6418F" w:rsidRDefault="001370D4" w:rsidP="00D20447">
            <w:pPr>
              <w:jc w:val="center"/>
              <w:rPr>
                <w:sz w:val="26"/>
                <w:szCs w:val="26"/>
                <w:lang w:eastAsia="en-US"/>
              </w:rPr>
            </w:pPr>
            <w:r w:rsidRPr="00D6418F">
              <w:rPr>
                <w:sz w:val="26"/>
                <w:szCs w:val="26"/>
              </w:rPr>
              <w:t>Projekts šo jomu neskar.</w:t>
            </w:r>
          </w:p>
        </w:tc>
      </w:tr>
    </w:tbl>
    <w:p w14:paraId="26F9A9CC" w14:textId="77777777" w:rsidR="003530C3" w:rsidRPr="00D6418F" w:rsidRDefault="003530C3" w:rsidP="003530C3">
      <w:pPr>
        <w:rPr>
          <w:sz w:val="26"/>
          <w:szCs w:val="26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709"/>
        <w:gridCol w:w="5919"/>
      </w:tblGrid>
      <w:tr w:rsidR="001B10C7" w:rsidRPr="00D6418F" w14:paraId="47694006" w14:textId="77777777" w:rsidTr="000B5ED7">
        <w:trPr>
          <w:cantSplit/>
        </w:trPr>
        <w:tc>
          <w:tcPr>
            <w:tcW w:w="8365" w:type="dxa"/>
            <w:gridSpan w:val="3"/>
            <w:vAlign w:val="center"/>
            <w:hideMark/>
          </w:tcPr>
          <w:p w14:paraId="7FE320AB" w14:textId="77777777" w:rsidR="001B10C7" w:rsidRPr="00D6418F" w:rsidRDefault="001B10C7" w:rsidP="000B5ED7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1B10C7" w:rsidRPr="00D6418F" w14:paraId="2ACC2A43" w14:textId="77777777" w:rsidTr="000B5ED7">
        <w:trPr>
          <w:cantSplit/>
        </w:trPr>
        <w:tc>
          <w:tcPr>
            <w:tcW w:w="527" w:type="dxa"/>
            <w:hideMark/>
          </w:tcPr>
          <w:p w14:paraId="2BCA026B" w14:textId="77777777" w:rsidR="001B10C7" w:rsidRPr="00D6418F" w:rsidRDefault="001B10C7" w:rsidP="000B5ED7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1.</w:t>
            </w:r>
          </w:p>
        </w:tc>
        <w:tc>
          <w:tcPr>
            <w:tcW w:w="2461" w:type="dxa"/>
            <w:hideMark/>
          </w:tcPr>
          <w:p w14:paraId="7FCB8D59" w14:textId="77777777" w:rsidR="001B10C7" w:rsidRPr="00D6418F" w:rsidRDefault="001B10C7" w:rsidP="000B5ED7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Saistītie tiesību aktu projekti</w:t>
            </w:r>
          </w:p>
        </w:tc>
        <w:tc>
          <w:tcPr>
            <w:tcW w:w="5377" w:type="dxa"/>
            <w:hideMark/>
          </w:tcPr>
          <w:p w14:paraId="3EFA7E4D" w14:textId="12306451" w:rsidR="001B10C7" w:rsidRPr="00D6418F" w:rsidRDefault="001B10C7" w:rsidP="00AB0E6C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Apvienotā anotācija sagatavota šādiem Ministru kabineta noteikumu projektiem: “Grozījum</w:t>
            </w:r>
            <w:r w:rsidR="00CC611A" w:rsidRPr="00D6418F">
              <w:rPr>
                <w:sz w:val="26"/>
                <w:szCs w:val="26"/>
              </w:rPr>
              <w:t>i</w:t>
            </w:r>
            <w:r w:rsidRPr="00D6418F">
              <w:rPr>
                <w:sz w:val="26"/>
                <w:szCs w:val="26"/>
              </w:rPr>
              <w:t xml:space="preserve"> Ministru kabineta 2017.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janvāra noteikumos Nr.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57 “Aizturēto, apcietināto un notiesāto personu konvojēšanas kārtība””</w:t>
            </w:r>
            <w:r w:rsidR="00AB0E6C" w:rsidRPr="00D6418F">
              <w:rPr>
                <w:sz w:val="26"/>
                <w:szCs w:val="26"/>
              </w:rPr>
              <w:t xml:space="preserve"> (izsludināts Valsts sekretāru sanāksmē 2018.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maijā, protokola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21, 5.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§; VSS-528)</w:t>
            </w:r>
            <w:r w:rsidRPr="00D6418F">
              <w:rPr>
                <w:sz w:val="26"/>
                <w:szCs w:val="26"/>
              </w:rPr>
              <w:t xml:space="preserve">, </w:t>
            </w:r>
            <w:r w:rsidRPr="00D6418F">
              <w:rPr>
                <w:sz w:val="26"/>
                <w:szCs w:val="26"/>
                <w:lang w:eastAsia="en-US"/>
              </w:rPr>
              <w:t>“Grozījums Ministru kabineta 2017.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Pr="00D6418F">
              <w:rPr>
                <w:sz w:val="26"/>
                <w:szCs w:val="26"/>
                <w:lang w:eastAsia="en-US"/>
              </w:rPr>
              <w:t>gada 21.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Pr="00D6418F">
              <w:rPr>
                <w:sz w:val="26"/>
                <w:szCs w:val="26"/>
                <w:lang w:eastAsia="en-US"/>
              </w:rPr>
              <w:t>marta noteikumos Nr.</w:t>
            </w:r>
            <w:r w:rsidR="00C91D1C" w:rsidRPr="00D6418F">
              <w:rPr>
                <w:sz w:val="26"/>
                <w:szCs w:val="26"/>
                <w:lang w:eastAsia="en-US"/>
              </w:rPr>
              <w:t> </w:t>
            </w:r>
            <w:r w:rsidRPr="00D6418F">
              <w:rPr>
                <w:sz w:val="26"/>
                <w:szCs w:val="26"/>
                <w:lang w:eastAsia="en-US"/>
              </w:rPr>
              <w:t>153 “Kārtība, kādā policija veic videonovērošanu, izmantojot tehniskos līdzekļus, kā arī šādas novērošanas rezultātā iegūto datu apstrādi”</w:t>
            </w:r>
            <w:r w:rsidRPr="00D6418F">
              <w:rPr>
                <w:sz w:val="26"/>
                <w:szCs w:val="26"/>
              </w:rPr>
              <w:t xml:space="preserve"> </w:t>
            </w:r>
            <w:r w:rsidR="00AB0E6C" w:rsidRPr="00D6418F">
              <w:rPr>
                <w:sz w:val="26"/>
                <w:szCs w:val="26"/>
              </w:rPr>
              <w:t>(izsludināts Valsts sekretāru sanāksmē 2018.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maijā, protokola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21, 6.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 xml:space="preserve">§; VSS-529) </w:t>
            </w:r>
            <w:r w:rsidRPr="00D6418F">
              <w:rPr>
                <w:sz w:val="26"/>
                <w:szCs w:val="26"/>
              </w:rPr>
              <w:t>un “Grozījums Ministru kabineta 2009.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gada 7.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jūlija noteikumos Nr.</w:t>
            </w:r>
            <w:r w:rsidR="00C91D1C" w:rsidRPr="00D6418F">
              <w:rPr>
                <w:sz w:val="26"/>
                <w:szCs w:val="26"/>
              </w:rPr>
              <w:t> </w:t>
            </w:r>
            <w:r w:rsidRPr="00D6418F">
              <w:rPr>
                <w:sz w:val="26"/>
                <w:szCs w:val="26"/>
              </w:rPr>
              <w:t>735 “Kārtība, kādā personas tiek ievietotas un turētas pagaidu turēšanas vietās, un prasības šādu vietu aprīkošanai””</w:t>
            </w:r>
            <w:r w:rsidR="00AB0E6C" w:rsidRPr="00D6418F">
              <w:rPr>
                <w:sz w:val="26"/>
                <w:szCs w:val="26"/>
              </w:rPr>
              <w:t xml:space="preserve"> (izsludināts Valsts sekretāru sanāksmē 2018.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gada 31.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maijā, protokola Nr.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21, 7.</w:t>
            </w:r>
            <w:r w:rsidR="00C91D1C" w:rsidRPr="00D6418F">
              <w:rPr>
                <w:sz w:val="26"/>
                <w:szCs w:val="26"/>
              </w:rPr>
              <w:t> </w:t>
            </w:r>
            <w:r w:rsidR="00AB0E6C" w:rsidRPr="00D6418F">
              <w:rPr>
                <w:sz w:val="26"/>
                <w:szCs w:val="26"/>
              </w:rPr>
              <w:t>§; VSS-530)</w:t>
            </w:r>
            <w:r w:rsidRPr="00D6418F">
              <w:rPr>
                <w:sz w:val="26"/>
                <w:szCs w:val="26"/>
              </w:rPr>
              <w:t xml:space="preserve">. </w:t>
            </w:r>
          </w:p>
        </w:tc>
      </w:tr>
      <w:tr w:rsidR="001B10C7" w:rsidRPr="00D6418F" w14:paraId="7F9D0D98" w14:textId="77777777" w:rsidTr="000B5ED7">
        <w:trPr>
          <w:cantSplit/>
        </w:trPr>
        <w:tc>
          <w:tcPr>
            <w:tcW w:w="527" w:type="dxa"/>
            <w:hideMark/>
          </w:tcPr>
          <w:p w14:paraId="757E2175" w14:textId="77777777" w:rsidR="001B10C7" w:rsidRPr="00D6418F" w:rsidRDefault="001B10C7" w:rsidP="000B5ED7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2.</w:t>
            </w:r>
          </w:p>
        </w:tc>
        <w:tc>
          <w:tcPr>
            <w:tcW w:w="2461" w:type="dxa"/>
            <w:hideMark/>
          </w:tcPr>
          <w:p w14:paraId="02D66C89" w14:textId="77777777" w:rsidR="001B10C7" w:rsidRPr="00D6418F" w:rsidRDefault="001B10C7" w:rsidP="000B5ED7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377" w:type="dxa"/>
            <w:hideMark/>
          </w:tcPr>
          <w:p w14:paraId="770E6DF3" w14:textId="36776FD8" w:rsidR="001B10C7" w:rsidRPr="00D6418F" w:rsidRDefault="004235AF" w:rsidP="001B10C7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Iekšlietu ministrija, Valsts policija</w:t>
            </w:r>
          </w:p>
        </w:tc>
      </w:tr>
      <w:tr w:rsidR="001B10C7" w:rsidRPr="00D6418F" w14:paraId="15B31E47" w14:textId="77777777" w:rsidTr="000B5ED7">
        <w:trPr>
          <w:cantSplit/>
        </w:trPr>
        <w:tc>
          <w:tcPr>
            <w:tcW w:w="527" w:type="dxa"/>
            <w:hideMark/>
          </w:tcPr>
          <w:p w14:paraId="471F7CF9" w14:textId="77777777" w:rsidR="001B10C7" w:rsidRPr="00D6418F" w:rsidRDefault="001B10C7" w:rsidP="000B5ED7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461" w:type="dxa"/>
            <w:hideMark/>
          </w:tcPr>
          <w:p w14:paraId="1E0A46EF" w14:textId="77777777" w:rsidR="001B10C7" w:rsidRPr="00D6418F" w:rsidRDefault="001B10C7" w:rsidP="000B5ED7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Cita informācija</w:t>
            </w:r>
          </w:p>
        </w:tc>
        <w:tc>
          <w:tcPr>
            <w:tcW w:w="5377" w:type="dxa"/>
            <w:hideMark/>
          </w:tcPr>
          <w:p w14:paraId="0B4FF693" w14:textId="70BD7C52" w:rsidR="001B10C7" w:rsidRPr="00D6418F" w:rsidRDefault="001B10C7" w:rsidP="004235AF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Nav</w:t>
            </w:r>
          </w:p>
        </w:tc>
      </w:tr>
    </w:tbl>
    <w:p w14:paraId="19CD413E" w14:textId="77777777" w:rsidR="001B10C7" w:rsidRPr="00D6418F" w:rsidRDefault="001B10C7" w:rsidP="003530C3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4"/>
      </w:tblGrid>
      <w:tr w:rsidR="003530C3" w:rsidRPr="00D6418F" w14:paraId="144E1816" w14:textId="77777777" w:rsidTr="00F77A6F">
        <w:trPr>
          <w:cantSplit/>
        </w:trPr>
        <w:tc>
          <w:tcPr>
            <w:tcW w:w="5000" w:type="pct"/>
            <w:vAlign w:val="center"/>
            <w:hideMark/>
          </w:tcPr>
          <w:p w14:paraId="3EA67E75" w14:textId="77777777" w:rsidR="003530C3" w:rsidRPr="00D6418F" w:rsidRDefault="003530C3" w:rsidP="00F77A6F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3530C3" w:rsidRPr="00D6418F" w14:paraId="52F36FB1" w14:textId="77777777" w:rsidTr="00F77A6F">
        <w:trPr>
          <w:cantSplit/>
          <w:trHeight w:val="162"/>
        </w:trPr>
        <w:tc>
          <w:tcPr>
            <w:tcW w:w="5000" w:type="pct"/>
          </w:tcPr>
          <w:p w14:paraId="12FEC5B5" w14:textId="77777777" w:rsidR="003530C3" w:rsidRPr="00D6418F" w:rsidRDefault="003530C3" w:rsidP="008412E1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</w:t>
            </w:r>
          </w:p>
        </w:tc>
      </w:tr>
    </w:tbl>
    <w:p w14:paraId="6010C951" w14:textId="77777777" w:rsidR="003530C3" w:rsidRPr="00D6418F" w:rsidRDefault="003530C3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723"/>
        <w:gridCol w:w="5909"/>
      </w:tblGrid>
      <w:tr w:rsidR="001370D4" w:rsidRPr="00D6418F" w14:paraId="04445485" w14:textId="77777777" w:rsidTr="00F4194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E82A016" w14:textId="77777777" w:rsidR="001370D4" w:rsidRPr="00D6418F" w:rsidRDefault="001370D4" w:rsidP="00F41949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D47FBB" w:rsidRPr="00D6418F" w14:paraId="446EE8EA" w14:textId="77777777" w:rsidTr="00F41949">
        <w:trPr>
          <w:cantSplit/>
        </w:trPr>
        <w:tc>
          <w:tcPr>
            <w:tcW w:w="311" w:type="pct"/>
            <w:hideMark/>
          </w:tcPr>
          <w:p w14:paraId="4C6B34B4" w14:textId="77777777" w:rsidR="001370D4" w:rsidRPr="00D6418F" w:rsidRDefault="001370D4" w:rsidP="00F41949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1.</w:t>
            </w:r>
          </w:p>
        </w:tc>
        <w:tc>
          <w:tcPr>
            <w:tcW w:w="1479" w:type="pct"/>
            <w:hideMark/>
          </w:tcPr>
          <w:p w14:paraId="47D1B4AF" w14:textId="77777777" w:rsidR="001370D4" w:rsidRPr="00D6418F" w:rsidRDefault="001370D4" w:rsidP="00F41949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14:paraId="530D6880" w14:textId="7C2A5DE7" w:rsidR="001370D4" w:rsidRPr="00D6418F" w:rsidRDefault="00E6356E" w:rsidP="009634AE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Sabiedrības līdzdalība nav plānota, jo projekts attiecas uz Drošības policiju un sabiedrību kopumā neietekmēs.</w:t>
            </w:r>
          </w:p>
        </w:tc>
      </w:tr>
      <w:tr w:rsidR="001370D4" w:rsidRPr="00D6418F" w14:paraId="711637A0" w14:textId="77777777" w:rsidTr="00F41949">
        <w:trPr>
          <w:cantSplit/>
        </w:trPr>
        <w:tc>
          <w:tcPr>
            <w:tcW w:w="311" w:type="pct"/>
            <w:hideMark/>
          </w:tcPr>
          <w:p w14:paraId="6DEA40DB" w14:textId="77777777" w:rsidR="001370D4" w:rsidRPr="00D6418F" w:rsidRDefault="001370D4" w:rsidP="00F41949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2.</w:t>
            </w:r>
          </w:p>
        </w:tc>
        <w:tc>
          <w:tcPr>
            <w:tcW w:w="1479" w:type="pct"/>
            <w:hideMark/>
          </w:tcPr>
          <w:p w14:paraId="4EC70852" w14:textId="77777777" w:rsidR="001370D4" w:rsidRPr="00D6418F" w:rsidRDefault="001370D4" w:rsidP="00F41949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3210" w:type="pct"/>
            <w:hideMark/>
          </w:tcPr>
          <w:p w14:paraId="449707E2" w14:textId="34C6561D" w:rsidR="001370D4" w:rsidRPr="00D6418F" w:rsidRDefault="00E6356E" w:rsidP="00F41949">
            <w:pPr>
              <w:pStyle w:val="NormalWeb"/>
              <w:spacing w:after="0"/>
              <w:jc w:val="both"/>
              <w:rPr>
                <w:color w:val="FF0000"/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neskar.</w:t>
            </w:r>
          </w:p>
        </w:tc>
      </w:tr>
      <w:tr w:rsidR="001370D4" w:rsidRPr="00D6418F" w14:paraId="5C7A2D7E" w14:textId="77777777" w:rsidTr="00F41949">
        <w:trPr>
          <w:cantSplit/>
        </w:trPr>
        <w:tc>
          <w:tcPr>
            <w:tcW w:w="311" w:type="pct"/>
            <w:hideMark/>
          </w:tcPr>
          <w:p w14:paraId="7C60DCBF" w14:textId="77777777" w:rsidR="001370D4" w:rsidRPr="00D6418F" w:rsidRDefault="001370D4" w:rsidP="00F41949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3.</w:t>
            </w:r>
          </w:p>
        </w:tc>
        <w:tc>
          <w:tcPr>
            <w:tcW w:w="1479" w:type="pct"/>
            <w:hideMark/>
          </w:tcPr>
          <w:p w14:paraId="2B0193AF" w14:textId="77777777" w:rsidR="001370D4" w:rsidRPr="00D6418F" w:rsidRDefault="001370D4" w:rsidP="00F41949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3210" w:type="pct"/>
            <w:hideMark/>
          </w:tcPr>
          <w:p w14:paraId="768B63A2" w14:textId="75857E79" w:rsidR="001370D4" w:rsidRPr="00D6418F" w:rsidRDefault="00E6356E" w:rsidP="00F41949">
            <w:pPr>
              <w:pStyle w:val="NormalWeb"/>
              <w:spacing w:after="0"/>
              <w:jc w:val="both"/>
              <w:rPr>
                <w:color w:val="FF0000"/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Projekts šo jomu neskar</w:t>
            </w:r>
            <w:r w:rsidR="00393620" w:rsidRPr="00D6418F">
              <w:rPr>
                <w:sz w:val="26"/>
                <w:szCs w:val="26"/>
              </w:rPr>
              <w:t>.</w:t>
            </w:r>
          </w:p>
        </w:tc>
      </w:tr>
      <w:tr w:rsidR="001370D4" w:rsidRPr="00D6418F" w14:paraId="35974DFC" w14:textId="77777777" w:rsidTr="00F41949">
        <w:trPr>
          <w:cantSplit/>
        </w:trPr>
        <w:tc>
          <w:tcPr>
            <w:tcW w:w="311" w:type="pct"/>
            <w:hideMark/>
          </w:tcPr>
          <w:p w14:paraId="56302D7D" w14:textId="77777777" w:rsidR="001370D4" w:rsidRPr="00D6418F" w:rsidRDefault="001370D4" w:rsidP="00F41949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4.</w:t>
            </w:r>
          </w:p>
        </w:tc>
        <w:tc>
          <w:tcPr>
            <w:tcW w:w="1479" w:type="pct"/>
            <w:hideMark/>
          </w:tcPr>
          <w:p w14:paraId="114DF1C6" w14:textId="77777777" w:rsidR="001370D4" w:rsidRPr="00D6418F" w:rsidRDefault="001370D4" w:rsidP="00F41949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Cita informācija</w:t>
            </w:r>
          </w:p>
        </w:tc>
        <w:tc>
          <w:tcPr>
            <w:tcW w:w="3210" w:type="pct"/>
            <w:hideMark/>
          </w:tcPr>
          <w:p w14:paraId="7640F8D7" w14:textId="77777777" w:rsidR="001370D4" w:rsidRPr="00D6418F" w:rsidRDefault="001370D4" w:rsidP="00F41949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Nav.</w:t>
            </w:r>
          </w:p>
        </w:tc>
      </w:tr>
    </w:tbl>
    <w:p w14:paraId="7B322A03" w14:textId="77777777" w:rsidR="001370D4" w:rsidRPr="00D6418F" w:rsidRDefault="001370D4" w:rsidP="003530C3">
      <w:pPr>
        <w:pStyle w:val="Title"/>
        <w:spacing w:before="130" w:line="260" w:lineRule="exact"/>
        <w:ind w:firstLine="53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723"/>
        <w:gridCol w:w="5909"/>
      </w:tblGrid>
      <w:tr w:rsidR="003530C3" w:rsidRPr="00D6418F" w14:paraId="0CA4142C" w14:textId="77777777" w:rsidTr="00F77A6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246AE93" w14:textId="77777777" w:rsidR="003530C3" w:rsidRPr="00D6418F" w:rsidRDefault="003530C3" w:rsidP="00F77A6F">
            <w:pPr>
              <w:jc w:val="center"/>
              <w:rPr>
                <w:b/>
                <w:bCs/>
                <w:sz w:val="26"/>
                <w:szCs w:val="26"/>
              </w:rPr>
            </w:pPr>
            <w:r w:rsidRPr="00D6418F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D47FBB" w:rsidRPr="00D6418F" w14:paraId="3EA2BC30" w14:textId="77777777" w:rsidTr="00F77A6F">
        <w:trPr>
          <w:cantSplit/>
        </w:trPr>
        <w:tc>
          <w:tcPr>
            <w:tcW w:w="311" w:type="pct"/>
            <w:hideMark/>
          </w:tcPr>
          <w:p w14:paraId="0DA69C80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1.</w:t>
            </w:r>
          </w:p>
        </w:tc>
        <w:tc>
          <w:tcPr>
            <w:tcW w:w="1479" w:type="pct"/>
            <w:hideMark/>
          </w:tcPr>
          <w:p w14:paraId="4BCE9D09" w14:textId="77777777" w:rsidR="003530C3" w:rsidRPr="00D6418F" w:rsidRDefault="003530C3" w:rsidP="00426836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506B477F" w14:textId="22662035" w:rsidR="003530C3" w:rsidRPr="00D6418F" w:rsidRDefault="004903BD" w:rsidP="00130587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Drošības policija</w:t>
            </w:r>
            <w:r w:rsidR="00505D57" w:rsidRPr="00D6418F">
              <w:rPr>
                <w:sz w:val="26"/>
                <w:szCs w:val="26"/>
              </w:rPr>
              <w:t>.</w:t>
            </w:r>
          </w:p>
        </w:tc>
      </w:tr>
      <w:tr w:rsidR="003530C3" w:rsidRPr="00D6418F" w14:paraId="13DDD5E8" w14:textId="77777777" w:rsidTr="00F77A6F">
        <w:trPr>
          <w:cantSplit/>
        </w:trPr>
        <w:tc>
          <w:tcPr>
            <w:tcW w:w="311" w:type="pct"/>
            <w:hideMark/>
          </w:tcPr>
          <w:p w14:paraId="041A4A3E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2.</w:t>
            </w:r>
          </w:p>
        </w:tc>
        <w:tc>
          <w:tcPr>
            <w:tcW w:w="1479" w:type="pct"/>
            <w:hideMark/>
          </w:tcPr>
          <w:p w14:paraId="7F9EE6F7" w14:textId="77777777" w:rsidR="003530C3" w:rsidRPr="00D6418F" w:rsidRDefault="003530C3" w:rsidP="00426836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Projekta izpildes ietekme uz pārvaldes funkcijām un institucionālo struktūru.</w:t>
            </w:r>
            <w:r w:rsidRPr="00D6418F">
              <w:rPr>
                <w:sz w:val="26"/>
                <w:szCs w:val="26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48DA390D" w14:textId="3E46F8B7" w:rsidR="00861612" w:rsidRPr="00D6418F" w:rsidRDefault="008412E1" w:rsidP="009634AE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Projekta izpilde neietekmē projekta izstrādē iesaistīto institūciju funkcijas un uzdevumus</w:t>
            </w:r>
            <w:r w:rsidR="00EC5588" w:rsidRPr="00D6418F">
              <w:rPr>
                <w:sz w:val="26"/>
                <w:szCs w:val="26"/>
              </w:rPr>
              <w:t>; papildu cilvēkresursi nav nepieciešami</w:t>
            </w:r>
            <w:r w:rsidRPr="00D6418F">
              <w:rPr>
                <w:sz w:val="26"/>
                <w:szCs w:val="26"/>
              </w:rPr>
              <w:t>.</w:t>
            </w:r>
          </w:p>
          <w:p w14:paraId="39408A37" w14:textId="77777777" w:rsidR="009634AE" w:rsidRPr="00D6418F" w:rsidRDefault="009634AE" w:rsidP="009634AE">
            <w:pPr>
              <w:jc w:val="both"/>
              <w:rPr>
                <w:sz w:val="26"/>
                <w:szCs w:val="26"/>
              </w:rPr>
            </w:pPr>
          </w:p>
          <w:p w14:paraId="46039E54" w14:textId="12D7588C" w:rsidR="0001561F" w:rsidRPr="00D6418F" w:rsidRDefault="0001561F" w:rsidP="009634AE">
            <w:pPr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Ja</w:t>
            </w:r>
            <w:r w:rsidR="008412E1" w:rsidRPr="00D6418F">
              <w:rPr>
                <w:sz w:val="26"/>
                <w:szCs w:val="26"/>
              </w:rPr>
              <w:t>unu institūciju izveid</w:t>
            </w:r>
            <w:r w:rsidRPr="00D6418F">
              <w:rPr>
                <w:sz w:val="26"/>
                <w:szCs w:val="26"/>
              </w:rPr>
              <w:t>e,</w:t>
            </w:r>
            <w:r w:rsidR="008412E1" w:rsidRPr="00D6418F">
              <w:rPr>
                <w:sz w:val="26"/>
                <w:szCs w:val="26"/>
              </w:rPr>
              <w:t xml:space="preserve"> esošo institūciju likvidācij</w:t>
            </w:r>
            <w:r w:rsidRPr="00D6418F">
              <w:rPr>
                <w:sz w:val="26"/>
                <w:szCs w:val="26"/>
              </w:rPr>
              <w:t>a</w:t>
            </w:r>
            <w:r w:rsidR="008412E1" w:rsidRPr="00D6418F">
              <w:rPr>
                <w:sz w:val="26"/>
                <w:szCs w:val="26"/>
              </w:rPr>
              <w:t xml:space="preserve"> vai reorganizācij</w:t>
            </w:r>
            <w:r w:rsidRPr="00D6418F">
              <w:rPr>
                <w:sz w:val="26"/>
                <w:szCs w:val="26"/>
              </w:rPr>
              <w:t>a nav paredzēta</w:t>
            </w:r>
            <w:r w:rsidR="008412E1" w:rsidRPr="00D6418F">
              <w:rPr>
                <w:sz w:val="26"/>
                <w:szCs w:val="26"/>
              </w:rPr>
              <w:t>.</w:t>
            </w:r>
          </w:p>
        </w:tc>
      </w:tr>
      <w:tr w:rsidR="003530C3" w:rsidRPr="00D6418F" w14:paraId="72C9DFC6" w14:textId="77777777" w:rsidTr="00F77A6F">
        <w:trPr>
          <w:cantSplit/>
        </w:trPr>
        <w:tc>
          <w:tcPr>
            <w:tcW w:w="311" w:type="pct"/>
            <w:hideMark/>
          </w:tcPr>
          <w:p w14:paraId="4063F382" w14:textId="77777777" w:rsidR="003530C3" w:rsidRPr="00D6418F" w:rsidRDefault="003530C3" w:rsidP="00F77A6F">
            <w:pPr>
              <w:jc w:val="center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3.</w:t>
            </w:r>
          </w:p>
        </w:tc>
        <w:tc>
          <w:tcPr>
            <w:tcW w:w="1479" w:type="pct"/>
            <w:hideMark/>
          </w:tcPr>
          <w:p w14:paraId="55818DFA" w14:textId="77777777" w:rsidR="003530C3" w:rsidRPr="00D6418F" w:rsidRDefault="003530C3" w:rsidP="00F77A6F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Cita informācija</w:t>
            </w:r>
          </w:p>
        </w:tc>
        <w:tc>
          <w:tcPr>
            <w:tcW w:w="3210" w:type="pct"/>
            <w:hideMark/>
          </w:tcPr>
          <w:p w14:paraId="6630A229" w14:textId="77777777" w:rsidR="003530C3" w:rsidRPr="00D6418F" w:rsidRDefault="003530C3" w:rsidP="00662174">
            <w:pPr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Nav</w:t>
            </w:r>
          </w:p>
        </w:tc>
      </w:tr>
    </w:tbl>
    <w:p w14:paraId="459AA9D0" w14:textId="77777777" w:rsidR="003530C3" w:rsidRPr="00D6418F" w:rsidRDefault="003530C3" w:rsidP="003530C3">
      <w:pPr>
        <w:rPr>
          <w:sz w:val="26"/>
          <w:szCs w:val="26"/>
        </w:rPr>
      </w:pPr>
    </w:p>
    <w:p w14:paraId="087CAA85" w14:textId="77777777" w:rsidR="00405E2E" w:rsidRPr="00D6418F" w:rsidRDefault="00405E2E" w:rsidP="003530C3">
      <w:pPr>
        <w:rPr>
          <w:sz w:val="26"/>
          <w:szCs w:val="2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51"/>
      </w:tblGrid>
      <w:tr w:rsidR="00405E2E" w:rsidRPr="00D6418F" w14:paraId="57667ECB" w14:textId="77777777" w:rsidTr="00763C35">
        <w:tc>
          <w:tcPr>
            <w:tcW w:w="6804" w:type="dxa"/>
          </w:tcPr>
          <w:p w14:paraId="0460968F" w14:textId="77777777" w:rsidR="00405E2E" w:rsidRPr="00D6418F" w:rsidRDefault="00405E2E" w:rsidP="003530C3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Iekšlietu ministrs</w:t>
            </w:r>
          </w:p>
          <w:p w14:paraId="686D0124" w14:textId="77777777" w:rsidR="00405E2E" w:rsidRPr="00D6418F" w:rsidRDefault="00405E2E" w:rsidP="003530C3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</w:p>
          <w:p w14:paraId="428739C4" w14:textId="455BD25A" w:rsidR="00DD130F" w:rsidRPr="00D6418F" w:rsidRDefault="00DD130F" w:rsidP="003530C3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8BFF6A8" w14:textId="1F0476D1" w:rsidR="00405E2E" w:rsidRPr="00D6418F" w:rsidRDefault="00405E2E" w:rsidP="00763C35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R</w:t>
            </w:r>
            <w:r w:rsidR="00763C35">
              <w:rPr>
                <w:sz w:val="26"/>
                <w:szCs w:val="26"/>
              </w:rPr>
              <w:t>ihards</w:t>
            </w:r>
            <w:r w:rsidR="00D83D29">
              <w:rPr>
                <w:sz w:val="26"/>
                <w:szCs w:val="26"/>
              </w:rPr>
              <w:t xml:space="preserve"> </w:t>
            </w:r>
            <w:r w:rsidRPr="00D6418F">
              <w:rPr>
                <w:sz w:val="26"/>
                <w:szCs w:val="26"/>
              </w:rPr>
              <w:t>Kozlovskis</w:t>
            </w:r>
          </w:p>
        </w:tc>
      </w:tr>
      <w:tr w:rsidR="00405E2E" w:rsidRPr="00D6418F" w14:paraId="3826FC18" w14:textId="77777777" w:rsidTr="00763C35">
        <w:tc>
          <w:tcPr>
            <w:tcW w:w="6804" w:type="dxa"/>
          </w:tcPr>
          <w:p w14:paraId="02038916" w14:textId="58B425E1" w:rsidR="00405E2E" w:rsidRPr="00D6418F" w:rsidRDefault="00405E2E" w:rsidP="00540692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D6418F">
              <w:rPr>
                <w:sz w:val="26"/>
                <w:szCs w:val="26"/>
              </w:rPr>
              <w:t>Vīza: valsts sekretārs</w:t>
            </w:r>
          </w:p>
        </w:tc>
        <w:tc>
          <w:tcPr>
            <w:tcW w:w="2551" w:type="dxa"/>
          </w:tcPr>
          <w:p w14:paraId="5CAEC777" w14:textId="735B93D3" w:rsidR="00405E2E" w:rsidRPr="00D6418F" w:rsidRDefault="00405E2E" w:rsidP="00763C35">
            <w:pPr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proofErr w:type="spellStart"/>
            <w:r w:rsidRPr="00D6418F">
              <w:rPr>
                <w:sz w:val="26"/>
                <w:szCs w:val="26"/>
              </w:rPr>
              <w:t>D</w:t>
            </w:r>
            <w:r w:rsidR="00763C35">
              <w:rPr>
                <w:sz w:val="26"/>
                <w:szCs w:val="26"/>
              </w:rPr>
              <w:t>imitrijs</w:t>
            </w:r>
            <w:proofErr w:type="spellEnd"/>
            <w:r w:rsidR="00763C35">
              <w:rPr>
                <w:sz w:val="26"/>
                <w:szCs w:val="26"/>
              </w:rPr>
              <w:t xml:space="preserve"> </w:t>
            </w:r>
            <w:proofErr w:type="spellStart"/>
            <w:r w:rsidRPr="00D6418F">
              <w:rPr>
                <w:sz w:val="26"/>
                <w:szCs w:val="26"/>
              </w:rPr>
              <w:t>Trofimovs</w:t>
            </w:r>
            <w:proofErr w:type="spellEnd"/>
          </w:p>
        </w:tc>
      </w:tr>
    </w:tbl>
    <w:p w14:paraId="7EB83C54" w14:textId="77777777" w:rsidR="006606C1" w:rsidRPr="00D6418F" w:rsidRDefault="006606C1" w:rsidP="003530C3">
      <w:pPr>
        <w:pStyle w:val="naisf"/>
        <w:rPr>
          <w:sz w:val="26"/>
          <w:szCs w:val="26"/>
        </w:rPr>
      </w:pPr>
    </w:p>
    <w:p w14:paraId="38D1AFD9" w14:textId="77777777" w:rsidR="00DD130F" w:rsidRPr="00D6418F" w:rsidRDefault="00DD130F" w:rsidP="003055F0">
      <w:pPr>
        <w:rPr>
          <w:sz w:val="27"/>
          <w:szCs w:val="27"/>
        </w:rPr>
      </w:pPr>
    </w:p>
    <w:p w14:paraId="5F53F5A4" w14:textId="77777777" w:rsidR="00DD130F" w:rsidRPr="00D6418F" w:rsidRDefault="00DD130F" w:rsidP="003055F0">
      <w:pPr>
        <w:rPr>
          <w:sz w:val="18"/>
          <w:szCs w:val="18"/>
        </w:rPr>
      </w:pPr>
    </w:p>
    <w:p w14:paraId="33037E4E" w14:textId="77777777" w:rsidR="00DD130F" w:rsidRPr="00D6418F" w:rsidRDefault="00DD130F" w:rsidP="003055F0">
      <w:pPr>
        <w:rPr>
          <w:sz w:val="18"/>
          <w:szCs w:val="18"/>
        </w:rPr>
      </w:pPr>
    </w:p>
    <w:p w14:paraId="66E07D2D" w14:textId="77777777" w:rsidR="0042385F" w:rsidRPr="00D6418F" w:rsidRDefault="0042385F" w:rsidP="003055F0">
      <w:pPr>
        <w:rPr>
          <w:sz w:val="18"/>
          <w:szCs w:val="18"/>
        </w:rPr>
      </w:pPr>
      <w:bookmarkStart w:id="0" w:name="_GoBack"/>
      <w:bookmarkEnd w:id="0"/>
    </w:p>
    <w:p w14:paraId="4ED67D54" w14:textId="77777777" w:rsidR="003055F0" w:rsidRPr="00D6418F" w:rsidRDefault="003055F0" w:rsidP="003055F0">
      <w:pPr>
        <w:rPr>
          <w:sz w:val="18"/>
          <w:szCs w:val="18"/>
        </w:rPr>
      </w:pPr>
      <w:r w:rsidRPr="00D6418F">
        <w:rPr>
          <w:sz w:val="18"/>
          <w:szCs w:val="18"/>
        </w:rPr>
        <w:t>Žakaite, 67829546</w:t>
      </w:r>
    </w:p>
    <w:p w14:paraId="198A154E" w14:textId="3F331803" w:rsidR="003055F0" w:rsidRPr="003055F0" w:rsidRDefault="00E722DD" w:rsidP="003055F0">
      <w:pPr>
        <w:rPr>
          <w:sz w:val="18"/>
          <w:szCs w:val="18"/>
        </w:rPr>
      </w:pPr>
      <w:hyperlink r:id="rId8" w:history="1">
        <w:r w:rsidR="003055F0" w:rsidRPr="00D6418F">
          <w:rPr>
            <w:rStyle w:val="Hyperlink"/>
            <w:sz w:val="18"/>
            <w:szCs w:val="18"/>
          </w:rPr>
          <w:t>solvita.zakaite@vp.gov.lv</w:t>
        </w:r>
      </w:hyperlink>
      <w:r w:rsidR="003055F0" w:rsidRPr="003055F0">
        <w:rPr>
          <w:sz w:val="18"/>
          <w:szCs w:val="18"/>
        </w:rPr>
        <w:t xml:space="preserve"> </w:t>
      </w:r>
    </w:p>
    <w:sectPr w:rsidR="003055F0" w:rsidRPr="003055F0" w:rsidSect="0042385F">
      <w:headerReference w:type="default" r:id="rId9"/>
      <w:footerReference w:type="default" r:id="rId10"/>
      <w:footerReference w:type="first" r:id="rId11"/>
      <w:pgSz w:w="11906" w:h="16838" w:code="9"/>
      <w:pgMar w:top="709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2A96" w14:textId="77777777" w:rsidR="00E722DD" w:rsidRDefault="00E722DD" w:rsidP="00576B88">
      <w:r>
        <w:separator/>
      </w:r>
    </w:p>
  </w:endnote>
  <w:endnote w:type="continuationSeparator" w:id="0">
    <w:p w14:paraId="2D901CFE" w14:textId="77777777" w:rsidR="00E722DD" w:rsidRDefault="00E722DD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C117D" w14:textId="53A2165E" w:rsidR="00576B88" w:rsidRPr="008412E1" w:rsidRDefault="008412E1" w:rsidP="008412E1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IeMAnot_</w:t>
    </w:r>
    <w:r w:rsidR="008B19EA">
      <w:rPr>
        <w:sz w:val="20"/>
        <w:szCs w:val="20"/>
      </w:rPr>
      <w:t>2</w:t>
    </w:r>
    <w:r w:rsidR="005F6A72">
      <w:rPr>
        <w:sz w:val="20"/>
        <w:szCs w:val="20"/>
      </w:rPr>
      <w:t>7</w:t>
    </w:r>
    <w:r w:rsidR="007B72FF">
      <w:rPr>
        <w:sz w:val="20"/>
        <w:szCs w:val="20"/>
      </w:rPr>
      <w:t>0</w:t>
    </w:r>
    <w:r w:rsidR="005F6A72">
      <w:rPr>
        <w:sz w:val="20"/>
        <w:szCs w:val="20"/>
      </w:rPr>
      <w:t>9</w:t>
    </w:r>
    <w:r w:rsidRPr="008412E1">
      <w:rPr>
        <w:sz w:val="20"/>
        <w:szCs w:val="20"/>
      </w:rPr>
      <w:t>18_groz_</w:t>
    </w:r>
    <w:r w:rsidR="008B19EA">
      <w:rPr>
        <w:sz w:val="20"/>
        <w:szCs w:val="20"/>
      </w:rPr>
      <w:t>apvien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68CD" w14:textId="34A36032" w:rsidR="00AD37B6" w:rsidRPr="008412E1" w:rsidRDefault="008412E1" w:rsidP="00AB27B1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IeMAnot_</w:t>
    </w:r>
    <w:r w:rsidR="005A2679">
      <w:rPr>
        <w:sz w:val="20"/>
        <w:szCs w:val="20"/>
      </w:rPr>
      <w:t>2</w:t>
    </w:r>
    <w:r w:rsidR="005F6A72">
      <w:rPr>
        <w:sz w:val="20"/>
        <w:szCs w:val="20"/>
      </w:rPr>
      <w:t>7</w:t>
    </w:r>
    <w:r w:rsidR="007B72FF">
      <w:rPr>
        <w:sz w:val="20"/>
        <w:szCs w:val="20"/>
      </w:rPr>
      <w:t>0</w:t>
    </w:r>
    <w:r w:rsidR="005F6A72">
      <w:rPr>
        <w:sz w:val="20"/>
        <w:szCs w:val="20"/>
      </w:rPr>
      <w:t>9</w:t>
    </w:r>
    <w:r w:rsidR="007B72FF" w:rsidRPr="008412E1">
      <w:rPr>
        <w:sz w:val="20"/>
        <w:szCs w:val="20"/>
      </w:rPr>
      <w:t>18_groz_</w:t>
    </w:r>
    <w:r w:rsidR="005A2679">
      <w:rPr>
        <w:sz w:val="20"/>
        <w:szCs w:val="20"/>
      </w:rPr>
      <w:t>apvien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12FE" w14:textId="77777777" w:rsidR="00E722DD" w:rsidRDefault="00E722DD" w:rsidP="00576B88">
      <w:r>
        <w:separator/>
      </w:r>
    </w:p>
  </w:footnote>
  <w:footnote w:type="continuationSeparator" w:id="0">
    <w:p w14:paraId="18E0B6E0" w14:textId="77777777" w:rsidR="00E722DD" w:rsidRDefault="00E722DD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737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77777777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D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E72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063E"/>
    <w:multiLevelType w:val="hybridMultilevel"/>
    <w:tmpl w:val="38AC68C4"/>
    <w:lvl w:ilvl="0" w:tplc="C80E5AD0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9" w:hanging="360"/>
      </w:pPr>
    </w:lvl>
    <w:lvl w:ilvl="2" w:tplc="0426001B" w:tentative="1">
      <w:start w:val="1"/>
      <w:numFmt w:val="lowerRoman"/>
      <w:lvlText w:val="%3."/>
      <w:lvlJc w:val="right"/>
      <w:pPr>
        <w:ind w:left="2349" w:hanging="180"/>
      </w:pPr>
    </w:lvl>
    <w:lvl w:ilvl="3" w:tplc="0426000F" w:tentative="1">
      <w:start w:val="1"/>
      <w:numFmt w:val="decimal"/>
      <w:lvlText w:val="%4."/>
      <w:lvlJc w:val="left"/>
      <w:pPr>
        <w:ind w:left="3069" w:hanging="360"/>
      </w:pPr>
    </w:lvl>
    <w:lvl w:ilvl="4" w:tplc="04260019" w:tentative="1">
      <w:start w:val="1"/>
      <w:numFmt w:val="lowerLetter"/>
      <w:lvlText w:val="%5."/>
      <w:lvlJc w:val="left"/>
      <w:pPr>
        <w:ind w:left="3789" w:hanging="360"/>
      </w:pPr>
    </w:lvl>
    <w:lvl w:ilvl="5" w:tplc="0426001B" w:tentative="1">
      <w:start w:val="1"/>
      <w:numFmt w:val="lowerRoman"/>
      <w:lvlText w:val="%6."/>
      <w:lvlJc w:val="right"/>
      <w:pPr>
        <w:ind w:left="4509" w:hanging="180"/>
      </w:pPr>
    </w:lvl>
    <w:lvl w:ilvl="6" w:tplc="0426000F" w:tentative="1">
      <w:start w:val="1"/>
      <w:numFmt w:val="decimal"/>
      <w:lvlText w:val="%7."/>
      <w:lvlJc w:val="left"/>
      <w:pPr>
        <w:ind w:left="5229" w:hanging="360"/>
      </w:pPr>
    </w:lvl>
    <w:lvl w:ilvl="7" w:tplc="04260019" w:tentative="1">
      <w:start w:val="1"/>
      <w:numFmt w:val="lowerLetter"/>
      <w:lvlText w:val="%8."/>
      <w:lvlJc w:val="left"/>
      <w:pPr>
        <w:ind w:left="5949" w:hanging="360"/>
      </w:pPr>
    </w:lvl>
    <w:lvl w:ilvl="8" w:tplc="0426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A1F"/>
    <w:rsid w:val="00006E05"/>
    <w:rsid w:val="0001561F"/>
    <w:rsid w:val="00017D8A"/>
    <w:rsid w:val="00035C88"/>
    <w:rsid w:val="000374DC"/>
    <w:rsid w:val="000379EE"/>
    <w:rsid w:val="00044270"/>
    <w:rsid w:val="00047E5A"/>
    <w:rsid w:val="00051E4D"/>
    <w:rsid w:val="00060D2F"/>
    <w:rsid w:val="00073D28"/>
    <w:rsid w:val="00073FC3"/>
    <w:rsid w:val="0009235F"/>
    <w:rsid w:val="00096810"/>
    <w:rsid w:val="000B7C66"/>
    <w:rsid w:val="000C0807"/>
    <w:rsid w:val="000C3DA0"/>
    <w:rsid w:val="000D6A52"/>
    <w:rsid w:val="001146E8"/>
    <w:rsid w:val="001302E5"/>
    <w:rsid w:val="00130587"/>
    <w:rsid w:val="001370D4"/>
    <w:rsid w:val="001523ED"/>
    <w:rsid w:val="00166199"/>
    <w:rsid w:val="0017216D"/>
    <w:rsid w:val="001747D7"/>
    <w:rsid w:val="001807DE"/>
    <w:rsid w:val="001820F6"/>
    <w:rsid w:val="00187D88"/>
    <w:rsid w:val="001960C8"/>
    <w:rsid w:val="00197E7C"/>
    <w:rsid w:val="001A1355"/>
    <w:rsid w:val="001A2B4A"/>
    <w:rsid w:val="001A3F2B"/>
    <w:rsid w:val="001B10C7"/>
    <w:rsid w:val="001D19CC"/>
    <w:rsid w:val="001F4290"/>
    <w:rsid w:val="001F52EC"/>
    <w:rsid w:val="001F67AC"/>
    <w:rsid w:val="0020386B"/>
    <w:rsid w:val="0020400F"/>
    <w:rsid w:val="00204826"/>
    <w:rsid w:val="00215FDA"/>
    <w:rsid w:val="00220558"/>
    <w:rsid w:val="00227D0F"/>
    <w:rsid w:val="00227EC3"/>
    <w:rsid w:val="00232FEB"/>
    <w:rsid w:val="00237A27"/>
    <w:rsid w:val="00244D40"/>
    <w:rsid w:val="00264C35"/>
    <w:rsid w:val="0028174F"/>
    <w:rsid w:val="00283893"/>
    <w:rsid w:val="002849CF"/>
    <w:rsid w:val="002918DE"/>
    <w:rsid w:val="00295DF3"/>
    <w:rsid w:val="002C0C5C"/>
    <w:rsid w:val="002C2502"/>
    <w:rsid w:val="002D02BE"/>
    <w:rsid w:val="002D6AC4"/>
    <w:rsid w:val="002E20C8"/>
    <w:rsid w:val="002F1A4F"/>
    <w:rsid w:val="002F35C1"/>
    <w:rsid w:val="00300467"/>
    <w:rsid w:val="003055F0"/>
    <w:rsid w:val="00324549"/>
    <w:rsid w:val="00337B2C"/>
    <w:rsid w:val="00340B31"/>
    <w:rsid w:val="00343C9A"/>
    <w:rsid w:val="003530C3"/>
    <w:rsid w:val="003629CD"/>
    <w:rsid w:val="003762DC"/>
    <w:rsid w:val="00393620"/>
    <w:rsid w:val="003C403F"/>
    <w:rsid w:val="003F6F38"/>
    <w:rsid w:val="00400946"/>
    <w:rsid w:val="00405E2E"/>
    <w:rsid w:val="004169B9"/>
    <w:rsid w:val="00417DA3"/>
    <w:rsid w:val="004235AF"/>
    <w:rsid w:val="0042385F"/>
    <w:rsid w:val="00426836"/>
    <w:rsid w:val="00430376"/>
    <w:rsid w:val="00430721"/>
    <w:rsid w:val="004539C3"/>
    <w:rsid w:val="00454EDB"/>
    <w:rsid w:val="00474D46"/>
    <w:rsid w:val="00481753"/>
    <w:rsid w:val="0048778F"/>
    <w:rsid w:val="004903BD"/>
    <w:rsid w:val="004B5C69"/>
    <w:rsid w:val="004C2228"/>
    <w:rsid w:val="004C4D3C"/>
    <w:rsid w:val="004C505A"/>
    <w:rsid w:val="004C7817"/>
    <w:rsid w:val="004D0495"/>
    <w:rsid w:val="004E46FA"/>
    <w:rsid w:val="004F3493"/>
    <w:rsid w:val="004F5117"/>
    <w:rsid w:val="004F6961"/>
    <w:rsid w:val="004F78EA"/>
    <w:rsid w:val="00505D57"/>
    <w:rsid w:val="0050624C"/>
    <w:rsid w:val="00511149"/>
    <w:rsid w:val="005138A2"/>
    <w:rsid w:val="00547EF5"/>
    <w:rsid w:val="00553AE6"/>
    <w:rsid w:val="00554256"/>
    <w:rsid w:val="0056249B"/>
    <w:rsid w:val="00572CBC"/>
    <w:rsid w:val="005757FB"/>
    <w:rsid w:val="00576B88"/>
    <w:rsid w:val="00577B01"/>
    <w:rsid w:val="00582F81"/>
    <w:rsid w:val="00584457"/>
    <w:rsid w:val="005870B5"/>
    <w:rsid w:val="0059357D"/>
    <w:rsid w:val="005A2679"/>
    <w:rsid w:val="005B41D7"/>
    <w:rsid w:val="005B5FFF"/>
    <w:rsid w:val="005C1D8D"/>
    <w:rsid w:val="005E3C3E"/>
    <w:rsid w:val="005E4E3E"/>
    <w:rsid w:val="005E71FE"/>
    <w:rsid w:val="005F6A72"/>
    <w:rsid w:val="00600A02"/>
    <w:rsid w:val="00603F6F"/>
    <w:rsid w:val="00610BE1"/>
    <w:rsid w:val="00611F64"/>
    <w:rsid w:val="0062226C"/>
    <w:rsid w:val="00631393"/>
    <w:rsid w:val="00634F3E"/>
    <w:rsid w:val="00646FA4"/>
    <w:rsid w:val="00653B23"/>
    <w:rsid w:val="00657815"/>
    <w:rsid w:val="006606C1"/>
    <w:rsid w:val="00662174"/>
    <w:rsid w:val="00675779"/>
    <w:rsid w:val="006762B5"/>
    <w:rsid w:val="00677745"/>
    <w:rsid w:val="00677987"/>
    <w:rsid w:val="00682906"/>
    <w:rsid w:val="00693DBC"/>
    <w:rsid w:val="006A030D"/>
    <w:rsid w:val="006A0783"/>
    <w:rsid w:val="006A32DB"/>
    <w:rsid w:val="006B6368"/>
    <w:rsid w:val="006B6789"/>
    <w:rsid w:val="006D1BDE"/>
    <w:rsid w:val="006D7533"/>
    <w:rsid w:val="006E4B84"/>
    <w:rsid w:val="00720EA6"/>
    <w:rsid w:val="007239F1"/>
    <w:rsid w:val="00724C54"/>
    <w:rsid w:val="00743442"/>
    <w:rsid w:val="00747593"/>
    <w:rsid w:val="00763C35"/>
    <w:rsid w:val="00764BB0"/>
    <w:rsid w:val="007749A4"/>
    <w:rsid w:val="007752C5"/>
    <w:rsid w:val="00783EE9"/>
    <w:rsid w:val="007A06F8"/>
    <w:rsid w:val="007B0F3C"/>
    <w:rsid w:val="007B26E4"/>
    <w:rsid w:val="007B72FF"/>
    <w:rsid w:val="007C3E79"/>
    <w:rsid w:val="007C696F"/>
    <w:rsid w:val="007D6D1F"/>
    <w:rsid w:val="007E03C1"/>
    <w:rsid w:val="007E7008"/>
    <w:rsid w:val="007F0CB2"/>
    <w:rsid w:val="008013F5"/>
    <w:rsid w:val="0080680F"/>
    <w:rsid w:val="00811435"/>
    <w:rsid w:val="008178AB"/>
    <w:rsid w:val="00830AA0"/>
    <w:rsid w:val="008412E1"/>
    <w:rsid w:val="0084306C"/>
    <w:rsid w:val="008479F7"/>
    <w:rsid w:val="008539A0"/>
    <w:rsid w:val="008563CB"/>
    <w:rsid w:val="00861408"/>
    <w:rsid w:val="00861612"/>
    <w:rsid w:val="008707C6"/>
    <w:rsid w:val="0087143A"/>
    <w:rsid w:val="00884F62"/>
    <w:rsid w:val="00892427"/>
    <w:rsid w:val="008A506D"/>
    <w:rsid w:val="008B19EA"/>
    <w:rsid w:val="008C2FD8"/>
    <w:rsid w:val="008E06B3"/>
    <w:rsid w:val="008E38F9"/>
    <w:rsid w:val="008F17FA"/>
    <w:rsid w:val="008F6308"/>
    <w:rsid w:val="009231C9"/>
    <w:rsid w:val="009319E3"/>
    <w:rsid w:val="009414FF"/>
    <w:rsid w:val="00942231"/>
    <w:rsid w:val="009634AE"/>
    <w:rsid w:val="00965A77"/>
    <w:rsid w:val="009860FC"/>
    <w:rsid w:val="00995A32"/>
    <w:rsid w:val="009B106B"/>
    <w:rsid w:val="009B31BA"/>
    <w:rsid w:val="009B6529"/>
    <w:rsid w:val="009D3235"/>
    <w:rsid w:val="009E1539"/>
    <w:rsid w:val="009F3314"/>
    <w:rsid w:val="009F46B4"/>
    <w:rsid w:val="009F6384"/>
    <w:rsid w:val="00A05366"/>
    <w:rsid w:val="00A110D1"/>
    <w:rsid w:val="00A213A3"/>
    <w:rsid w:val="00A33447"/>
    <w:rsid w:val="00A36972"/>
    <w:rsid w:val="00A427E5"/>
    <w:rsid w:val="00A44DFF"/>
    <w:rsid w:val="00A74D5B"/>
    <w:rsid w:val="00A74F2C"/>
    <w:rsid w:val="00A77733"/>
    <w:rsid w:val="00A77B6C"/>
    <w:rsid w:val="00A830DF"/>
    <w:rsid w:val="00A8763A"/>
    <w:rsid w:val="00A9353A"/>
    <w:rsid w:val="00A9425E"/>
    <w:rsid w:val="00A97B4E"/>
    <w:rsid w:val="00AA0A8A"/>
    <w:rsid w:val="00AB0E6C"/>
    <w:rsid w:val="00AB234A"/>
    <w:rsid w:val="00AD3594"/>
    <w:rsid w:val="00AE3607"/>
    <w:rsid w:val="00AE37B9"/>
    <w:rsid w:val="00AE4B6F"/>
    <w:rsid w:val="00AF2A56"/>
    <w:rsid w:val="00B10264"/>
    <w:rsid w:val="00B23199"/>
    <w:rsid w:val="00B31DED"/>
    <w:rsid w:val="00B336E3"/>
    <w:rsid w:val="00B64D5D"/>
    <w:rsid w:val="00B80340"/>
    <w:rsid w:val="00B92E14"/>
    <w:rsid w:val="00B94402"/>
    <w:rsid w:val="00BA4BAB"/>
    <w:rsid w:val="00BB359A"/>
    <w:rsid w:val="00BB5733"/>
    <w:rsid w:val="00BC2F4E"/>
    <w:rsid w:val="00BD14CE"/>
    <w:rsid w:val="00BE6D63"/>
    <w:rsid w:val="00BF33DD"/>
    <w:rsid w:val="00BF3CC9"/>
    <w:rsid w:val="00C03A7A"/>
    <w:rsid w:val="00C04BE9"/>
    <w:rsid w:val="00C13488"/>
    <w:rsid w:val="00C16814"/>
    <w:rsid w:val="00C478EA"/>
    <w:rsid w:val="00C5314E"/>
    <w:rsid w:val="00C56EE3"/>
    <w:rsid w:val="00C65F10"/>
    <w:rsid w:val="00C67838"/>
    <w:rsid w:val="00C87AEA"/>
    <w:rsid w:val="00C91D1C"/>
    <w:rsid w:val="00C94EBB"/>
    <w:rsid w:val="00CB1422"/>
    <w:rsid w:val="00CC611A"/>
    <w:rsid w:val="00CE0452"/>
    <w:rsid w:val="00CF247A"/>
    <w:rsid w:val="00CF6516"/>
    <w:rsid w:val="00D048B6"/>
    <w:rsid w:val="00D2385D"/>
    <w:rsid w:val="00D24F69"/>
    <w:rsid w:val="00D356A5"/>
    <w:rsid w:val="00D47FBB"/>
    <w:rsid w:val="00D51193"/>
    <w:rsid w:val="00D63B57"/>
    <w:rsid w:val="00D6418F"/>
    <w:rsid w:val="00D762FF"/>
    <w:rsid w:val="00D83D29"/>
    <w:rsid w:val="00D85020"/>
    <w:rsid w:val="00D930E3"/>
    <w:rsid w:val="00D95C9D"/>
    <w:rsid w:val="00D97393"/>
    <w:rsid w:val="00DA5ECE"/>
    <w:rsid w:val="00DB3B57"/>
    <w:rsid w:val="00DB4C6A"/>
    <w:rsid w:val="00DC1E22"/>
    <w:rsid w:val="00DD130F"/>
    <w:rsid w:val="00DD311F"/>
    <w:rsid w:val="00DD4345"/>
    <w:rsid w:val="00DE4102"/>
    <w:rsid w:val="00DF071E"/>
    <w:rsid w:val="00E03D44"/>
    <w:rsid w:val="00E241A1"/>
    <w:rsid w:val="00E35BE9"/>
    <w:rsid w:val="00E42FA0"/>
    <w:rsid w:val="00E523CF"/>
    <w:rsid w:val="00E604A7"/>
    <w:rsid w:val="00E6356E"/>
    <w:rsid w:val="00E63C08"/>
    <w:rsid w:val="00E65669"/>
    <w:rsid w:val="00E722DD"/>
    <w:rsid w:val="00E80162"/>
    <w:rsid w:val="00E85ABF"/>
    <w:rsid w:val="00E91091"/>
    <w:rsid w:val="00E94D4E"/>
    <w:rsid w:val="00EA776E"/>
    <w:rsid w:val="00EB0E19"/>
    <w:rsid w:val="00EB6600"/>
    <w:rsid w:val="00EC5588"/>
    <w:rsid w:val="00EC5E63"/>
    <w:rsid w:val="00EE0FDB"/>
    <w:rsid w:val="00EE3A17"/>
    <w:rsid w:val="00EE47E7"/>
    <w:rsid w:val="00EE70C0"/>
    <w:rsid w:val="00EF0E2E"/>
    <w:rsid w:val="00EF4384"/>
    <w:rsid w:val="00F0647E"/>
    <w:rsid w:val="00F13581"/>
    <w:rsid w:val="00F14B35"/>
    <w:rsid w:val="00F17274"/>
    <w:rsid w:val="00F262F1"/>
    <w:rsid w:val="00F44A6B"/>
    <w:rsid w:val="00F50468"/>
    <w:rsid w:val="00F60362"/>
    <w:rsid w:val="00F60B51"/>
    <w:rsid w:val="00F94ACA"/>
    <w:rsid w:val="00F96CF6"/>
    <w:rsid w:val="00FB53A8"/>
    <w:rsid w:val="00FC0AE5"/>
    <w:rsid w:val="00FE17D5"/>
    <w:rsid w:val="00FF14A4"/>
    <w:rsid w:val="00FF2D9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chartTrackingRefBased/>
  <w15:docId w15:val="{3D978ADA-E1C8-4EC5-BA9E-A30A20E9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1370D4"/>
    <w:pPr>
      <w:spacing w:before="100" w:beforeAutospacing="1" w:after="119"/>
    </w:pPr>
  </w:style>
  <w:style w:type="table" w:styleId="TableGrid">
    <w:name w:val="Table Grid"/>
    <w:basedOn w:val="TableNormal"/>
    <w:uiPriority w:val="39"/>
    <w:rsid w:val="0040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zakait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11EE-9D0D-4407-97AC-2E193D95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5161</Words>
  <Characters>2943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Solvita Žakaite</cp:lastModifiedBy>
  <cp:revision>37</cp:revision>
  <cp:lastPrinted>2018-04-24T12:43:00Z</cp:lastPrinted>
  <dcterms:created xsi:type="dcterms:W3CDTF">2018-05-18T10:10:00Z</dcterms:created>
  <dcterms:modified xsi:type="dcterms:W3CDTF">2018-09-28T08:48:00Z</dcterms:modified>
</cp:coreProperties>
</file>