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A23A59" w:rsidRDefault="000C7B2F"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A23A59">
        <w:rPr>
          <w:rFonts w:ascii="Times New Roman" w:eastAsia="Times New Roman" w:hAnsi="Times New Roman" w:cs="Times New Roman"/>
          <w:b/>
          <w:bCs/>
          <w:sz w:val="28"/>
          <w:szCs w:val="28"/>
          <w:lang w:eastAsia="lv-LV"/>
        </w:rPr>
        <w:t>Likumprojekta “Grozījumi Korupcijas novēršanas un apkarošanas biroja likumā”</w:t>
      </w:r>
      <w:r w:rsidR="00C93343" w:rsidRPr="00A23A59">
        <w:rPr>
          <w:rFonts w:ascii="Times New Roman" w:eastAsia="Times New Roman" w:hAnsi="Times New Roman" w:cs="Times New Roman"/>
          <w:b/>
          <w:bCs/>
          <w:sz w:val="28"/>
          <w:szCs w:val="28"/>
          <w:lang w:eastAsia="lv-LV"/>
        </w:rPr>
        <w:t xml:space="preserve"> </w:t>
      </w:r>
      <w:r w:rsidR="00894C55" w:rsidRPr="00A23A59">
        <w:rPr>
          <w:rFonts w:ascii="Times New Roman" w:eastAsia="Times New Roman" w:hAnsi="Times New Roman" w:cs="Times New Roman"/>
          <w:b/>
          <w:bCs/>
          <w:sz w:val="28"/>
          <w:szCs w:val="28"/>
          <w:lang w:eastAsia="lv-LV"/>
        </w:rPr>
        <w:t>sākotnējās ietekmes novērtējuma ziņojums (anotācija)</w:t>
      </w:r>
    </w:p>
    <w:p w:rsidR="00D77D3B" w:rsidRPr="00A23A59" w:rsidRDefault="00D77D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07407" w:rsidRPr="00A23A5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23A59" w:rsidRDefault="00E5323B" w:rsidP="00C00564">
            <w:pPr>
              <w:spacing w:after="0" w:line="240" w:lineRule="auto"/>
              <w:jc w:val="both"/>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Tiesību akta projekta anotācijas kopsavilkums</w:t>
            </w:r>
          </w:p>
        </w:tc>
      </w:tr>
      <w:tr w:rsidR="00F07407" w:rsidRPr="00A23A5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96E4A" w:rsidRDefault="00683541" w:rsidP="002628BF">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Likumprojekta</w:t>
            </w:r>
            <w:r w:rsidR="009A204E" w:rsidRPr="00A23A59">
              <w:rPr>
                <w:rFonts w:ascii="Times New Roman" w:eastAsia="Times New Roman" w:hAnsi="Times New Roman" w:cs="Times New Roman"/>
                <w:iCs/>
                <w:sz w:val="28"/>
                <w:szCs w:val="28"/>
                <w:lang w:eastAsia="lv-LV"/>
              </w:rPr>
              <w:t xml:space="preserve"> “Grozījum</w:t>
            </w:r>
            <w:r w:rsidR="00566421" w:rsidRPr="00A23A59">
              <w:rPr>
                <w:rFonts w:ascii="Times New Roman" w:eastAsia="Times New Roman" w:hAnsi="Times New Roman" w:cs="Times New Roman"/>
                <w:iCs/>
                <w:sz w:val="28"/>
                <w:szCs w:val="28"/>
                <w:lang w:eastAsia="lv-LV"/>
              </w:rPr>
              <w:t>i</w:t>
            </w:r>
            <w:r w:rsidR="009A204E" w:rsidRPr="00A23A59">
              <w:rPr>
                <w:rFonts w:ascii="Times New Roman" w:eastAsia="Times New Roman" w:hAnsi="Times New Roman" w:cs="Times New Roman"/>
                <w:iCs/>
                <w:sz w:val="28"/>
                <w:szCs w:val="28"/>
                <w:lang w:eastAsia="lv-LV"/>
              </w:rPr>
              <w:t xml:space="preserve"> Korupcijas novēršanas un apkarošanas biroja likumā”</w:t>
            </w:r>
            <w:r w:rsidR="009A204E" w:rsidRPr="00A23A59">
              <w:rPr>
                <w:rFonts w:ascii="Times New Roman" w:hAnsi="Times New Roman" w:cs="Times New Roman"/>
                <w:sz w:val="28"/>
                <w:szCs w:val="28"/>
              </w:rPr>
              <w:t xml:space="preserve"> </w:t>
            </w:r>
            <w:r w:rsidR="009A204E" w:rsidRPr="00A23A59">
              <w:rPr>
                <w:rFonts w:ascii="Times New Roman" w:eastAsia="Times New Roman" w:hAnsi="Times New Roman" w:cs="Times New Roman"/>
                <w:iCs/>
                <w:sz w:val="28"/>
                <w:szCs w:val="28"/>
                <w:lang w:eastAsia="lv-LV"/>
              </w:rPr>
              <w:t xml:space="preserve">(turpmāk – Likumprojekts) </w:t>
            </w:r>
            <w:r w:rsidRPr="00A23A59">
              <w:rPr>
                <w:rFonts w:ascii="Times New Roman" w:eastAsia="Times New Roman" w:hAnsi="Times New Roman" w:cs="Times New Roman"/>
                <w:iCs/>
                <w:sz w:val="28"/>
                <w:szCs w:val="28"/>
                <w:lang w:eastAsia="lv-LV"/>
              </w:rPr>
              <w:t>mērķis ir</w:t>
            </w:r>
            <w:r w:rsidR="00496E4A" w:rsidRPr="00A23A59">
              <w:rPr>
                <w:rFonts w:ascii="Times New Roman" w:eastAsia="Times New Roman" w:hAnsi="Times New Roman" w:cs="Times New Roman"/>
                <w:iCs/>
                <w:sz w:val="28"/>
                <w:szCs w:val="28"/>
                <w:lang w:eastAsia="lv-LV"/>
              </w:rPr>
              <w:t>:</w:t>
            </w:r>
          </w:p>
          <w:p w:rsidR="00E5323B" w:rsidRPr="00A23A59" w:rsidRDefault="0060207D" w:rsidP="00283EDF">
            <w:pPr>
              <w:pStyle w:val="ListParagraph"/>
              <w:numPr>
                <w:ilvl w:val="0"/>
                <w:numId w:val="4"/>
              </w:numPr>
              <w:spacing w:after="0" w:line="240" w:lineRule="auto"/>
              <w:ind w:left="0"/>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1) </w:t>
            </w:r>
            <w:r w:rsidR="00A33D06" w:rsidRPr="00A23A59">
              <w:rPr>
                <w:rFonts w:ascii="Times New Roman" w:eastAsia="Times New Roman" w:hAnsi="Times New Roman" w:cs="Times New Roman"/>
                <w:iCs/>
                <w:sz w:val="28"/>
                <w:szCs w:val="28"/>
                <w:lang w:eastAsia="lv-LV"/>
              </w:rPr>
              <w:t xml:space="preserve">noteikt tiesības </w:t>
            </w:r>
            <w:r w:rsidR="00D7549E" w:rsidRPr="00A23A59">
              <w:rPr>
                <w:rFonts w:ascii="Times New Roman" w:eastAsia="Times New Roman" w:hAnsi="Times New Roman" w:cs="Times New Roman"/>
                <w:iCs/>
                <w:sz w:val="28"/>
                <w:szCs w:val="28"/>
                <w:lang w:eastAsia="lv-LV"/>
              </w:rPr>
              <w:t>Korupcijas novēršanas un apkarošanas biroja</w:t>
            </w:r>
            <w:r w:rsidR="006254ED" w:rsidRPr="00A23A59">
              <w:rPr>
                <w:rFonts w:ascii="Times New Roman" w:eastAsia="Times New Roman" w:hAnsi="Times New Roman" w:cs="Times New Roman"/>
                <w:iCs/>
                <w:sz w:val="28"/>
                <w:szCs w:val="28"/>
                <w:lang w:eastAsia="lv-LV"/>
              </w:rPr>
              <w:t>m</w:t>
            </w:r>
            <w:r w:rsidR="00D7549E" w:rsidRPr="00A23A59">
              <w:rPr>
                <w:rFonts w:ascii="Times New Roman" w:eastAsia="Times New Roman" w:hAnsi="Times New Roman" w:cs="Times New Roman"/>
                <w:iCs/>
                <w:sz w:val="28"/>
                <w:szCs w:val="28"/>
                <w:lang w:eastAsia="lv-LV"/>
              </w:rPr>
              <w:t xml:space="preserve"> (turpmāk – </w:t>
            </w:r>
            <w:r w:rsidR="006254ED" w:rsidRPr="00A23A59">
              <w:rPr>
                <w:rFonts w:ascii="Times New Roman" w:eastAsia="Times New Roman" w:hAnsi="Times New Roman" w:cs="Times New Roman"/>
                <w:iCs/>
                <w:sz w:val="28"/>
                <w:szCs w:val="28"/>
                <w:lang w:eastAsia="lv-LV"/>
              </w:rPr>
              <w:t>Birojs)</w:t>
            </w:r>
            <w:r w:rsidR="00462288">
              <w:rPr>
                <w:rFonts w:ascii="Times New Roman" w:eastAsia="Times New Roman" w:hAnsi="Times New Roman" w:cs="Times New Roman"/>
                <w:iCs/>
                <w:sz w:val="28"/>
                <w:szCs w:val="28"/>
                <w:lang w:eastAsia="lv-LV"/>
              </w:rPr>
              <w:t>,</w:t>
            </w:r>
            <w:r w:rsidR="006254ED" w:rsidRPr="00A23A59">
              <w:rPr>
                <w:rFonts w:ascii="Times New Roman" w:eastAsia="Times New Roman" w:hAnsi="Times New Roman" w:cs="Times New Roman"/>
                <w:iCs/>
                <w:sz w:val="28"/>
                <w:szCs w:val="28"/>
                <w:lang w:eastAsia="lv-LV"/>
              </w:rPr>
              <w:t xml:space="preserve"> </w:t>
            </w:r>
            <w:r w:rsidR="00D764E1" w:rsidRPr="00A23A59">
              <w:rPr>
                <w:rFonts w:ascii="Times New Roman" w:eastAsia="Times New Roman" w:hAnsi="Times New Roman" w:cs="Times New Roman"/>
                <w:iCs/>
                <w:sz w:val="28"/>
                <w:szCs w:val="28"/>
                <w:lang w:eastAsia="lv-LV"/>
              </w:rPr>
              <w:t xml:space="preserve">pildot Korupcijas novēršanas un apkarošanas biroja likumā noteiktās funkcijas, </w:t>
            </w:r>
            <w:r w:rsidR="005874A1" w:rsidRPr="00A23A59">
              <w:rPr>
                <w:rFonts w:ascii="Times New Roman" w:eastAsia="Times New Roman" w:hAnsi="Times New Roman" w:cs="Times New Roman"/>
                <w:iCs/>
                <w:sz w:val="28"/>
                <w:szCs w:val="28"/>
                <w:lang w:eastAsia="lv-LV"/>
              </w:rPr>
              <w:t>personas datu apstrādi veikt par to neinformējot datu subjektu un ierobežojot tā piekļuves tiesības, ciktāl tas nav pretrunā ar tiesībaizsardzības nolūkos apstrādājamo personas datu jomu regulējošajiem normatīvajiem aktiem</w:t>
            </w:r>
            <w:r w:rsidR="00496E4A" w:rsidRPr="00A23A59">
              <w:rPr>
                <w:rFonts w:ascii="Times New Roman" w:eastAsia="Times New Roman" w:hAnsi="Times New Roman" w:cs="Times New Roman"/>
                <w:iCs/>
                <w:sz w:val="28"/>
                <w:szCs w:val="28"/>
                <w:lang w:eastAsia="lv-LV"/>
              </w:rPr>
              <w:t>;</w:t>
            </w:r>
          </w:p>
          <w:p w:rsidR="009A204E" w:rsidRPr="00A23A59" w:rsidRDefault="0060207D" w:rsidP="00283EDF">
            <w:pPr>
              <w:pStyle w:val="ListParagraph"/>
              <w:numPr>
                <w:ilvl w:val="0"/>
                <w:numId w:val="4"/>
              </w:numPr>
              <w:spacing w:after="0" w:line="240" w:lineRule="auto"/>
              <w:ind w:left="0"/>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2) </w:t>
            </w:r>
            <w:r w:rsidR="002628BF" w:rsidRPr="00A23A59">
              <w:rPr>
                <w:rFonts w:ascii="Times New Roman" w:eastAsia="Times New Roman" w:hAnsi="Times New Roman" w:cs="Times New Roman"/>
                <w:iCs/>
                <w:sz w:val="28"/>
                <w:szCs w:val="28"/>
                <w:lang w:eastAsia="lv-LV"/>
              </w:rPr>
              <w:t>noteikt</w:t>
            </w:r>
            <w:r w:rsidR="009A204E" w:rsidRPr="00A23A59">
              <w:rPr>
                <w:rFonts w:ascii="Times New Roman" w:eastAsia="Times New Roman" w:hAnsi="Times New Roman" w:cs="Times New Roman"/>
                <w:iCs/>
                <w:sz w:val="28"/>
                <w:szCs w:val="28"/>
                <w:lang w:eastAsia="lv-LV"/>
              </w:rPr>
              <w:t>, ka gadījumā, ja Biroj</w:t>
            </w:r>
            <w:r w:rsidR="00582801" w:rsidRPr="00A23A59">
              <w:rPr>
                <w:rFonts w:ascii="Times New Roman" w:eastAsia="Times New Roman" w:hAnsi="Times New Roman" w:cs="Times New Roman"/>
                <w:iCs/>
                <w:sz w:val="28"/>
                <w:szCs w:val="28"/>
                <w:lang w:eastAsia="lv-LV"/>
              </w:rPr>
              <w:t>a</w:t>
            </w:r>
            <w:r w:rsidR="009A204E" w:rsidRPr="00A23A59">
              <w:rPr>
                <w:rFonts w:ascii="Times New Roman" w:eastAsia="Times New Roman" w:hAnsi="Times New Roman" w:cs="Times New Roman"/>
                <w:iCs/>
                <w:sz w:val="28"/>
                <w:szCs w:val="28"/>
                <w:lang w:eastAsia="lv-LV"/>
              </w:rPr>
              <w:t xml:space="preserve"> amatpersona ir izdarījusi </w:t>
            </w:r>
            <w:proofErr w:type="spellStart"/>
            <w:r w:rsidR="009A204E" w:rsidRPr="00A23A59">
              <w:rPr>
                <w:rFonts w:ascii="Times New Roman" w:eastAsia="Times New Roman" w:hAnsi="Times New Roman" w:cs="Times New Roman"/>
                <w:iCs/>
                <w:sz w:val="28"/>
                <w:szCs w:val="28"/>
                <w:lang w:eastAsia="lv-LV"/>
              </w:rPr>
              <w:t>disciplinārpārkāpumu</w:t>
            </w:r>
            <w:proofErr w:type="spellEnd"/>
            <w:r w:rsidR="009A204E" w:rsidRPr="00A23A59">
              <w:rPr>
                <w:rFonts w:ascii="Times New Roman" w:eastAsia="Times New Roman" w:hAnsi="Times New Roman" w:cs="Times New Roman"/>
                <w:iCs/>
                <w:sz w:val="28"/>
                <w:szCs w:val="28"/>
                <w:lang w:eastAsia="lv-LV"/>
              </w:rPr>
              <w:t>, bet šis pārkāpums ir mazsvarīgs vai nav radījis nelabvēlīgas sekas, tai var izteikt aizrādījumu, neierosinot disciplinārlietu vai pieņemot lēmumu par disciplinārlietas izbeigšanu.</w:t>
            </w:r>
          </w:p>
          <w:p w:rsidR="002628BF" w:rsidRPr="00A23A59" w:rsidRDefault="002628BF" w:rsidP="002628BF">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Likumprojekta spēkā stāšanās paredzēta normatīvajos aktos noteiktajā vispārējā kārtībā, neparedzot konkrētu spēkā stāšanās datumu.</w:t>
            </w:r>
          </w:p>
        </w:tc>
      </w:tr>
    </w:tbl>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7407" w:rsidRPr="00A23A5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23A59" w:rsidRDefault="00E5323B" w:rsidP="00C00564">
            <w:pPr>
              <w:spacing w:after="0" w:line="240" w:lineRule="auto"/>
              <w:jc w:val="both"/>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I. Tiesību akta projekta izstrādes nepieciešamība</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582801" w:rsidRPr="00A23A59" w:rsidRDefault="001D04C9" w:rsidP="009C4478">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w:t>
            </w:r>
            <w:r w:rsidR="00834334" w:rsidRPr="00A23A59">
              <w:rPr>
                <w:rFonts w:ascii="Times New Roman" w:eastAsia="Times New Roman" w:hAnsi="Times New Roman" w:cs="Times New Roman"/>
                <w:iCs/>
                <w:sz w:val="28"/>
                <w:szCs w:val="28"/>
                <w:lang w:eastAsia="lv-LV"/>
              </w:rPr>
              <w:t>s</w:t>
            </w:r>
            <w:r w:rsidRPr="00A23A59">
              <w:rPr>
                <w:rFonts w:ascii="Times New Roman" w:eastAsia="Times New Roman" w:hAnsi="Times New Roman" w:cs="Times New Roman"/>
                <w:iCs/>
                <w:sz w:val="28"/>
                <w:szCs w:val="28"/>
                <w:lang w:eastAsia="lv-LV"/>
              </w:rPr>
              <w:t xml:space="preserve"> izstrādāts pēc  </w:t>
            </w:r>
            <w:r w:rsidR="00D47354" w:rsidRPr="00A23A59">
              <w:rPr>
                <w:rFonts w:ascii="Times New Roman" w:eastAsia="Times New Roman" w:hAnsi="Times New Roman" w:cs="Times New Roman"/>
                <w:iCs/>
                <w:sz w:val="28"/>
                <w:szCs w:val="28"/>
                <w:lang w:eastAsia="lv-LV"/>
              </w:rPr>
              <w:t>Biroja iniciatīv</w:t>
            </w:r>
            <w:r w:rsidRPr="00A23A59">
              <w:rPr>
                <w:rFonts w:ascii="Times New Roman" w:eastAsia="Times New Roman" w:hAnsi="Times New Roman" w:cs="Times New Roman"/>
                <w:iCs/>
                <w:sz w:val="28"/>
                <w:szCs w:val="28"/>
                <w:lang w:eastAsia="lv-LV"/>
              </w:rPr>
              <w:t>as</w:t>
            </w:r>
            <w:r w:rsidR="00D47354" w:rsidRPr="00A23A59">
              <w:rPr>
                <w:rFonts w:ascii="Times New Roman" w:eastAsia="Times New Roman" w:hAnsi="Times New Roman" w:cs="Times New Roman"/>
                <w:iCs/>
                <w:sz w:val="28"/>
                <w:szCs w:val="28"/>
                <w:lang w:eastAsia="lv-LV"/>
              </w:rPr>
              <w:t>.</w:t>
            </w:r>
            <w:r w:rsidR="004F6B11" w:rsidRPr="00A23A59">
              <w:rPr>
                <w:rFonts w:ascii="Times New Roman" w:eastAsia="Times New Roman" w:hAnsi="Times New Roman" w:cs="Times New Roman"/>
                <w:iCs/>
                <w:sz w:val="28"/>
                <w:szCs w:val="28"/>
                <w:lang w:eastAsia="lv-LV"/>
              </w:rPr>
              <w:t xml:space="preserve"> </w:t>
            </w:r>
            <w:r w:rsidRPr="00A23A59">
              <w:rPr>
                <w:rFonts w:ascii="Times New Roman" w:eastAsia="Times New Roman" w:hAnsi="Times New Roman" w:cs="Times New Roman"/>
                <w:iCs/>
                <w:sz w:val="28"/>
                <w:szCs w:val="28"/>
                <w:lang w:eastAsia="lv-LV"/>
              </w:rPr>
              <w:t xml:space="preserve">Attiecībā uz </w:t>
            </w:r>
            <w:r w:rsidR="00D47354" w:rsidRPr="00A23A59">
              <w:rPr>
                <w:rFonts w:ascii="Times New Roman" w:eastAsia="Times New Roman" w:hAnsi="Times New Roman" w:cs="Times New Roman"/>
                <w:iCs/>
                <w:sz w:val="28"/>
                <w:szCs w:val="28"/>
                <w:lang w:eastAsia="lv-LV"/>
              </w:rPr>
              <w:t>L</w:t>
            </w:r>
            <w:r w:rsidR="00853CC8" w:rsidRPr="00A23A59">
              <w:rPr>
                <w:rFonts w:ascii="Times New Roman" w:eastAsia="Times New Roman" w:hAnsi="Times New Roman" w:cs="Times New Roman"/>
                <w:iCs/>
                <w:sz w:val="28"/>
                <w:szCs w:val="28"/>
                <w:lang w:eastAsia="lv-LV"/>
              </w:rPr>
              <w:t>ikumprojekta</w:t>
            </w:r>
            <w:r w:rsidRPr="00A23A59">
              <w:rPr>
                <w:rFonts w:ascii="Times New Roman" w:eastAsia="Times New Roman" w:hAnsi="Times New Roman" w:cs="Times New Roman"/>
                <w:iCs/>
                <w:sz w:val="28"/>
                <w:szCs w:val="28"/>
                <w:lang w:eastAsia="lv-LV"/>
              </w:rPr>
              <w:t xml:space="preserve"> 1.pantu norādāms, ka </w:t>
            </w:r>
            <w:r w:rsidR="009C4478">
              <w:rPr>
                <w:rFonts w:ascii="Times New Roman" w:eastAsia="Times New Roman" w:hAnsi="Times New Roman" w:cs="Times New Roman"/>
                <w:iCs/>
                <w:sz w:val="28"/>
                <w:szCs w:val="28"/>
                <w:lang w:eastAsia="lv-LV"/>
              </w:rPr>
              <w:t xml:space="preserve">Saeimā izskatāmā likumprojekta </w:t>
            </w:r>
            <w:r w:rsidR="00853CC8" w:rsidRPr="00A23A59">
              <w:rPr>
                <w:rFonts w:ascii="Times New Roman" w:eastAsia="Times New Roman" w:hAnsi="Times New Roman" w:cs="Times New Roman"/>
                <w:iCs/>
                <w:sz w:val="28"/>
                <w:szCs w:val="28"/>
                <w:lang w:eastAsia="lv-LV"/>
              </w:rPr>
              <w:t>“Tiesībaizsardzības nolūkos apstrādājamo personas datu likum</w:t>
            </w:r>
            <w:r w:rsidR="009C4478">
              <w:rPr>
                <w:rFonts w:ascii="Times New Roman" w:eastAsia="Times New Roman" w:hAnsi="Times New Roman" w:cs="Times New Roman"/>
                <w:iCs/>
                <w:sz w:val="28"/>
                <w:szCs w:val="28"/>
                <w:lang w:eastAsia="lv-LV"/>
              </w:rPr>
              <w:t>s</w:t>
            </w:r>
            <w:bookmarkStart w:id="0" w:name="_GoBack"/>
            <w:bookmarkEnd w:id="0"/>
            <w:r w:rsidR="00853CC8" w:rsidRPr="00A23A59">
              <w:rPr>
                <w:rFonts w:ascii="Times New Roman" w:eastAsia="Times New Roman" w:hAnsi="Times New Roman" w:cs="Times New Roman"/>
                <w:iCs/>
                <w:sz w:val="28"/>
                <w:szCs w:val="28"/>
                <w:lang w:eastAsia="lv-LV"/>
              </w:rPr>
              <w:t xml:space="preserve">” (Nr. </w:t>
            </w:r>
            <w:r w:rsidR="001B61EA" w:rsidRPr="00A23A59">
              <w:rPr>
                <w:rFonts w:ascii="Times New Roman" w:eastAsia="Times New Roman" w:hAnsi="Times New Roman" w:cs="Times New Roman"/>
                <w:iCs/>
                <w:sz w:val="28"/>
                <w:szCs w:val="28"/>
                <w:lang w:eastAsia="lv-LV"/>
              </w:rPr>
              <w:t>1236/Lp12</w:t>
            </w:r>
            <w:r w:rsidR="00853CC8" w:rsidRPr="00A23A59">
              <w:rPr>
                <w:rFonts w:ascii="Times New Roman" w:eastAsia="Times New Roman" w:hAnsi="Times New Roman" w:cs="Times New Roman"/>
                <w:iCs/>
                <w:sz w:val="28"/>
                <w:szCs w:val="28"/>
                <w:lang w:eastAsia="lv-LV"/>
              </w:rPr>
              <w:t>) 11.panta trešā daļa, 12.panta otrā daļa, 13.panta astotā daļa</w:t>
            </w:r>
            <w:r w:rsidRPr="00A23A59">
              <w:rPr>
                <w:rFonts w:ascii="Times New Roman" w:eastAsia="Times New Roman" w:hAnsi="Times New Roman" w:cs="Times New Roman"/>
                <w:iCs/>
                <w:sz w:val="28"/>
                <w:szCs w:val="28"/>
                <w:lang w:eastAsia="lv-LV"/>
              </w:rPr>
              <w:t xml:space="preserve"> pieļauj šādu iniciatīvu.</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582801" w:rsidRDefault="001D04C9" w:rsidP="001D04C9">
            <w:pPr>
              <w:spacing w:after="0" w:line="240" w:lineRule="auto"/>
              <w:jc w:val="both"/>
              <w:rPr>
                <w:rFonts w:ascii="Times New Roman" w:eastAsia="Times New Roman" w:hAnsi="Times New Roman" w:cs="Times New Roman"/>
                <w:b/>
                <w:iCs/>
                <w:sz w:val="28"/>
                <w:szCs w:val="28"/>
                <w:lang w:eastAsia="lv-LV"/>
              </w:rPr>
            </w:pPr>
            <w:r w:rsidRPr="00A23A59">
              <w:rPr>
                <w:rFonts w:ascii="Times New Roman" w:eastAsia="Times New Roman" w:hAnsi="Times New Roman" w:cs="Times New Roman"/>
                <w:b/>
                <w:iCs/>
                <w:sz w:val="28"/>
                <w:szCs w:val="28"/>
                <w:lang w:eastAsia="lv-LV"/>
              </w:rPr>
              <w:t>Likumprojekta 1.pants.</w:t>
            </w:r>
          </w:p>
          <w:p w:rsidR="00853CC8" w:rsidRPr="00A23A59" w:rsidRDefault="00853CC8" w:rsidP="00582801">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2016. gada 27. aprīlī tika pieņemta Eiropas Parlamenta un Padomes direktīva (ES) 2016/680 par fizisku personu aizsardzību attiecībā uz personas datu apstrādi, ko veic kompetentās iestādes, lai novērstu, izmeklētu, atklātu noziedzīgus nodarījumus vai sauktu pie atbildības par tiem vai izpildītu kriminālsodus, </w:t>
            </w:r>
            <w:r w:rsidRPr="00A23A59">
              <w:rPr>
                <w:rFonts w:ascii="Times New Roman" w:eastAsia="Times New Roman" w:hAnsi="Times New Roman" w:cs="Times New Roman"/>
                <w:iCs/>
                <w:sz w:val="28"/>
                <w:szCs w:val="28"/>
                <w:lang w:eastAsia="lv-LV"/>
              </w:rPr>
              <w:lastRenderedPageBreak/>
              <w:t xml:space="preserve">un par šādu datu brīvu apriti, ar ko atceļ Padomes pamatlēmumu 2008/977/TI (turpmāk – Policijas direktīva). Ievērojot minēto, Tieslietu ministrija izstrādājusi likumprojektu “Tiesībaizsardzības nolūkos apstrādājamo personas datu likums” (Nr. </w:t>
            </w:r>
            <w:r w:rsidR="00940604" w:rsidRPr="00A23A59">
              <w:rPr>
                <w:rFonts w:ascii="Times New Roman" w:eastAsia="Times New Roman" w:hAnsi="Times New Roman" w:cs="Times New Roman"/>
                <w:iCs/>
                <w:sz w:val="28"/>
                <w:szCs w:val="28"/>
                <w:lang w:eastAsia="lv-LV"/>
              </w:rPr>
              <w:t>1236/Lp12</w:t>
            </w:r>
            <w:r w:rsidRPr="00A23A59">
              <w:rPr>
                <w:rFonts w:ascii="Times New Roman" w:eastAsia="Times New Roman" w:hAnsi="Times New Roman" w:cs="Times New Roman"/>
                <w:iCs/>
                <w:sz w:val="28"/>
                <w:szCs w:val="28"/>
                <w:lang w:eastAsia="lv-LV"/>
              </w:rPr>
              <w:t>) (turpmāk –</w:t>
            </w:r>
            <w:r w:rsidR="00436DE9" w:rsidRPr="00A23A59">
              <w:rPr>
                <w:rFonts w:ascii="Times New Roman" w:eastAsia="Times New Roman" w:hAnsi="Times New Roman" w:cs="Times New Roman"/>
                <w:iCs/>
                <w:sz w:val="28"/>
                <w:szCs w:val="28"/>
                <w:lang w:eastAsia="lv-LV"/>
              </w:rPr>
              <w:t xml:space="preserve"> </w:t>
            </w:r>
            <w:r w:rsidR="004A3544" w:rsidRPr="00A23A59">
              <w:rPr>
                <w:rFonts w:ascii="Times New Roman" w:eastAsia="Times New Roman" w:hAnsi="Times New Roman" w:cs="Times New Roman"/>
                <w:iCs/>
                <w:sz w:val="28"/>
                <w:szCs w:val="28"/>
                <w:lang w:eastAsia="lv-LV"/>
              </w:rPr>
              <w:t>Tiesībaizsardzības nolūkos apstrādājamo personas datu likums</w:t>
            </w:r>
            <w:r w:rsidRPr="00A23A59">
              <w:rPr>
                <w:rFonts w:ascii="Times New Roman" w:eastAsia="Times New Roman" w:hAnsi="Times New Roman" w:cs="Times New Roman"/>
                <w:iCs/>
                <w:sz w:val="28"/>
                <w:szCs w:val="28"/>
                <w:lang w:eastAsia="lv-LV"/>
              </w:rPr>
              <w:t>)</w:t>
            </w:r>
            <w:r w:rsidR="00940604" w:rsidRPr="00A23A59">
              <w:rPr>
                <w:rFonts w:ascii="Times New Roman" w:eastAsia="Times New Roman" w:hAnsi="Times New Roman" w:cs="Times New Roman"/>
                <w:iCs/>
                <w:sz w:val="28"/>
                <w:szCs w:val="28"/>
                <w:lang w:eastAsia="lv-LV"/>
              </w:rPr>
              <w:t xml:space="preserve">, kuru </w:t>
            </w:r>
            <w:r w:rsidR="00662840" w:rsidRPr="00A23A59">
              <w:rPr>
                <w:rFonts w:ascii="Times New Roman" w:eastAsia="Times New Roman" w:hAnsi="Times New Roman" w:cs="Times New Roman"/>
                <w:iCs/>
                <w:sz w:val="28"/>
                <w:szCs w:val="28"/>
                <w:lang w:eastAsia="lv-LV"/>
              </w:rPr>
              <w:t xml:space="preserve">pēc tā atbalstīšanas Ministru kabinetā Valsts kanceleja iesniegusi Saeimā un </w:t>
            </w:r>
            <w:r w:rsidR="00940604" w:rsidRPr="00A23A59">
              <w:rPr>
                <w:rFonts w:ascii="Times New Roman" w:eastAsia="Times New Roman" w:hAnsi="Times New Roman" w:cs="Times New Roman"/>
                <w:iCs/>
                <w:sz w:val="28"/>
                <w:szCs w:val="28"/>
                <w:lang w:eastAsia="lv-LV"/>
              </w:rPr>
              <w:t>Saeimas Prezidijs 2018.gada 23.aprīlī nodev</w:t>
            </w:r>
            <w:r w:rsidR="008E2E3A" w:rsidRPr="00A23A59">
              <w:rPr>
                <w:rFonts w:ascii="Times New Roman" w:eastAsia="Times New Roman" w:hAnsi="Times New Roman" w:cs="Times New Roman"/>
                <w:iCs/>
                <w:sz w:val="28"/>
                <w:szCs w:val="28"/>
                <w:lang w:eastAsia="lv-LV"/>
              </w:rPr>
              <w:t>is</w:t>
            </w:r>
            <w:r w:rsidR="00940604" w:rsidRPr="00A23A59">
              <w:rPr>
                <w:rFonts w:ascii="Times New Roman" w:eastAsia="Times New Roman" w:hAnsi="Times New Roman" w:cs="Times New Roman"/>
                <w:iCs/>
                <w:sz w:val="28"/>
                <w:szCs w:val="28"/>
                <w:lang w:eastAsia="lv-LV"/>
              </w:rPr>
              <w:t xml:space="preserve"> Juridiskajai komisijai t</w:t>
            </w:r>
            <w:r w:rsidR="00803955" w:rsidRPr="00A23A59">
              <w:rPr>
                <w:rFonts w:ascii="Times New Roman" w:eastAsia="Times New Roman" w:hAnsi="Times New Roman" w:cs="Times New Roman"/>
                <w:iCs/>
                <w:sz w:val="28"/>
                <w:szCs w:val="28"/>
                <w:lang w:eastAsia="lv-LV"/>
              </w:rPr>
              <w:t>urpmākai</w:t>
            </w:r>
            <w:r w:rsidR="00940604" w:rsidRPr="00A23A59">
              <w:rPr>
                <w:rFonts w:ascii="Times New Roman" w:eastAsia="Times New Roman" w:hAnsi="Times New Roman" w:cs="Times New Roman"/>
                <w:iCs/>
                <w:sz w:val="28"/>
                <w:szCs w:val="28"/>
                <w:lang w:eastAsia="lv-LV"/>
              </w:rPr>
              <w:t xml:space="preserve"> rīcībai.</w:t>
            </w:r>
          </w:p>
          <w:p w:rsidR="00853CC8" w:rsidRPr="00A23A59" w:rsidRDefault="004A3544" w:rsidP="00853CC8">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Tiesībaizsardzības nolūkos apstrādājamo personas datu likuma</w:t>
            </w:r>
            <w:r w:rsidRPr="00A23A59" w:rsidDel="00436DE9">
              <w:rPr>
                <w:rFonts w:ascii="Times New Roman" w:eastAsia="Times New Roman" w:hAnsi="Times New Roman" w:cs="Times New Roman"/>
                <w:iCs/>
                <w:sz w:val="28"/>
                <w:szCs w:val="28"/>
                <w:lang w:eastAsia="lv-LV"/>
              </w:rPr>
              <w:t xml:space="preserve"> </w:t>
            </w:r>
            <w:r w:rsidR="00853CC8" w:rsidRPr="00A23A59">
              <w:rPr>
                <w:rFonts w:ascii="Times New Roman" w:eastAsia="Times New Roman" w:hAnsi="Times New Roman" w:cs="Times New Roman"/>
                <w:iCs/>
                <w:sz w:val="28"/>
                <w:szCs w:val="28"/>
                <w:lang w:eastAsia="lv-LV"/>
              </w:rPr>
              <w:t xml:space="preserve">III daļā noteiktas datu subjekta tiesības, proti, </w:t>
            </w:r>
            <w:r w:rsidR="00CF0F72" w:rsidRPr="00A23A59">
              <w:rPr>
                <w:rFonts w:ascii="Times New Roman" w:eastAsia="Times New Roman" w:hAnsi="Times New Roman" w:cs="Times New Roman"/>
                <w:iCs/>
                <w:sz w:val="28"/>
                <w:szCs w:val="28"/>
                <w:lang w:eastAsia="lv-LV"/>
              </w:rPr>
              <w:t>Tiesībaizsardzības nolūkos apstrādājamo personas datu likuma</w:t>
            </w:r>
            <w:r w:rsidR="00853CC8" w:rsidRPr="00A23A59">
              <w:rPr>
                <w:rFonts w:ascii="Times New Roman" w:eastAsia="Times New Roman" w:hAnsi="Times New Roman" w:cs="Times New Roman"/>
                <w:iCs/>
                <w:sz w:val="28"/>
                <w:szCs w:val="28"/>
                <w:lang w:eastAsia="lv-LV"/>
              </w:rPr>
              <w:t xml:space="preserve"> 11.pants nosaka pārziņa pienākumu informēt datu subjektu par tā personas datu apstrādi. 12.pantā noteikts, ka datu subjektam jānodrošina piekļuves tiesības saviem datiem, savukārt 13.pantā datu subjektam piešķirtas tiesības</w:t>
            </w:r>
            <w:r w:rsidR="00771516" w:rsidRPr="00A23A59">
              <w:rPr>
                <w:rFonts w:ascii="Times New Roman" w:eastAsia="Times New Roman" w:hAnsi="Times New Roman" w:cs="Times New Roman"/>
                <w:iCs/>
                <w:sz w:val="28"/>
                <w:szCs w:val="28"/>
                <w:lang w:eastAsia="lv-LV"/>
              </w:rPr>
              <w:t xml:space="preserve"> lūgt</w:t>
            </w:r>
            <w:r w:rsidR="00853CC8" w:rsidRPr="00A23A59">
              <w:rPr>
                <w:rFonts w:ascii="Times New Roman" w:eastAsia="Times New Roman" w:hAnsi="Times New Roman" w:cs="Times New Roman"/>
                <w:iCs/>
                <w:sz w:val="28"/>
                <w:szCs w:val="28"/>
                <w:lang w:eastAsia="lv-LV"/>
              </w:rPr>
              <w:t xml:space="preserve"> </w:t>
            </w:r>
            <w:r w:rsidR="00436DE9" w:rsidRPr="00A23A59">
              <w:rPr>
                <w:rFonts w:ascii="Times New Roman" w:eastAsia="Times New Roman" w:hAnsi="Times New Roman" w:cs="Times New Roman"/>
                <w:iCs/>
                <w:sz w:val="28"/>
                <w:szCs w:val="28"/>
                <w:lang w:eastAsia="lv-LV"/>
              </w:rPr>
              <w:t xml:space="preserve">labot </w:t>
            </w:r>
            <w:r w:rsidR="00853CC8" w:rsidRPr="00A23A59">
              <w:rPr>
                <w:rFonts w:ascii="Times New Roman" w:eastAsia="Times New Roman" w:hAnsi="Times New Roman" w:cs="Times New Roman"/>
                <w:iCs/>
                <w:sz w:val="28"/>
                <w:szCs w:val="28"/>
                <w:lang w:eastAsia="lv-LV"/>
              </w:rPr>
              <w:t>personas datu</w:t>
            </w:r>
            <w:r w:rsidR="00436DE9" w:rsidRPr="00A23A59">
              <w:rPr>
                <w:rFonts w:ascii="Times New Roman" w:eastAsia="Times New Roman" w:hAnsi="Times New Roman" w:cs="Times New Roman"/>
                <w:iCs/>
                <w:sz w:val="28"/>
                <w:szCs w:val="28"/>
                <w:lang w:eastAsia="lv-LV"/>
              </w:rPr>
              <w:t>s</w:t>
            </w:r>
            <w:r w:rsidR="00853CC8" w:rsidRPr="00A23A59">
              <w:rPr>
                <w:rFonts w:ascii="Times New Roman" w:eastAsia="Times New Roman" w:hAnsi="Times New Roman" w:cs="Times New Roman"/>
                <w:iCs/>
                <w:sz w:val="28"/>
                <w:szCs w:val="28"/>
                <w:lang w:eastAsia="lv-LV"/>
              </w:rPr>
              <w:t xml:space="preserve">, </w:t>
            </w:r>
            <w:r w:rsidR="00436DE9" w:rsidRPr="00A23A59">
              <w:rPr>
                <w:rFonts w:ascii="Times New Roman" w:eastAsia="Times New Roman" w:hAnsi="Times New Roman" w:cs="Times New Roman"/>
                <w:iCs/>
                <w:sz w:val="28"/>
                <w:szCs w:val="28"/>
                <w:lang w:eastAsia="lv-LV"/>
              </w:rPr>
              <w:t xml:space="preserve">tos dzēst </w:t>
            </w:r>
            <w:r w:rsidR="00853CC8" w:rsidRPr="00A23A59">
              <w:rPr>
                <w:rFonts w:ascii="Times New Roman" w:eastAsia="Times New Roman" w:hAnsi="Times New Roman" w:cs="Times New Roman"/>
                <w:iCs/>
                <w:sz w:val="28"/>
                <w:szCs w:val="28"/>
                <w:lang w:eastAsia="lv-LV"/>
              </w:rPr>
              <w:t>vai ierobežo</w:t>
            </w:r>
            <w:r w:rsidR="00436DE9" w:rsidRPr="00A23A59">
              <w:rPr>
                <w:rFonts w:ascii="Times New Roman" w:eastAsia="Times New Roman" w:hAnsi="Times New Roman" w:cs="Times New Roman"/>
                <w:iCs/>
                <w:sz w:val="28"/>
                <w:szCs w:val="28"/>
                <w:lang w:eastAsia="lv-LV"/>
              </w:rPr>
              <w:t>t to apstrādi</w:t>
            </w:r>
            <w:r w:rsidR="00853CC8" w:rsidRPr="00A23A59">
              <w:rPr>
                <w:rFonts w:ascii="Times New Roman" w:eastAsia="Times New Roman" w:hAnsi="Times New Roman" w:cs="Times New Roman"/>
                <w:iCs/>
                <w:sz w:val="28"/>
                <w:szCs w:val="28"/>
                <w:lang w:eastAsia="lv-LV"/>
              </w:rPr>
              <w:t>.</w:t>
            </w:r>
            <w:r w:rsidR="001B0854" w:rsidRPr="00A23A59">
              <w:rPr>
                <w:rFonts w:ascii="Times New Roman" w:eastAsia="Times New Roman" w:hAnsi="Times New Roman" w:cs="Times New Roman"/>
                <w:iCs/>
                <w:sz w:val="28"/>
                <w:szCs w:val="28"/>
                <w:lang w:eastAsia="lv-LV"/>
              </w:rPr>
              <w:t xml:space="preserve"> </w:t>
            </w:r>
            <w:r w:rsidR="00853CC8" w:rsidRPr="00A23A59">
              <w:rPr>
                <w:rFonts w:ascii="Times New Roman" w:eastAsia="Times New Roman" w:hAnsi="Times New Roman" w:cs="Times New Roman"/>
                <w:iCs/>
                <w:sz w:val="28"/>
                <w:szCs w:val="28"/>
                <w:lang w:eastAsia="lv-LV"/>
              </w:rPr>
              <w:t>Vienlaikus</w:t>
            </w:r>
            <w:r w:rsidR="00117DF6" w:rsidRPr="00A23A59">
              <w:rPr>
                <w:rFonts w:ascii="Times New Roman" w:eastAsia="Times New Roman" w:hAnsi="Times New Roman" w:cs="Times New Roman"/>
                <w:iCs/>
                <w:sz w:val="28"/>
                <w:szCs w:val="28"/>
                <w:lang w:eastAsia="lv-LV"/>
              </w:rPr>
              <w:t>, lai</w:t>
            </w:r>
            <w:r w:rsidR="00853CC8" w:rsidRPr="00A23A59">
              <w:rPr>
                <w:rFonts w:ascii="Times New Roman" w:eastAsia="Times New Roman" w:hAnsi="Times New Roman" w:cs="Times New Roman"/>
                <w:iCs/>
                <w:sz w:val="28"/>
                <w:szCs w:val="28"/>
                <w:lang w:eastAsia="lv-LV"/>
              </w:rPr>
              <w:t xml:space="preserve"> </w:t>
            </w:r>
            <w:r w:rsidR="00117DF6" w:rsidRPr="00A23A59">
              <w:rPr>
                <w:rFonts w:ascii="Times New Roman" w:eastAsia="Times New Roman" w:hAnsi="Times New Roman" w:cs="Times New Roman"/>
                <w:iCs/>
                <w:sz w:val="28"/>
                <w:szCs w:val="28"/>
                <w:lang w:eastAsia="lv-LV"/>
              </w:rPr>
              <w:t>novērst</w:t>
            </w:r>
            <w:r w:rsidR="003C6222" w:rsidRPr="00A23A59">
              <w:rPr>
                <w:rFonts w:ascii="Times New Roman" w:eastAsia="Times New Roman" w:hAnsi="Times New Roman" w:cs="Times New Roman"/>
                <w:iCs/>
                <w:sz w:val="28"/>
                <w:szCs w:val="28"/>
                <w:lang w:eastAsia="lv-LV"/>
              </w:rPr>
              <w:t>u varbūtību</w:t>
            </w:r>
            <w:r w:rsidR="00117DF6" w:rsidRPr="00A23A59">
              <w:rPr>
                <w:rFonts w:ascii="Times New Roman" w:eastAsia="Times New Roman" w:hAnsi="Times New Roman" w:cs="Times New Roman"/>
                <w:iCs/>
                <w:sz w:val="28"/>
                <w:szCs w:val="28"/>
                <w:lang w:eastAsia="lv-LV"/>
              </w:rPr>
              <w:t xml:space="preserve">, ka tiek kaitēts noziedzīgu nodarījumu, administratīvo pārkāpumu novēršanai, atklāšanai, izmeklēšanai vai saukšanai pie atbildības par tiem, vai kriminālsodu vai administratīvo sodu izpildei, </w:t>
            </w:r>
            <w:r w:rsidRPr="00A23A59">
              <w:rPr>
                <w:rFonts w:ascii="Times New Roman" w:eastAsia="Times New Roman" w:hAnsi="Times New Roman" w:cs="Times New Roman"/>
                <w:iCs/>
                <w:sz w:val="28"/>
                <w:szCs w:val="28"/>
                <w:lang w:eastAsia="lv-LV"/>
              </w:rPr>
              <w:t>Tiesībaizsardzības nolūkos apstrādājamo personas datu likumā</w:t>
            </w:r>
            <w:r w:rsidR="00117DF6" w:rsidRPr="00A23A59">
              <w:rPr>
                <w:rFonts w:ascii="Times New Roman" w:eastAsia="Times New Roman" w:hAnsi="Times New Roman" w:cs="Times New Roman"/>
                <w:iCs/>
                <w:sz w:val="28"/>
                <w:szCs w:val="28"/>
                <w:lang w:eastAsia="lv-LV"/>
              </w:rPr>
              <w:t xml:space="preserve"> ir</w:t>
            </w:r>
            <w:r w:rsidR="00853CC8" w:rsidRPr="00A23A59">
              <w:rPr>
                <w:rFonts w:ascii="Times New Roman" w:eastAsia="Times New Roman" w:hAnsi="Times New Roman" w:cs="Times New Roman"/>
                <w:iCs/>
                <w:sz w:val="28"/>
                <w:szCs w:val="28"/>
                <w:lang w:eastAsia="lv-LV"/>
              </w:rPr>
              <w:t xml:space="preserve"> paredzēta iespēja</w:t>
            </w:r>
            <w:r w:rsidR="009E073E" w:rsidRPr="00A23A59">
              <w:rPr>
                <w:rFonts w:ascii="Times New Roman" w:eastAsia="Times New Roman" w:hAnsi="Times New Roman" w:cs="Times New Roman"/>
                <w:iCs/>
                <w:sz w:val="28"/>
                <w:szCs w:val="28"/>
                <w:lang w:eastAsia="lv-LV"/>
              </w:rPr>
              <w:t xml:space="preserve"> </w:t>
            </w:r>
            <w:r w:rsidR="00117DF6" w:rsidRPr="00A23A59">
              <w:rPr>
                <w:rFonts w:ascii="Times New Roman" w:eastAsia="Times New Roman" w:hAnsi="Times New Roman" w:cs="Times New Roman"/>
                <w:iCs/>
                <w:sz w:val="28"/>
                <w:szCs w:val="28"/>
                <w:lang w:eastAsia="lv-LV"/>
              </w:rPr>
              <w:t>speciālajos</w:t>
            </w:r>
            <w:r w:rsidR="00CB3BC6" w:rsidRPr="00A23A59">
              <w:rPr>
                <w:rFonts w:ascii="Times New Roman" w:eastAsia="Times New Roman" w:hAnsi="Times New Roman" w:cs="Times New Roman"/>
                <w:iCs/>
                <w:sz w:val="28"/>
                <w:szCs w:val="28"/>
                <w:lang w:eastAsia="lv-LV"/>
              </w:rPr>
              <w:t xml:space="preserve"> likumos</w:t>
            </w:r>
            <w:r w:rsidR="00117DF6" w:rsidRPr="00A23A59">
              <w:rPr>
                <w:rFonts w:ascii="Times New Roman" w:eastAsia="Times New Roman" w:hAnsi="Times New Roman" w:cs="Times New Roman"/>
                <w:iCs/>
                <w:sz w:val="28"/>
                <w:szCs w:val="28"/>
                <w:lang w:eastAsia="lv-LV"/>
              </w:rPr>
              <w:t xml:space="preserve"> </w:t>
            </w:r>
            <w:r w:rsidR="00853CC8" w:rsidRPr="00A23A59">
              <w:rPr>
                <w:rFonts w:ascii="Times New Roman" w:eastAsia="Times New Roman" w:hAnsi="Times New Roman" w:cs="Times New Roman"/>
                <w:iCs/>
                <w:sz w:val="28"/>
                <w:szCs w:val="28"/>
                <w:lang w:eastAsia="lv-LV"/>
              </w:rPr>
              <w:t xml:space="preserve">noteikt </w:t>
            </w:r>
            <w:r w:rsidR="00F94316" w:rsidRPr="00A23A59">
              <w:rPr>
                <w:rFonts w:ascii="Times New Roman" w:eastAsia="Times New Roman" w:hAnsi="Times New Roman" w:cs="Times New Roman"/>
                <w:iCs/>
                <w:sz w:val="28"/>
                <w:szCs w:val="28"/>
                <w:lang w:eastAsia="lv-LV"/>
              </w:rPr>
              <w:t xml:space="preserve">šādus </w:t>
            </w:r>
            <w:r w:rsidR="00853CC8" w:rsidRPr="00A23A59">
              <w:rPr>
                <w:rFonts w:ascii="Times New Roman" w:eastAsia="Times New Roman" w:hAnsi="Times New Roman" w:cs="Times New Roman"/>
                <w:iCs/>
                <w:sz w:val="28"/>
                <w:szCs w:val="28"/>
                <w:lang w:eastAsia="lv-LV"/>
              </w:rPr>
              <w:t>izņēmumus attiecībā uz</w:t>
            </w:r>
            <w:r w:rsidR="009E073E" w:rsidRPr="00A23A59">
              <w:rPr>
                <w:rFonts w:ascii="Times New Roman" w:eastAsia="Times New Roman" w:hAnsi="Times New Roman" w:cs="Times New Roman"/>
                <w:iCs/>
                <w:sz w:val="28"/>
                <w:szCs w:val="28"/>
                <w:lang w:eastAsia="lv-LV"/>
              </w:rPr>
              <w:t xml:space="preserve"> </w:t>
            </w:r>
            <w:r w:rsidR="00853CC8" w:rsidRPr="00A23A59">
              <w:rPr>
                <w:rFonts w:ascii="Times New Roman" w:eastAsia="Times New Roman" w:hAnsi="Times New Roman" w:cs="Times New Roman"/>
                <w:iCs/>
                <w:sz w:val="28"/>
                <w:szCs w:val="28"/>
                <w:lang w:eastAsia="lv-LV"/>
              </w:rPr>
              <w:t>datu subjekta tiesībām</w:t>
            </w:r>
            <w:r w:rsidR="00117DF6" w:rsidRPr="00A23A59">
              <w:rPr>
                <w:rFonts w:ascii="Times New Roman" w:eastAsia="Times New Roman" w:hAnsi="Times New Roman" w:cs="Times New Roman"/>
                <w:iCs/>
                <w:sz w:val="28"/>
                <w:szCs w:val="28"/>
                <w:lang w:eastAsia="lv-LV"/>
              </w:rPr>
              <w:t>:</w:t>
            </w:r>
          </w:p>
          <w:p w:rsidR="00853CC8" w:rsidRPr="00A23A59" w:rsidRDefault="00853CC8" w:rsidP="00853CC8">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w:t>
            </w:r>
            <w:r w:rsidR="0059029F" w:rsidRPr="00A23A59">
              <w:rPr>
                <w:rFonts w:ascii="Times New Roman" w:eastAsia="Times New Roman" w:hAnsi="Times New Roman" w:cs="Times New Roman"/>
                <w:iCs/>
                <w:sz w:val="28"/>
                <w:szCs w:val="28"/>
                <w:lang w:eastAsia="lv-LV"/>
              </w:rPr>
              <w:t>)</w:t>
            </w:r>
            <w:r w:rsidRPr="00A23A59">
              <w:rPr>
                <w:rFonts w:ascii="Times New Roman" w:eastAsia="Times New Roman" w:hAnsi="Times New Roman" w:cs="Times New Roman"/>
                <w:iCs/>
                <w:sz w:val="28"/>
                <w:szCs w:val="28"/>
                <w:lang w:eastAsia="lv-LV"/>
              </w:rPr>
              <w:tab/>
            </w:r>
            <w:r w:rsidR="00AE63F4" w:rsidRPr="00A23A59">
              <w:rPr>
                <w:rFonts w:ascii="Times New Roman" w:eastAsia="Times New Roman" w:hAnsi="Times New Roman" w:cs="Times New Roman"/>
                <w:iCs/>
                <w:sz w:val="28"/>
                <w:szCs w:val="28"/>
                <w:lang w:eastAsia="lv-LV"/>
              </w:rPr>
              <w:t xml:space="preserve">apstrādājot personas datus, </w:t>
            </w:r>
            <w:r w:rsidRPr="00A23A59">
              <w:rPr>
                <w:rFonts w:ascii="Times New Roman" w:eastAsia="Times New Roman" w:hAnsi="Times New Roman" w:cs="Times New Roman"/>
                <w:iCs/>
                <w:sz w:val="28"/>
                <w:szCs w:val="28"/>
                <w:lang w:eastAsia="lv-LV"/>
              </w:rPr>
              <w:t>datu subjektu var neinformēt, ja likumā, kas regulē konkrēto personas datu apstrādi, ir paredzēta personas datu apstrāde, neinformējot datu subjektu;</w:t>
            </w:r>
          </w:p>
          <w:p w:rsidR="00853CC8" w:rsidRPr="00A23A59" w:rsidRDefault="00853CC8" w:rsidP="00853CC8">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2</w:t>
            </w:r>
            <w:r w:rsidR="0059029F" w:rsidRPr="00A23A59">
              <w:rPr>
                <w:rFonts w:ascii="Times New Roman" w:eastAsia="Times New Roman" w:hAnsi="Times New Roman" w:cs="Times New Roman"/>
                <w:iCs/>
                <w:sz w:val="28"/>
                <w:szCs w:val="28"/>
                <w:lang w:eastAsia="lv-LV"/>
              </w:rPr>
              <w:t>)</w:t>
            </w:r>
            <w:r w:rsidRPr="00A23A59">
              <w:rPr>
                <w:rFonts w:ascii="Times New Roman" w:eastAsia="Times New Roman" w:hAnsi="Times New Roman" w:cs="Times New Roman"/>
                <w:iCs/>
                <w:sz w:val="28"/>
                <w:szCs w:val="28"/>
                <w:lang w:eastAsia="lv-LV"/>
              </w:rPr>
              <w:tab/>
              <w:t>datu subjekta piekļuves tiesības var ierobežot, ja likumā, kas regulē konkrēto personas datu apstrādi, ir paredzēta personas datu apstrāde, ierobežojot d</w:t>
            </w:r>
            <w:r w:rsidR="000324A1" w:rsidRPr="00A23A59">
              <w:rPr>
                <w:rFonts w:ascii="Times New Roman" w:eastAsia="Times New Roman" w:hAnsi="Times New Roman" w:cs="Times New Roman"/>
                <w:iCs/>
                <w:sz w:val="28"/>
                <w:szCs w:val="28"/>
                <w:lang w:eastAsia="lv-LV"/>
              </w:rPr>
              <w:t>atu subjekta piekļuves tiesības</w:t>
            </w:r>
            <w:r w:rsidRPr="00A23A59">
              <w:rPr>
                <w:rFonts w:ascii="Times New Roman" w:eastAsia="Times New Roman" w:hAnsi="Times New Roman" w:cs="Times New Roman"/>
                <w:iCs/>
                <w:sz w:val="28"/>
                <w:szCs w:val="28"/>
                <w:lang w:eastAsia="lv-LV"/>
              </w:rPr>
              <w:t>;</w:t>
            </w:r>
          </w:p>
          <w:p w:rsidR="00F812DE" w:rsidRPr="00A23A59" w:rsidRDefault="00853CC8" w:rsidP="00853CC8">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3</w:t>
            </w:r>
            <w:r w:rsidR="0059029F" w:rsidRPr="00A23A59">
              <w:rPr>
                <w:rFonts w:ascii="Times New Roman" w:eastAsia="Times New Roman" w:hAnsi="Times New Roman" w:cs="Times New Roman"/>
                <w:iCs/>
                <w:sz w:val="28"/>
                <w:szCs w:val="28"/>
                <w:lang w:eastAsia="lv-LV"/>
              </w:rPr>
              <w:t>)</w:t>
            </w:r>
            <w:r w:rsidRPr="00A23A59">
              <w:rPr>
                <w:rFonts w:ascii="Times New Roman" w:eastAsia="Times New Roman" w:hAnsi="Times New Roman" w:cs="Times New Roman"/>
                <w:iCs/>
                <w:sz w:val="28"/>
                <w:szCs w:val="28"/>
                <w:lang w:eastAsia="lv-LV"/>
              </w:rPr>
              <w:tab/>
              <w:t xml:space="preserve">pārzinis </w:t>
            </w:r>
            <w:r w:rsidR="007E54FF" w:rsidRPr="00A23A59">
              <w:rPr>
                <w:rFonts w:ascii="Times New Roman" w:eastAsia="Times New Roman" w:hAnsi="Times New Roman" w:cs="Times New Roman"/>
                <w:iCs/>
                <w:sz w:val="28"/>
                <w:szCs w:val="28"/>
                <w:lang w:eastAsia="lv-LV"/>
              </w:rPr>
              <w:t xml:space="preserve">var nesniegt informāciju datu subjektam par pieprasījuma izskatīšanu, veiktajām darbībām saistībā ar pieprasījumu, </w:t>
            </w:r>
            <w:r w:rsidR="007E54FF" w:rsidRPr="00A23A59">
              <w:rPr>
                <w:rFonts w:ascii="Times New Roman" w:eastAsia="Times New Roman" w:hAnsi="Times New Roman" w:cs="Times New Roman"/>
                <w:iCs/>
                <w:sz w:val="28"/>
                <w:szCs w:val="28"/>
                <w:lang w:eastAsia="lv-LV"/>
              </w:rPr>
              <w:lastRenderedPageBreak/>
              <w:t>vai atteikumu labot personas datus, tos dzēst vai ierobežot apstrādi un p</w:t>
            </w:r>
            <w:r w:rsidR="00D87408" w:rsidRPr="00A23A59">
              <w:rPr>
                <w:rFonts w:ascii="Times New Roman" w:eastAsia="Times New Roman" w:hAnsi="Times New Roman" w:cs="Times New Roman"/>
                <w:iCs/>
                <w:sz w:val="28"/>
                <w:szCs w:val="28"/>
                <w:lang w:eastAsia="lv-LV"/>
              </w:rPr>
              <w:t>a</w:t>
            </w:r>
            <w:r w:rsidR="007E54FF" w:rsidRPr="00A23A59">
              <w:rPr>
                <w:rFonts w:ascii="Times New Roman" w:eastAsia="Times New Roman" w:hAnsi="Times New Roman" w:cs="Times New Roman"/>
                <w:iCs/>
                <w:sz w:val="28"/>
                <w:szCs w:val="28"/>
                <w:lang w:eastAsia="lv-LV"/>
              </w:rPr>
              <w:t>r atteikuma iemesliem</w:t>
            </w:r>
            <w:r w:rsidRPr="00A23A59">
              <w:rPr>
                <w:rFonts w:ascii="Times New Roman" w:eastAsia="Times New Roman" w:hAnsi="Times New Roman" w:cs="Times New Roman"/>
                <w:iCs/>
                <w:sz w:val="28"/>
                <w:szCs w:val="28"/>
                <w:lang w:eastAsia="lv-LV"/>
              </w:rPr>
              <w:t xml:space="preserve">. </w:t>
            </w:r>
          </w:p>
          <w:p w:rsidR="000B709F" w:rsidRPr="00A23A59" w:rsidRDefault="00912636" w:rsidP="00912636">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Birojs ir Ministru kabineta pārraudzībā esoša tiešās pārvaldes iestāde, kurai saskaņā ar Korupcijas novēršanas un apkarošanas biroja likumu noteiktas konkrētas funkcijas korupcijas novēršanā un apkarošanā, politisko organizāciju (partiju) un to apvienību finansēšanas noteikumu izpildes kontrolē</w:t>
            </w:r>
            <w:r w:rsidR="00F94316" w:rsidRPr="00A23A59">
              <w:rPr>
                <w:rFonts w:ascii="Times New Roman" w:eastAsia="Times New Roman" w:hAnsi="Times New Roman" w:cs="Times New Roman"/>
                <w:iCs/>
                <w:sz w:val="28"/>
                <w:szCs w:val="28"/>
                <w:lang w:eastAsia="lv-LV"/>
              </w:rPr>
              <w:t xml:space="preserve"> un priekš</w:t>
            </w:r>
            <w:r w:rsidR="000B709F" w:rsidRPr="00A23A59">
              <w:rPr>
                <w:rFonts w:ascii="Times New Roman" w:eastAsia="Times New Roman" w:hAnsi="Times New Roman" w:cs="Times New Roman"/>
                <w:iCs/>
                <w:sz w:val="28"/>
                <w:szCs w:val="28"/>
                <w:lang w:eastAsia="lv-LV"/>
              </w:rPr>
              <w:t>vēlēšanu aģitācijas kontrolē</w:t>
            </w:r>
            <w:r w:rsidRPr="00A23A59">
              <w:rPr>
                <w:rFonts w:ascii="Times New Roman" w:eastAsia="Times New Roman" w:hAnsi="Times New Roman" w:cs="Times New Roman"/>
                <w:iCs/>
                <w:sz w:val="28"/>
                <w:szCs w:val="28"/>
                <w:lang w:eastAsia="lv-LV"/>
              </w:rPr>
              <w:t>.</w:t>
            </w:r>
          </w:p>
          <w:p w:rsidR="001B0854" w:rsidRPr="00A23A59" w:rsidRDefault="00912636" w:rsidP="00912636">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Biroja īstenotie darbības virzieni ir korupcijas novēršana un apkarošana, politisko partiju finansēšanas noteikumu izpildes kontrole, nodrošinot noziedzīgu nodarījumu atklāšanu un izmeklēšanu, valsts amatpersonu darbības kontroli, politisko partiju finansēšanas kontroli un aģitācijas uzraudzību</w:t>
            </w:r>
            <w:r w:rsidR="00CB53F0" w:rsidRPr="00A23A59">
              <w:rPr>
                <w:rFonts w:ascii="Times New Roman" w:eastAsia="Times New Roman" w:hAnsi="Times New Roman" w:cs="Times New Roman"/>
                <w:iCs/>
                <w:sz w:val="28"/>
                <w:szCs w:val="28"/>
                <w:lang w:eastAsia="lv-LV"/>
              </w:rPr>
              <w:t>,</w:t>
            </w:r>
            <w:r w:rsidR="00797C48" w:rsidRPr="00A23A59">
              <w:rPr>
                <w:rFonts w:ascii="Times New Roman" w:eastAsia="Times New Roman" w:hAnsi="Times New Roman" w:cs="Times New Roman"/>
                <w:iCs/>
                <w:sz w:val="28"/>
                <w:szCs w:val="28"/>
                <w:lang w:eastAsia="lv-LV"/>
              </w:rPr>
              <w:t xml:space="preserve"> </w:t>
            </w:r>
            <w:r w:rsidR="00305855" w:rsidRPr="00A23A59">
              <w:rPr>
                <w:rFonts w:ascii="Times New Roman" w:eastAsia="Times New Roman" w:hAnsi="Times New Roman" w:cs="Times New Roman"/>
                <w:iCs/>
                <w:sz w:val="28"/>
                <w:szCs w:val="28"/>
                <w:lang w:eastAsia="lv-LV"/>
              </w:rPr>
              <w:t xml:space="preserve">kā arī </w:t>
            </w:r>
            <w:r w:rsidRPr="00A23A59">
              <w:rPr>
                <w:rFonts w:ascii="Times New Roman" w:eastAsia="Times New Roman" w:hAnsi="Times New Roman" w:cs="Times New Roman"/>
                <w:iCs/>
                <w:sz w:val="28"/>
                <w:szCs w:val="28"/>
                <w:lang w:eastAsia="lv-LV"/>
              </w:rPr>
              <w:t xml:space="preserve"> starptautisko sadarbību.</w:t>
            </w:r>
            <w:r w:rsidR="001B0854" w:rsidRPr="00A23A59">
              <w:rPr>
                <w:rFonts w:ascii="Times New Roman" w:eastAsia="Times New Roman" w:hAnsi="Times New Roman" w:cs="Times New Roman"/>
                <w:iCs/>
                <w:sz w:val="28"/>
                <w:szCs w:val="28"/>
                <w:lang w:eastAsia="lv-LV"/>
              </w:rPr>
              <w:t xml:space="preserve"> </w:t>
            </w:r>
          </w:p>
          <w:p w:rsidR="00912636" w:rsidRPr="00A23A59" w:rsidRDefault="00912636" w:rsidP="00912636">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Realizējot </w:t>
            </w:r>
            <w:r w:rsidR="001B0854" w:rsidRPr="00A23A59">
              <w:rPr>
                <w:rFonts w:ascii="Times New Roman" w:eastAsia="Times New Roman" w:hAnsi="Times New Roman" w:cs="Times New Roman"/>
                <w:iCs/>
                <w:sz w:val="28"/>
                <w:szCs w:val="28"/>
                <w:lang w:eastAsia="lv-LV"/>
              </w:rPr>
              <w:t>minētās</w:t>
            </w:r>
            <w:r w:rsidRPr="00A23A59">
              <w:rPr>
                <w:rFonts w:ascii="Times New Roman" w:eastAsia="Times New Roman" w:hAnsi="Times New Roman" w:cs="Times New Roman"/>
                <w:iCs/>
                <w:sz w:val="28"/>
                <w:szCs w:val="28"/>
                <w:lang w:eastAsia="lv-LV"/>
              </w:rPr>
              <w:t xml:space="preserve"> funkcijas, Biroja amatpersonas iegūst lielu datu apjomu. Biroja amatpersonu iegūtās, saņemtās, reģistrētās, apstrādātās, apkopotās, analizētās un glabātās informācijas, tostarp, personas datu, izpaušana var negatīvi ietekmēt korupcijas novēršanu un apkarošanu gan administratīvo pārkāpumu lietās, gan veicot izmeklēšanu un operatīvo darbību, lai atklātu Krimināllikumā paredzētos noziedzīgos nodarījumus. Informācijas pieejamības ierobežošana nepieciešama, lai aizsargātu informācijas avotus un izmantotos paņēmienus </w:t>
            </w:r>
            <w:proofErr w:type="spellStart"/>
            <w:r w:rsidRPr="00A23A59">
              <w:rPr>
                <w:rFonts w:ascii="Times New Roman" w:eastAsia="Times New Roman" w:hAnsi="Times New Roman" w:cs="Times New Roman"/>
                <w:iCs/>
                <w:sz w:val="28"/>
                <w:szCs w:val="28"/>
                <w:lang w:eastAsia="lv-LV"/>
              </w:rPr>
              <w:t>resorisko</w:t>
            </w:r>
            <w:proofErr w:type="spellEnd"/>
            <w:r w:rsidRPr="00A23A59">
              <w:rPr>
                <w:rFonts w:ascii="Times New Roman" w:eastAsia="Times New Roman" w:hAnsi="Times New Roman" w:cs="Times New Roman"/>
                <w:iCs/>
                <w:sz w:val="28"/>
                <w:szCs w:val="28"/>
                <w:lang w:eastAsia="lv-LV"/>
              </w:rPr>
              <w:t xml:space="preserve"> pārbaužu un kriminālprocesa ietvaros. </w:t>
            </w:r>
          </w:p>
          <w:p w:rsidR="0043323F" w:rsidRPr="00A23A59" w:rsidRDefault="00912636" w:rsidP="00582801">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Biroja iegūtā informācija </w:t>
            </w:r>
            <w:r w:rsidR="001B0854" w:rsidRPr="00A23A59">
              <w:rPr>
                <w:rFonts w:ascii="Times New Roman" w:eastAsia="Times New Roman" w:hAnsi="Times New Roman" w:cs="Times New Roman"/>
                <w:iCs/>
                <w:sz w:val="28"/>
                <w:szCs w:val="28"/>
                <w:lang w:eastAsia="lv-LV"/>
              </w:rPr>
              <w:t>aizsargājama</w:t>
            </w:r>
            <w:r w:rsidRPr="00A23A59">
              <w:rPr>
                <w:rFonts w:ascii="Times New Roman" w:eastAsia="Times New Roman" w:hAnsi="Times New Roman" w:cs="Times New Roman"/>
                <w:iCs/>
                <w:sz w:val="28"/>
                <w:szCs w:val="28"/>
                <w:lang w:eastAsia="lv-LV"/>
              </w:rPr>
              <w:t xml:space="preserve"> ar mērķi izmantot šo informāciju lēmumu pieņemšanā, kas sekmētu gan īstermiņa operatīvos mērķus, gan ilgtermiņa stratēģiskos mērķus. </w:t>
            </w:r>
          </w:p>
          <w:p w:rsidR="008C2D3A" w:rsidRPr="00A23A59" w:rsidRDefault="0043323F" w:rsidP="0043323F">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Tā kā Tiesībaizsardzības nolūkos apstrādājamo personas datu likumā ietvertās tiesību normas ir uzskatāmas par vispārējām tiesību normām attiecībā uz Biroja darbību regulējošām tiesību normām, Korupcijas novēršanas un apkarošanas biroja likumā nepieciešams noteikt tiesības Birojam</w:t>
            </w:r>
            <w:r w:rsidR="007F55D7" w:rsidRPr="00A23A59">
              <w:rPr>
                <w:rFonts w:ascii="Times New Roman" w:eastAsia="Times New Roman" w:hAnsi="Times New Roman" w:cs="Times New Roman"/>
                <w:iCs/>
                <w:sz w:val="28"/>
                <w:szCs w:val="28"/>
                <w:lang w:eastAsia="lv-LV"/>
              </w:rPr>
              <w:t xml:space="preserve">, </w:t>
            </w:r>
            <w:r w:rsidR="000D0816" w:rsidRPr="00A23A59">
              <w:rPr>
                <w:rFonts w:ascii="Times New Roman" w:eastAsia="Times New Roman" w:hAnsi="Times New Roman" w:cs="Times New Roman"/>
                <w:iCs/>
                <w:sz w:val="28"/>
                <w:szCs w:val="28"/>
                <w:lang w:eastAsia="lv-LV"/>
              </w:rPr>
              <w:t>pildot</w:t>
            </w:r>
            <w:r w:rsidR="007F55D7" w:rsidRPr="00A23A59">
              <w:rPr>
                <w:rFonts w:ascii="Times New Roman" w:eastAsia="Times New Roman" w:hAnsi="Times New Roman" w:cs="Times New Roman"/>
                <w:iCs/>
                <w:sz w:val="28"/>
                <w:szCs w:val="28"/>
                <w:lang w:eastAsia="lv-LV"/>
              </w:rPr>
              <w:t xml:space="preserve"> Korupcijas novēršanas </w:t>
            </w:r>
            <w:r w:rsidR="007F55D7" w:rsidRPr="00A23A59">
              <w:rPr>
                <w:rFonts w:ascii="Times New Roman" w:eastAsia="Times New Roman" w:hAnsi="Times New Roman" w:cs="Times New Roman"/>
                <w:iCs/>
                <w:sz w:val="28"/>
                <w:szCs w:val="28"/>
                <w:lang w:eastAsia="lv-LV"/>
              </w:rPr>
              <w:lastRenderedPageBreak/>
              <w:t xml:space="preserve">un apkarošanas biroja likumā noteiktās funkcijas, </w:t>
            </w:r>
            <w:r w:rsidRPr="00A23A59">
              <w:rPr>
                <w:rFonts w:ascii="Times New Roman" w:eastAsia="Times New Roman" w:hAnsi="Times New Roman" w:cs="Times New Roman"/>
                <w:iCs/>
                <w:sz w:val="28"/>
                <w:szCs w:val="28"/>
                <w:lang w:eastAsia="lv-LV"/>
              </w:rPr>
              <w:t xml:space="preserve"> personas datu apstrādi veikt par to neinformējot datu subjektu un ierobežot tā piekļuves tiesības, ciktāl tas nav pretrunā ar tiesībaizsardzības nolūkos apstrādājamo personas datu jomu regulējošajiem normatīvajiem aktiem. </w:t>
            </w:r>
          </w:p>
          <w:p w:rsidR="00582801" w:rsidRDefault="00582801" w:rsidP="001D04C9">
            <w:pPr>
              <w:spacing w:after="0" w:line="240" w:lineRule="auto"/>
              <w:jc w:val="both"/>
              <w:rPr>
                <w:rFonts w:ascii="Times New Roman" w:eastAsia="Times New Roman" w:hAnsi="Times New Roman" w:cs="Times New Roman"/>
                <w:b/>
                <w:iCs/>
                <w:sz w:val="28"/>
                <w:szCs w:val="28"/>
                <w:lang w:eastAsia="lv-LV"/>
              </w:rPr>
            </w:pPr>
            <w:r w:rsidRPr="00A23A59">
              <w:rPr>
                <w:rFonts w:ascii="Times New Roman" w:eastAsia="Times New Roman" w:hAnsi="Times New Roman" w:cs="Times New Roman"/>
                <w:b/>
                <w:iCs/>
                <w:sz w:val="28"/>
                <w:szCs w:val="28"/>
                <w:lang w:eastAsia="lv-LV"/>
              </w:rPr>
              <w:t xml:space="preserve">Likumprojekta </w:t>
            </w:r>
            <w:r w:rsidR="001D04C9" w:rsidRPr="00A23A59">
              <w:rPr>
                <w:rFonts w:ascii="Times New Roman" w:eastAsia="Times New Roman" w:hAnsi="Times New Roman" w:cs="Times New Roman"/>
                <w:b/>
                <w:iCs/>
                <w:sz w:val="28"/>
                <w:szCs w:val="28"/>
                <w:lang w:eastAsia="lv-LV"/>
              </w:rPr>
              <w:t>2.pants.</w:t>
            </w:r>
          </w:p>
          <w:p w:rsidR="00566421" w:rsidRPr="00A23A59" w:rsidRDefault="00582801" w:rsidP="00582801">
            <w:pPr>
              <w:spacing w:after="0" w:line="240" w:lineRule="auto"/>
              <w:ind w:left="-14"/>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Birojs praksē ir konstatējis, ka Korupcijas novēršanas un apkarošanas biroja likumā nav noregulētas situācijas, kad Biroja amatpersona ir izdarījusi </w:t>
            </w:r>
            <w:proofErr w:type="spellStart"/>
            <w:r w:rsidRPr="00A23A59">
              <w:rPr>
                <w:rFonts w:ascii="Times New Roman" w:eastAsia="Times New Roman" w:hAnsi="Times New Roman" w:cs="Times New Roman"/>
                <w:iCs/>
                <w:sz w:val="28"/>
                <w:szCs w:val="28"/>
                <w:lang w:eastAsia="lv-LV"/>
              </w:rPr>
              <w:t>disciplinārpārkāpumu</w:t>
            </w:r>
            <w:proofErr w:type="spellEnd"/>
            <w:r w:rsidRPr="00A23A59">
              <w:rPr>
                <w:rFonts w:ascii="Times New Roman" w:eastAsia="Times New Roman" w:hAnsi="Times New Roman" w:cs="Times New Roman"/>
                <w:iCs/>
                <w:sz w:val="28"/>
                <w:szCs w:val="28"/>
                <w:lang w:eastAsia="lv-LV"/>
              </w:rPr>
              <w:t xml:space="preserve">, bet konkrēta soda piemērošana pārkāpuma mazsvarīguma vai seku neesamības dēļ nav lietderīga. </w:t>
            </w:r>
            <w:proofErr w:type="spellStart"/>
            <w:r w:rsidRPr="00A23A59">
              <w:rPr>
                <w:rFonts w:ascii="Times New Roman" w:eastAsia="Times New Roman" w:hAnsi="Times New Roman" w:cs="Times New Roman"/>
                <w:iCs/>
                <w:sz w:val="28"/>
                <w:szCs w:val="28"/>
                <w:lang w:eastAsia="lv-LV"/>
              </w:rPr>
              <w:t>Disciplinārpārkāpuma</w:t>
            </w:r>
            <w:proofErr w:type="spellEnd"/>
            <w:r w:rsidRPr="00A23A59">
              <w:rPr>
                <w:rFonts w:ascii="Times New Roman" w:eastAsia="Times New Roman" w:hAnsi="Times New Roman" w:cs="Times New Roman"/>
                <w:iCs/>
                <w:sz w:val="28"/>
                <w:szCs w:val="28"/>
                <w:lang w:eastAsia="lv-LV"/>
              </w:rPr>
              <w:t xml:space="preserve"> konstatēšana ne vienmēr ir nepieciešama tikai tāpēc, lai vainīgajai personai piemērotu sodu. Pārkāpuma konstatēšana un tā izdarīšanas apstākļu noskaidrošana dažkārt ir nepieciešama [..] ar mērķi novērst līdzīgu gadījumu atkārtošanos (sk. Senāta Administratīvo lietu departamenta 2010.gada 15.oktobra Lēmuma lietā Nr.A7006810 SKA-742/2010  motīvu daļas 9. un 11. punktu).</w:t>
            </w:r>
          </w:p>
          <w:p w:rsidR="00582801" w:rsidRPr="00A23A59" w:rsidRDefault="00582801" w:rsidP="00582801">
            <w:pPr>
              <w:spacing w:after="0" w:line="240" w:lineRule="auto"/>
              <w:ind w:left="-14"/>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Normatīvajos aktos attiecībā uz ierēdņiem un Iekšlietu ministrijas sistēmas iestāžu un Ieslodzījuma vietu pārvaldes amatpersonām ar speciālajām dienesta pakāpēm šādos gadījumos ir paredzēta iespēja izbeigt disciplinārlietu, izsakot aizrādījumu, kas nav disciplinārsods. Attiecībā uz ierēdņu </w:t>
            </w:r>
            <w:proofErr w:type="spellStart"/>
            <w:r w:rsidRPr="00A23A59">
              <w:rPr>
                <w:rFonts w:ascii="Times New Roman" w:eastAsia="Times New Roman" w:hAnsi="Times New Roman" w:cs="Times New Roman"/>
                <w:iCs/>
                <w:sz w:val="28"/>
                <w:szCs w:val="28"/>
                <w:lang w:eastAsia="lv-LV"/>
              </w:rPr>
              <w:t>disciplinārbildību</w:t>
            </w:r>
            <w:proofErr w:type="spellEnd"/>
            <w:r w:rsidRPr="00A23A59">
              <w:rPr>
                <w:rFonts w:ascii="Times New Roman" w:eastAsia="Times New Roman" w:hAnsi="Times New Roman" w:cs="Times New Roman"/>
                <w:iCs/>
                <w:sz w:val="28"/>
                <w:szCs w:val="28"/>
                <w:lang w:eastAsia="lv-LV"/>
              </w:rPr>
              <w:t xml:space="preserve"> Valsts civildienesta ierēdņu disciplināratbildības likuma 33.pants nosaka, ka lēmumu par disciplinārlietas izbeigšanu, izsakot aizrādījumu, pieņem tad, ja izmeklēšanas gaitā konstatēts, ka ierēdnis ir izdarījis </w:t>
            </w:r>
            <w:proofErr w:type="spellStart"/>
            <w:r w:rsidRPr="00A23A59">
              <w:rPr>
                <w:rFonts w:ascii="Times New Roman" w:eastAsia="Times New Roman" w:hAnsi="Times New Roman" w:cs="Times New Roman"/>
                <w:iCs/>
                <w:sz w:val="28"/>
                <w:szCs w:val="28"/>
                <w:lang w:eastAsia="lv-LV"/>
              </w:rPr>
              <w:t>disciplinārpārkāpumu</w:t>
            </w:r>
            <w:proofErr w:type="spellEnd"/>
            <w:r w:rsidRPr="00A23A59">
              <w:rPr>
                <w:rFonts w:ascii="Times New Roman" w:eastAsia="Times New Roman" w:hAnsi="Times New Roman" w:cs="Times New Roman"/>
                <w:iCs/>
                <w:sz w:val="28"/>
                <w:szCs w:val="28"/>
                <w:lang w:eastAsia="lv-LV"/>
              </w:rPr>
              <w:t xml:space="preserve">, bet šis pārkāpums ir mazsvarīgs, proti, </w:t>
            </w:r>
            <w:proofErr w:type="spellStart"/>
            <w:r w:rsidRPr="00A23A59">
              <w:rPr>
                <w:rFonts w:ascii="Times New Roman" w:eastAsia="Times New Roman" w:hAnsi="Times New Roman" w:cs="Times New Roman"/>
                <w:iCs/>
                <w:sz w:val="28"/>
                <w:szCs w:val="28"/>
                <w:lang w:eastAsia="lv-LV"/>
              </w:rPr>
              <w:t>disciplinārpārkāpums</w:t>
            </w:r>
            <w:proofErr w:type="spellEnd"/>
            <w:r w:rsidRPr="00A23A59">
              <w:rPr>
                <w:rFonts w:ascii="Times New Roman" w:eastAsia="Times New Roman" w:hAnsi="Times New Roman" w:cs="Times New Roman"/>
                <w:iCs/>
                <w:sz w:val="28"/>
                <w:szCs w:val="28"/>
                <w:lang w:eastAsia="lv-LV"/>
              </w:rPr>
              <w:t xml:space="preserve"> nav radījis nelabvēlīgas sekas vai citu personu tiesību apdraudējumu. Aizrādījuma izteikšana nav disciplinārsods. Arī Iekšlietu ministrijas sistēmas iestāžu un Ieslodzījuma vietu pārvaldes amatpersonu ar speciālajām dienesta pakāpēm disciplināratbildības likums 13.</w:t>
            </w:r>
            <w:r w:rsidRPr="00A23A59">
              <w:rPr>
                <w:rFonts w:ascii="Times New Roman" w:eastAsia="Times New Roman" w:hAnsi="Times New Roman" w:cs="Times New Roman"/>
                <w:iCs/>
                <w:sz w:val="28"/>
                <w:szCs w:val="28"/>
                <w:vertAlign w:val="superscript"/>
                <w:lang w:eastAsia="lv-LV"/>
              </w:rPr>
              <w:t>1</w:t>
            </w:r>
            <w:r w:rsidRPr="00A23A59">
              <w:rPr>
                <w:rFonts w:ascii="Times New Roman" w:eastAsia="Times New Roman" w:hAnsi="Times New Roman" w:cs="Times New Roman"/>
                <w:iCs/>
                <w:sz w:val="28"/>
                <w:szCs w:val="28"/>
                <w:lang w:eastAsia="lv-LV"/>
              </w:rPr>
              <w:t xml:space="preserve"> pants </w:t>
            </w:r>
            <w:r w:rsidRPr="00A23A59">
              <w:rPr>
                <w:rFonts w:ascii="Times New Roman" w:eastAsia="Times New Roman" w:hAnsi="Times New Roman" w:cs="Times New Roman"/>
                <w:iCs/>
                <w:sz w:val="28"/>
                <w:szCs w:val="28"/>
                <w:lang w:eastAsia="lv-LV"/>
              </w:rPr>
              <w:lastRenderedPageBreak/>
              <w:t xml:space="preserve">nosaka, ka, ja Iekšlietu ministrijas sistēmas iestāžu vai Ieslodzījuma vietu pārvaldes  amatpersona ar speciālajām dienesta pakāpēm ir izdarījusi </w:t>
            </w:r>
            <w:proofErr w:type="spellStart"/>
            <w:r w:rsidRPr="00A23A59">
              <w:rPr>
                <w:rFonts w:ascii="Times New Roman" w:eastAsia="Times New Roman" w:hAnsi="Times New Roman" w:cs="Times New Roman"/>
                <w:iCs/>
                <w:sz w:val="28"/>
                <w:szCs w:val="28"/>
                <w:lang w:eastAsia="lv-LV"/>
              </w:rPr>
              <w:t>disciplinārpārkāpumu</w:t>
            </w:r>
            <w:proofErr w:type="spellEnd"/>
            <w:r w:rsidRPr="00A23A59">
              <w:rPr>
                <w:rFonts w:ascii="Times New Roman" w:eastAsia="Times New Roman" w:hAnsi="Times New Roman" w:cs="Times New Roman"/>
                <w:iCs/>
                <w:sz w:val="28"/>
                <w:szCs w:val="28"/>
                <w:lang w:eastAsia="lv-LV"/>
              </w:rPr>
              <w:t>, bet šis pārkāpums ir mazsvarīgs vai nav radījis nelabvēlīgas sekas, augstāka amatpersona tai var izteikt rakstveida aizrādījumu, neierosinot disciplinārlietu vai pieņemot lēmumu par disciplinārlietas izbeigšanu. Arī šis aizrādījums nav disciplinārsods.</w:t>
            </w:r>
          </w:p>
          <w:p w:rsidR="00582801" w:rsidRPr="00A23A59" w:rsidRDefault="00582801" w:rsidP="00582801">
            <w:pPr>
              <w:spacing w:after="0" w:line="240" w:lineRule="auto"/>
              <w:ind w:left="-14"/>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Tāpat Administratīvā apgabaltiesa 2017.gada 27.novembra sprieduma lietā Nr.A420269916</w:t>
            </w:r>
            <w:r w:rsidR="005629F6" w:rsidRPr="00A23A59">
              <w:rPr>
                <w:rStyle w:val="FootnoteReference"/>
                <w:rFonts w:ascii="Times New Roman" w:eastAsia="Times New Roman" w:hAnsi="Times New Roman" w:cs="Times New Roman"/>
                <w:iCs/>
                <w:sz w:val="28"/>
                <w:szCs w:val="28"/>
                <w:lang w:eastAsia="lv-LV"/>
              </w:rPr>
              <w:footnoteReference w:id="1"/>
            </w:r>
            <w:r w:rsidRPr="00A23A59">
              <w:rPr>
                <w:rFonts w:ascii="Times New Roman" w:eastAsia="Times New Roman" w:hAnsi="Times New Roman" w:cs="Times New Roman"/>
                <w:iCs/>
                <w:sz w:val="28"/>
                <w:szCs w:val="28"/>
                <w:lang w:eastAsia="lv-LV"/>
              </w:rPr>
              <w:t xml:space="preserve">  motīvu daļas 24.punktā norādījusi, ka </w:t>
            </w:r>
            <w:r w:rsidR="003670F7">
              <w:rPr>
                <w:rFonts w:ascii="Times New Roman" w:eastAsia="Times New Roman" w:hAnsi="Times New Roman" w:cs="Times New Roman"/>
                <w:iCs/>
                <w:sz w:val="28"/>
                <w:szCs w:val="28"/>
                <w:lang w:eastAsia="lv-LV"/>
              </w:rPr>
              <w:t>Korupcijas novēršanas un apkarošanas biroja l</w:t>
            </w:r>
            <w:r w:rsidRPr="00A23A59">
              <w:rPr>
                <w:rFonts w:ascii="Times New Roman" w:eastAsia="Times New Roman" w:hAnsi="Times New Roman" w:cs="Times New Roman"/>
                <w:iCs/>
                <w:sz w:val="28"/>
                <w:szCs w:val="28"/>
                <w:lang w:eastAsia="lv-LV"/>
              </w:rPr>
              <w:t>ikuma 25.pants nosaka Biroja amatpersonu disciplināratbildību, nemaz neparedzot tiesības izbeigt disciplinārlietu, atzīstot pārkāpumu par mazsvarīgu un izsakot (mutvārdu) aizrādījumu.</w:t>
            </w:r>
          </w:p>
          <w:p w:rsidR="00582801" w:rsidRPr="00A23A59" w:rsidRDefault="00582801" w:rsidP="00152225">
            <w:pPr>
              <w:spacing w:after="0" w:line="240" w:lineRule="auto"/>
              <w:ind w:left="-14"/>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w:t>
            </w:r>
            <w:r w:rsidR="00152225" w:rsidRPr="00A23A59">
              <w:rPr>
                <w:rFonts w:ascii="Times New Roman" w:eastAsia="Times New Roman" w:hAnsi="Times New Roman" w:cs="Times New Roman"/>
                <w:iCs/>
                <w:sz w:val="28"/>
                <w:szCs w:val="28"/>
                <w:lang w:eastAsia="lv-LV"/>
              </w:rPr>
              <w:t>s</w:t>
            </w:r>
            <w:r w:rsidR="00CF0F72" w:rsidRPr="00A23A59">
              <w:rPr>
                <w:rFonts w:ascii="Times New Roman" w:eastAsia="Times New Roman" w:hAnsi="Times New Roman" w:cs="Times New Roman"/>
                <w:iCs/>
                <w:sz w:val="28"/>
                <w:szCs w:val="28"/>
                <w:lang w:eastAsia="lv-LV"/>
              </w:rPr>
              <w:t xml:space="preserve"> pilnveidos </w:t>
            </w:r>
            <w:r w:rsidRPr="00A23A59">
              <w:rPr>
                <w:rFonts w:ascii="Times New Roman" w:eastAsia="Times New Roman" w:hAnsi="Times New Roman" w:cs="Times New Roman"/>
                <w:iCs/>
                <w:sz w:val="28"/>
                <w:szCs w:val="28"/>
                <w:lang w:eastAsia="lv-LV"/>
              </w:rPr>
              <w:t>Biroja disciplinārlietu izskatīšanas procesu un disciplinārsodu piemērošanu, kā arī nodrošinā</w:t>
            </w:r>
            <w:r w:rsidR="00152225" w:rsidRPr="00A23A59">
              <w:rPr>
                <w:rFonts w:ascii="Times New Roman" w:eastAsia="Times New Roman" w:hAnsi="Times New Roman" w:cs="Times New Roman"/>
                <w:iCs/>
                <w:sz w:val="28"/>
                <w:szCs w:val="28"/>
                <w:lang w:eastAsia="lv-LV"/>
              </w:rPr>
              <w:t>s</w:t>
            </w:r>
            <w:r w:rsidRPr="00A23A59">
              <w:rPr>
                <w:rFonts w:ascii="Times New Roman" w:eastAsia="Times New Roman" w:hAnsi="Times New Roman" w:cs="Times New Roman"/>
                <w:iCs/>
                <w:sz w:val="28"/>
                <w:szCs w:val="28"/>
                <w:lang w:eastAsia="lv-LV"/>
              </w:rPr>
              <w:t xml:space="preserve"> vienveidīgu praksi valsts dienestā. Likumprojekts</w:t>
            </w:r>
            <w:r w:rsidR="00BF2CA5" w:rsidRPr="00A23A59">
              <w:rPr>
                <w:rFonts w:ascii="Times New Roman" w:eastAsia="Times New Roman" w:hAnsi="Times New Roman" w:cs="Times New Roman"/>
                <w:iCs/>
                <w:sz w:val="28"/>
                <w:szCs w:val="28"/>
                <w:lang w:eastAsia="lv-LV"/>
              </w:rPr>
              <w:t xml:space="preserve"> paredz</w:t>
            </w:r>
            <w:r w:rsidRPr="00A23A59">
              <w:rPr>
                <w:rFonts w:ascii="Times New Roman" w:eastAsia="Times New Roman" w:hAnsi="Times New Roman" w:cs="Times New Roman"/>
                <w:iCs/>
                <w:sz w:val="28"/>
                <w:szCs w:val="28"/>
                <w:lang w:eastAsia="lv-LV"/>
              </w:rPr>
              <w:t xml:space="preserve"> papildin</w:t>
            </w:r>
            <w:r w:rsidR="00CF0F72" w:rsidRPr="00A23A59">
              <w:rPr>
                <w:rFonts w:ascii="Times New Roman" w:eastAsia="Times New Roman" w:hAnsi="Times New Roman" w:cs="Times New Roman"/>
                <w:iCs/>
                <w:sz w:val="28"/>
                <w:szCs w:val="28"/>
                <w:lang w:eastAsia="lv-LV"/>
              </w:rPr>
              <w:t>ā</w:t>
            </w:r>
            <w:r w:rsidR="00BF2CA5" w:rsidRPr="00A23A59">
              <w:rPr>
                <w:rFonts w:ascii="Times New Roman" w:eastAsia="Times New Roman" w:hAnsi="Times New Roman" w:cs="Times New Roman"/>
                <w:iCs/>
                <w:sz w:val="28"/>
                <w:szCs w:val="28"/>
                <w:lang w:eastAsia="lv-LV"/>
              </w:rPr>
              <w:t>t</w:t>
            </w:r>
            <w:r w:rsidRPr="00A23A59">
              <w:rPr>
                <w:rFonts w:ascii="Times New Roman" w:eastAsia="Times New Roman" w:hAnsi="Times New Roman" w:cs="Times New Roman"/>
                <w:iCs/>
                <w:sz w:val="28"/>
                <w:szCs w:val="28"/>
                <w:lang w:eastAsia="lv-LV"/>
              </w:rPr>
              <w:t xml:space="preserve"> </w:t>
            </w:r>
            <w:r w:rsidR="00CF0F72" w:rsidRPr="00A23A59">
              <w:rPr>
                <w:rFonts w:ascii="Times New Roman" w:eastAsia="Times New Roman" w:hAnsi="Times New Roman" w:cs="Times New Roman"/>
                <w:iCs/>
                <w:sz w:val="28"/>
                <w:szCs w:val="28"/>
                <w:lang w:eastAsia="lv-LV"/>
              </w:rPr>
              <w:t>Korupcijas novēršanas un apkarošanas biroja likumu</w:t>
            </w:r>
            <w:r w:rsidRPr="00A23A59">
              <w:rPr>
                <w:rFonts w:ascii="Times New Roman" w:eastAsia="Times New Roman" w:hAnsi="Times New Roman" w:cs="Times New Roman"/>
                <w:iCs/>
                <w:sz w:val="28"/>
                <w:szCs w:val="28"/>
                <w:lang w:eastAsia="lv-LV"/>
              </w:rPr>
              <w:t xml:space="preserve"> ar 26.pantu, nosakot, ka gadījumā, ja Biroja amatpersona ir izdarījusi </w:t>
            </w:r>
            <w:proofErr w:type="spellStart"/>
            <w:r w:rsidRPr="00A23A59">
              <w:rPr>
                <w:rFonts w:ascii="Times New Roman" w:eastAsia="Times New Roman" w:hAnsi="Times New Roman" w:cs="Times New Roman"/>
                <w:iCs/>
                <w:sz w:val="28"/>
                <w:szCs w:val="28"/>
                <w:lang w:eastAsia="lv-LV"/>
              </w:rPr>
              <w:t>disciplinārpārkāpumu</w:t>
            </w:r>
            <w:proofErr w:type="spellEnd"/>
            <w:r w:rsidRPr="00A23A59">
              <w:rPr>
                <w:rFonts w:ascii="Times New Roman" w:eastAsia="Times New Roman" w:hAnsi="Times New Roman" w:cs="Times New Roman"/>
                <w:iCs/>
                <w:sz w:val="28"/>
                <w:szCs w:val="28"/>
                <w:lang w:eastAsia="lv-LV"/>
              </w:rPr>
              <w:t xml:space="preserve">, bet šis pārkāpums ir mazsvarīgs vai nav radījis nelabvēlīgas sekas, tai var izteikt  aizrādījumu, neierosinot disciplinārlietu vai pieņemot lēmumu par disciplinārlietas izbeigšanu. Lai nodrošinātu objektīvu konstatētā pārkāpuma izskatīšanu, pirms aizrādījuma izteikšanas Biroja amatpersonai tiks lūgts iesniegt rakstveida paskaidrojumu. Papildus noteikts, ka aizrādījumu izsaka rakstveidā (arī rezolūcijas veidā), norādot darbību vai bezdarbību, kas ietver </w:t>
            </w:r>
            <w:proofErr w:type="spellStart"/>
            <w:r w:rsidRPr="00A23A59">
              <w:rPr>
                <w:rFonts w:ascii="Times New Roman" w:eastAsia="Times New Roman" w:hAnsi="Times New Roman" w:cs="Times New Roman"/>
                <w:iCs/>
                <w:sz w:val="28"/>
                <w:szCs w:val="28"/>
                <w:lang w:eastAsia="lv-LV"/>
              </w:rPr>
              <w:t>disciplinārpārkāpuma</w:t>
            </w:r>
            <w:proofErr w:type="spellEnd"/>
            <w:r w:rsidRPr="00A23A59">
              <w:rPr>
                <w:rFonts w:ascii="Times New Roman" w:eastAsia="Times New Roman" w:hAnsi="Times New Roman" w:cs="Times New Roman"/>
                <w:iCs/>
                <w:sz w:val="28"/>
                <w:szCs w:val="28"/>
                <w:lang w:eastAsia="lv-LV"/>
              </w:rPr>
              <w:t xml:space="preserve"> pazīmes, un pārkāpto tiesību normu, par to informējot Biroja amatpersonu, kurai tiek izteikts aizrādījums. Aizrādījums nav disciplinārsods un tas nav apstrīdams. Vienlaikus, tā dokumenta kopiju, kurā rakstveidā izteikts </w:t>
            </w:r>
            <w:r w:rsidRPr="00A23A59">
              <w:rPr>
                <w:rFonts w:ascii="Times New Roman" w:eastAsia="Times New Roman" w:hAnsi="Times New Roman" w:cs="Times New Roman"/>
                <w:iCs/>
                <w:sz w:val="28"/>
                <w:szCs w:val="28"/>
                <w:lang w:eastAsia="lv-LV"/>
              </w:rPr>
              <w:lastRenderedPageBreak/>
              <w:t>aizrādījums, pievieno personas lietai.</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23A59" w:rsidRDefault="001567F4"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23A59" w:rsidRDefault="001567F4"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bl>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7407" w:rsidRPr="00A23A5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23A59" w:rsidRDefault="00E5323B" w:rsidP="00C00564">
            <w:pPr>
              <w:spacing w:after="0" w:line="240" w:lineRule="auto"/>
              <w:jc w:val="both"/>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Sabiedrības </w:t>
            </w:r>
            <w:proofErr w:type="spellStart"/>
            <w:r w:rsidRPr="00A23A59">
              <w:rPr>
                <w:rFonts w:ascii="Times New Roman" w:eastAsia="Times New Roman" w:hAnsi="Times New Roman" w:cs="Times New Roman"/>
                <w:iCs/>
                <w:sz w:val="28"/>
                <w:szCs w:val="28"/>
                <w:lang w:eastAsia="lv-LV"/>
              </w:rPr>
              <w:t>mērķgrupas</w:t>
            </w:r>
            <w:proofErr w:type="spellEnd"/>
            <w:r w:rsidRPr="00A23A59">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82801" w:rsidRPr="00A23A59" w:rsidRDefault="00AC0569" w:rsidP="008344DC">
            <w:pPr>
              <w:pStyle w:val="ListParagraph"/>
              <w:tabs>
                <w:tab w:val="left" w:pos="275"/>
              </w:tabs>
              <w:spacing w:after="0" w:line="240" w:lineRule="auto"/>
              <w:ind w:left="-14"/>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w:t>
            </w:r>
            <w:r w:rsidR="00EB713C" w:rsidRPr="00A23A59">
              <w:rPr>
                <w:rFonts w:ascii="Times New Roman" w:eastAsia="Times New Roman" w:hAnsi="Times New Roman" w:cs="Times New Roman"/>
                <w:iCs/>
                <w:sz w:val="28"/>
                <w:szCs w:val="28"/>
                <w:lang w:eastAsia="lv-LV"/>
              </w:rPr>
              <w:t>ā</w:t>
            </w:r>
            <w:r w:rsidR="00582801" w:rsidRPr="00A23A59">
              <w:rPr>
                <w:rFonts w:ascii="Times New Roman" w:eastAsia="Times New Roman" w:hAnsi="Times New Roman" w:cs="Times New Roman"/>
                <w:iCs/>
                <w:sz w:val="28"/>
                <w:szCs w:val="28"/>
                <w:lang w:eastAsia="lv-LV"/>
              </w:rPr>
              <w:t xml:space="preserve"> </w:t>
            </w:r>
            <w:r w:rsidRPr="00A23A59">
              <w:rPr>
                <w:rFonts w:ascii="Times New Roman" w:eastAsia="Times New Roman" w:hAnsi="Times New Roman" w:cs="Times New Roman"/>
                <w:iCs/>
                <w:sz w:val="28"/>
                <w:szCs w:val="28"/>
                <w:lang w:eastAsia="lv-LV"/>
              </w:rPr>
              <w:t>paredzētais regulējums skars datu subjektus, kuru datus apstrādā</w:t>
            </w:r>
            <w:r w:rsidR="00A90C56" w:rsidRPr="00A23A59">
              <w:rPr>
                <w:rFonts w:ascii="Times New Roman" w:eastAsia="Times New Roman" w:hAnsi="Times New Roman" w:cs="Times New Roman"/>
                <w:iCs/>
                <w:sz w:val="28"/>
                <w:szCs w:val="28"/>
                <w:lang w:eastAsia="lv-LV"/>
              </w:rPr>
              <w:t xml:space="preserve"> Birojs</w:t>
            </w:r>
            <w:r w:rsidR="00EB713C" w:rsidRPr="00A23A59">
              <w:rPr>
                <w:rFonts w:ascii="Times New Roman" w:eastAsia="Times New Roman" w:hAnsi="Times New Roman" w:cs="Times New Roman"/>
                <w:iCs/>
                <w:sz w:val="28"/>
                <w:szCs w:val="28"/>
                <w:lang w:eastAsia="lv-LV"/>
              </w:rPr>
              <w:t>,</w:t>
            </w:r>
            <w:r w:rsidR="008344DC" w:rsidRPr="00A23A59">
              <w:rPr>
                <w:rFonts w:ascii="Times New Roman" w:eastAsia="Times New Roman" w:hAnsi="Times New Roman" w:cs="Times New Roman"/>
                <w:iCs/>
                <w:sz w:val="28"/>
                <w:szCs w:val="28"/>
                <w:lang w:eastAsia="lv-LV"/>
              </w:rPr>
              <w:t xml:space="preserve"> un</w:t>
            </w:r>
            <w:r w:rsidR="00582801" w:rsidRPr="00A23A59">
              <w:rPr>
                <w:rFonts w:ascii="Times New Roman" w:eastAsia="Times New Roman" w:hAnsi="Times New Roman" w:cs="Times New Roman"/>
                <w:iCs/>
                <w:sz w:val="28"/>
                <w:szCs w:val="28"/>
                <w:lang w:eastAsia="lv-LV"/>
              </w:rPr>
              <w:t xml:space="preserve">  Biroja amatperson</w:t>
            </w:r>
            <w:r w:rsidR="008344DC" w:rsidRPr="00A23A59">
              <w:rPr>
                <w:rFonts w:ascii="Times New Roman" w:eastAsia="Times New Roman" w:hAnsi="Times New Roman" w:cs="Times New Roman"/>
                <w:iCs/>
                <w:sz w:val="28"/>
                <w:szCs w:val="28"/>
                <w:lang w:eastAsia="lv-LV"/>
              </w:rPr>
              <w:t>as</w:t>
            </w:r>
            <w:r w:rsidR="00582801" w:rsidRPr="00A23A59">
              <w:rPr>
                <w:rFonts w:ascii="Times New Roman" w:eastAsia="Times New Roman" w:hAnsi="Times New Roman" w:cs="Times New Roman"/>
                <w:iCs/>
                <w:sz w:val="28"/>
                <w:szCs w:val="28"/>
                <w:lang w:eastAsia="lv-LV"/>
              </w:rPr>
              <w:t>.</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FF4590" w:rsidRPr="00A23A59" w:rsidRDefault="003C6222" w:rsidP="004F6B11">
            <w:pPr>
              <w:spacing w:after="0" w:line="240" w:lineRule="auto"/>
              <w:jc w:val="both"/>
              <w:rPr>
                <w:rFonts w:ascii="Times New Roman" w:eastAsia="Times New Roman" w:hAnsi="Times New Roman" w:cs="Times New Roman"/>
                <w:sz w:val="28"/>
                <w:szCs w:val="28"/>
                <w:lang w:eastAsia="lv-LV"/>
              </w:rPr>
            </w:pPr>
            <w:r w:rsidRPr="00A23A59">
              <w:rPr>
                <w:rFonts w:ascii="Times New Roman" w:eastAsia="Times New Roman" w:hAnsi="Times New Roman" w:cs="Times New Roman"/>
                <w:sz w:val="28"/>
                <w:szCs w:val="28"/>
                <w:lang w:eastAsia="lv-LV"/>
              </w:rPr>
              <w:t>Ietekme uz tautsaimniecību netiek prognozēta.</w:t>
            </w:r>
          </w:p>
          <w:p w:rsidR="00E5323B" w:rsidRPr="00A23A59" w:rsidRDefault="00F6298F" w:rsidP="00F47001">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Likumprojekta 1.pantā izveidotais </w:t>
            </w:r>
            <w:r w:rsidR="00F80961" w:rsidRPr="00A23A59">
              <w:rPr>
                <w:rFonts w:ascii="Times New Roman" w:eastAsia="Times New Roman" w:hAnsi="Times New Roman" w:cs="Times New Roman"/>
                <w:iCs/>
                <w:sz w:val="28"/>
                <w:szCs w:val="28"/>
                <w:lang w:eastAsia="lv-LV"/>
              </w:rPr>
              <w:t>tiesiskais regulējums</w:t>
            </w:r>
            <w:r w:rsidR="00872E10" w:rsidRPr="00A23A59">
              <w:rPr>
                <w:rFonts w:ascii="Times New Roman" w:eastAsia="Times New Roman" w:hAnsi="Times New Roman" w:cs="Times New Roman"/>
                <w:iCs/>
                <w:sz w:val="28"/>
                <w:szCs w:val="28"/>
                <w:lang w:eastAsia="lv-LV"/>
              </w:rPr>
              <w:t xml:space="preserve"> </w:t>
            </w:r>
            <w:r w:rsidR="006F2278" w:rsidRPr="00A23A59">
              <w:rPr>
                <w:rFonts w:ascii="Times New Roman" w:eastAsia="Times New Roman" w:hAnsi="Times New Roman" w:cs="Times New Roman"/>
                <w:iCs/>
                <w:sz w:val="28"/>
                <w:szCs w:val="28"/>
                <w:lang w:eastAsia="lv-LV"/>
              </w:rPr>
              <w:t>sekmēs Biroja īstermiņa operatīvos mērķus</w:t>
            </w:r>
            <w:r w:rsidR="004F6B11" w:rsidRPr="00A23A59">
              <w:rPr>
                <w:rFonts w:ascii="Times New Roman" w:eastAsia="Times New Roman" w:hAnsi="Times New Roman" w:cs="Times New Roman"/>
                <w:iCs/>
                <w:sz w:val="28"/>
                <w:szCs w:val="28"/>
                <w:lang w:eastAsia="lv-LV"/>
              </w:rPr>
              <w:t xml:space="preserve"> un</w:t>
            </w:r>
            <w:r w:rsidR="00A90C56" w:rsidRPr="00A23A59">
              <w:rPr>
                <w:rFonts w:ascii="Times New Roman" w:eastAsia="Times New Roman" w:hAnsi="Times New Roman" w:cs="Times New Roman"/>
                <w:iCs/>
                <w:sz w:val="28"/>
                <w:szCs w:val="28"/>
                <w:lang w:eastAsia="lv-LV"/>
              </w:rPr>
              <w:t xml:space="preserve"> ilgtermiņa stratēģiskos mērķus</w:t>
            </w:r>
            <w:r w:rsidR="00756B13" w:rsidRPr="00A23A59">
              <w:rPr>
                <w:rFonts w:ascii="Times New Roman" w:eastAsia="Times New Roman" w:hAnsi="Times New Roman" w:cs="Times New Roman"/>
                <w:iCs/>
                <w:sz w:val="28"/>
                <w:szCs w:val="28"/>
                <w:lang w:eastAsia="lv-LV"/>
              </w:rPr>
              <w:t>.</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5627A" w:rsidRPr="00A23A59" w:rsidRDefault="00436DE9" w:rsidP="005F576B">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23A59" w:rsidRDefault="001567F4"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r w:rsidR="00F07407" w:rsidRPr="00A23A5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23A59" w:rsidRDefault="00356CD7" w:rsidP="003670F7">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w:t>
            </w:r>
            <w:r w:rsidR="00EC279C" w:rsidRPr="00A23A59">
              <w:rPr>
                <w:rFonts w:ascii="Times New Roman" w:eastAsia="Times New Roman" w:hAnsi="Times New Roman" w:cs="Times New Roman"/>
                <w:iCs/>
                <w:sz w:val="28"/>
                <w:szCs w:val="28"/>
                <w:lang w:eastAsia="lv-LV"/>
              </w:rPr>
              <w:t>projekt</w:t>
            </w:r>
            <w:r w:rsidR="00EB713C" w:rsidRPr="00A23A59">
              <w:rPr>
                <w:rFonts w:ascii="Times New Roman" w:eastAsia="Times New Roman" w:hAnsi="Times New Roman" w:cs="Times New Roman"/>
                <w:iCs/>
                <w:sz w:val="28"/>
                <w:szCs w:val="28"/>
                <w:lang w:eastAsia="lv-LV"/>
              </w:rPr>
              <w:t>ā</w:t>
            </w:r>
            <w:r w:rsidR="009B01D4" w:rsidRPr="00A23A59">
              <w:rPr>
                <w:rFonts w:ascii="Times New Roman" w:eastAsia="Times New Roman" w:hAnsi="Times New Roman" w:cs="Times New Roman"/>
                <w:iCs/>
                <w:sz w:val="28"/>
                <w:szCs w:val="28"/>
                <w:lang w:eastAsia="lv-LV"/>
              </w:rPr>
              <w:t xml:space="preserve"> </w:t>
            </w:r>
            <w:r w:rsidR="00EC279C" w:rsidRPr="00A23A59">
              <w:rPr>
                <w:rFonts w:ascii="Times New Roman" w:eastAsia="Times New Roman" w:hAnsi="Times New Roman" w:cs="Times New Roman"/>
                <w:iCs/>
                <w:sz w:val="28"/>
                <w:szCs w:val="28"/>
                <w:lang w:eastAsia="lv-LV"/>
              </w:rPr>
              <w:t xml:space="preserve">paredzētajam regulējumam nav tiešas ietekmes uz administratīvo slogu, jo </w:t>
            </w:r>
            <w:r w:rsidRPr="00A23A59">
              <w:rPr>
                <w:rFonts w:ascii="Times New Roman" w:eastAsia="Times New Roman" w:hAnsi="Times New Roman" w:cs="Times New Roman"/>
                <w:iCs/>
                <w:sz w:val="28"/>
                <w:szCs w:val="28"/>
                <w:lang w:eastAsia="lv-LV"/>
              </w:rPr>
              <w:t>nav iespējams prognozēt</w:t>
            </w:r>
            <w:r w:rsidR="00FC2D49" w:rsidRPr="00A23A59">
              <w:rPr>
                <w:rFonts w:ascii="Times New Roman" w:eastAsia="Times New Roman" w:hAnsi="Times New Roman" w:cs="Times New Roman"/>
                <w:iCs/>
                <w:sz w:val="28"/>
                <w:szCs w:val="28"/>
                <w:lang w:eastAsia="lv-LV"/>
              </w:rPr>
              <w:t xml:space="preserve"> </w:t>
            </w:r>
            <w:proofErr w:type="spellStart"/>
            <w:r w:rsidR="00FC2D49" w:rsidRPr="00A23A59">
              <w:rPr>
                <w:rFonts w:ascii="Times New Roman" w:eastAsia="Times New Roman" w:hAnsi="Times New Roman" w:cs="Times New Roman"/>
                <w:iCs/>
                <w:sz w:val="28"/>
                <w:szCs w:val="28"/>
                <w:lang w:eastAsia="lv-LV"/>
              </w:rPr>
              <w:t>disciplinārpārkāpumu</w:t>
            </w:r>
            <w:proofErr w:type="spellEnd"/>
            <w:r w:rsidR="00FC2D49" w:rsidRPr="00A23A59">
              <w:rPr>
                <w:rFonts w:ascii="Times New Roman" w:eastAsia="Times New Roman" w:hAnsi="Times New Roman" w:cs="Times New Roman"/>
                <w:iCs/>
                <w:sz w:val="28"/>
                <w:szCs w:val="28"/>
                <w:lang w:eastAsia="lv-LV"/>
              </w:rPr>
              <w:t xml:space="preserve"> skaitu</w:t>
            </w:r>
            <w:r w:rsidR="00EB713C" w:rsidRPr="00A23A59">
              <w:rPr>
                <w:rFonts w:ascii="Times New Roman" w:eastAsia="Times New Roman" w:hAnsi="Times New Roman" w:cs="Times New Roman"/>
                <w:iCs/>
                <w:sz w:val="28"/>
                <w:szCs w:val="28"/>
                <w:lang w:eastAsia="lv-LV"/>
              </w:rPr>
              <w:t>,</w:t>
            </w:r>
            <w:r w:rsidR="00FC2D49" w:rsidRPr="00A23A59">
              <w:rPr>
                <w:rFonts w:ascii="Times New Roman" w:eastAsia="Times New Roman" w:hAnsi="Times New Roman" w:cs="Times New Roman"/>
                <w:iCs/>
                <w:sz w:val="28"/>
                <w:szCs w:val="28"/>
                <w:lang w:eastAsia="lv-LV"/>
              </w:rPr>
              <w:t xml:space="preserve"> kā arī to,</w:t>
            </w:r>
            <w:r w:rsidRPr="00A23A59">
              <w:rPr>
                <w:rFonts w:ascii="Times New Roman" w:eastAsia="Times New Roman" w:hAnsi="Times New Roman" w:cs="Times New Roman"/>
                <w:iCs/>
                <w:sz w:val="28"/>
                <w:szCs w:val="28"/>
                <w:lang w:eastAsia="lv-LV"/>
              </w:rPr>
              <w:t xml:space="preserve"> cik datu subjektu vērsīsies Birojā ar mē</w:t>
            </w:r>
            <w:r w:rsidR="005F576B" w:rsidRPr="00A23A59">
              <w:rPr>
                <w:rFonts w:ascii="Times New Roman" w:eastAsia="Times New Roman" w:hAnsi="Times New Roman" w:cs="Times New Roman"/>
                <w:iCs/>
                <w:sz w:val="28"/>
                <w:szCs w:val="28"/>
                <w:lang w:eastAsia="lv-LV"/>
              </w:rPr>
              <w:t>rķi</w:t>
            </w:r>
            <w:r w:rsidRPr="00A23A59">
              <w:rPr>
                <w:rFonts w:ascii="Times New Roman" w:eastAsia="Times New Roman" w:hAnsi="Times New Roman" w:cs="Times New Roman"/>
                <w:iCs/>
                <w:sz w:val="28"/>
                <w:szCs w:val="28"/>
                <w:lang w:eastAsia="lv-LV"/>
              </w:rPr>
              <w:t xml:space="preserve"> noskaidrot</w:t>
            </w:r>
            <w:r w:rsidR="003670F7">
              <w:rPr>
                <w:rFonts w:ascii="Times New Roman" w:eastAsia="Times New Roman" w:hAnsi="Times New Roman" w:cs="Times New Roman"/>
                <w:iCs/>
                <w:sz w:val="28"/>
                <w:szCs w:val="28"/>
                <w:lang w:eastAsia="lv-LV"/>
              </w:rPr>
              <w:t>,</w:t>
            </w:r>
            <w:r w:rsidRPr="00A23A59">
              <w:rPr>
                <w:rFonts w:ascii="Times New Roman" w:eastAsia="Times New Roman" w:hAnsi="Times New Roman" w:cs="Times New Roman"/>
                <w:iCs/>
                <w:sz w:val="28"/>
                <w:szCs w:val="28"/>
                <w:lang w:eastAsia="lv-LV"/>
              </w:rPr>
              <w:t xml:space="preserve"> vai Biroj</w:t>
            </w:r>
            <w:r w:rsidR="005F576B" w:rsidRPr="00A23A59">
              <w:rPr>
                <w:rFonts w:ascii="Times New Roman" w:eastAsia="Times New Roman" w:hAnsi="Times New Roman" w:cs="Times New Roman"/>
                <w:iCs/>
                <w:sz w:val="28"/>
                <w:szCs w:val="28"/>
                <w:lang w:eastAsia="lv-LV"/>
              </w:rPr>
              <w:t>s</w:t>
            </w:r>
            <w:r w:rsidRPr="00A23A59">
              <w:rPr>
                <w:rFonts w:ascii="Times New Roman" w:eastAsia="Times New Roman" w:hAnsi="Times New Roman" w:cs="Times New Roman"/>
                <w:iCs/>
                <w:sz w:val="28"/>
                <w:szCs w:val="28"/>
                <w:lang w:eastAsia="lv-LV"/>
              </w:rPr>
              <w:t xml:space="preserve"> </w:t>
            </w:r>
            <w:r w:rsidR="005F576B" w:rsidRPr="00A23A59">
              <w:rPr>
                <w:rFonts w:ascii="Times New Roman" w:eastAsia="Times New Roman" w:hAnsi="Times New Roman" w:cs="Times New Roman"/>
                <w:iCs/>
                <w:sz w:val="28"/>
                <w:szCs w:val="28"/>
                <w:lang w:eastAsia="lv-LV"/>
              </w:rPr>
              <w:t>apstrādā</w:t>
            </w:r>
            <w:r w:rsidRPr="00A23A59">
              <w:rPr>
                <w:rFonts w:ascii="Times New Roman" w:eastAsia="Times New Roman" w:hAnsi="Times New Roman" w:cs="Times New Roman"/>
                <w:iCs/>
                <w:sz w:val="28"/>
                <w:szCs w:val="28"/>
                <w:lang w:eastAsia="lv-LV"/>
              </w:rPr>
              <w:t xml:space="preserve"> jebkād</w:t>
            </w:r>
            <w:r w:rsidR="005F576B" w:rsidRPr="00A23A59">
              <w:rPr>
                <w:rFonts w:ascii="Times New Roman" w:eastAsia="Times New Roman" w:hAnsi="Times New Roman" w:cs="Times New Roman"/>
                <w:iCs/>
                <w:sz w:val="28"/>
                <w:szCs w:val="28"/>
                <w:lang w:eastAsia="lv-LV"/>
              </w:rPr>
              <w:t>u</w:t>
            </w:r>
            <w:r w:rsidRPr="00A23A59">
              <w:rPr>
                <w:rFonts w:ascii="Times New Roman" w:eastAsia="Times New Roman" w:hAnsi="Times New Roman" w:cs="Times New Roman"/>
                <w:iCs/>
                <w:sz w:val="28"/>
                <w:szCs w:val="28"/>
                <w:lang w:eastAsia="lv-LV"/>
              </w:rPr>
              <w:t xml:space="preserve"> informācij</w:t>
            </w:r>
            <w:r w:rsidR="003670F7">
              <w:rPr>
                <w:rFonts w:ascii="Times New Roman" w:eastAsia="Times New Roman" w:hAnsi="Times New Roman" w:cs="Times New Roman"/>
                <w:iCs/>
                <w:sz w:val="28"/>
                <w:szCs w:val="28"/>
                <w:lang w:eastAsia="lv-LV"/>
              </w:rPr>
              <w:t>u</w:t>
            </w:r>
            <w:r w:rsidRPr="00A23A59">
              <w:rPr>
                <w:rFonts w:ascii="Times New Roman" w:eastAsia="Times New Roman" w:hAnsi="Times New Roman" w:cs="Times New Roman"/>
                <w:iCs/>
                <w:sz w:val="28"/>
                <w:szCs w:val="28"/>
                <w:lang w:eastAsia="lv-LV"/>
              </w:rPr>
              <w:t>, kas attiecas uz konkrēto datu subjektu</w:t>
            </w:r>
            <w:r w:rsidR="00EC279C" w:rsidRPr="00A23A59">
              <w:rPr>
                <w:rFonts w:ascii="Times New Roman" w:eastAsia="Times New Roman" w:hAnsi="Times New Roman" w:cs="Times New Roman"/>
                <w:iCs/>
                <w:sz w:val="28"/>
                <w:szCs w:val="28"/>
                <w:lang w:eastAsia="lv-LV"/>
              </w:rPr>
              <w:t xml:space="preserve">. Administratīvās izmaksas nav iespējams aprēķināt naudas izteiksmē, jo iztrūkst </w:t>
            </w:r>
            <w:r w:rsidR="00751BCC" w:rsidRPr="00A23A59">
              <w:rPr>
                <w:rFonts w:ascii="Times New Roman" w:eastAsia="Times New Roman" w:hAnsi="Times New Roman" w:cs="Times New Roman"/>
                <w:iCs/>
                <w:sz w:val="28"/>
                <w:szCs w:val="28"/>
                <w:lang w:eastAsia="lv-LV"/>
              </w:rPr>
              <w:t>divas</w:t>
            </w:r>
            <w:r w:rsidR="00EC279C" w:rsidRPr="00A23A59">
              <w:rPr>
                <w:rFonts w:ascii="Times New Roman" w:eastAsia="Times New Roman" w:hAnsi="Times New Roman" w:cs="Times New Roman"/>
                <w:iCs/>
                <w:sz w:val="28"/>
                <w:szCs w:val="28"/>
                <w:lang w:eastAsia="lv-LV"/>
              </w:rPr>
              <w:t xml:space="preserve"> no formulā (2009. gada 15. decembra Ministru kabineta instrukcijas Nr.19</w:t>
            </w:r>
            <w:r w:rsidR="003670F7">
              <w:rPr>
                <w:rFonts w:ascii="Times New Roman" w:eastAsia="Times New Roman" w:hAnsi="Times New Roman" w:cs="Times New Roman"/>
                <w:iCs/>
                <w:sz w:val="28"/>
                <w:szCs w:val="28"/>
                <w:lang w:eastAsia="lv-LV"/>
              </w:rPr>
              <w:t xml:space="preserve"> "</w:t>
            </w:r>
            <w:r w:rsidR="003670F7" w:rsidRPr="003670F7">
              <w:rPr>
                <w:rFonts w:ascii="Times New Roman" w:eastAsia="Times New Roman" w:hAnsi="Times New Roman" w:cs="Times New Roman"/>
                <w:iCs/>
                <w:sz w:val="28"/>
                <w:szCs w:val="28"/>
                <w:lang w:eastAsia="lv-LV"/>
              </w:rPr>
              <w:t>Tiesību akta projekta sākotnējās ietekmes izvērtēšanas kārtība</w:t>
            </w:r>
            <w:r w:rsidR="003670F7">
              <w:rPr>
                <w:rFonts w:ascii="Times New Roman" w:eastAsia="Times New Roman" w:hAnsi="Times New Roman" w:cs="Times New Roman"/>
                <w:iCs/>
                <w:sz w:val="28"/>
                <w:szCs w:val="28"/>
                <w:lang w:eastAsia="lv-LV"/>
              </w:rPr>
              <w:t>"</w:t>
            </w:r>
            <w:r w:rsidR="00EC279C" w:rsidRPr="00A23A59">
              <w:rPr>
                <w:rFonts w:ascii="Times New Roman" w:eastAsia="Times New Roman" w:hAnsi="Times New Roman" w:cs="Times New Roman"/>
                <w:iCs/>
                <w:sz w:val="28"/>
                <w:szCs w:val="28"/>
                <w:lang w:eastAsia="lv-LV"/>
              </w:rPr>
              <w:t xml:space="preserve"> 24. punkts) minētajām komponentēm</w:t>
            </w:r>
            <w:r w:rsidR="003670F7">
              <w:rPr>
                <w:rFonts w:ascii="Times New Roman" w:eastAsia="Times New Roman" w:hAnsi="Times New Roman" w:cs="Times New Roman"/>
                <w:iCs/>
                <w:sz w:val="28"/>
                <w:szCs w:val="28"/>
                <w:lang w:eastAsia="lv-LV"/>
              </w:rPr>
              <w:t>:</w:t>
            </w:r>
            <w:r w:rsidR="00EC279C" w:rsidRPr="00A23A59">
              <w:rPr>
                <w:rFonts w:ascii="Times New Roman" w:eastAsia="Times New Roman" w:hAnsi="Times New Roman" w:cs="Times New Roman"/>
                <w:iCs/>
                <w:sz w:val="28"/>
                <w:szCs w:val="28"/>
                <w:lang w:eastAsia="lv-LV"/>
              </w:rPr>
              <w:t xml:space="preserve"> </w:t>
            </w:r>
            <w:r w:rsidR="00751BCC" w:rsidRPr="00A23A59">
              <w:rPr>
                <w:rFonts w:ascii="Times New Roman" w:eastAsia="Times New Roman" w:hAnsi="Times New Roman" w:cs="Times New Roman"/>
                <w:iCs/>
                <w:sz w:val="28"/>
                <w:szCs w:val="28"/>
                <w:lang w:eastAsia="lv-LV"/>
              </w:rPr>
              <w:t>“n” – subjektu skaits, uz ko attiecas projektā paredzētās informācijas sniegšanas prasības</w:t>
            </w:r>
            <w:r w:rsidR="003670F7">
              <w:rPr>
                <w:rFonts w:ascii="Times New Roman" w:eastAsia="Times New Roman" w:hAnsi="Times New Roman" w:cs="Times New Roman"/>
                <w:iCs/>
                <w:sz w:val="28"/>
                <w:szCs w:val="28"/>
                <w:lang w:eastAsia="lv-LV"/>
              </w:rPr>
              <w:t>,</w:t>
            </w:r>
            <w:r w:rsidR="00751BCC" w:rsidRPr="00A23A59">
              <w:rPr>
                <w:rFonts w:ascii="Times New Roman" w:eastAsia="Times New Roman" w:hAnsi="Times New Roman" w:cs="Times New Roman"/>
                <w:iCs/>
                <w:sz w:val="28"/>
                <w:szCs w:val="28"/>
                <w:lang w:eastAsia="lv-LV"/>
              </w:rPr>
              <w:t xml:space="preserve"> un “</w:t>
            </w:r>
            <w:r w:rsidR="00EC279C" w:rsidRPr="00A23A59">
              <w:rPr>
                <w:rFonts w:ascii="Times New Roman" w:eastAsia="Times New Roman" w:hAnsi="Times New Roman" w:cs="Times New Roman"/>
                <w:iCs/>
                <w:sz w:val="28"/>
                <w:szCs w:val="28"/>
                <w:lang w:eastAsia="lv-LV"/>
              </w:rPr>
              <w:t>b” – cik bieži gada laikā projekts paredz informācijas sniegšanu</w:t>
            </w:r>
            <w:r w:rsidR="00756B13" w:rsidRPr="00A23A59">
              <w:rPr>
                <w:rFonts w:ascii="Times New Roman" w:eastAsia="Times New Roman" w:hAnsi="Times New Roman" w:cs="Times New Roman"/>
                <w:iCs/>
                <w:sz w:val="28"/>
                <w:szCs w:val="28"/>
                <w:lang w:eastAsia="lv-LV"/>
              </w:rPr>
              <w:t>.</w:t>
            </w:r>
          </w:p>
        </w:tc>
      </w:tr>
    </w:tbl>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07407" w:rsidRPr="00A23A5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23A59" w:rsidRDefault="00E5323B" w:rsidP="00C00564">
            <w:pPr>
              <w:spacing w:after="0" w:line="240" w:lineRule="auto"/>
              <w:jc w:val="both"/>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III. Tiesību akta projekta ietekme uz valsts budžetu un pašvaldību budžetiem</w:t>
            </w:r>
          </w:p>
        </w:tc>
      </w:tr>
      <w:tr w:rsidR="00FB6E75" w:rsidRPr="00A23A59" w:rsidTr="00FB6E7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FB6E75" w:rsidRPr="00A23A59" w:rsidRDefault="00FB6E75"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lastRenderedPageBreak/>
              <w:t>Projekts šo jomu neskar</w:t>
            </w:r>
          </w:p>
        </w:tc>
      </w:tr>
    </w:tbl>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07407" w:rsidRPr="00A23A5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23A59" w:rsidRDefault="00E5323B" w:rsidP="00C00564">
            <w:pPr>
              <w:spacing w:after="0" w:line="240" w:lineRule="auto"/>
              <w:jc w:val="both"/>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IV. Tiesību akta projekta ietekme uz spēkā esošo tiesību normu sistēmu</w:t>
            </w:r>
          </w:p>
        </w:tc>
      </w:tr>
      <w:tr w:rsidR="00FB6E75" w:rsidRPr="00A23A59" w:rsidTr="00FB6E7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B6E75" w:rsidRPr="00A23A59" w:rsidRDefault="00FB6E75"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Projekts šo jomu neskar</w:t>
            </w:r>
          </w:p>
        </w:tc>
      </w:tr>
    </w:tbl>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C0569" w:rsidRPr="00A23A59" w:rsidTr="00F141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0569" w:rsidRPr="00A23A59" w:rsidRDefault="00AC0569" w:rsidP="00AC0569">
            <w:pPr>
              <w:spacing w:after="0" w:line="240" w:lineRule="auto"/>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C0569" w:rsidRPr="00A23A59" w:rsidTr="00F141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AC0569">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AC0569">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AC0569" w:rsidRPr="00A23A59" w:rsidRDefault="009B01D4" w:rsidP="009B01D4">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Likumprojekta 1.pants atbilst </w:t>
            </w:r>
            <w:r w:rsidR="00E4171C" w:rsidRPr="00A23A59">
              <w:rPr>
                <w:rFonts w:ascii="Times New Roman" w:eastAsia="Times New Roman" w:hAnsi="Times New Roman" w:cs="Times New Roman"/>
                <w:iCs/>
                <w:sz w:val="28"/>
                <w:szCs w:val="28"/>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r w:rsidRPr="00A23A59">
              <w:rPr>
                <w:rFonts w:ascii="Times New Roman" w:eastAsia="Times New Roman" w:hAnsi="Times New Roman" w:cs="Times New Roman"/>
                <w:iCs/>
                <w:sz w:val="28"/>
                <w:szCs w:val="28"/>
                <w:lang w:eastAsia="lv-LV"/>
              </w:rPr>
              <w:t xml:space="preserve"> un </w:t>
            </w:r>
            <w:r w:rsidR="00E4171C" w:rsidRPr="00A23A59">
              <w:rPr>
                <w:rFonts w:ascii="Times New Roman" w:eastAsia="Times New Roman" w:hAnsi="Times New Roman" w:cs="Times New Roman"/>
                <w:iCs/>
                <w:sz w:val="28"/>
                <w:szCs w:val="28"/>
                <w:lang w:eastAsia="lv-LV"/>
              </w:rPr>
              <w:t>Eiropas Parlamenta un Padomes 2016. gada 27. aprīļa regula (ES) 2016/679 par fizisku personu aizsardzību attiecībā uz personas datu apstrādi un šādu datu brīvu apriti un ar ko atceļ Direktīvu 95/46/EK (Visp</w:t>
            </w:r>
            <w:r w:rsidR="00A90C56" w:rsidRPr="00A23A59">
              <w:rPr>
                <w:rFonts w:ascii="Times New Roman" w:eastAsia="Times New Roman" w:hAnsi="Times New Roman" w:cs="Times New Roman"/>
                <w:iCs/>
                <w:sz w:val="28"/>
                <w:szCs w:val="28"/>
                <w:lang w:eastAsia="lv-LV"/>
              </w:rPr>
              <w:t>ārīgā datu aizsardzības regula)</w:t>
            </w:r>
            <w:r w:rsidR="00756B13" w:rsidRPr="00A23A59">
              <w:rPr>
                <w:rFonts w:ascii="Times New Roman" w:eastAsia="Times New Roman" w:hAnsi="Times New Roman" w:cs="Times New Roman"/>
                <w:iCs/>
                <w:sz w:val="28"/>
                <w:szCs w:val="28"/>
                <w:lang w:eastAsia="lv-LV"/>
              </w:rPr>
              <w:t>.</w:t>
            </w:r>
          </w:p>
        </w:tc>
      </w:tr>
      <w:tr w:rsidR="00AC0569" w:rsidRPr="00A23A59" w:rsidTr="00F141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AC0569">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AC0569">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9B01D4">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w:t>
            </w:r>
            <w:r w:rsidR="009B01D4" w:rsidRPr="00A23A59">
              <w:rPr>
                <w:rFonts w:ascii="Times New Roman" w:eastAsia="Times New Roman" w:hAnsi="Times New Roman" w:cs="Times New Roman"/>
                <w:iCs/>
                <w:sz w:val="28"/>
                <w:szCs w:val="28"/>
                <w:lang w:eastAsia="lv-LV"/>
              </w:rPr>
              <w:t>a 1.pants</w:t>
            </w:r>
            <w:r w:rsidRPr="00A23A59">
              <w:rPr>
                <w:rFonts w:ascii="Times New Roman" w:eastAsia="Times New Roman" w:hAnsi="Times New Roman" w:cs="Times New Roman"/>
                <w:iCs/>
                <w:sz w:val="28"/>
                <w:szCs w:val="28"/>
                <w:lang w:eastAsia="lv-LV"/>
              </w:rPr>
              <w:t xml:space="preserve"> atbilst Eiropas Cilvēka tiesību un pamatbrīvību aiz</w:t>
            </w:r>
            <w:r w:rsidR="00A90C56" w:rsidRPr="00A23A59">
              <w:rPr>
                <w:rFonts w:ascii="Times New Roman" w:eastAsia="Times New Roman" w:hAnsi="Times New Roman" w:cs="Times New Roman"/>
                <w:iCs/>
                <w:sz w:val="28"/>
                <w:szCs w:val="28"/>
                <w:lang w:eastAsia="lv-LV"/>
              </w:rPr>
              <w:t xml:space="preserve">sardzības konvencijas 8. </w:t>
            </w:r>
            <w:r w:rsidR="00756B13" w:rsidRPr="00A23A59">
              <w:rPr>
                <w:rFonts w:ascii="Times New Roman" w:eastAsia="Times New Roman" w:hAnsi="Times New Roman" w:cs="Times New Roman"/>
                <w:iCs/>
                <w:sz w:val="28"/>
                <w:szCs w:val="28"/>
                <w:lang w:eastAsia="lv-LV"/>
              </w:rPr>
              <w:t>p</w:t>
            </w:r>
            <w:r w:rsidR="00A90C56" w:rsidRPr="00A23A59">
              <w:rPr>
                <w:rFonts w:ascii="Times New Roman" w:eastAsia="Times New Roman" w:hAnsi="Times New Roman" w:cs="Times New Roman"/>
                <w:iCs/>
                <w:sz w:val="28"/>
                <w:szCs w:val="28"/>
                <w:lang w:eastAsia="lv-LV"/>
              </w:rPr>
              <w:t>antam</w:t>
            </w:r>
            <w:r w:rsidR="00756B13" w:rsidRPr="00A23A59">
              <w:rPr>
                <w:rFonts w:ascii="Times New Roman" w:eastAsia="Times New Roman" w:hAnsi="Times New Roman" w:cs="Times New Roman"/>
                <w:iCs/>
                <w:sz w:val="28"/>
                <w:szCs w:val="28"/>
                <w:lang w:eastAsia="lv-LV"/>
              </w:rPr>
              <w:t>.</w:t>
            </w:r>
          </w:p>
        </w:tc>
      </w:tr>
      <w:tr w:rsidR="00AC0569" w:rsidRPr="00A23A59" w:rsidTr="00F141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AC0569">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AC0569" w:rsidRPr="00A23A59" w:rsidRDefault="00AC0569" w:rsidP="00AC0569">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C0569" w:rsidRPr="00A23A59" w:rsidRDefault="001E0A88" w:rsidP="00AC0569">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bl>
    <w:p w:rsidR="00AC0569"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0"/>
        <w:gridCol w:w="2248"/>
        <w:gridCol w:w="2249"/>
        <w:gridCol w:w="2464"/>
      </w:tblGrid>
      <w:tr w:rsidR="00AC0569" w:rsidRPr="00A23A59" w:rsidTr="00397F45">
        <w:trPr>
          <w:tblCellSpacing w:w="15" w:type="dxa"/>
        </w:trPr>
        <w:tc>
          <w:tcPr>
            <w:tcW w:w="9161" w:type="dxa"/>
            <w:gridSpan w:val="4"/>
            <w:tcBorders>
              <w:top w:val="outset" w:sz="6" w:space="0" w:color="auto"/>
              <w:left w:val="outset" w:sz="6" w:space="0" w:color="auto"/>
              <w:bottom w:val="outset" w:sz="6" w:space="0" w:color="auto"/>
              <w:right w:val="outset" w:sz="6" w:space="0" w:color="auto"/>
            </w:tcBorders>
            <w:vAlign w:val="center"/>
            <w:hideMark/>
          </w:tcPr>
          <w:p w:rsidR="00AC0569" w:rsidRPr="00A23A59" w:rsidRDefault="00AC0569" w:rsidP="00C917EE">
            <w:pPr>
              <w:spacing w:after="0" w:line="240" w:lineRule="auto"/>
              <w:jc w:val="center"/>
              <w:rPr>
                <w:rFonts w:ascii="Times New Roman" w:eastAsia="Times New Roman" w:hAnsi="Times New Roman" w:cs="Times New Roman"/>
                <w:b/>
                <w:iCs/>
                <w:sz w:val="28"/>
                <w:szCs w:val="28"/>
                <w:lang w:eastAsia="lv-LV"/>
              </w:rPr>
            </w:pPr>
            <w:r w:rsidRPr="00A23A59">
              <w:rPr>
                <w:rFonts w:ascii="Times New Roman" w:eastAsia="Times New Roman" w:hAnsi="Times New Roman" w:cs="Times New Roman"/>
                <w:b/>
                <w:iCs/>
                <w:sz w:val="28"/>
                <w:szCs w:val="28"/>
                <w:lang w:eastAsia="lv-LV"/>
              </w:rPr>
              <w:t>1. tabula</w:t>
            </w:r>
            <w:r w:rsidRPr="00A23A59">
              <w:rPr>
                <w:rFonts w:ascii="Times New Roman" w:eastAsia="Times New Roman" w:hAnsi="Times New Roman" w:cs="Times New Roman"/>
                <w:b/>
                <w:iCs/>
                <w:sz w:val="28"/>
                <w:szCs w:val="28"/>
                <w:lang w:eastAsia="lv-LV"/>
              </w:rPr>
              <w:br/>
              <w:t>Tiesību akta projekta atbilstība ES tiesību aktiem</w:t>
            </w: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val="de-DE" w:eastAsia="lv-LV"/>
              </w:rPr>
            </w:pPr>
            <w:r w:rsidRPr="00A23A59">
              <w:rPr>
                <w:rFonts w:ascii="Times New Roman" w:eastAsia="Times New Roman" w:hAnsi="Times New Roman" w:cs="Times New Roman"/>
                <w:iCs/>
                <w:sz w:val="28"/>
                <w:szCs w:val="28"/>
                <w:lang w:eastAsia="lv-LV"/>
              </w:rPr>
              <w:t>Attiecīgā ES tiesību akta datums</w:t>
            </w:r>
            <w:r w:rsidRPr="00A23A59">
              <w:rPr>
                <w:rFonts w:ascii="Times New Roman" w:eastAsia="Times New Roman" w:hAnsi="Times New Roman" w:cs="Times New Roman"/>
                <w:iCs/>
                <w:sz w:val="28"/>
                <w:szCs w:val="28"/>
                <w:lang w:val="de-DE" w:eastAsia="lv-LV"/>
              </w:rPr>
              <w:t>, numurs un nosaukums</w:t>
            </w:r>
          </w:p>
        </w:tc>
        <w:tc>
          <w:tcPr>
            <w:tcW w:w="6916" w:type="dxa"/>
            <w:gridSpan w:val="3"/>
            <w:tcBorders>
              <w:top w:val="outset" w:sz="6" w:space="0" w:color="auto"/>
              <w:left w:val="outset" w:sz="6" w:space="0" w:color="auto"/>
              <w:bottom w:val="outset" w:sz="6" w:space="0" w:color="auto"/>
              <w:right w:val="outset" w:sz="6" w:space="0" w:color="auto"/>
            </w:tcBorders>
            <w:hideMark/>
          </w:tcPr>
          <w:p w:rsidR="006D6CE1" w:rsidRPr="00A23A59" w:rsidRDefault="006D6CE1" w:rsidP="006D6CE1">
            <w:pPr>
              <w:spacing w:after="0" w:line="240" w:lineRule="auto"/>
              <w:jc w:val="both"/>
              <w:rPr>
                <w:rFonts w:ascii="Times New Roman" w:eastAsia="Times New Roman" w:hAnsi="Times New Roman" w:cs="Times New Roman"/>
                <w:iCs/>
                <w:sz w:val="28"/>
                <w:szCs w:val="28"/>
                <w:lang w:val="de-DE" w:eastAsia="lv-LV"/>
              </w:rPr>
            </w:pPr>
            <w:r w:rsidRPr="00A23A59">
              <w:rPr>
                <w:rFonts w:ascii="Times New Roman" w:eastAsia="Times New Roman" w:hAnsi="Times New Roman" w:cs="Times New Roman"/>
                <w:iCs/>
                <w:sz w:val="28"/>
                <w:szCs w:val="28"/>
                <w:lang w:val="de-DE"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00AC0569" w:rsidRPr="00A23A59" w:rsidRDefault="006D6CE1" w:rsidP="006D6CE1">
            <w:pPr>
              <w:spacing w:after="0" w:line="240" w:lineRule="auto"/>
              <w:jc w:val="both"/>
              <w:rPr>
                <w:rFonts w:ascii="Times New Roman" w:eastAsia="Times New Roman" w:hAnsi="Times New Roman" w:cs="Times New Roman"/>
                <w:iCs/>
                <w:sz w:val="28"/>
                <w:szCs w:val="28"/>
                <w:lang w:val="de-DE" w:eastAsia="lv-LV"/>
              </w:rPr>
            </w:pPr>
            <w:r w:rsidRPr="00A23A59">
              <w:rPr>
                <w:rFonts w:ascii="Times New Roman" w:eastAsia="Times New Roman" w:hAnsi="Times New Roman" w:cs="Times New Roman"/>
                <w:iCs/>
                <w:sz w:val="28"/>
                <w:szCs w:val="28"/>
                <w:lang w:val="de-DE" w:eastAsia="lv-LV"/>
              </w:rPr>
              <w:t xml:space="preserve">Eiropas Parlamenta un Padomes 2016. gada 27. aprīļa regula (ES) 2016/679 par fizisku personu aizsardzību attiecībā uz personas datu apstrādi un šādu datu brīvu apriti un ar ko atceļ Direktīvu 95/46/EK (Vispārīgā datu aizsardzības </w:t>
            </w:r>
            <w:r w:rsidRPr="00A23A59">
              <w:rPr>
                <w:rFonts w:ascii="Times New Roman" w:eastAsia="Times New Roman" w:hAnsi="Times New Roman" w:cs="Times New Roman"/>
                <w:iCs/>
                <w:sz w:val="28"/>
                <w:szCs w:val="28"/>
                <w:lang w:val="de-DE" w:eastAsia="lv-LV"/>
              </w:rPr>
              <w:lastRenderedPageBreak/>
              <w:t>regula).</w:t>
            </w: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AC0569" w:rsidRPr="00A23A59" w:rsidRDefault="00AC0569" w:rsidP="00F14108">
            <w:pPr>
              <w:spacing w:after="0" w:line="240" w:lineRule="auto"/>
              <w:rPr>
                <w:rFonts w:ascii="Times New Roman" w:eastAsia="Times New Roman" w:hAnsi="Times New Roman" w:cs="Times New Roman"/>
                <w:iCs/>
                <w:sz w:val="28"/>
                <w:szCs w:val="28"/>
                <w:lang w:val="en-US" w:eastAsia="lv-LV"/>
              </w:rPr>
            </w:pPr>
            <w:r w:rsidRPr="00A23A59">
              <w:rPr>
                <w:rFonts w:ascii="Times New Roman" w:eastAsia="Times New Roman" w:hAnsi="Times New Roman" w:cs="Times New Roman"/>
                <w:iCs/>
                <w:sz w:val="28"/>
                <w:szCs w:val="28"/>
                <w:lang w:val="en-US" w:eastAsia="lv-LV"/>
              </w:rPr>
              <w:lastRenderedPageBreak/>
              <w:t>A</w:t>
            </w:r>
          </w:p>
        </w:tc>
        <w:tc>
          <w:tcPr>
            <w:tcW w:w="2218" w:type="dxa"/>
            <w:tcBorders>
              <w:top w:val="outset" w:sz="6" w:space="0" w:color="auto"/>
              <w:left w:val="outset" w:sz="6" w:space="0" w:color="auto"/>
              <w:bottom w:val="outset" w:sz="6" w:space="0" w:color="auto"/>
              <w:right w:val="outset" w:sz="6" w:space="0" w:color="auto"/>
            </w:tcBorders>
            <w:vAlign w:val="center"/>
            <w:hideMark/>
          </w:tcPr>
          <w:p w:rsidR="00AC0569" w:rsidRPr="00A23A59" w:rsidRDefault="00AC0569" w:rsidP="00F14108">
            <w:pPr>
              <w:spacing w:after="0" w:line="240" w:lineRule="auto"/>
              <w:rPr>
                <w:rFonts w:ascii="Times New Roman" w:eastAsia="Times New Roman" w:hAnsi="Times New Roman" w:cs="Times New Roman"/>
                <w:iCs/>
                <w:sz w:val="28"/>
                <w:szCs w:val="28"/>
                <w:lang w:val="en-US" w:eastAsia="lv-LV"/>
              </w:rPr>
            </w:pPr>
            <w:r w:rsidRPr="00A23A59">
              <w:rPr>
                <w:rFonts w:ascii="Times New Roman" w:eastAsia="Times New Roman" w:hAnsi="Times New Roman" w:cs="Times New Roman"/>
                <w:iCs/>
                <w:sz w:val="28"/>
                <w:szCs w:val="28"/>
                <w:lang w:val="en-US" w:eastAsia="lv-LV"/>
              </w:rPr>
              <w:t>B</w:t>
            </w:r>
          </w:p>
        </w:tc>
        <w:tc>
          <w:tcPr>
            <w:tcW w:w="2219" w:type="dxa"/>
            <w:tcBorders>
              <w:top w:val="outset" w:sz="6" w:space="0" w:color="auto"/>
              <w:left w:val="outset" w:sz="6" w:space="0" w:color="auto"/>
              <w:bottom w:val="outset" w:sz="6" w:space="0" w:color="auto"/>
              <w:right w:val="outset" w:sz="6" w:space="0" w:color="auto"/>
            </w:tcBorders>
            <w:vAlign w:val="center"/>
            <w:hideMark/>
          </w:tcPr>
          <w:p w:rsidR="00AC0569" w:rsidRPr="00A23A59" w:rsidRDefault="00AC0569" w:rsidP="00F14108">
            <w:pPr>
              <w:spacing w:after="0" w:line="240" w:lineRule="auto"/>
              <w:rPr>
                <w:rFonts w:ascii="Times New Roman" w:eastAsia="Times New Roman" w:hAnsi="Times New Roman" w:cs="Times New Roman"/>
                <w:iCs/>
                <w:sz w:val="28"/>
                <w:szCs w:val="28"/>
                <w:lang w:val="en-US" w:eastAsia="lv-LV"/>
              </w:rPr>
            </w:pPr>
            <w:r w:rsidRPr="00A23A59">
              <w:rPr>
                <w:rFonts w:ascii="Times New Roman" w:eastAsia="Times New Roman" w:hAnsi="Times New Roman" w:cs="Times New Roman"/>
                <w:iCs/>
                <w:sz w:val="28"/>
                <w:szCs w:val="28"/>
                <w:lang w:val="en-US" w:eastAsia="lv-LV"/>
              </w:rPr>
              <w:t>C</w:t>
            </w:r>
          </w:p>
        </w:tc>
        <w:tc>
          <w:tcPr>
            <w:tcW w:w="2419" w:type="dxa"/>
            <w:tcBorders>
              <w:top w:val="outset" w:sz="6" w:space="0" w:color="auto"/>
              <w:left w:val="outset" w:sz="6" w:space="0" w:color="auto"/>
              <w:bottom w:val="outset" w:sz="6" w:space="0" w:color="auto"/>
              <w:right w:val="outset" w:sz="6" w:space="0" w:color="auto"/>
            </w:tcBorders>
            <w:vAlign w:val="center"/>
            <w:hideMark/>
          </w:tcPr>
          <w:p w:rsidR="00AC0569" w:rsidRPr="00A23A59" w:rsidRDefault="00AC0569" w:rsidP="00F14108">
            <w:pPr>
              <w:spacing w:after="0" w:line="240" w:lineRule="auto"/>
              <w:rPr>
                <w:rFonts w:ascii="Times New Roman" w:eastAsia="Times New Roman" w:hAnsi="Times New Roman" w:cs="Times New Roman"/>
                <w:iCs/>
                <w:sz w:val="28"/>
                <w:szCs w:val="28"/>
                <w:lang w:val="en-US" w:eastAsia="lv-LV"/>
              </w:rPr>
            </w:pPr>
            <w:r w:rsidRPr="00A23A59">
              <w:rPr>
                <w:rFonts w:ascii="Times New Roman" w:eastAsia="Times New Roman" w:hAnsi="Times New Roman" w:cs="Times New Roman"/>
                <w:iCs/>
                <w:sz w:val="28"/>
                <w:szCs w:val="28"/>
                <w:lang w:val="en-US" w:eastAsia="lv-LV"/>
              </w:rPr>
              <w:t>D</w:t>
            </w: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2218"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2219"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A23A59">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A23A59">
              <w:rPr>
                <w:rFonts w:ascii="Times New Roman" w:eastAsia="Times New Roman" w:hAnsi="Times New Roman" w:cs="Times New Roman"/>
                <w:iCs/>
                <w:sz w:val="28"/>
                <w:szCs w:val="28"/>
                <w:lang w:eastAsia="lv-LV"/>
              </w:rPr>
              <w:br/>
              <w:t>Norāda institūciju, kas ir atbildīga par šo saistību izpildi pilnībā</w:t>
            </w:r>
          </w:p>
        </w:tc>
        <w:tc>
          <w:tcPr>
            <w:tcW w:w="2419"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A23A59">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A23A59">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13.panta ceturtā daļa</w:t>
            </w:r>
          </w:p>
        </w:tc>
        <w:tc>
          <w:tcPr>
            <w:tcW w:w="2218" w:type="dxa"/>
            <w:tcBorders>
              <w:top w:val="outset" w:sz="6" w:space="0" w:color="auto"/>
              <w:left w:val="outset" w:sz="6" w:space="0" w:color="auto"/>
              <w:bottom w:val="outset" w:sz="6" w:space="0" w:color="auto"/>
              <w:right w:val="outset" w:sz="6" w:space="0" w:color="auto"/>
            </w:tcBorders>
            <w:hideMark/>
          </w:tcPr>
          <w:p w:rsidR="00AC056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likumprojekta 1.p</w:t>
            </w:r>
            <w:r w:rsidR="00632F7B" w:rsidRPr="00A23A59">
              <w:rPr>
                <w:rFonts w:ascii="Times New Roman" w:eastAsia="Times New Roman" w:hAnsi="Times New Roman" w:cs="Times New Roman"/>
                <w:iCs/>
                <w:sz w:val="28"/>
                <w:szCs w:val="28"/>
                <w:lang w:eastAsia="lv-LV"/>
              </w:rPr>
              <w:t>ants</w:t>
            </w:r>
          </w:p>
        </w:tc>
        <w:tc>
          <w:tcPr>
            <w:tcW w:w="2219" w:type="dxa"/>
            <w:tcBorders>
              <w:top w:val="outset" w:sz="6" w:space="0" w:color="auto"/>
              <w:left w:val="outset" w:sz="6" w:space="0" w:color="auto"/>
              <w:bottom w:val="outset" w:sz="6" w:space="0" w:color="auto"/>
              <w:right w:val="outset" w:sz="6" w:space="0" w:color="auto"/>
            </w:tcBorders>
            <w:hideMark/>
          </w:tcPr>
          <w:p w:rsidR="00AC056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Pārņemts pilnībā</w:t>
            </w:r>
          </w:p>
        </w:tc>
        <w:tc>
          <w:tcPr>
            <w:tcW w:w="2419" w:type="dxa"/>
            <w:tcBorders>
              <w:top w:val="outset" w:sz="6" w:space="0" w:color="auto"/>
              <w:left w:val="outset" w:sz="6" w:space="0" w:color="auto"/>
              <w:bottom w:val="outset" w:sz="6" w:space="0" w:color="auto"/>
              <w:right w:val="outset" w:sz="6" w:space="0" w:color="auto"/>
            </w:tcBorders>
            <w:hideMark/>
          </w:tcPr>
          <w:p w:rsidR="00AC056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Stingrākas prasības nav paredzētas</w:t>
            </w:r>
          </w:p>
        </w:tc>
      </w:tr>
      <w:tr w:rsidR="0045478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15.panta otrā daļa</w:t>
            </w:r>
          </w:p>
        </w:tc>
        <w:tc>
          <w:tcPr>
            <w:tcW w:w="2218"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likumprojekta 1.p</w:t>
            </w:r>
            <w:r w:rsidR="00632F7B" w:rsidRPr="00A23A59">
              <w:rPr>
                <w:rFonts w:ascii="Times New Roman" w:eastAsia="Times New Roman" w:hAnsi="Times New Roman" w:cs="Times New Roman"/>
                <w:iCs/>
                <w:sz w:val="28"/>
                <w:szCs w:val="28"/>
                <w:lang w:eastAsia="lv-LV"/>
              </w:rPr>
              <w:t>ants</w:t>
            </w:r>
          </w:p>
        </w:tc>
        <w:tc>
          <w:tcPr>
            <w:tcW w:w="2219"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Pārņemts pilnībā</w:t>
            </w:r>
          </w:p>
        </w:tc>
        <w:tc>
          <w:tcPr>
            <w:tcW w:w="2419"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Stingrākas prasības nav paredzētas</w:t>
            </w:r>
          </w:p>
        </w:tc>
      </w:tr>
      <w:tr w:rsidR="0045478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16.panta ceturtās daļas otrais teikums</w:t>
            </w:r>
          </w:p>
        </w:tc>
        <w:tc>
          <w:tcPr>
            <w:tcW w:w="2218"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likumprojekta 1.p</w:t>
            </w:r>
            <w:r w:rsidR="00632F7B" w:rsidRPr="00A23A59">
              <w:rPr>
                <w:rFonts w:ascii="Times New Roman" w:eastAsia="Times New Roman" w:hAnsi="Times New Roman" w:cs="Times New Roman"/>
                <w:iCs/>
                <w:sz w:val="28"/>
                <w:szCs w:val="28"/>
                <w:lang w:eastAsia="lv-LV"/>
              </w:rPr>
              <w:t>ants</w:t>
            </w:r>
          </w:p>
        </w:tc>
        <w:tc>
          <w:tcPr>
            <w:tcW w:w="2219"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Pārņemts pilnībā</w:t>
            </w:r>
          </w:p>
        </w:tc>
        <w:tc>
          <w:tcPr>
            <w:tcW w:w="2419" w:type="dxa"/>
            <w:tcBorders>
              <w:top w:val="outset" w:sz="6" w:space="0" w:color="auto"/>
              <w:left w:val="outset" w:sz="6" w:space="0" w:color="auto"/>
              <w:bottom w:val="outset" w:sz="6" w:space="0" w:color="auto"/>
              <w:right w:val="outset" w:sz="6" w:space="0" w:color="auto"/>
            </w:tcBorders>
          </w:tcPr>
          <w:p w:rsidR="00454789" w:rsidRPr="00A23A59" w:rsidRDefault="0045478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Stingrākas prasības nav paredzētas</w:t>
            </w: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Kā ir izmantota ES tiesību aktā paredzētā rīcības brīvība dalībvalstij pārņemt vai </w:t>
            </w:r>
            <w:r w:rsidRPr="00A23A59">
              <w:rPr>
                <w:rFonts w:ascii="Times New Roman" w:eastAsia="Times New Roman" w:hAnsi="Times New Roman" w:cs="Times New Roman"/>
                <w:iCs/>
                <w:sz w:val="28"/>
                <w:szCs w:val="28"/>
                <w:lang w:eastAsia="lv-LV"/>
              </w:rPr>
              <w:lastRenderedPageBreak/>
              <w:t>ieviest noteiktas ES tiesību akta normas? Kādēļ?</w:t>
            </w:r>
          </w:p>
        </w:tc>
        <w:tc>
          <w:tcPr>
            <w:tcW w:w="6916" w:type="dxa"/>
            <w:gridSpan w:val="3"/>
            <w:tcBorders>
              <w:top w:val="outset" w:sz="6" w:space="0" w:color="auto"/>
              <w:left w:val="outset" w:sz="6" w:space="0" w:color="auto"/>
              <w:bottom w:val="outset" w:sz="6" w:space="0" w:color="auto"/>
              <w:right w:val="outset" w:sz="6" w:space="0" w:color="auto"/>
            </w:tcBorders>
            <w:hideMark/>
          </w:tcPr>
          <w:p w:rsidR="00AC0569" w:rsidRPr="00A23A59" w:rsidRDefault="00C917EE" w:rsidP="00307C31">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lastRenderedPageBreak/>
              <w:t>Pārņemts pilnībā</w:t>
            </w:r>
            <w:r w:rsidR="00397F45" w:rsidRPr="00A23A59">
              <w:rPr>
                <w:rFonts w:ascii="Times New Roman" w:eastAsia="Times New Roman" w:hAnsi="Times New Roman" w:cs="Times New Roman"/>
                <w:iCs/>
                <w:sz w:val="28"/>
                <w:szCs w:val="28"/>
                <w:lang w:eastAsia="lv-LV"/>
              </w:rPr>
              <w:t>.</w:t>
            </w:r>
            <w:r w:rsidR="008C4B98" w:rsidRPr="00A23A59">
              <w:rPr>
                <w:rFonts w:ascii="Times New Roman" w:eastAsia="Times New Roman" w:hAnsi="Times New Roman" w:cs="Times New Roman"/>
                <w:iCs/>
                <w:sz w:val="28"/>
                <w:szCs w:val="28"/>
                <w:lang w:eastAsia="lv-LV"/>
              </w:rPr>
              <w:t xml:space="preserve"> Skatīt anotācijas I</w:t>
            </w:r>
            <w:r w:rsidR="00632F7B" w:rsidRPr="00A23A59">
              <w:rPr>
                <w:rFonts w:ascii="Times New Roman" w:eastAsia="Times New Roman" w:hAnsi="Times New Roman" w:cs="Times New Roman"/>
                <w:iCs/>
                <w:sz w:val="28"/>
                <w:szCs w:val="28"/>
                <w:lang w:eastAsia="lv-LV"/>
              </w:rPr>
              <w:t>.</w:t>
            </w:r>
            <w:r w:rsidR="008C4B98" w:rsidRPr="00A23A59">
              <w:rPr>
                <w:rFonts w:ascii="Times New Roman" w:eastAsia="Times New Roman" w:hAnsi="Times New Roman" w:cs="Times New Roman"/>
                <w:iCs/>
                <w:sz w:val="28"/>
                <w:szCs w:val="28"/>
                <w:lang w:eastAsia="lv-LV"/>
              </w:rPr>
              <w:t xml:space="preserve"> sadaļas 2.punktu</w:t>
            </w:r>
            <w:r w:rsidR="00756B13" w:rsidRPr="00A23A59">
              <w:rPr>
                <w:rFonts w:ascii="Times New Roman" w:eastAsia="Times New Roman" w:hAnsi="Times New Roman" w:cs="Times New Roman"/>
                <w:iCs/>
                <w:sz w:val="28"/>
                <w:szCs w:val="28"/>
                <w:lang w:eastAsia="lv-LV"/>
              </w:rPr>
              <w:t>.</w:t>
            </w:r>
          </w:p>
          <w:p w:rsidR="00397F45" w:rsidRPr="00A23A59" w:rsidRDefault="00397F45" w:rsidP="00307C31">
            <w:pPr>
              <w:spacing w:after="0" w:line="240" w:lineRule="auto"/>
              <w:jc w:val="both"/>
              <w:rPr>
                <w:rFonts w:ascii="Times New Roman" w:eastAsia="Times New Roman" w:hAnsi="Times New Roman" w:cs="Times New Roman"/>
                <w:iCs/>
                <w:sz w:val="28"/>
                <w:szCs w:val="28"/>
                <w:lang w:eastAsia="lv-LV"/>
              </w:rPr>
            </w:pP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16" w:type="dxa"/>
            <w:gridSpan w:val="3"/>
            <w:tcBorders>
              <w:top w:val="outset" w:sz="6" w:space="0" w:color="auto"/>
              <w:left w:val="outset" w:sz="6" w:space="0" w:color="auto"/>
              <w:bottom w:val="outset" w:sz="6" w:space="0" w:color="auto"/>
              <w:right w:val="outset" w:sz="6" w:space="0" w:color="auto"/>
            </w:tcBorders>
            <w:hideMark/>
          </w:tcPr>
          <w:p w:rsidR="00AC0569" w:rsidRPr="00A23A59" w:rsidRDefault="00A90C56"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Likumprojekts šo jomu neskar</w:t>
            </w:r>
            <w:r w:rsidR="00756B13" w:rsidRPr="00A23A59">
              <w:rPr>
                <w:rFonts w:ascii="Times New Roman" w:eastAsia="Times New Roman" w:hAnsi="Times New Roman" w:cs="Times New Roman"/>
                <w:iCs/>
                <w:sz w:val="28"/>
                <w:szCs w:val="28"/>
                <w:lang w:eastAsia="lv-LV"/>
              </w:rPr>
              <w:t>.</w:t>
            </w:r>
          </w:p>
        </w:tc>
      </w:tr>
      <w:tr w:rsidR="00AC0569" w:rsidRPr="00A23A5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23A59" w:rsidRDefault="00AC0569"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 informācija</w:t>
            </w:r>
          </w:p>
        </w:tc>
        <w:tc>
          <w:tcPr>
            <w:tcW w:w="6916" w:type="dxa"/>
            <w:gridSpan w:val="3"/>
            <w:tcBorders>
              <w:top w:val="outset" w:sz="6" w:space="0" w:color="auto"/>
              <w:left w:val="outset" w:sz="6" w:space="0" w:color="auto"/>
              <w:bottom w:val="outset" w:sz="6" w:space="0" w:color="auto"/>
              <w:right w:val="outset" w:sz="6" w:space="0" w:color="auto"/>
            </w:tcBorders>
            <w:hideMark/>
          </w:tcPr>
          <w:p w:rsidR="00AC0569" w:rsidRPr="00A23A59" w:rsidRDefault="00307C31"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bl>
    <w:p w:rsidR="00397F45"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97F45" w:rsidRPr="00A23A59" w:rsidTr="00F141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7F45" w:rsidRPr="00A23A59" w:rsidRDefault="00397F45" w:rsidP="00397F45">
            <w:pPr>
              <w:spacing w:after="0" w:line="240" w:lineRule="auto"/>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VI. Sabiedrības līdzdalība un komunikācijas aktivitātes</w:t>
            </w:r>
          </w:p>
        </w:tc>
      </w:tr>
      <w:tr w:rsidR="00397F45"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397F45" w:rsidRPr="00A23A59" w:rsidRDefault="00BB50D5" w:rsidP="00462288">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Izsludinot projektu Valsts sekretāru sanāksmē, tika lūgts sniegt atzinumu Korupcijas novēršanas un apkarošanas biroja Sabiedriski konsultatīvajai padomei, kuras sastāvā ir </w:t>
            </w:r>
            <w:r w:rsidR="00F47001" w:rsidRPr="00A23A59">
              <w:rPr>
                <w:rFonts w:ascii="Times New Roman" w:eastAsia="Times New Roman" w:hAnsi="Times New Roman" w:cs="Times New Roman"/>
                <w:iCs/>
                <w:sz w:val="28"/>
                <w:szCs w:val="28"/>
                <w:lang w:eastAsia="lv-LV"/>
              </w:rPr>
              <w:t xml:space="preserve">šādas </w:t>
            </w:r>
            <w:r w:rsidR="00272002" w:rsidRPr="00A23A59">
              <w:rPr>
                <w:rFonts w:ascii="Times New Roman" w:eastAsia="Times New Roman" w:hAnsi="Times New Roman" w:cs="Times New Roman"/>
                <w:iCs/>
                <w:sz w:val="28"/>
                <w:szCs w:val="28"/>
                <w:lang w:eastAsia="lv-LV"/>
              </w:rPr>
              <w:t>deviņpadsmit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00272002" w:rsidRPr="00A23A59">
              <w:rPr>
                <w:rFonts w:ascii="Times New Roman" w:eastAsia="Times New Roman" w:hAnsi="Times New Roman" w:cs="Times New Roman"/>
                <w:iCs/>
                <w:sz w:val="28"/>
                <w:szCs w:val="28"/>
                <w:lang w:eastAsia="lv-LV"/>
              </w:rPr>
              <w:t>InCSR</w:t>
            </w:r>
            <w:proofErr w:type="spellEnd"/>
            <w:r w:rsidR="00272002" w:rsidRPr="00A23A59">
              <w:rPr>
                <w:rFonts w:ascii="Times New Roman" w:eastAsia="Times New Roman" w:hAnsi="Times New Roman" w:cs="Times New Roman"/>
                <w:iCs/>
                <w:sz w:val="28"/>
                <w:szCs w:val="28"/>
                <w:lang w:eastAsia="lv-LV"/>
              </w:rPr>
              <w:t xml:space="preserve">), </w:t>
            </w:r>
            <w:r w:rsidR="009147EE" w:rsidRPr="00A23A59">
              <w:rPr>
                <w:rFonts w:ascii="Times New Roman" w:eastAsia="Times New Roman" w:hAnsi="Times New Roman" w:cs="Times New Roman"/>
                <w:iCs/>
                <w:sz w:val="28"/>
                <w:szCs w:val="28"/>
                <w:lang w:eastAsia="lv-LV"/>
              </w:rPr>
              <w:t>b</w:t>
            </w:r>
            <w:r w:rsidR="00272002" w:rsidRPr="00A23A59">
              <w:rPr>
                <w:rFonts w:ascii="Times New Roman" w:eastAsia="Times New Roman" w:hAnsi="Times New Roman" w:cs="Times New Roman"/>
                <w:iCs/>
                <w:sz w:val="28"/>
                <w:szCs w:val="28"/>
                <w:lang w:eastAsia="lv-LV"/>
              </w:rPr>
              <w:t xml:space="preserve">iedrība </w:t>
            </w:r>
            <w:r w:rsidR="009147EE" w:rsidRPr="00A23A59">
              <w:rPr>
                <w:rFonts w:ascii="Times New Roman" w:eastAsia="Times New Roman" w:hAnsi="Times New Roman" w:cs="Times New Roman"/>
                <w:iCs/>
                <w:sz w:val="28"/>
                <w:szCs w:val="28"/>
                <w:lang w:eastAsia="lv-LV"/>
              </w:rPr>
              <w:t>“</w:t>
            </w:r>
            <w:r w:rsidR="00272002" w:rsidRPr="00A23A59">
              <w:rPr>
                <w:rFonts w:ascii="Times New Roman" w:eastAsia="Times New Roman" w:hAnsi="Times New Roman" w:cs="Times New Roman"/>
                <w:iCs/>
                <w:sz w:val="28"/>
                <w:szCs w:val="28"/>
                <w:lang w:eastAsia="lv-LV"/>
              </w:rPr>
              <w:t>Veselības projekti Latvijai</w:t>
            </w:r>
            <w:r w:rsidR="009147EE" w:rsidRPr="00A23A59">
              <w:rPr>
                <w:rFonts w:ascii="Times New Roman" w:eastAsia="Times New Roman" w:hAnsi="Times New Roman" w:cs="Times New Roman"/>
                <w:iCs/>
                <w:sz w:val="28"/>
                <w:szCs w:val="28"/>
                <w:lang w:eastAsia="lv-LV"/>
              </w:rPr>
              <w:t>”</w:t>
            </w:r>
            <w:r w:rsidR="00272002" w:rsidRPr="00A23A59">
              <w:rPr>
                <w:rFonts w:ascii="Times New Roman" w:eastAsia="Times New Roman" w:hAnsi="Times New Roman" w:cs="Times New Roman"/>
                <w:iCs/>
                <w:sz w:val="28"/>
                <w:szCs w:val="28"/>
                <w:lang w:eastAsia="lv-LV"/>
              </w:rPr>
              <w:t xml:space="preserve">, Latvijas Raidorganizāciju asociācija, Latvijas Juristu apvienība, Lauksaimnieku organizāciju sadarbības padome, Sabiedrība par atklātību – Delna, Sabiedriskās politikas centrs </w:t>
            </w:r>
            <w:r w:rsidR="00272002" w:rsidRPr="00A23A59">
              <w:rPr>
                <w:rFonts w:ascii="Times New Roman" w:eastAsia="Times New Roman" w:hAnsi="Times New Roman" w:cs="Times New Roman"/>
                <w:iCs/>
                <w:sz w:val="28"/>
                <w:szCs w:val="28"/>
                <w:lang w:eastAsia="lv-LV"/>
              </w:rPr>
              <w:lastRenderedPageBreak/>
              <w:t>PROVIDUS, Latvijas telekomunikāciju komersantu asociācija.</w:t>
            </w:r>
          </w:p>
        </w:tc>
      </w:tr>
      <w:tr w:rsidR="00397F45"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397F45" w:rsidRPr="00A23A59" w:rsidRDefault="006A0119" w:rsidP="003670F7">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 xml:space="preserve">Atbilstoši </w:t>
            </w:r>
            <w:r w:rsidR="00AC682D" w:rsidRPr="00A23A59">
              <w:rPr>
                <w:rFonts w:ascii="Times New Roman" w:eastAsia="Times New Roman" w:hAnsi="Times New Roman" w:cs="Times New Roman"/>
                <w:iCs/>
                <w:sz w:val="28"/>
                <w:szCs w:val="28"/>
                <w:lang w:eastAsia="lv-LV"/>
              </w:rPr>
              <w:t xml:space="preserve">2018.gada 28.jūnija </w:t>
            </w:r>
            <w:r w:rsidRPr="00A23A59">
              <w:rPr>
                <w:rFonts w:ascii="Times New Roman" w:eastAsia="Times New Roman" w:hAnsi="Times New Roman" w:cs="Times New Roman"/>
                <w:iCs/>
                <w:sz w:val="28"/>
                <w:szCs w:val="28"/>
                <w:lang w:eastAsia="lv-LV"/>
              </w:rPr>
              <w:t xml:space="preserve">Valsts sekretāru </w:t>
            </w:r>
            <w:r w:rsidR="00AC682D" w:rsidRPr="00A23A59">
              <w:rPr>
                <w:rFonts w:ascii="Times New Roman" w:eastAsia="Times New Roman" w:hAnsi="Times New Roman" w:cs="Times New Roman"/>
                <w:iCs/>
                <w:sz w:val="28"/>
                <w:szCs w:val="28"/>
                <w:lang w:eastAsia="lv-LV"/>
              </w:rPr>
              <w:t xml:space="preserve">sanāksmes </w:t>
            </w:r>
            <w:proofErr w:type="spellStart"/>
            <w:r w:rsidR="00AC682D" w:rsidRPr="00A23A59">
              <w:rPr>
                <w:rFonts w:ascii="Times New Roman" w:eastAsia="Times New Roman" w:hAnsi="Times New Roman" w:cs="Times New Roman"/>
                <w:iCs/>
                <w:sz w:val="28"/>
                <w:szCs w:val="28"/>
                <w:lang w:eastAsia="lv-LV"/>
              </w:rPr>
              <w:t>protokol</w:t>
            </w:r>
            <w:r w:rsidR="003670F7">
              <w:rPr>
                <w:rFonts w:ascii="Times New Roman" w:eastAsia="Times New Roman" w:hAnsi="Times New Roman" w:cs="Times New Roman"/>
                <w:iCs/>
                <w:sz w:val="28"/>
                <w:szCs w:val="28"/>
                <w:lang w:eastAsia="lv-LV"/>
              </w:rPr>
              <w:t>lēmuma</w:t>
            </w:r>
            <w:proofErr w:type="spellEnd"/>
            <w:r w:rsidR="003670F7">
              <w:rPr>
                <w:rFonts w:ascii="Times New Roman" w:eastAsia="Times New Roman" w:hAnsi="Times New Roman" w:cs="Times New Roman"/>
                <w:iCs/>
                <w:sz w:val="28"/>
                <w:szCs w:val="28"/>
                <w:lang w:eastAsia="lv-LV"/>
              </w:rPr>
              <w:t xml:space="preserve"> (prot.</w:t>
            </w:r>
            <w:r w:rsidR="00AC682D" w:rsidRPr="00A23A59">
              <w:rPr>
                <w:rFonts w:ascii="Times New Roman" w:eastAsia="Times New Roman" w:hAnsi="Times New Roman" w:cs="Times New Roman"/>
                <w:iCs/>
                <w:sz w:val="28"/>
                <w:szCs w:val="28"/>
                <w:lang w:eastAsia="lv-LV"/>
              </w:rPr>
              <w:t xml:space="preserve"> Nr.25 23.§</w:t>
            </w:r>
            <w:r w:rsidR="003670F7">
              <w:rPr>
                <w:rFonts w:ascii="Times New Roman" w:eastAsia="Times New Roman" w:hAnsi="Times New Roman" w:cs="Times New Roman"/>
                <w:iCs/>
                <w:sz w:val="28"/>
                <w:szCs w:val="28"/>
                <w:lang w:eastAsia="lv-LV"/>
              </w:rPr>
              <w:t>)</w:t>
            </w:r>
            <w:r w:rsidR="00AC682D" w:rsidRPr="00A23A59">
              <w:rPr>
                <w:rFonts w:ascii="Times New Roman" w:eastAsia="Times New Roman" w:hAnsi="Times New Roman" w:cs="Times New Roman"/>
                <w:iCs/>
                <w:sz w:val="28"/>
                <w:szCs w:val="28"/>
                <w:lang w:eastAsia="lv-LV"/>
              </w:rPr>
              <w:t xml:space="preserve"> </w:t>
            </w:r>
            <w:r w:rsidRPr="00A23A59">
              <w:rPr>
                <w:rFonts w:ascii="Times New Roman" w:eastAsia="Times New Roman" w:hAnsi="Times New Roman" w:cs="Times New Roman"/>
                <w:iCs/>
                <w:sz w:val="28"/>
                <w:szCs w:val="28"/>
                <w:lang w:eastAsia="lv-LV"/>
              </w:rPr>
              <w:t>2.punktam</w:t>
            </w:r>
            <w:r w:rsidR="003670F7">
              <w:rPr>
                <w:rFonts w:ascii="Times New Roman" w:eastAsia="Times New Roman" w:hAnsi="Times New Roman" w:cs="Times New Roman"/>
                <w:iCs/>
                <w:sz w:val="28"/>
                <w:szCs w:val="28"/>
                <w:lang w:eastAsia="lv-LV"/>
              </w:rPr>
              <w:t xml:space="preserve"> </w:t>
            </w:r>
            <w:r w:rsidR="00595F7B" w:rsidRPr="00A23A59">
              <w:rPr>
                <w:rFonts w:ascii="Times New Roman" w:eastAsia="Times New Roman" w:hAnsi="Times New Roman" w:cs="Times New Roman"/>
                <w:iCs/>
                <w:sz w:val="28"/>
                <w:szCs w:val="28"/>
                <w:lang w:eastAsia="lv-LV"/>
              </w:rPr>
              <w:t>Birojs</w:t>
            </w:r>
            <w:r w:rsidRPr="00A23A59">
              <w:rPr>
                <w:rFonts w:ascii="Times New Roman" w:eastAsia="Times New Roman" w:hAnsi="Times New Roman" w:cs="Times New Roman"/>
                <w:iCs/>
                <w:sz w:val="28"/>
                <w:szCs w:val="28"/>
                <w:lang w:eastAsia="lv-LV"/>
              </w:rPr>
              <w:t xml:space="preserve"> lūdza Korupcijas novēršanas un apkarošanas biroja  </w:t>
            </w:r>
            <w:r w:rsidR="00272002" w:rsidRPr="00A23A59">
              <w:rPr>
                <w:rFonts w:ascii="Times New Roman" w:eastAsia="Times New Roman" w:hAnsi="Times New Roman" w:cs="Times New Roman"/>
                <w:iCs/>
                <w:sz w:val="28"/>
                <w:szCs w:val="28"/>
                <w:lang w:eastAsia="lv-LV"/>
              </w:rPr>
              <w:t>Sabiedriski konsultatīv</w:t>
            </w:r>
            <w:r w:rsidR="00595F7B" w:rsidRPr="00A23A59">
              <w:rPr>
                <w:rFonts w:ascii="Times New Roman" w:eastAsia="Times New Roman" w:hAnsi="Times New Roman" w:cs="Times New Roman"/>
                <w:iCs/>
                <w:sz w:val="28"/>
                <w:szCs w:val="28"/>
                <w:lang w:eastAsia="lv-LV"/>
              </w:rPr>
              <w:t>ās</w:t>
            </w:r>
            <w:r w:rsidR="00272002" w:rsidRPr="00A23A59">
              <w:rPr>
                <w:rFonts w:ascii="Times New Roman" w:eastAsia="Times New Roman" w:hAnsi="Times New Roman" w:cs="Times New Roman"/>
                <w:iCs/>
                <w:sz w:val="28"/>
                <w:szCs w:val="28"/>
                <w:lang w:eastAsia="lv-LV"/>
              </w:rPr>
              <w:t xml:space="preserve"> padom</w:t>
            </w:r>
            <w:r w:rsidR="00595F7B" w:rsidRPr="00A23A59">
              <w:rPr>
                <w:rFonts w:ascii="Times New Roman" w:eastAsia="Times New Roman" w:hAnsi="Times New Roman" w:cs="Times New Roman"/>
                <w:iCs/>
                <w:sz w:val="28"/>
                <w:szCs w:val="28"/>
                <w:lang w:eastAsia="lv-LV"/>
              </w:rPr>
              <w:t>es</w:t>
            </w:r>
            <w:r w:rsidR="00272002" w:rsidRPr="00A23A59">
              <w:rPr>
                <w:rFonts w:ascii="Times New Roman" w:eastAsia="Times New Roman" w:hAnsi="Times New Roman" w:cs="Times New Roman"/>
                <w:iCs/>
                <w:sz w:val="28"/>
                <w:szCs w:val="28"/>
                <w:lang w:eastAsia="lv-LV"/>
              </w:rPr>
              <w:t xml:space="preserve"> </w:t>
            </w:r>
            <w:r w:rsidRPr="00A23A59">
              <w:rPr>
                <w:rFonts w:ascii="Times New Roman" w:eastAsia="Times New Roman" w:hAnsi="Times New Roman" w:cs="Times New Roman"/>
                <w:iCs/>
                <w:sz w:val="28"/>
                <w:szCs w:val="28"/>
                <w:lang w:eastAsia="lv-LV"/>
              </w:rPr>
              <w:t>viedokli par Likumprojektu</w:t>
            </w:r>
            <w:r w:rsidR="00272002" w:rsidRPr="00A23A59">
              <w:rPr>
                <w:rFonts w:ascii="Times New Roman" w:eastAsia="Times New Roman" w:hAnsi="Times New Roman" w:cs="Times New Roman"/>
                <w:iCs/>
                <w:sz w:val="28"/>
                <w:szCs w:val="28"/>
                <w:lang w:eastAsia="lv-LV"/>
              </w:rPr>
              <w:t>.</w:t>
            </w:r>
          </w:p>
        </w:tc>
      </w:tr>
      <w:tr w:rsidR="00397F45"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397F45" w:rsidRPr="00A23A59" w:rsidRDefault="00214B1A" w:rsidP="00214B1A">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Uz aicinājumu sniegt viedokli par Likumprojektu</w:t>
            </w:r>
            <w:r w:rsidR="006A0119" w:rsidRPr="00A23A59">
              <w:rPr>
                <w:rFonts w:ascii="Times New Roman" w:eastAsia="Times New Roman" w:hAnsi="Times New Roman" w:cs="Times New Roman"/>
                <w:iCs/>
                <w:sz w:val="28"/>
                <w:szCs w:val="28"/>
                <w:lang w:eastAsia="lv-LV"/>
              </w:rPr>
              <w:t xml:space="preserve"> Korupcijas novēršanas un apkarošanas biroja Sabiedriski konsultatīvā padome </w:t>
            </w:r>
            <w:r w:rsidRPr="00A23A59">
              <w:rPr>
                <w:rFonts w:ascii="Times New Roman" w:eastAsia="Times New Roman" w:hAnsi="Times New Roman" w:cs="Times New Roman"/>
                <w:iCs/>
                <w:sz w:val="28"/>
                <w:szCs w:val="28"/>
                <w:lang w:eastAsia="lv-LV"/>
              </w:rPr>
              <w:t>nav atsaukusies</w:t>
            </w:r>
            <w:r w:rsidR="006A0119" w:rsidRPr="00A23A59">
              <w:rPr>
                <w:rFonts w:ascii="Times New Roman" w:eastAsia="Times New Roman" w:hAnsi="Times New Roman" w:cs="Times New Roman"/>
                <w:iCs/>
                <w:sz w:val="28"/>
                <w:szCs w:val="28"/>
                <w:lang w:eastAsia="lv-LV"/>
              </w:rPr>
              <w:t>.</w:t>
            </w:r>
          </w:p>
        </w:tc>
      </w:tr>
      <w:tr w:rsidR="00397F45"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97F45" w:rsidRPr="00A23A59" w:rsidRDefault="00397F45" w:rsidP="00397F45">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397F45" w:rsidRPr="00A23A59" w:rsidRDefault="00397F45" w:rsidP="00F1410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bl>
    <w:p w:rsidR="00397F45" w:rsidRPr="00A23A59" w:rsidRDefault="00397F45"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7407" w:rsidRPr="00A23A5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23A59" w:rsidRDefault="00E5323B" w:rsidP="00C00564">
            <w:pPr>
              <w:spacing w:after="0" w:line="240" w:lineRule="auto"/>
              <w:jc w:val="both"/>
              <w:rPr>
                <w:rFonts w:ascii="Times New Roman" w:eastAsia="Times New Roman" w:hAnsi="Times New Roman" w:cs="Times New Roman"/>
                <w:b/>
                <w:bCs/>
                <w:iCs/>
                <w:sz w:val="28"/>
                <w:szCs w:val="28"/>
                <w:lang w:eastAsia="lv-LV"/>
              </w:rPr>
            </w:pPr>
            <w:r w:rsidRPr="00A23A5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F07407"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A23A59" w:rsidRDefault="00D36D80" w:rsidP="008953A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Birojs.</w:t>
            </w:r>
          </w:p>
        </w:tc>
      </w:tr>
      <w:tr w:rsidR="00F07407"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Projekta izpildes ietekme uz pārvaldes funkcijām un institucionālo struktūru.</w:t>
            </w:r>
            <w:r w:rsidRPr="00A23A5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D36D80" w:rsidRPr="00A23A59" w:rsidRDefault="00D36D80" w:rsidP="0013319C">
            <w:pPr>
              <w:spacing w:after="0" w:line="240" w:lineRule="auto"/>
              <w:jc w:val="both"/>
              <w:rPr>
                <w:rFonts w:ascii="Times New Roman" w:eastAsia="Times New Roman" w:hAnsi="Times New Roman" w:cs="Times New Roman"/>
                <w:sz w:val="28"/>
                <w:szCs w:val="28"/>
                <w:lang w:eastAsia="zh-TW"/>
              </w:rPr>
            </w:pPr>
            <w:r w:rsidRPr="00A23A59">
              <w:rPr>
                <w:rFonts w:ascii="Times New Roman" w:eastAsia="Times New Roman" w:hAnsi="Times New Roman" w:cs="Times New Roman"/>
                <w:sz w:val="28"/>
                <w:szCs w:val="28"/>
                <w:lang w:eastAsia="zh-TW"/>
              </w:rPr>
              <w:t>Likumprojekta izpilde neietekmēs pārvaldes funkcijas vai institucionālo struktūru.</w:t>
            </w:r>
          </w:p>
          <w:p w:rsidR="00D36D80" w:rsidRPr="00A23A59" w:rsidRDefault="00D36D80" w:rsidP="00771516">
            <w:pPr>
              <w:spacing w:after="0" w:line="240" w:lineRule="auto"/>
              <w:jc w:val="both"/>
              <w:rPr>
                <w:rFonts w:ascii="Times New Roman" w:eastAsia="Times New Roman" w:hAnsi="Times New Roman" w:cs="Times New Roman"/>
                <w:sz w:val="28"/>
                <w:szCs w:val="28"/>
                <w:lang w:eastAsia="zh-TW"/>
              </w:rPr>
            </w:pPr>
            <w:r w:rsidRPr="00A23A59">
              <w:rPr>
                <w:rFonts w:ascii="Times New Roman" w:eastAsia="Times New Roman" w:hAnsi="Times New Roman" w:cs="Times New Roman"/>
                <w:sz w:val="28"/>
                <w:szCs w:val="28"/>
                <w:lang w:eastAsia="zh-TW"/>
              </w:rPr>
              <w:t>Saistībā ar likumprojekta izpildi nav nepieciešams veidot jaunas institūcijas, likvidēt vai reorganizēt esošās.</w:t>
            </w:r>
          </w:p>
          <w:p w:rsidR="00E5323B" w:rsidRPr="00A23A59" w:rsidRDefault="00D36D80" w:rsidP="00080054">
            <w:pPr>
              <w:spacing w:after="0" w:line="240" w:lineRule="auto"/>
              <w:jc w:val="both"/>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sz w:val="28"/>
                <w:szCs w:val="28"/>
                <w:lang w:eastAsia="zh-TW"/>
              </w:rPr>
              <w:t>Likumprojekta izpilde neietekmēs institūcijai pieejamos cilvēkresursus.</w:t>
            </w:r>
          </w:p>
        </w:tc>
      </w:tr>
      <w:tr w:rsidR="00F07407" w:rsidRPr="00A23A59"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23A59" w:rsidRDefault="00E5323B" w:rsidP="00E5323B">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A23A59" w:rsidRDefault="002A2E44" w:rsidP="008953A8">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r w:rsidR="00756B13" w:rsidRPr="00A23A59">
              <w:rPr>
                <w:rFonts w:ascii="Times New Roman" w:eastAsia="Times New Roman" w:hAnsi="Times New Roman" w:cs="Times New Roman"/>
                <w:iCs/>
                <w:sz w:val="28"/>
                <w:szCs w:val="28"/>
                <w:lang w:eastAsia="lv-LV"/>
              </w:rPr>
              <w:t>.</w:t>
            </w:r>
          </w:p>
        </w:tc>
      </w:tr>
    </w:tbl>
    <w:p w:rsidR="00A23A59" w:rsidRPr="00A23A59" w:rsidRDefault="00A23A59" w:rsidP="00894C55">
      <w:pPr>
        <w:spacing w:after="0" w:line="240" w:lineRule="auto"/>
        <w:rPr>
          <w:rFonts w:ascii="Times New Roman" w:hAnsi="Times New Roman" w:cs="Times New Roman"/>
          <w:sz w:val="28"/>
          <w:szCs w:val="28"/>
        </w:rPr>
      </w:pPr>
    </w:p>
    <w:p w:rsidR="00A059C6" w:rsidRPr="00A23A59" w:rsidRDefault="00A059C6" w:rsidP="00A059C6">
      <w:pPr>
        <w:spacing w:after="0" w:line="240" w:lineRule="auto"/>
        <w:ind w:firstLine="720"/>
        <w:rPr>
          <w:rFonts w:ascii="Times New Roman" w:hAnsi="Times New Roman" w:cs="Times New Roman"/>
          <w:sz w:val="28"/>
          <w:szCs w:val="28"/>
        </w:rPr>
      </w:pPr>
      <w:r w:rsidRPr="00A23A59">
        <w:rPr>
          <w:rFonts w:ascii="Times New Roman" w:hAnsi="Times New Roman" w:cs="Times New Roman"/>
          <w:sz w:val="28"/>
          <w:szCs w:val="28"/>
        </w:rPr>
        <w:t xml:space="preserve">Ministru prezidents </w:t>
      </w:r>
      <w:r w:rsidRPr="00A23A59">
        <w:rPr>
          <w:rFonts w:ascii="Times New Roman" w:hAnsi="Times New Roman" w:cs="Times New Roman"/>
          <w:sz w:val="28"/>
          <w:szCs w:val="28"/>
        </w:rPr>
        <w:tab/>
      </w:r>
      <w:r w:rsidRPr="00A23A59">
        <w:rPr>
          <w:rFonts w:ascii="Times New Roman" w:hAnsi="Times New Roman" w:cs="Times New Roman"/>
          <w:sz w:val="28"/>
          <w:szCs w:val="28"/>
        </w:rPr>
        <w:tab/>
      </w:r>
      <w:r w:rsidRPr="00A23A59">
        <w:rPr>
          <w:rFonts w:ascii="Times New Roman" w:hAnsi="Times New Roman" w:cs="Times New Roman"/>
          <w:sz w:val="28"/>
          <w:szCs w:val="28"/>
        </w:rPr>
        <w:tab/>
      </w:r>
      <w:r w:rsidRPr="00A23A59">
        <w:rPr>
          <w:rFonts w:ascii="Times New Roman" w:hAnsi="Times New Roman" w:cs="Times New Roman"/>
          <w:sz w:val="28"/>
          <w:szCs w:val="28"/>
        </w:rPr>
        <w:tab/>
      </w:r>
      <w:r w:rsidRPr="00A23A59">
        <w:rPr>
          <w:rFonts w:ascii="Times New Roman" w:hAnsi="Times New Roman" w:cs="Times New Roman"/>
          <w:sz w:val="28"/>
          <w:szCs w:val="28"/>
        </w:rPr>
        <w:tab/>
      </w:r>
      <w:r w:rsidR="00EA273A" w:rsidRPr="00A23A59">
        <w:rPr>
          <w:rFonts w:ascii="Times New Roman" w:hAnsi="Times New Roman" w:cs="Times New Roman"/>
          <w:sz w:val="28"/>
          <w:szCs w:val="28"/>
        </w:rPr>
        <w:tab/>
      </w:r>
      <w:r w:rsidRPr="00A23A59">
        <w:rPr>
          <w:rFonts w:ascii="Times New Roman" w:hAnsi="Times New Roman" w:cs="Times New Roman"/>
          <w:sz w:val="28"/>
          <w:szCs w:val="28"/>
        </w:rPr>
        <w:t xml:space="preserve">Māris </w:t>
      </w:r>
      <w:proofErr w:type="spellStart"/>
      <w:r w:rsidRPr="00A23A59">
        <w:rPr>
          <w:rFonts w:ascii="Times New Roman" w:hAnsi="Times New Roman" w:cs="Times New Roman"/>
          <w:sz w:val="28"/>
          <w:szCs w:val="28"/>
        </w:rPr>
        <w:t>Kučinskis</w:t>
      </w:r>
      <w:proofErr w:type="spellEnd"/>
    </w:p>
    <w:p w:rsidR="004A46FA" w:rsidRDefault="004A46FA" w:rsidP="00A059C6">
      <w:pPr>
        <w:spacing w:after="0" w:line="240" w:lineRule="auto"/>
        <w:ind w:firstLine="720"/>
        <w:rPr>
          <w:rFonts w:ascii="Times New Roman" w:hAnsi="Times New Roman" w:cs="Times New Roman"/>
          <w:sz w:val="28"/>
          <w:szCs w:val="28"/>
        </w:rPr>
      </w:pPr>
    </w:p>
    <w:p w:rsidR="00A059C6" w:rsidRPr="00A23A59" w:rsidRDefault="00A059C6" w:rsidP="00A059C6">
      <w:pPr>
        <w:spacing w:after="0" w:line="240" w:lineRule="auto"/>
        <w:ind w:firstLine="720"/>
        <w:rPr>
          <w:rFonts w:ascii="Times New Roman" w:hAnsi="Times New Roman" w:cs="Times New Roman"/>
          <w:sz w:val="28"/>
          <w:szCs w:val="28"/>
        </w:rPr>
      </w:pPr>
      <w:r w:rsidRPr="00A23A59">
        <w:rPr>
          <w:rFonts w:ascii="Times New Roman" w:hAnsi="Times New Roman" w:cs="Times New Roman"/>
          <w:sz w:val="28"/>
          <w:szCs w:val="28"/>
        </w:rPr>
        <w:t>Vizē:</w:t>
      </w:r>
    </w:p>
    <w:p w:rsidR="00A059C6" w:rsidRPr="00A23A59" w:rsidRDefault="00A059C6" w:rsidP="00A059C6">
      <w:pPr>
        <w:spacing w:after="0" w:line="240" w:lineRule="auto"/>
        <w:ind w:firstLine="720"/>
        <w:rPr>
          <w:rFonts w:ascii="Times New Roman" w:hAnsi="Times New Roman" w:cs="Times New Roman"/>
          <w:sz w:val="28"/>
          <w:szCs w:val="28"/>
        </w:rPr>
      </w:pPr>
      <w:r w:rsidRPr="00A23A59">
        <w:rPr>
          <w:rFonts w:ascii="Times New Roman" w:hAnsi="Times New Roman" w:cs="Times New Roman"/>
          <w:sz w:val="28"/>
          <w:szCs w:val="28"/>
        </w:rPr>
        <w:t xml:space="preserve">Korupcijas novēršanas un </w:t>
      </w:r>
    </w:p>
    <w:p w:rsidR="00894C55" w:rsidRPr="00A23A59" w:rsidRDefault="00A059C6" w:rsidP="00A059C6">
      <w:pPr>
        <w:spacing w:after="0" w:line="240" w:lineRule="auto"/>
        <w:ind w:firstLine="720"/>
        <w:rPr>
          <w:rFonts w:ascii="Times New Roman" w:hAnsi="Times New Roman" w:cs="Times New Roman"/>
          <w:sz w:val="28"/>
          <w:szCs w:val="28"/>
        </w:rPr>
      </w:pPr>
      <w:r w:rsidRPr="00A23A59">
        <w:rPr>
          <w:rFonts w:ascii="Times New Roman" w:hAnsi="Times New Roman" w:cs="Times New Roman"/>
          <w:sz w:val="28"/>
          <w:szCs w:val="28"/>
        </w:rPr>
        <w:t>apkarošanas biroja priekšnieks</w:t>
      </w:r>
      <w:r w:rsidRPr="00A23A59">
        <w:rPr>
          <w:rFonts w:ascii="Times New Roman" w:hAnsi="Times New Roman" w:cs="Times New Roman"/>
          <w:sz w:val="28"/>
          <w:szCs w:val="28"/>
        </w:rPr>
        <w:tab/>
      </w:r>
      <w:r w:rsidRPr="00A23A59">
        <w:rPr>
          <w:rFonts w:ascii="Times New Roman" w:hAnsi="Times New Roman" w:cs="Times New Roman"/>
          <w:sz w:val="28"/>
          <w:szCs w:val="28"/>
        </w:rPr>
        <w:tab/>
      </w:r>
      <w:r w:rsidRPr="00A23A59">
        <w:rPr>
          <w:rFonts w:ascii="Times New Roman" w:hAnsi="Times New Roman" w:cs="Times New Roman"/>
          <w:sz w:val="28"/>
          <w:szCs w:val="28"/>
        </w:rPr>
        <w:tab/>
      </w:r>
      <w:r w:rsidR="00462288">
        <w:rPr>
          <w:rFonts w:ascii="Times New Roman" w:hAnsi="Times New Roman" w:cs="Times New Roman"/>
          <w:sz w:val="28"/>
          <w:szCs w:val="28"/>
        </w:rPr>
        <w:tab/>
      </w:r>
      <w:r w:rsidR="00EA273A" w:rsidRPr="00A23A59">
        <w:rPr>
          <w:rFonts w:ascii="Times New Roman" w:hAnsi="Times New Roman" w:cs="Times New Roman"/>
          <w:sz w:val="28"/>
          <w:szCs w:val="28"/>
        </w:rPr>
        <w:tab/>
      </w:r>
      <w:r w:rsidRPr="00A23A59">
        <w:rPr>
          <w:rFonts w:ascii="Times New Roman" w:hAnsi="Times New Roman" w:cs="Times New Roman"/>
          <w:sz w:val="28"/>
          <w:szCs w:val="28"/>
        </w:rPr>
        <w:t>Jēkabs Straume</w:t>
      </w:r>
    </w:p>
    <w:p w:rsidR="00894C55" w:rsidRDefault="00894C55" w:rsidP="00894C55">
      <w:pPr>
        <w:spacing w:after="0" w:line="240" w:lineRule="auto"/>
        <w:ind w:firstLine="720"/>
        <w:rPr>
          <w:rFonts w:ascii="Times New Roman" w:hAnsi="Times New Roman" w:cs="Times New Roman"/>
          <w:sz w:val="28"/>
          <w:szCs w:val="28"/>
        </w:rPr>
      </w:pPr>
    </w:p>
    <w:p w:rsidR="00B124A5" w:rsidRDefault="00B124A5" w:rsidP="00894C55">
      <w:pPr>
        <w:spacing w:after="0" w:line="240" w:lineRule="auto"/>
        <w:ind w:firstLine="720"/>
        <w:rPr>
          <w:rFonts w:ascii="Times New Roman" w:hAnsi="Times New Roman" w:cs="Times New Roman"/>
          <w:sz w:val="28"/>
          <w:szCs w:val="28"/>
        </w:rPr>
      </w:pPr>
    </w:p>
    <w:p w:rsidR="00B124A5" w:rsidRDefault="00B124A5" w:rsidP="00894C55">
      <w:pPr>
        <w:spacing w:after="0" w:line="240" w:lineRule="auto"/>
        <w:ind w:firstLine="720"/>
        <w:rPr>
          <w:rFonts w:ascii="Times New Roman" w:hAnsi="Times New Roman" w:cs="Times New Roman"/>
          <w:sz w:val="28"/>
          <w:szCs w:val="28"/>
        </w:rPr>
      </w:pPr>
    </w:p>
    <w:p w:rsidR="00894C55" w:rsidRPr="004778C9" w:rsidRDefault="00F07407" w:rsidP="00894C55">
      <w:pPr>
        <w:tabs>
          <w:tab w:val="left" w:pos="6237"/>
        </w:tabs>
        <w:spacing w:after="0" w:line="240" w:lineRule="auto"/>
        <w:rPr>
          <w:rFonts w:ascii="Times New Roman" w:hAnsi="Times New Roman" w:cs="Times New Roman"/>
          <w:sz w:val="24"/>
          <w:szCs w:val="24"/>
        </w:rPr>
      </w:pPr>
      <w:r w:rsidRPr="004778C9">
        <w:rPr>
          <w:rFonts w:ascii="Times New Roman" w:hAnsi="Times New Roman" w:cs="Times New Roman"/>
          <w:sz w:val="24"/>
          <w:szCs w:val="24"/>
        </w:rPr>
        <w:t>Stepiņa</w:t>
      </w:r>
      <w:r w:rsidR="00D133F8" w:rsidRPr="004778C9">
        <w:rPr>
          <w:rFonts w:ascii="Times New Roman" w:hAnsi="Times New Roman" w:cs="Times New Roman"/>
          <w:sz w:val="24"/>
          <w:szCs w:val="24"/>
        </w:rPr>
        <w:t xml:space="preserve"> </w:t>
      </w:r>
      <w:r w:rsidRPr="004778C9">
        <w:rPr>
          <w:rFonts w:ascii="Times New Roman" w:hAnsi="Times New Roman" w:cs="Times New Roman"/>
          <w:sz w:val="24"/>
          <w:szCs w:val="24"/>
        </w:rPr>
        <w:t>67797257</w:t>
      </w:r>
    </w:p>
    <w:p w:rsidR="00894C55" w:rsidRPr="004778C9" w:rsidRDefault="00B80424" w:rsidP="00894C55">
      <w:pPr>
        <w:tabs>
          <w:tab w:val="left" w:pos="6237"/>
        </w:tabs>
        <w:spacing w:after="0" w:line="240" w:lineRule="auto"/>
        <w:rPr>
          <w:rFonts w:ascii="Times New Roman" w:hAnsi="Times New Roman" w:cs="Times New Roman"/>
          <w:sz w:val="24"/>
          <w:szCs w:val="24"/>
        </w:rPr>
      </w:pPr>
      <w:hyperlink r:id="rId9" w:history="1">
        <w:r w:rsidR="00D60AB0" w:rsidRPr="004778C9">
          <w:rPr>
            <w:rStyle w:val="Hyperlink"/>
            <w:rFonts w:ascii="Times New Roman" w:hAnsi="Times New Roman" w:cs="Times New Roman"/>
            <w:sz w:val="24"/>
            <w:szCs w:val="24"/>
          </w:rPr>
          <w:t>Diana.Stepina@knab.gov.gov.lv</w:t>
        </w:r>
      </w:hyperlink>
    </w:p>
    <w:p w:rsidR="00F47001" w:rsidRPr="004778C9" w:rsidRDefault="00F47001" w:rsidP="00894C55">
      <w:pPr>
        <w:tabs>
          <w:tab w:val="left" w:pos="6237"/>
        </w:tabs>
        <w:spacing w:after="0" w:line="240" w:lineRule="auto"/>
        <w:rPr>
          <w:rFonts w:ascii="Times New Roman" w:hAnsi="Times New Roman" w:cs="Times New Roman"/>
          <w:sz w:val="24"/>
          <w:szCs w:val="24"/>
        </w:rPr>
      </w:pPr>
    </w:p>
    <w:p w:rsidR="00F47001" w:rsidRPr="004778C9" w:rsidRDefault="00F47001" w:rsidP="00F47001">
      <w:pPr>
        <w:tabs>
          <w:tab w:val="left" w:pos="6237"/>
        </w:tabs>
        <w:spacing w:after="0" w:line="240" w:lineRule="auto"/>
        <w:rPr>
          <w:rFonts w:ascii="Times New Roman" w:hAnsi="Times New Roman" w:cs="Times New Roman"/>
          <w:sz w:val="24"/>
          <w:szCs w:val="24"/>
        </w:rPr>
      </w:pPr>
      <w:r w:rsidRPr="004778C9">
        <w:rPr>
          <w:rFonts w:ascii="Times New Roman" w:hAnsi="Times New Roman" w:cs="Times New Roman"/>
          <w:sz w:val="24"/>
          <w:szCs w:val="24"/>
        </w:rPr>
        <w:t>Zelča 67797209</w:t>
      </w:r>
    </w:p>
    <w:p w:rsidR="00D60AB0" w:rsidRPr="004778C9" w:rsidRDefault="00B80424" w:rsidP="00F47001">
      <w:pPr>
        <w:tabs>
          <w:tab w:val="left" w:pos="6237"/>
        </w:tabs>
        <w:spacing w:after="0" w:line="240" w:lineRule="auto"/>
        <w:rPr>
          <w:rFonts w:ascii="Times New Roman" w:hAnsi="Times New Roman" w:cs="Times New Roman"/>
          <w:sz w:val="24"/>
          <w:szCs w:val="24"/>
        </w:rPr>
      </w:pPr>
      <w:hyperlink r:id="rId10" w:history="1">
        <w:r w:rsidR="00D60AB0" w:rsidRPr="004778C9">
          <w:rPr>
            <w:rStyle w:val="Hyperlink"/>
            <w:rFonts w:ascii="Times New Roman" w:hAnsi="Times New Roman" w:cs="Times New Roman"/>
            <w:sz w:val="24"/>
            <w:szCs w:val="24"/>
          </w:rPr>
          <w:t>Inese.Zelca@knab.gov.lv</w:t>
        </w:r>
      </w:hyperlink>
    </w:p>
    <w:sectPr w:rsidR="00D60AB0" w:rsidRPr="004778C9" w:rsidSect="00B124A5">
      <w:headerReference w:type="default" r:id="rId11"/>
      <w:footerReference w:type="default" r:id="rId12"/>
      <w:footerReference w:type="first" r:id="rId13"/>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24" w:rsidRDefault="00B80424" w:rsidP="00894C55">
      <w:pPr>
        <w:spacing w:after="0" w:line="240" w:lineRule="auto"/>
      </w:pPr>
      <w:r>
        <w:separator/>
      </w:r>
    </w:p>
  </w:endnote>
  <w:endnote w:type="continuationSeparator" w:id="0">
    <w:p w:rsidR="00B80424" w:rsidRDefault="00B804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A059C6" w:rsidRDefault="00573902" w:rsidP="00A059C6">
    <w:pPr>
      <w:pStyle w:val="Footer"/>
    </w:pPr>
    <w:r w:rsidRPr="00573902">
      <w:rPr>
        <w:rFonts w:ascii="Times New Roman" w:hAnsi="Times New Roman" w:cs="Times New Roman"/>
        <w:sz w:val="20"/>
        <w:szCs w:val="20"/>
      </w:rPr>
      <w:t>KNAB</w:t>
    </w:r>
    <w:r w:rsidR="000C64CE">
      <w:rPr>
        <w:rFonts w:ascii="Times New Roman" w:hAnsi="Times New Roman" w:cs="Times New Roman"/>
        <w:sz w:val="20"/>
        <w:szCs w:val="20"/>
      </w:rPr>
      <w:t>a</w:t>
    </w:r>
    <w:r w:rsidRPr="00573902">
      <w:rPr>
        <w:rFonts w:ascii="Times New Roman" w:hAnsi="Times New Roman" w:cs="Times New Roman"/>
        <w:sz w:val="20"/>
        <w:szCs w:val="20"/>
      </w:rPr>
      <w:t>not_</w:t>
    </w:r>
    <w:r w:rsidR="00B664E8">
      <w:rPr>
        <w:rFonts w:ascii="Times New Roman" w:hAnsi="Times New Roman" w:cs="Times New Roman"/>
        <w:sz w:val="20"/>
        <w:szCs w:val="20"/>
      </w:rPr>
      <w:t>2510</w:t>
    </w:r>
    <w:r w:rsidR="00A71F70" w:rsidRPr="00573902">
      <w:rPr>
        <w:rFonts w:ascii="Times New Roman" w:hAnsi="Times New Roman" w:cs="Times New Roman"/>
        <w:sz w:val="20"/>
        <w:szCs w:val="20"/>
      </w:rPr>
      <w:t>18</w:t>
    </w:r>
    <w:r w:rsidRPr="00573902">
      <w:rPr>
        <w:rFonts w:ascii="Times New Roman" w:hAnsi="Times New Roman" w:cs="Times New Roman"/>
        <w:sz w:val="20"/>
        <w:szCs w:val="20"/>
      </w:rPr>
      <w:t>_dati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127D84" w:rsidRDefault="00127D84" w:rsidP="00127D84">
    <w:pPr>
      <w:pStyle w:val="Footer"/>
    </w:pPr>
    <w:r w:rsidRPr="00127D84">
      <w:rPr>
        <w:rFonts w:ascii="Times New Roman" w:hAnsi="Times New Roman" w:cs="Times New Roman"/>
        <w:sz w:val="20"/>
        <w:szCs w:val="20"/>
      </w:rPr>
      <w:t>KNAB</w:t>
    </w:r>
    <w:r w:rsidR="000C64CE">
      <w:rPr>
        <w:rFonts w:ascii="Times New Roman" w:hAnsi="Times New Roman" w:cs="Times New Roman"/>
        <w:sz w:val="20"/>
        <w:szCs w:val="20"/>
      </w:rPr>
      <w:t>a</w:t>
    </w:r>
    <w:r w:rsidRPr="00127D84">
      <w:rPr>
        <w:rFonts w:ascii="Times New Roman" w:hAnsi="Times New Roman" w:cs="Times New Roman"/>
        <w:sz w:val="20"/>
        <w:szCs w:val="20"/>
      </w:rPr>
      <w:t>not_</w:t>
    </w:r>
    <w:r w:rsidR="00B664E8">
      <w:rPr>
        <w:rFonts w:ascii="Times New Roman" w:hAnsi="Times New Roman" w:cs="Times New Roman"/>
        <w:sz w:val="20"/>
        <w:szCs w:val="20"/>
      </w:rPr>
      <w:t>2510</w:t>
    </w:r>
    <w:r w:rsidR="00A71F70" w:rsidRPr="00127D84">
      <w:rPr>
        <w:rFonts w:ascii="Times New Roman" w:hAnsi="Times New Roman" w:cs="Times New Roman"/>
        <w:sz w:val="20"/>
        <w:szCs w:val="20"/>
      </w:rPr>
      <w:t>18</w:t>
    </w:r>
    <w:r w:rsidRPr="00127D84">
      <w:rPr>
        <w:rFonts w:ascii="Times New Roman" w:hAnsi="Times New Roman" w:cs="Times New Roman"/>
        <w:sz w:val="20"/>
        <w:szCs w:val="20"/>
      </w:rPr>
      <w:t>_dati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24" w:rsidRDefault="00B80424" w:rsidP="00894C55">
      <w:pPr>
        <w:spacing w:after="0" w:line="240" w:lineRule="auto"/>
      </w:pPr>
      <w:r>
        <w:separator/>
      </w:r>
    </w:p>
  </w:footnote>
  <w:footnote w:type="continuationSeparator" w:id="0">
    <w:p w:rsidR="00B80424" w:rsidRDefault="00B80424" w:rsidP="00894C55">
      <w:pPr>
        <w:spacing w:after="0" w:line="240" w:lineRule="auto"/>
      </w:pPr>
      <w:r>
        <w:continuationSeparator/>
      </w:r>
    </w:p>
  </w:footnote>
  <w:footnote w:id="1">
    <w:p w:rsidR="005629F6" w:rsidRDefault="005629F6">
      <w:pPr>
        <w:pStyle w:val="FootnoteText"/>
      </w:pPr>
      <w:r>
        <w:rPr>
          <w:rStyle w:val="FootnoteReference"/>
        </w:rPr>
        <w:footnoteRef/>
      </w:r>
      <w:r>
        <w:t xml:space="preserve"> </w:t>
      </w:r>
      <w:r w:rsidRPr="007C1B0A">
        <w:rPr>
          <w:rFonts w:ascii="Times New Roman" w:hAnsi="Times New Roman" w:cs="Times New Roman"/>
        </w:rPr>
        <w:t>Lieta izskatīta slēgtā rakstveida procesā.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447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EFF"/>
    <w:multiLevelType w:val="hybridMultilevel"/>
    <w:tmpl w:val="9956E2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8F2143"/>
    <w:multiLevelType w:val="hybridMultilevel"/>
    <w:tmpl w:val="BF7CA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7451EF"/>
    <w:multiLevelType w:val="hybridMultilevel"/>
    <w:tmpl w:val="FDF43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E83CDD"/>
    <w:multiLevelType w:val="hybridMultilevel"/>
    <w:tmpl w:val="6E7CF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4A05"/>
    <w:rsid w:val="00022896"/>
    <w:rsid w:val="000324A1"/>
    <w:rsid w:val="0005409F"/>
    <w:rsid w:val="00080054"/>
    <w:rsid w:val="00091ACB"/>
    <w:rsid w:val="00096A3B"/>
    <w:rsid w:val="000B709F"/>
    <w:rsid w:val="000C64CE"/>
    <w:rsid w:val="000C7B2F"/>
    <w:rsid w:val="000D0816"/>
    <w:rsid w:val="000D31BB"/>
    <w:rsid w:val="00117A58"/>
    <w:rsid w:val="00117DF6"/>
    <w:rsid w:val="00127D84"/>
    <w:rsid w:val="0013319C"/>
    <w:rsid w:val="00137FDD"/>
    <w:rsid w:val="00140867"/>
    <w:rsid w:val="00143A8E"/>
    <w:rsid w:val="00152225"/>
    <w:rsid w:val="001567F4"/>
    <w:rsid w:val="00163272"/>
    <w:rsid w:val="00167508"/>
    <w:rsid w:val="00193DC9"/>
    <w:rsid w:val="001A25AB"/>
    <w:rsid w:val="001B0854"/>
    <w:rsid w:val="001B61EA"/>
    <w:rsid w:val="001C6C78"/>
    <w:rsid w:val="001D04C9"/>
    <w:rsid w:val="001E0A88"/>
    <w:rsid w:val="00202AE0"/>
    <w:rsid w:val="00214B1A"/>
    <w:rsid w:val="00243426"/>
    <w:rsid w:val="002628BF"/>
    <w:rsid w:val="0026782A"/>
    <w:rsid w:val="00272002"/>
    <w:rsid w:val="00283EDF"/>
    <w:rsid w:val="00296037"/>
    <w:rsid w:val="002A2E44"/>
    <w:rsid w:val="002A529C"/>
    <w:rsid w:val="002E1C05"/>
    <w:rsid w:val="00305855"/>
    <w:rsid w:val="00307118"/>
    <w:rsid w:val="00307C31"/>
    <w:rsid w:val="0032349E"/>
    <w:rsid w:val="00346AD4"/>
    <w:rsid w:val="00356CD7"/>
    <w:rsid w:val="003659F1"/>
    <w:rsid w:val="003670F7"/>
    <w:rsid w:val="003812BC"/>
    <w:rsid w:val="00384985"/>
    <w:rsid w:val="00385E60"/>
    <w:rsid w:val="00397F45"/>
    <w:rsid w:val="003B0BF9"/>
    <w:rsid w:val="003B758A"/>
    <w:rsid w:val="003C6222"/>
    <w:rsid w:val="003E0791"/>
    <w:rsid w:val="003F28AC"/>
    <w:rsid w:val="003F6FE6"/>
    <w:rsid w:val="00410D5D"/>
    <w:rsid w:val="004312E9"/>
    <w:rsid w:val="0043323F"/>
    <w:rsid w:val="00436DE9"/>
    <w:rsid w:val="004454FE"/>
    <w:rsid w:val="00447B6E"/>
    <w:rsid w:val="00454789"/>
    <w:rsid w:val="004567F9"/>
    <w:rsid w:val="00456E40"/>
    <w:rsid w:val="00462288"/>
    <w:rsid w:val="00471F27"/>
    <w:rsid w:val="004778C9"/>
    <w:rsid w:val="004813C9"/>
    <w:rsid w:val="00483696"/>
    <w:rsid w:val="00496E4A"/>
    <w:rsid w:val="004A3544"/>
    <w:rsid w:val="004A3E0B"/>
    <w:rsid w:val="004A46FA"/>
    <w:rsid w:val="004D06E6"/>
    <w:rsid w:val="004F6B11"/>
    <w:rsid w:val="00501579"/>
    <w:rsid w:val="0050178F"/>
    <w:rsid w:val="005070A6"/>
    <w:rsid w:val="00524C4C"/>
    <w:rsid w:val="00533E32"/>
    <w:rsid w:val="00552996"/>
    <w:rsid w:val="0055627A"/>
    <w:rsid w:val="00556CFF"/>
    <w:rsid w:val="005629F6"/>
    <w:rsid w:val="00566421"/>
    <w:rsid w:val="005711E0"/>
    <w:rsid w:val="00573902"/>
    <w:rsid w:val="00582801"/>
    <w:rsid w:val="005874A1"/>
    <w:rsid w:val="0059029F"/>
    <w:rsid w:val="00595F7B"/>
    <w:rsid w:val="005A3F36"/>
    <w:rsid w:val="005D3B1B"/>
    <w:rsid w:val="005F576B"/>
    <w:rsid w:val="0060207D"/>
    <w:rsid w:val="00614B76"/>
    <w:rsid w:val="006254ED"/>
    <w:rsid w:val="00626100"/>
    <w:rsid w:val="00632F7B"/>
    <w:rsid w:val="00652382"/>
    <w:rsid w:val="00655F2C"/>
    <w:rsid w:val="00662840"/>
    <w:rsid w:val="00670D7F"/>
    <w:rsid w:val="00683541"/>
    <w:rsid w:val="00691A9B"/>
    <w:rsid w:val="006936CD"/>
    <w:rsid w:val="006A0119"/>
    <w:rsid w:val="006D6CE1"/>
    <w:rsid w:val="006E1081"/>
    <w:rsid w:val="006E6DAF"/>
    <w:rsid w:val="006F2278"/>
    <w:rsid w:val="00720585"/>
    <w:rsid w:val="007370D9"/>
    <w:rsid w:val="00751BCC"/>
    <w:rsid w:val="00756B13"/>
    <w:rsid w:val="00761C17"/>
    <w:rsid w:val="00771516"/>
    <w:rsid w:val="0077243E"/>
    <w:rsid w:val="00773AF6"/>
    <w:rsid w:val="00795F71"/>
    <w:rsid w:val="00797C48"/>
    <w:rsid w:val="007A4428"/>
    <w:rsid w:val="007A7D76"/>
    <w:rsid w:val="007C5EC6"/>
    <w:rsid w:val="007E54FF"/>
    <w:rsid w:val="007E5F7A"/>
    <w:rsid w:val="007E73AB"/>
    <w:rsid w:val="007F55D7"/>
    <w:rsid w:val="00803955"/>
    <w:rsid w:val="00803EDA"/>
    <w:rsid w:val="0080504B"/>
    <w:rsid w:val="00812940"/>
    <w:rsid w:val="00816C11"/>
    <w:rsid w:val="00834334"/>
    <w:rsid w:val="008344DC"/>
    <w:rsid w:val="00853CC8"/>
    <w:rsid w:val="00872E10"/>
    <w:rsid w:val="008755B0"/>
    <w:rsid w:val="00894C55"/>
    <w:rsid w:val="008953A8"/>
    <w:rsid w:val="008B1369"/>
    <w:rsid w:val="008C2D3A"/>
    <w:rsid w:val="008C3630"/>
    <w:rsid w:val="008C4B98"/>
    <w:rsid w:val="008D49FF"/>
    <w:rsid w:val="008E2E3A"/>
    <w:rsid w:val="0090678C"/>
    <w:rsid w:val="00907352"/>
    <w:rsid w:val="00912636"/>
    <w:rsid w:val="009147EE"/>
    <w:rsid w:val="0092283F"/>
    <w:rsid w:val="00936F72"/>
    <w:rsid w:val="00940604"/>
    <w:rsid w:val="009815DC"/>
    <w:rsid w:val="0099592C"/>
    <w:rsid w:val="009A204E"/>
    <w:rsid w:val="009A2654"/>
    <w:rsid w:val="009B01D4"/>
    <w:rsid w:val="009B2913"/>
    <w:rsid w:val="009B7958"/>
    <w:rsid w:val="009C4478"/>
    <w:rsid w:val="009E073E"/>
    <w:rsid w:val="00A025A5"/>
    <w:rsid w:val="00A059C6"/>
    <w:rsid w:val="00A10FC3"/>
    <w:rsid w:val="00A20117"/>
    <w:rsid w:val="00A23A59"/>
    <w:rsid w:val="00A27678"/>
    <w:rsid w:val="00A33D06"/>
    <w:rsid w:val="00A4648D"/>
    <w:rsid w:val="00A6073E"/>
    <w:rsid w:val="00A71F70"/>
    <w:rsid w:val="00A90C56"/>
    <w:rsid w:val="00A91DD6"/>
    <w:rsid w:val="00AC0569"/>
    <w:rsid w:val="00AC682D"/>
    <w:rsid w:val="00AC70D9"/>
    <w:rsid w:val="00AE5567"/>
    <w:rsid w:val="00AE63F4"/>
    <w:rsid w:val="00AF1239"/>
    <w:rsid w:val="00B00D52"/>
    <w:rsid w:val="00B124A5"/>
    <w:rsid w:val="00B16480"/>
    <w:rsid w:val="00B1692C"/>
    <w:rsid w:val="00B17107"/>
    <w:rsid w:val="00B2165C"/>
    <w:rsid w:val="00B34512"/>
    <w:rsid w:val="00B618DB"/>
    <w:rsid w:val="00B664E8"/>
    <w:rsid w:val="00B80424"/>
    <w:rsid w:val="00B856BD"/>
    <w:rsid w:val="00BA20AA"/>
    <w:rsid w:val="00BB0F85"/>
    <w:rsid w:val="00BB3539"/>
    <w:rsid w:val="00BB50D5"/>
    <w:rsid w:val="00BC2842"/>
    <w:rsid w:val="00BD3355"/>
    <w:rsid w:val="00BD4425"/>
    <w:rsid w:val="00BE1F28"/>
    <w:rsid w:val="00BF278B"/>
    <w:rsid w:val="00BF2CA5"/>
    <w:rsid w:val="00C00564"/>
    <w:rsid w:val="00C25B49"/>
    <w:rsid w:val="00C5446F"/>
    <w:rsid w:val="00C60495"/>
    <w:rsid w:val="00C850CC"/>
    <w:rsid w:val="00C917EE"/>
    <w:rsid w:val="00C93343"/>
    <w:rsid w:val="00CB3BC6"/>
    <w:rsid w:val="00CB53F0"/>
    <w:rsid w:val="00CC0D2D"/>
    <w:rsid w:val="00CD233F"/>
    <w:rsid w:val="00CE3DCF"/>
    <w:rsid w:val="00CE5657"/>
    <w:rsid w:val="00CF0F72"/>
    <w:rsid w:val="00D133F8"/>
    <w:rsid w:val="00D14A3E"/>
    <w:rsid w:val="00D206A9"/>
    <w:rsid w:val="00D36D80"/>
    <w:rsid w:val="00D43692"/>
    <w:rsid w:val="00D47354"/>
    <w:rsid w:val="00D5461E"/>
    <w:rsid w:val="00D60AB0"/>
    <w:rsid w:val="00D61B80"/>
    <w:rsid w:val="00D71E94"/>
    <w:rsid w:val="00D7549E"/>
    <w:rsid w:val="00D764E1"/>
    <w:rsid w:val="00D76552"/>
    <w:rsid w:val="00D76783"/>
    <w:rsid w:val="00D77D3B"/>
    <w:rsid w:val="00D849F5"/>
    <w:rsid w:val="00D87408"/>
    <w:rsid w:val="00DC51A2"/>
    <w:rsid w:val="00DF4781"/>
    <w:rsid w:val="00E0573B"/>
    <w:rsid w:val="00E34FDD"/>
    <w:rsid w:val="00E3716B"/>
    <w:rsid w:val="00E4171C"/>
    <w:rsid w:val="00E5323B"/>
    <w:rsid w:val="00E53648"/>
    <w:rsid w:val="00E6475B"/>
    <w:rsid w:val="00E65BB9"/>
    <w:rsid w:val="00E8749E"/>
    <w:rsid w:val="00E905B3"/>
    <w:rsid w:val="00E90C01"/>
    <w:rsid w:val="00EA273A"/>
    <w:rsid w:val="00EA486E"/>
    <w:rsid w:val="00EB713C"/>
    <w:rsid w:val="00EC279C"/>
    <w:rsid w:val="00ED0F8C"/>
    <w:rsid w:val="00ED23BA"/>
    <w:rsid w:val="00EF5C7B"/>
    <w:rsid w:val="00F037CC"/>
    <w:rsid w:val="00F07407"/>
    <w:rsid w:val="00F20857"/>
    <w:rsid w:val="00F2679D"/>
    <w:rsid w:val="00F44862"/>
    <w:rsid w:val="00F47001"/>
    <w:rsid w:val="00F56E1E"/>
    <w:rsid w:val="00F57B0C"/>
    <w:rsid w:val="00F6298F"/>
    <w:rsid w:val="00F80961"/>
    <w:rsid w:val="00F812DE"/>
    <w:rsid w:val="00F94316"/>
    <w:rsid w:val="00FB0FA4"/>
    <w:rsid w:val="00FB6E75"/>
    <w:rsid w:val="00FC2D49"/>
    <w:rsid w:val="00FE528C"/>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C6222"/>
    <w:rPr>
      <w:sz w:val="16"/>
      <w:szCs w:val="16"/>
    </w:rPr>
  </w:style>
  <w:style w:type="paragraph" w:styleId="CommentText">
    <w:name w:val="annotation text"/>
    <w:basedOn w:val="Normal"/>
    <w:link w:val="CommentTextChar"/>
    <w:uiPriority w:val="99"/>
    <w:semiHidden/>
    <w:unhideWhenUsed/>
    <w:rsid w:val="003C6222"/>
    <w:pPr>
      <w:spacing w:line="240" w:lineRule="auto"/>
    </w:pPr>
    <w:rPr>
      <w:sz w:val="20"/>
      <w:szCs w:val="20"/>
    </w:rPr>
  </w:style>
  <w:style w:type="character" w:customStyle="1" w:styleId="CommentTextChar">
    <w:name w:val="Comment Text Char"/>
    <w:basedOn w:val="DefaultParagraphFont"/>
    <w:link w:val="CommentText"/>
    <w:uiPriority w:val="99"/>
    <w:semiHidden/>
    <w:rsid w:val="003C6222"/>
    <w:rPr>
      <w:sz w:val="20"/>
      <w:szCs w:val="20"/>
    </w:rPr>
  </w:style>
  <w:style w:type="paragraph" w:styleId="CommentSubject">
    <w:name w:val="annotation subject"/>
    <w:basedOn w:val="CommentText"/>
    <w:next w:val="CommentText"/>
    <w:link w:val="CommentSubjectChar"/>
    <w:uiPriority w:val="99"/>
    <w:semiHidden/>
    <w:unhideWhenUsed/>
    <w:rsid w:val="003C6222"/>
    <w:rPr>
      <w:b/>
      <w:bCs/>
    </w:rPr>
  </w:style>
  <w:style w:type="character" w:customStyle="1" w:styleId="CommentSubjectChar">
    <w:name w:val="Comment Subject Char"/>
    <w:basedOn w:val="CommentTextChar"/>
    <w:link w:val="CommentSubject"/>
    <w:uiPriority w:val="99"/>
    <w:semiHidden/>
    <w:rsid w:val="003C6222"/>
    <w:rPr>
      <w:b/>
      <w:bCs/>
      <w:sz w:val="20"/>
      <w:szCs w:val="20"/>
    </w:rPr>
  </w:style>
  <w:style w:type="paragraph" w:styleId="ListParagraph">
    <w:name w:val="List Paragraph"/>
    <w:basedOn w:val="Normal"/>
    <w:uiPriority w:val="34"/>
    <w:qFormat/>
    <w:rsid w:val="009A204E"/>
    <w:pPr>
      <w:ind w:left="720"/>
      <w:contextualSpacing/>
    </w:pPr>
  </w:style>
  <w:style w:type="paragraph" w:styleId="FootnoteText">
    <w:name w:val="footnote text"/>
    <w:basedOn w:val="Normal"/>
    <w:link w:val="FootnoteTextChar"/>
    <w:uiPriority w:val="99"/>
    <w:semiHidden/>
    <w:unhideWhenUsed/>
    <w:rsid w:val="00562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F6"/>
    <w:rPr>
      <w:sz w:val="20"/>
      <w:szCs w:val="20"/>
    </w:rPr>
  </w:style>
  <w:style w:type="character" w:styleId="FootnoteReference">
    <w:name w:val="footnote reference"/>
    <w:basedOn w:val="DefaultParagraphFont"/>
    <w:uiPriority w:val="99"/>
    <w:semiHidden/>
    <w:unhideWhenUsed/>
    <w:rsid w:val="00562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C6222"/>
    <w:rPr>
      <w:sz w:val="16"/>
      <w:szCs w:val="16"/>
    </w:rPr>
  </w:style>
  <w:style w:type="paragraph" w:styleId="CommentText">
    <w:name w:val="annotation text"/>
    <w:basedOn w:val="Normal"/>
    <w:link w:val="CommentTextChar"/>
    <w:uiPriority w:val="99"/>
    <w:semiHidden/>
    <w:unhideWhenUsed/>
    <w:rsid w:val="003C6222"/>
    <w:pPr>
      <w:spacing w:line="240" w:lineRule="auto"/>
    </w:pPr>
    <w:rPr>
      <w:sz w:val="20"/>
      <w:szCs w:val="20"/>
    </w:rPr>
  </w:style>
  <w:style w:type="character" w:customStyle="1" w:styleId="CommentTextChar">
    <w:name w:val="Comment Text Char"/>
    <w:basedOn w:val="DefaultParagraphFont"/>
    <w:link w:val="CommentText"/>
    <w:uiPriority w:val="99"/>
    <w:semiHidden/>
    <w:rsid w:val="003C6222"/>
    <w:rPr>
      <w:sz w:val="20"/>
      <w:szCs w:val="20"/>
    </w:rPr>
  </w:style>
  <w:style w:type="paragraph" w:styleId="CommentSubject">
    <w:name w:val="annotation subject"/>
    <w:basedOn w:val="CommentText"/>
    <w:next w:val="CommentText"/>
    <w:link w:val="CommentSubjectChar"/>
    <w:uiPriority w:val="99"/>
    <w:semiHidden/>
    <w:unhideWhenUsed/>
    <w:rsid w:val="003C6222"/>
    <w:rPr>
      <w:b/>
      <w:bCs/>
    </w:rPr>
  </w:style>
  <w:style w:type="character" w:customStyle="1" w:styleId="CommentSubjectChar">
    <w:name w:val="Comment Subject Char"/>
    <w:basedOn w:val="CommentTextChar"/>
    <w:link w:val="CommentSubject"/>
    <w:uiPriority w:val="99"/>
    <w:semiHidden/>
    <w:rsid w:val="003C6222"/>
    <w:rPr>
      <w:b/>
      <w:bCs/>
      <w:sz w:val="20"/>
      <w:szCs w:val="20"/>
    </w:rPr>
  </w:style>
  <w:style w:type="paragraph" w:styleId="ListParagraph">
    <w:name w:val="List Paragraph"/>
    <w:basedOn w:val="Normal"/>
    <w:uiPriority w:val="34"/>
    <w:qFormat/>
    <w:rsid w:val="009A204E"/>
    <w:pPr>
      <w:ind w:left="720"/>
      <w:contextualSpacing/>
    </w:pPr>
  </w:style>
  <w:style w:type="paragraph" w:styleId="FootnoteText">
    <w:name w:val="footnote text"/>
    <w:basedOn w:val="Normal"/>
    <w:link w:val="FootnoteTextChar"/>
    <w:uiPriority w:val="99"/>
    <w:semiHidden/>
    <w:unhideWhenUsed/>
    <w:rsid w:val="00562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F6"/>
    <w:rPr>
      <w:sz w:val="20"/>
      <w:szCs w:val="20"/>
    </w:rPr>
  </w:style>
  <w:style w:type="character" w:styleId="FootnoteReference">
    <w:name w:val="footnote reference"/>
    <w:basedOn w:val="DefaultParagraphFont"/>
    <w:uiPriority w:val="99"/>
    <w:semiHidden/>
    <w:unhideWhenUsed/>
    <w:rsid w:val="00562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Zelca@knab.gov.lv" TargetMode="External"/><Relationship Id="rId4" Type="http://schemas.microsoft.com/office/2007/relationships/stylesWithEffects" Target="stylesWithEffects.xml"/><Relationship Id="rId9" Type="http://schemas.openxmlformats.org/officeDocument/2006/relationships/hyperlink" Target="mailto:Diana.Stepina@knab.gov.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A436-C3D7-45B1-BEC7-F8C3B8B7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10914</Words>
  <Characters>6222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Diāna Stepiņa</cp:lastModifiedBy>
  <cp:revision>71</cp:revision>
  <cp:lastPrinted>2018-11-01T08:05:00Z</cp:lastPrinted>
  <dcterms:created xsi:type="dcterms:W3CDTF">2018-06-14T12:59:00Z</dcterms:created>
  <dcterms:modified xsi:type="dcterms:W3CDTF">2018-11-01T08:06:00Z</dcterms:modified>
</cp:coreProperties>
</file>