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C16D1" w14:textId="77777777" w:rsidR="00B50D6C" w:rsidRPr="00131186" w:rsidRDefault="00B50D6C" w:rsidP="00B50D6C">
      <w:pPr>
        <w:jc w:val="center"/>
        <w:rPr>
          <w:b/>
          <w:color w:val="000000" w:themeColor="text1"/>
        </w:rPr>
      </w:pPr>
      <w:bookmarkStart w:id="0" w:name="OLE_LINK49"/>
      <w:bookmarkStart w:id="1" w:name="OLE_LINK48"/>
      <w:bookmarkStart w:id="2" w:name="OLE_LINK51"/>
      <w:bookmarkStart w:id="3" w:name="OLE_LINK50"/>
      <w:r w:rsidRPr="00131186">
        <w:rPr>
          <w:b/>
          <w:color w:val="000000" w:themeColor="text1"/>
        </w:rPr>
        <w:t>Informatīvais ziņojums</w:t>
      </w:r>
    </w:p>
    <w:bookmarkEnd w:id="0"/>
    <w:bookmarkEnd w:id="1"/>
    <w:bookmarkEnd w:id="2"/>
    <w:bookmarkEnd w:id="3"/>
    <w:p w14:paraId="3EA42F03" w14:textId="77777777" w:rsidR="00B50D6C" w:rsidRPr="00131186" w:rsidRDefault="00B50D6C" w:rsidP="00B50D6C">
      <w:pPr>
        <w:jc w:val="center"/>
        <w:rPr>
          <w:b/>
          <w:color w:val="000000" w:themeColor="text1"/>
        </w:rPr>
      </w:pPr>
      <w:r w:rsidRPr="00131186">
        <w:rPr>
          <w:b/>
          <w:color w:val="000000" w:themeColor="text1"/>
        </w:rPr>
        <w:t xml:space="preserve">“Par lielā projekta “Latvijas dzelzceļa tīkla elektrifikācija” </w:t>
      </w:r>
    </w:p>
    <w:p w14:paraId="3BAC4CD3" w14:textId="77777777" w:rsidR="00B50D6C" w:rsidRPr="00131186" w:rsidRDefault="00B50D6C" w:rsidP="00B50D6C">
      <w:pPr>
        <w:jc w:val="center"/>
        <w:rPr>
          <w:b/>
          <w:color w:val="000000" w:themeColor="text1"/>
        </w:rPr>
      </w:pPr>
      <w:r w:rsidRPr="00131186">
        <w:rPr>
          <w:b/>
          <w:color w:val="000000" w:themeColor="text1"/>
        </w:rPr>
        <w:t>sagatavošanas progresu, izmaksu un ieguvumu analīzes</w:t>
      </w:r>
    </w:p>
    <w:p w14:paraId="5C0C001C" w14:textId="77777777" w:rsidR="00BE20F0" w:rsidRPr="00131186" w:rsidRDefault="00B50D6C" w:rsidP="00D86DA2">
      <w:pPr>
        <w:jc w:val="center"/>
        <w:rPr>
          <w:rFonts w:eastAsiaTheme="minorHAnsi"/>
          <w:b/>
          <w:color w:val="000000" w:themeColor="text1"/>
          <w:lang w:eastAsia="en-US"/>
        </w:rPr>
      </w:pPr>
      <w:r w:rsidRPr="00131186">
        <w:rPr>
          <w:b/>
          <w:color w:val="000000" w:themeColor="text1"/>
        </w:rPr>
        <w:t xml:space="preserve"> rezultātiem un projekta īstenošanas risinājumiem”</w:t>
      </w:r>
    </w:p>
    <w:p w14:paraId="536D1A9F" w14:textId="77777777" w:rsidR="00D86DA2" w:rsidRPr="00131186" w:rsidRDefault="00D86DA2" w:rsidP="00D86DA2">
      <w:pPr>
        <w:jc w:val="center"/>
        <w:rPr>
          <w:rFonts w:eastAsiaTheme="minorHAnsi"/>
          <w:b/>
          <w:color w:val="000000" w:themeColor="text1"/>
          <w:lang w:eastAsia="en-US"/>
        </w:rPr>
      </w:pPr>
    </w:p>
    <w:p w14:paraId="1BA3278C" w14:textId="727F5BB2" w:rsidR="00D86DA2" w:rsidRPr="00131186" w:rsidRDefault="00D86DA2" w:rsidP="00D86DA2">
      <w:pPr>
        <w:ind w:firstLine="567"/>
        <w:jc w:val="both"/>
      </w:pPr>
      <w:r w:rsidRPr="00131186">
        <w:t xml:space="preserve">Ar Ministru kabineta 2017. gada 17. janvāra sēdes </w:t>
      </w:r>
      <w:proofErr w:type="spellStart"/>
      <w:r w:rsidRPr="00131186">
        <w:t>protokollēmuma</w:t>
      </w:r>
      <w:proofErr w:type="spellEnd"/>
      <w:r w:rsidRPr="00131186">
        <w:t xml:space="preserve"> “Informatīvais ziņojums “Par lielā projekta “Latvijas dzelzceļa tīkla elektrifikācija” sagatavošanas progresu, izmaksu un ieguvumu analīzes rezultātiem un projekta īstenošanas risinājumiem” (prot. Nr. 3, 39. §)  9. punktu Satiksmes ministrijai tika uzdots izveidot Finanšu ministrijas, Satiksmes ministrijas, Ekonomikas ministrijas, AS “Augstsprieguma tīkli”, VAS “Latvijas dzelzceļš”</w:t>
      </w:r>
      <w:r w:rsidR="003963DD">
        <w:t xml:space="preserve"> </w:t>
      </w:r>
      <w:r w:rsidRPr="00131186">
        <w:t xml:space="preserve"> un Sabiedrisko pakalpojumu regulēšanas komisijas pārstāvju darba grupu par obligātā iepirkuma komponentes, speciālu </w:t>
      </w:r>
      <w:proofErr w:type="spellStart"/>
      <w:r w:rsidRPr="00131186">
        <w:t>pieslēguma</w:t>
      </w:r>
      <w:proofErr w:type="spellEnd"/>
      <w:r w:rsidRPr="00131186">
        <w:t xml:space="preserve"> nosacījumu piemērošanas elektroenerģijas lietotājiem un </w:t>
      </w:r>
      <w:proofErr w:type="spellStart"/>
      <w:r w:rsidRPr="00131186">
        <w:t>pieslēguma</w:t>
      </w:r>
      <w:proofErr w:type="spellEnd"/>
      <w:r w:rsidRPr="00131186">
        <w:t xml:space="preserve"> maksas noteikšanas jautājumiem projekta īstenošanai, kas negatīvi neietekmē maksu par elektroenerģijas lietošanu gala patērētājiem un nerada jaunus subsīdiju mehānismus elektroenerģijai, un Satiksmes ministrijai sadarbībā ar Ekonomikas ministriju līdz 2017. gada 1. jūnijam iesniegt noteiktā kārtībā izskatīšanai Ministru kabinetā priekšlikumus par nepieciešamajiem grozījumiem normatīvajos aktos. </w:t>
      </w:r>
    </w:p>
    <w:p w14:paraId="5D30DAE8" w14:textId="77777777" w:rsidR="00D86DA2" w:rsidRPr="00131186" w:rsidRDefault="00D86DA2" w:rsidP="00D86DA2">
      <w:pPr>
        <w:ind w:firstLine="567"/>
        <w:jc w:val="both"/>
        <w:rPr>
          <w:bCs/>
        </w:rPr>
      </w:pPr>
      <w:r w:rsidRPr="00131186">
        <w:rPr>
          <w:bCs/>
        </w:rPr>
        <w:t xml:space="preserve">Saskaņā ar Ministru kabineta 2017. gada 16. augusta sēdes lēmumu (prot. Nr. 39, 19 .§)  tika pagarināts Ministru kabineta 2017. gada 17. janvāra sēdes </w:t>
      </w:r>
      <w:proofErr w:type="spellStart"/>
      <w:r w:rsidRPr="00131186">
        <w:rPr>
          <w:bCs/>
        </w:rPr>
        <w:t>protokollēmuma</w:t>
      </w:r>
      <w:proofErr w:type="spellEnd"/>
      <w:r w:rsidRPr="00131186">
        <w:rPr>
          <w:bCs/>
        </w:rPr>
        <w:t xml:space="preserve"> "Informatīvais ziņojums "Par lielā projekta "Latvijas dzelzceļa tīkla elektrifikācija" sagatavošanas progresu, izmaksu un ieguvumu analīzes rezultātiem un projekta īstenošanas risinājumiem"" (prot. Nr. 3 39. §) 9. punktā dotā uzdevuma izpildes termiņš līdz 2017. gada 30. decembrim.</w:t>
      </w:r>
    </w:p>
    <w:p w14:paraId="364AE733" w14:textId="77777777" w:rsidR="00D86DA2" w:rsidRPr="00131186" w:rsidRDefault="00D86DA2" w:rsidP="00D86DA2">
      <w:pPr>
        <w:ind w:firstLine="567"/>
        <w:jc w:val="both"/>
        <w:rPr>
          <w:bCs/>
        </w:rPr>
      </w:pPr>
      <w:r w:rsidRPr="00131186">
        <w:t xml:space="preserve">Ar Satiksmes ministrijas 2017. gada 11. aprīļa </w:t>
      </w:r>
      <w:r w:rsidRPr="00131186">
        <w:rPr>
          <w:bCs/>
        </w:rPr>
        <w:t>rīkojumu Nr. 01 - 03/70 tika izveidota starpinstitūciju darba grupa no Ministru kabineta lēmumā minēto institūciju pārstāvjiem.</w:t>
      </w:r>
    </w:p>
    <w:p w14:paraId="72945F19" w14:textId="77777777" w:rsidR="00D86DA2" w:rsidRPr="00131186" w:rsidRDefault="00D86DA2" w:rsidP="00D86DA2">
      <w:pPr>
        <w:ind w:firstLine="567"/>
        <w:jc w:val="both"/>
        <w:rPr>
          <w:bCs/>
        </w:rPr>
      </w:pPr>
      <w:r w:rsidRPr="00131186">
        <w:rPr>
          <w:bCs/>
        </w:rPr>
        <w:t xml:space="preserve"> </w:t>
      </w:r>
      <w:bookmarkStart w:id="4" w:name="_GoBack"/>
      <w:bookmarkEnd w:id="4"/>
    </w:p>
    <w:p w14:paraId="41113E8A" w14:textId="77777777" w:rsidR="00D86DA2" w:rsidRPr="00131186" w:rsidRDefault="00D86DA2" w:rsidP="00D86DA2">
      <w:pPr>
        <w:ind w:firstLine="567"/>
        <w:jc w:val="both"/>
        <w:rPr>
          <w:bCs/>
        </w:rPr>
      </w:pPr>
      <w:r w:rsidRPr="00131186">
        <w:rPr>
          <w:bCs/>
        </w:rPr>
        <w:t xml:space="preserve">Pamatojoties uz VAS “Latvijas dzelzceļš” pieaicinātu ekspertu sākotnējo slēdzienu, tika identificēti vairāki </w:t>
      </w:r>
      <w:bookmarkStart w:id="5" w:name="_Hlk507147919"/>
      <w:r w:rsidRPr="00131186">
        <w:rPr>
          <w:bCs/>
        </w:rPr>
        <w:t>iespējamie risinājumi, kas nodrošinātu dzelzceļa tranzīta koridoru konkurētspēju mainīgos tirgus un konkurences apstākļos</w:t>
      </w:r>
      <w:bookmarkEnd w:id="5"/>
      <w:r w:rsidRPr="00131186">
        <w:rPr>
          <w:bCs/>
        </w:rPr>
        <w:t xml:space="preserve"> un par kuriem nepieciešams diskutēt darba grupas ietvaros, proti:</w:t>
      </w:r>
    </w:p>
    <w:p w14:paraId="4D9902BB" w14:textId="77777777" w:rsidR="00D86DA2" w:rsidRPr="00131186" w:rsidRDefault="00D86DA2" w:rsidP="00D86DA2">
      <w:pPr>
        <w:pStyle w:val="ListParagraph"/>
        <w:numPr>
          <w:ilvl w:val="0"/>
          <w:numId w:val="2"/>
        </w:numPr>
        <w:jc w:val="both"/>
        <w:rPr>
          <w:bCs/>
        </w:rPr>
      </w:pPr>
      <w:r w:rsidRPr="00131186">
        <w:rPr>
          <w:bCs/>
        </w:rPr>
        <w:t xml:space="preserve">izvērtēt speciālu elektroenerģijas pārvades pakalpojumu tarifu kategorijas izveidi dzelzceļa vilces jaudas apakšstaciju (turpmāk – VJA) </w:t>
      </w:r>
      <w:proofErr w:type="spellStart"/>
      <w:r w:rsidRPr="00131186">
        <w:rPr>
          <w:bCs/>
        </w:rPr>
        <w:t>pieslēgumiem</w:t>
      </w:r>
      <w:proofErr w:type="spellEnd"/>
      <w:r w:rsidRPr="00131186">
        <w:rPr>
          <w:bCs/>
        </w:rPr>
        <w:t>, kas ļautu noteikt maksas par pārvades jaudas uzturēšanu un attīstību līmeni atbilstošu tieši dzelzceļa VJA radītajām izmaksām;</w:t>
      </w:r>
    </w:p>
    <w:p w14:paraId="020AAE88" w14:textId="77777777" w:rsidR="00D86DA2" w:rsidRPr="00131186" w:rsidRDefault="00D86DA2" w:rsidP="00D86DA2">
      <w:pPr>
        <w:pStyle w:val="ListParagraph"/>
        <w:numPr>
          <w:ilvl w:val="0"/>
          <w:numId w:val="2"/>
        </w:numPr>
        <w:jc w:val="both"/>
        <w:rPr>
          <w:bCs/>
        </w:rPr>
      </w:pPr>
      <w:r w:rsidRPr="00131186">
        <w:rPr>
          <w:bCs/>
        </w:rPr>
        <w:t xml:space="preserve">apsvērt iespēju izdarīt grozījumus  Ministru kabineta 2006. gada 13. jūnija noteikumos Nr. 476 “Noteikumi par speciālo </w:t>
      </w:r>
      <w:proofErr w:type="spellStart"/>
      <w:r w:rsidRPr="00131186">
        <w:rPr>
          <w:bCs/>
        </w:rPr>
        <w:t>pieslēgumu</w:t>
      </w:r>
      <w:proofErr w:type="spellEnd"/>
      <w:r w:rsidRPr="00131186">
        <w:rPr>
          <w:bCs/>
        </w:rPr>
        <w:t xml:space="preserve"> elektroenerģijas pārvades sistēmai”, radot iespēju veidot speciālo </w:t>
      </w:r>
      <w:proofErr w:type="spellStart"/>
      <w:r w:rsidRPr="00131186">
        <w:rPr>
          <w:bCs/>
        </w:rPr>
        <w:t>pieslēgumu</w:t>
      </w:r>
      <w:proofErr w:type="spellEnd"/>
      <w:r w:rsidRPr="00131186">
        <w:rPr>
          <w:bCs/>
        </w:rPr>
        <w:t xml:space="preserve"> elektroenerģijas pārvades sistēmai, kur vairākas VJA tiek uztvertas kā funkcionāls kopums;</w:t>
      </w:r>
    </w:p>
    <w:p w14:paraId="6ED64EC7" w14:textId="6805AAE2" w:rsidR="00D86DA2" w:rsidRPr="00131186" w:rsidRDefault="00D86DA2" w:rsidP="00D86DA2">
      <w:pPr>
        <w:pStyle w:val="ListParagraph"/>
        <w:numPr>
          <w:ilvl w:val="0"/>
          <w:numId w:val="2"/>
        </w:numPr>
        <w:jc w:val="both"/>
        <w:rPr>
          <w:bCs/>
        </w:rPr>
      </w:pPr>
      <w:r w:rsidRPr="00131186">
        <w:rPr>
          <w:bCs/>
        </w:rPr>
        <w:t>projekta ieviešanas gaitā pietiekami precīzi prognozēt un ņemt vērā elektroenerģijas o</w:t>
      </w:r>
      <w:r w:rsidR="003963DD">
        <w:rPr>
          <w:bCs/>
        </w:rPr>
        <w:t>bligātā iepirkuma komponentes (</w:t>
      </w:r>
      <w:r w:rsidRPr="00131186">
        <w:rPr>
          <w:bCs/>
        </w:rPr>
        <w:t xml:space="preserve">turpmāk – OIK) ietekmi, zinot, ka saskaņā ar prognozēm OIK savu dabīgo maksimumu sasniegs 2020. gadā, pēc kā pakāpeniski sāks samazināties.   </w:t>
      </w:r>
    </w:p>
    <w:p w14:paraId="2E990B0D" w14:textId="77777777" w:rsidR="00D86DA2" w:rsidRPr="00131186" w:rsidRDefault="00D86DA2" w:rsidP="00D86DA2">
      <w:pPr>
        <w:ind w:firstLine="567"/>
        <w:jc w:val="both"/>
        <w:rPr>
          <w:bCs/>
        </w:rPr>
      </w:pPr>
    </w:p>
    <w:p w14:paraId="4049CBB6" w14:textId="77777777" w:rsidR="00D86DA2" w:rsidRPr="00131186" w:rsidRDefault="00D86DA2" w:rsidP="00D86DA2">
      <w:pPr>
        <w:ind w:firstLine="567"/>
        <w:jc w:val="both"/>
        <w:rPr>
          <w:bCs/>
        </w:rPr>
      </w:pPr>
      <w:r w:rsidRPr="00131186">
        <w:rPr>
          <w:bCs/>
        </w:rPr>
        <w:t xml:space="preserve">2017. gada 5. decembrī Ministru kabinetā tika izskatīts Satiksmes ministrijas  informatīvais ziņojums "Par lielā projekta "Latvijas dzelzceļa tīkla elektrifikācija" sagatavošanas progresu un projekta īstenošanas risinājumiem" un Satiksmes ministrijai uzdots, veicot darbības, lai izpildītu Ministru kabineta 2017. gada 17. janvāra sēdes </w:t>
      </w:r>
      <w:proofErr w:type="spellStart"/>
      <w:r w:rsidRPr="00131186">
        <w:rPr>
          <w:bCs/>
        </w:rPr>
        <w:t>protokollēmuma</w:t>
      </w:r>
      <w:proofErr w:type="spellEnd"/>
      <w:r w:rsidRPr="00131186">
        <w:rPr>
          <w:bCs/>
        </w:rPr>
        <w:t xml:space="preserve"> (prot. Nr. 3 39. §) 9. punktā doto uzdevumu, nodrošināt, ka Projekts negatīvi neietekmē maksu par elektroenerģijas lietošanu gala patērētājiem un nerada jaunus subsīdiju mehānismus elektroenerģijai (prot.  Nr. 60, 51. §).</w:t>
      </w:r>
    </w:p>
    <w:p w14:paraId="6A18E4B9" w14:textId="77777777" w:rsidR="00650FBE" w:rsidRPr="00131186" w:rsidRDefault="00650FBE" w:rsidP="00D86DA2">
      <w:pPr>
        <w:ind w:firstLine="567"/>
        <w:jc w:val="both"/>
        <w:rPr>
          <w:bCs/>
        </w:rPr>
      </w:pPr>
      <w:r w:rsidRPr="00131186">
        <w:rPr>
          <w:bCs/>
        </w:rPr>
        <w:lastRenderedPageBreak/>
        <w:t xml:space="preserve">Darba grupa </w:t>
      </w:r>
      <w:r w:rsidR="005F3906" w:rsidRPr="00131186">
        <w:rPr>
          <w:bCs/>
        </w:rPr>
        <w:t>apsprieda</w:t>
      </w:r>
      <w:r w:rsidRPr="00131186">
        <w:rPr>
          <w:bCs/>
        </w:rPr>
        <w:t xml:space="preserve"> augstākminētos iespējamos risinājumus, kas nodrošinātu dzelzceļa tranzīta koridoru konkurētspēju mainīgos tirgus un konkurences apstākļos. </w:t>
      </w:r>
    </w:p>
    <w:p w14:paraId="580B84B7" w14:textId="77777777" w:rsidR="00650FBE" w:rsidRPr="00131186" w:rsidRDefault="00650FBE" w:rsidP="00D86DA2">
      <w:pPr>
        <w:ind w:firstLine="567"/>
        <w:jc w:val="both"/>
        <w:rPr>
          <w:bCs/>
        </w:rPr>
      </w:pPr>
      <w:r w:rsidRPr="00131186">
        <w:rPr>
          <w:bCs/>
        </w:rPr>
        <w:t xml:space="preserve"> Darba grupa</w:t>
      </w:r>
      <w:r w:rsidR="005F3906" w:rsidRPr="00131186">
        <w:rPr>
          <w:bCs/>
        </w:rPr>
        <w:t>s ietvaros tika</w:t>
      </w:r>
      <w:r w:rsidRPr="00131186">
        <w:rPr>
          <w:bCs/>
        </w:rPr>
        <w:t xml:space="preserve"> l</w:t>
      </w:r>
      <w:r w:rsidR="005F3906" w:rsidRPr="00131186">
        <w:rPr>
          <w:bCs/>
        </w:rPr>
        <w:t>e</w:t>
      </w:r>
      <w:r w:rsidRPr="00131186">
        <w:rPr>
          <w:bCs/>
        </w:rPr>
        <w:t>m</w:t>
      </w:r>
      <w:r w:rsidR="005F3906" w:rsidRPr="00131186">
        <w:rPr>
          <w:bCs/>
        </w:rPr>
        <w:t>ts</w:t>
      </w:r>
      <w:r w:rsidRPr="00131186">
        <w:rPr>
          <w:bCs/>
        </w:rPr>
        <w:t xml:space="preserve"> uzdot:</w:t>
      </w:r>
    </w:p>
    <w:p w14:paraId="4CEF55D1" w14:textId="77777777" w:rsidR="00D86DA2" w:rsidRPr="00131186" w:rsidRDefault="00650FBE" w:rsidP="00D13927">
      <w:pPr>
        <w:pStyle w:val="ListParagraph"/>
        <w:numPr>
          <w:ilvl w:val="0"/>
          <w:numId w:val="2"/>
        </w:numPr>
        <w:jc w:val="both"/>
        <w:rPr>
          <w:bCs/>
        </w:rPr>
      </w:pPr>
      <w:r w:rsidRPr="00131186">
        <w:rPr>
          <w:bCs/>
        </w:rPr>
        <w:t xml:space="preserve"> Finanšu ministrijai, balstoties uz VAS “Latvijas dzelzceļš” un Satiksmes ministrijas sniegto informāciju, izvērtēt valsts atbalsta jautājumus darba grupas ietvaros apspriestajiem risinājumiem</w:t>
      </w:r>
      <w:r w:rsidR="00D13927" w:rsidRPr="00131186">
        <w:rPr>
          <w:bCs/>
        </w:rPr>
        <w:t xml:space="preserve">, proti, vai valsts atbalsta pazīmes var rasties šādos gadījumos: 1)speciālu elektroenerģijas pārvades pakalpojumu tarifu kategorijas izveides gadījumā dzelzceļa VJA </w:t>
      </w:r>
      <w:proofErr w:type="spellStart"/>
      <w:r w:rsidR="00D13927" w:rsidRPr="00131186">
        <w:rPr>
          <w:bCs/>
        </w:rPr>
        <w:t>pieslēgumiem</w:t>
      </w:r>
      <w:proofErr w:type="spellEnd"/>
      <w:r w:rsidR="00D13927" w:rsidRPr="00131186">
        <w:rPr>
          <w:bCs/>
        </w:rPr>
        <w:t>; 2) speciālā-pazeminātā OIK noteikšanas gadījumā; 3)</w:t>
      </w:r>
      <w:r w:rsidR="00D13927" w:rsidRPr="00131186">
        <w:t xml:space="preserve"> </w:t>
      </w:r>
      <w:r w:rsidR="00D13927" w:rsidRPr="00131186">
        <w:rPr>
          <w:bCs/>
        </w:rPr>
        <w:t xml:space="preserve">speciālā </w:t>
      </w:r>
      <w:proofErr w:type="spellStart"/>
      <w:r w:rsidR="00D13927" w:rsidRPr="00131186">
        <w:rPr>
          <w:bCs/>
        </w:rPr>
        <w:t>pieslēguma</w:t>
      </w:r>
      <w:proofErr w:type="spellEnd"/>
      <w:r w:rsidR="00D13927" w:rsidRPr="00131186">
        <w:rPr>
          <w:bCs/>
        </w:rPr>
        <w:t xml:space="preserve"> noteikšanas gadījumā</w:t>
      </w:r>
      <w:r w:rsidRPr="00131186">
        <w:rPr>
          <w:bCs/>
        </w:rPr>
        <w:t>;</w:t>
      </w:r>
    </w:p>
    <w:p w14:paraId="14BC1E00" w14:textId="77777777" w:rsidR="00650FBE" w:rsidRPr="00131186" w:rsidRDefault="00650FBE" w:rsidP="00C5188C">
      <w:pPr>
        <w:pStyle w:val="ListParagraph"/>
        <w:numPr>
          <w:ilvl w:val="0"/>
          <w:numId w:val="2"/>
        </w:numPr>
        <w:jc w:val="both"/>
        <w:rPr>
          <w:bCs/>
        </w:rPr>
      </w:pPr>
      <w:r w:rsidRPr="00131186">
        <w:rPr>
          <w:bCs/>
        </w:rPr>
        <w:t xml:space="preserve">AS “Augstsprieguma tīkls” veikt aprēķinus, salīdzinot katra pievienojuma plānoto patēriņu pret sistēmas patēriņu, novērtējot speciālā </w:t>
      </w:r>
      <w:proofErr w:type="spellStart"/>
      <w:r w:rsidRPr="00131186">
        <w:rPr>
          <w:bCs/>
        </w:rPr>
        <w:t>pieslēguma</w:t>
      </w:r>
      <w:proofErr w:type="spellEnd"/>
      <w:r w:rsidRPr="00131186">
        <w:rPr>
          <w:bCs/>
        </w:rPr>
        <w:t xml:space="preserve"> piemērošanas iespējas projekta “Latvijas dzelzceļa tīkla elektrifikācija” (turpmāk – Projekts) gadījumā;</w:t>
      </w:r>
    </w:p>
    <w:p w14:paraId="0FD7AF22" w14:textId="6261B461" w:rsidR="006B7269" w:rsidRPr="00131186" w:rsidRDefault="006B7269" w:rsidP="00C5188C">
      <w:pPr>
        <w:pStyle w:val="ListParagraph"/>
        <w:numPr>
          <w:ilvl w:val="0"/>
          <w:numId w:val="2"/>
        </w:numPr>
        <w:jc w:val="both"/>
        <w:rPr>
          <w:bCs/>
        </w:rPr>
      </w:pPr>
      <w:r w:rsidRPr="00131186">
        <w:rPr>
          <w:bCs/>
        </w:rPr>
        <w:t xml:space="preserve">AS “Augstsprieguma tīkls” izvērtēt maksas par pārvades jaudas uzturēšanu un attīstīšanu uzstādīto jaudu piemērošanu, ņemot vērā, ka  Projekta ietvaros  </w:t>
      </w:r>
      <w:r w:rsidR="003963DD">
        <w:rPr>
          <w:bCs/>
        </w:rPr>
        <w:t xml:space="preserve">VAS “Latvijas dzelzceļš” </w:t>
      </w:r>
      <w:r w:rsidRPr="00131186">
        <w:rPr>
          <w:bCs/>
        </w:rPr>
        <w:t>vajadzībām tiks izbūvēta viena sistēma ar 4 savstarpēji saistītām un funkcionāli neatdalāmām apakšstacijām;</w:t>
      </w:r>
    </w:p>
    <w:p w14:paraId="6066699E" w14:textId="2BC3A3B1" w:rsidR="00650FBE" w:rsidRPr="00131186" w:rsidRDefault="006B7269" w:rsidP="00C5188C">
      <w:pPr>
        <w:pStyle w:val="ListParagraph"/>
        <w:numPr>
          <w:ilvl w:val="0"/>
          <w:numId w:val="2"/>
        </w:numPr>
        <w:jc w:val="both"/>
        <w:rPr>
          <w:bCs/>
        </w:rPr>
      </w:pPr>
      <w:r w:rsidRPr="00131186">
        <w:rPr>
          <w:bCs/>
        </w:rPr>
        <w:t xml:space="preserve">Ekonomikas ministrijai, balstoties uz OIK nākotnes prognozēm, veikt provizoriskus aprēķinus, cik liela varētu būt tā ietekme uz </w:t>
      </w:r>
      <w:r w:rsidR="003963DD">
        <w:rPr>
          <w:bCs/>
        </w:rPr>
        <w:t xml:space="preserve">VAS “Latvijas dzelzceļš” </w:t>
      </w:r>
      <w:r w:rsidRPr="00131186">
        <w:rPr>
          <w:bCs/>
        </w:rPr>
        <w:t>pēc elektrifikācijas projekta pabeigšanas.</w:t>
      </w:r>
    </w:p>
    <w:p w14:paraId="05FF1596" w14:textId="51154A27" w:rsidR="00650FBE" w:rsidRPr="00131186" w:rsidRDefault="00650FBE" w:rsidP="003963DD">
      <w:pPr>
        <w:jc w:val="both"/>
        <w:rPr>
          <w:bCs/>
          <w:color w:val="FF0000"/>
        </w:rPr>
      </w:pPr>
    </w:p>
    <w:p w14:paraId="25EBD2F1" w14:textId="77777777" w:rsidR="00D86DA2" w:rsidRPr="00131186" w:rsidRDefault="00D86DA2" w:rsidP="00D86DA2">
      <w:pPr>
        <w:ind w:left="567"/>
        <w:jc w:val="both"/>
        <w:rPr>
          <w:bCs/>
        </w:rPr>
      </w:pPr>
      <w:r w:rsidRPr="00131186">
        <w:rPr>
          <w:bCs/>
        </w:rPr>
        <w:t>Darba grupa ir nonākusi pie šādiem secinājumiem:</w:t>
      </w:r>
    </w:p>
    <w:p w14:paraId="63082AE9" w14:textId="08283214" w:rsidR="00D86DA2" w:rsidRPr="00131186" w:rsidRDefault="00D86DA2" w:rsidP="00453AF0">
      <w:pPr>
        <w:pStyle w:val="ListParagraph"/>
        <w:numPr>
          <w:ilvl w:val="2"/>
          <w:numId w:val="4"/>
        </w:numPr>
        <w:ind w:left="993" w:hanging="284"/>
        <w:jc w:val="both"/>
        <w:rPr>
          <w:bCs/>
          <w:color w:val="FF0000"/>
        </w:rPr>
      </w:pPr>
      <w:r w:rsidRPr="00131186">
        <w:rPr>
          <w:bCs/>
        </w:rPr>
        <w:t xml:space="preserve">Ņemot vērā Finanšu ministrijas Komercdarbības atbalsta kontroles departamenta veikto sākotnējo </w:t>
      </w:r>
      <w:proofErr w:type="spellStart"/>
      <w:r w:rsidRPr="00131186">
        <w:rPr>
          <w:bCs/>
        </w:rPr>
        <w:t>izvērtējumu</w:t>
      </w:r>
      <w:proofErr w:type="spellEnd"/>
      <w:r w:rsidRPr="00131186">
        <w:rPr>
          <w:bCs/>
        </w:rPr>
        <w:t xml:space="preserve"> attiecībā uz iespējamiem risinājumiem Projekta </w:t>
      </w:r>
      <w:proofErr w:type="spellStart"/>
      <w:r w:rsidRPr="00131186">
        <w:rPr>
          <w:bCs/>
        </w:rPr>
        <w:t>pieslēgumu</w:t>
      </w:r>
      <w:proofErr w:type="spellEnd"/>
      <w:r w:rsidRPr="00131186">
        <w:rPr>
          <w:bCs/>
        </w:rPr>
        <w:t xml:space="preserve"> elektroenerģijas pārvades sistēmai, jaudas rezervēšanas pārvades sistēmā un OIK izmaksu samazināšanai, darba grupa secina, ka pasākumos par pagaidu vai pastāvīgo speciālās</w:t>
      </w:r>
      <w:r w:rsidR="00E068E4">
        <w:rPr>
          <w:bCs/>
        </w:rPr>
        <w:t xml:space="preserve"> </w:t>
      </w:r>
      <w:r w:rsidRPr="00131186">
        <w:rPr>
          <w:bCs/>
        </w:rPr>
        <w:t>-</w:t>
      </w:r>
      <w:r w:rsidR="00E068E4">
        <w:rPr>
          <w:bCs/>
        </w:rPr>
        <w:t xml:space="preserve"> </w:t>
      </w:r>
      <w:r w:rsidRPr="00131186">
        <w:rPr>
          <w:bCs/>
        </w:rPr>
        <w:t xml:space="preserve">pazeminātās maksas noteikšanu </w:t>
      </w:r>
      <w:r w:rsidR="003963DD">
        <w:rPr>
          <w:bCs/>
        </w:rPr>
        <w:t xml:space="preserve">VAS “Latvijas dzelzceļš” </w:t>
      </w:r>
      <w:r w:rsidRPr="00131186">
        <w:rPr>
          <w:bCs/>
        </w:rPr>
        <w:t xml:space="preserve">par pārvades jaudas uzturēšanu un attīstīšanu līdz </w:t>
      </w:r>
      <w:r w:rsidR="003963DD">
        <w:rPr>
          <w:bCs/>
        </w:rPr>
        <w:t xml:space="preserve">VAS “Latvijas dzelzceļš” </w:t>
      </w:r>
      <w:r w:rsidRPr="00131186">
        <w:rPr>
          <w:bCs/>
        </w:rPr>
        <w:t xml:space="preserve">pilnīgai pārejai uz </w:t>
      </w:r>
      <w:proofErr w:type="spellStart"/>
      <w:r w:rsidRPr="00131186">
        <w:rPr>
          <w:bCs/>
        </w:rPr>
        <w:t>elektrovilci</w:t>
      </w:r>
      <w:proofErr w:type="spellEnd"/>
      <w:r w:rsidRPr="00131186">
        <w:rPr>
          <w:bCs/>
        </w:rPr>
        <w:t xml:space="preserve"> un par dzelzceļa vilces jaudas sistēmas speciālo </w:t>
      </w:r>
      <w:proofErr w:type="spellStart"/>
      <w:r w:rsidRPr="00131186">
        <w:rPr>
          <w:bCs/>
        </w:rPr>
        <w:t>pieslēgumu</w:t>
      </w:r>
      <w:proofErr w:type="spellEnd"/>
      <w:r w:rsidRPr="00131186">
        <w:rPr>
          <w:bCs/>
        </w:rPr>
        <w:t xml:space="preserve"> elektroenerģijas pārvades sistēmai sniegtais atbalsts ir kvalificējams kā ieguldījumi dzelzceļa infrastruktūrā, kurai ir noteikts publiskās lietošanas dzelzceļa infrastruktūras statuss, atbalsts tiks sniegts, ievērojot Eiropas Komisijas Paziņojuma “Kopienas vadlīnijas valsts atbalstam dzelzceļa uzņēmumiem” (2008/C184/07) 25.</w:t>
      </w:r>
      <w:r w:rsidR="00E068E4">
        <w:rPr>
          <w:bCs/>
        </w:rPr>
        <w:t xml:space="preserve"> </w:t>
      </w:r>
      <w:r w:rsidRPr="00131186">
        <w:rPr>
          <w:bCs/>
        </w:rPr>
        <w:t>punkta nosacījumus, secināms, ka pasākumu ietvaros nav plānots sniegt komercdarbības atbalstu;</w:t>
      </w:r>
    </w:p>
    <w:p w14:paraId="4B6311CC" w14:textId="69EF1881" w:rsidR="00D86DA2" w:rsidRPr="00131186" w:rsidRDefault="00D86DA2" w:rsidP="00453AF0">
      <w:pPr>
        <w:pStyle w:val="ListParagraph"/>
        <w:numPr>
          <w:ilvl w:val="2"/>
          <w:numId w:val="4"/>
        </w:numPr>
        <w:ind w:left="993" w:hanging="284"/>
        <w:jc w:val="both"/>
        <w:rPr>
          <w:bCs/>
        </w:rPr>
      </w:pPr>
      <w:r w:rsidRPr="00131186">
        <w:rPr>
          <w:bCs/>
        </w:rPr>
        <w:t xml:space="preserve">Par speciālās-pazeminātās OIK noteikšanu </w:t>
      </w:r>
      <w:proofErr w:type="spellStart"/>
      <w:r w:rsidRPr="00131186">
        <w:rPr>
          <w:bCs/>
        </w:rPr>
        <w:t>izvērtējumu</w:t>
      </w:r>
      <w:proofErr w:type="spellEnd"/>
      <w:r w:rsidRPr="00131186">
        <w:rPr>
          <w:bCs/>
        </w:rPr>
        <w:t xml:space="preserve"> gan infrastruktūras īpašnieka </w:t>
      </w:r>
      <w:r w:rsidR="003963DD">
        <w:rPr>
          <w:bCs/>
        </w:rPr>
        <w:t>–</w:t>
      </w:r>
      <w:r w:rsidRPr="00131186">
        <w:rPr>
          <w:bCs/>
        </w:rPr>
        <w:t xml:space="preserve"> </w:t>
      </w:r>
      <w:r w:rsidR="003963DD">
        <w:rPr>
          <w:bCs/>
        </w:rPr>
        <w:t>VAS “Latvijas dzelzceļš”</w:t>
      </w:r>
      <w:r w:rsidRPr="00131186">
        <w:rPr>
          <w:bCs/>
        </w:rPr>
        <w:t xml:space="preserve">,  gan lietotāju - kravas un pasažieru pārvadājumu – līmenī, secināms, ka  potenciāli </w:t>
      </w:r>
      <w:r w:rsidR="003963DD">
        <w:rPr>
          <w:bCs/>
        </w:rPr>
        <w:t xml:space="preserve">VAS “Latvijas </w:t>
      </w:r>
      <w:proofErr w:type="spellStart"/>
      <w:r w:rsidR="003963DD">
        <w:rPr>
          <w:bCs/>
        </w:rPr>
        <w:t>dzelzceļs</w:t>
      </w:r>
      <w:proofErr w:type="spellEnd"/>
      <w:r w:rsidR="003963DD">
        <w:rPr>
          <w:bCs/>
        </w:rPr>
        <w:t>”</w:t>
      </w:r>
      <w:r w:rsidRPr="00131186">
        <w:rPr>
          <w:bCs/>
        </w:rPr>
        <w:t xml:space="preserve"> līmenī nebūtu konstatējama valsts atbalsta piešķiršana (</w:t>
      </w:r>
      <w:r w:rsidR="003963DD">
        <w:rPr>
          <w:bCs/>
        </w:rPr>
        <w:t>VAS “Latvijas dzelzceļš”</w:t>
      </w:r>
      <w:r w:rsidRPr="00131186">
        <w:rPr>
          <w:bCs/>
        </w:rPr>
        <w:t xml:space="preserve"> uzskatāms par starpnieku), taču atbalsts </w:t>
      </w:r>
      <w:r w:rsidR="006B7269" w:rsidRPr="00131186">
        <w:rPr>
          <w:bCs/>
        </w:rPr>
        <w:t xml:space="preserve">kravu </w:t>
      </w:r>
      <w:r w:rsidRPr="00131186">
        <w:rPr>
          <w:bCs/>
        </w:rPr>
        <w:t>pārvadātājiem kvalificējas kā komercdarbības atbalsts un attiecīgi atbalsta pasākumus var ieviest tikai pēc Eiropas Komisijas lēmuma saņemšanas</w:t>
      </w:r>
      <w:r w:rsidR="006B7269" w:rsidRPr="00131186">
        <w:rPr>
          <w:bCs/>
        </w:rPr>
        <w:t>. Savukārt, pasažieru pārvadājumiem saderīgumu būtu iespējams nodrošināt atbilstoši Eiropas Parlamenta un Padomes Regulai (EK) Nr. 1370/2007 (2007. gada 23. oktobris) par sabiedriskā pasažieru transporta pakalpojumiem, izmantojot dzelzceļu un autoceļus, un ar ko atceļ Padomes Regulu (EEK) Nr. 1191/69 un Padomes Regulu (EEK) Nr. 1107/70.</w:t>
      </w:r>
    </w:p>
    <w:p w14:paraId="32AEA131" w14:textId="2D597070" w:rsidR="006B7269" w:rsidRPr="00131186" w:rsidRDefault="006B7269" w:rsidP="00453AF0">
      <w:pPr>
        <w:pStyle w:val="ListParagraph"/>
        <w:numPr>
          <w:ilvl w:val="2"/>
          <w:numId w:val="4"/>
        </w:numPr>
        <w:ind w:left="993" w:hanging="284"/>
        <w:jc w:val="both"/>
        <w:rPr>
          <w:bCs/>
          <w:color w:val="FF0000"/>
        </w:rPr>
      </w:pPr>
      <w:r w:rsidRPr="00131186">
        <w:rPr>
          <w:bCs/>
        </w:rPr>
        <w:t xml:space="preserve">Lai novērtētu speciālā </w:t>
      </w:r>
      <w:proofErr w:type="spellStart"/>
      <w:r w:rsidRPr="00131186">
        <w:rPr>
          <w:bCs/>
        </w:rPr>
        <w:t>pieslēguma</w:t>
      </w:r>
      <w:proofErr w:type="spellEnd"/>
      <w:r w:rsidRPr="00131186">
        <w:rPr>
          <w:bCs/>
        </w:rPr>
        <w:t xml:space="preserve"> piemērošanas iespējas Projekta  īstenošanas gadījumā, AS “Augstsprieguma tīkls” ir veicis aprēķinus un salīdzinājis katra </w:t>
      </w:r>
      <w:r w:rsidR="003963DD">
        <w:rPr>
          <w:bCs/>
        </w:rPr>
        <w:t>VAS “Latvijas dzelzceļš”</w:t>
      </w:r>
      <w:r w:rsidRPr="00131186">
        <w:rPr>
          <w:bCs/>
        </w:rPr>
        <w:t xml:space="preserve"> pievienojuma plānoto patēriņu pret sistēmas kopējo patēriņu attiecīgi 2017, 2024.</w:t>
      </w:r>
      <w:r w:rsidR="00E068E4">
        <w:rPr>
          <w:bCs/>
        </w:rPr>
        <w:t xml:space="preserve"> </w:t>
      </w:r>
      <w:r w:rsidRPr="00131186">
        <w:rPr>
          <w:bCs/>
        </w:rPr>
        <w:t xml:space="preserve">gadā.  No aprēķiniem izriet, ka katra pievienojuma plānotais patēriņš pret sistēmas patēriņu ir ļoti mazs, t. i. tikai 0.14 – 0.62%. Ņemot vērā </w:t>
      </w:r>
      <w:r w:rsidRPr="00131186">
        <w:rPr>
          <w:bCs/>
        </w:rPr>
        <w:lastRenderedPageBreak/>
        <w:t xml:space="preserve">aprēķinus, secināms, ka plānotais elektroenerģijas patēriņš katrā pievienojuma vietā ir pārāk mazs, lai šim gadījumam noteiktu speciālo </w:t>
      </w:r>
      <w:proofErr w:type="spellStart"/>
      <w:r w:rsidRPr="00131186">
        <w:rPr>
          <w:bCs/>
        </w:rPr>
        <w:t>pieslēgumu</w:t>
      </w:r>
      <w:proofErr w:type="spellEnd"/>
      <w:r w:rsidRPr="00131186">
        <w:rPr>
          <w:bCs/>
        </w:rPr>
        <w:t>.</w:t>
      </w:r>
    </w:p>
    <w:p w14:paraId="706AA5B9" w14:textId="10F92763" w:rsidR="00D86DA2" w:rsidRPr="00131186" w:rsidRDefault="00D86DA2" w:rsidP="00453AF0">
      <w:pPr>
        <w:pStyle w:val="ListParagraph"/>
        <w:numPr>
          <w:ilvl w:val="2"/>
          <w:numId w:val="4"/>
        </w:numPr>
        <w:ind w:left="993" w:hanging="284"/>
        <w:jc w:val="both"/>
        <w:rPr>
          <w:bCs/>
          <w:color w:val="FF0000"/>
        </w:rPr>
      </w:pPr>
      <w:r w:rsidRPr="00131186">
        <w:rPr>
          <w:bCs/>
        </w:rPr>
        <w:t xml:space="preserve">Šobrīd darba grupa ir nonākusi pie secinājuma, ka šis  nav speciālā </w:t>
      </w:r>
      <w:proofErr w:type="spellStart"/>
      <w:r w:rsidRPr="00131186">
        <w:rPr>
          <w:bCs/>
        </w:rPr>
        <w:t>pieslēguma</w:t>
      </w:r>
      <w:proofErr w:type="spellEnd"/>
      <w:r w:rsidRPr="00131186">
        <w:rPr>
          <w:bCs/>
        </w:rPr>
        <w:t xml:space="preserve"> gadījums, tomēr, jāņem vērā, ka atbilstoši 2006. gada 13. jūnija Ministru kabineta noteikumu Nr. 476 “Noteikumu par speciālo </w:t>
      </w:r>
      <w:proofErr w:type="spellStart"/>
      <w:r w:rsidRPr="00131186">
        <w:rPr>
          <w:bCs/>
        </w:rPr>
        <w:t>pieslēgumu</w:t>
      </w:r>
      <w:proofErr w:type="spellEnd"/>
      <w:r w:rsidRPr="00131186">
        <w:rPr>
          <w:bCs/>
        </w:rPr>
        <w:t xml:space="preserve"> elektroenerģijas pārvades sistēmai” (turpmāk – Noteikumi) </w:t>
      </w:r>
      <w:r w:rsidR="006B7269" w:rsidRPr="00131186">
        <w:rPr>
          <w:bCs/>
        </w:rPr>
        <w:t>7</w:t>
      </w:r>
      <w:r w:rsidRPr="00131186">
        <w:rPr>
          <w:bCs/>
        </w:rPr>
        <w:t xml:space="preserve">. punktam Ministrija (Ekonomikas ministrija) pēc Noteikumu 5. punktā minētā iesnieguma saņemšanas sagatavo Ministru kabineta noteikumu projektu par </w:t>
      </w:r>
      <w:proofErr w:type="spellStart"/>
      <w:r w:rsidRPr="00131186">
        <w:rPr>
          <w:bCs/>
        </w:rPr>
        <w:t>pieslēguma</w:t>
      </w:r>
      <w:proofErr w:type="spellEnd"/>
      <w:r w:rsidRPr="00131186">
        <w:rPr>
          <w:bCs/>
        </w:rPr>
        <w:t xml:space="preserve"> nosacījumu piemērošanu, ja ir izpildīti Noteikumu nosacījumi. Līdz ar to nepieciešamības gadījumā  Ekonomikas ministrijas kompetencē ir pieņemt lēmumu par speciālā </w:t>
      </w:r>
      <w:proofErr w:type="spellStart"/>
      <w:r w:rsidRPr="00131186">
        <w:rPr>
          <w:bCs/>
        </w:rPr>
        <w:t>pieslēguma</w:t>
      </w:r>
      <w:proofErr w:type="spellEnd"/>
      <w:r w:rsidRPr="00131186">
        <w:rPr>
          <w:bCs/>
        </w:rPr>
        <w:t xml:space="preserve"> noteikumu piemērošanu </w:t>
      </w:r>
      <w:r w:rsidR="003963DD">
        <w:rPr>
          <w:bCs/>
        </w:rPr>
        <w:t>V</w:t>
      </w:r>
      <w:r w:rsidRPr="00131186">
        <w:rPr>
          <w:bCs/>
        </w:rPr>
        <w:t xml:space="preserve">AS “Latvijas dzelzceļš” plānotajiem jaunajiem elektroenerģijas </w:t>
      </w:r>
      <w:proofErr w:type="spellStart"/>
      <w:r w:rsidRPr="00131186">
        <w:rPr>
          <w:bCs/>
        </w:rPr>
        <w:t>pieslēgumiem</w:t>
      </w:r>
      <w:proofErr w:type="spellEnd"/>
      <w:r w:rsidRPr="00131186">
        <w:rPr>
          <w:bCs/>
        </w:rPr>
        <w:t xml:space="preserve"> attiecīgā projekta ietvaros</w:t>
      </w:r>
      <w:r w:rsidR="00C5188C" w:rsidRPr="003963DD">
        <w:rPr>
          <w:bCs/>
        </w:rPr>
        <w:t>;</w:t>
      </w:r>
    </w:p>
    <w:p w14:paraId="46648AA4" w14:textId="7C4D2DE1" w:rsidR="006B7269" w:rsidRPr="00131186" w:rsidRDefault="006B7269" w:rsidP="00453AF0">
      <w:pPr>
        <w:pStyle w:val="ListParagraph"/>
        <w:numPr>
          <w:ilvl w:val="2"/>
          <w:numId w:val="4"/>
        </w:numPr>
        <w:ind w:left="993" w:hanging="284"/>
        <w:jc w:val="both"/>
        <w:rPr>
          <w:bCs/>
          <w:color w:val="FF0000"/>
        </w:rPr>
      </w:pPr>
      <w:r w:rsidRPr="00131186">
        <w:rPr>
          <w:bCs/>
        </w:rPr>
        <w:t xml:space="preserve">Darba grupa ir nonākusi pie secinājuma, ka Projekta ietvaros  </w:t>
      </w:r>
      <w:r w:rsidR="003963DD">
        <w:rPr>
          <w:bCs/>
        </w:rPr>
        <w:t>VAS “Latvijas dzelzceļš”</w:t>
      </w:r>
      <w:r w:rsidRPr="00131186">
        <w:rPr>
          <w:bCs/>
        </w:rPr>
        <w:t xml:space="preserve"> vajadzībām tiks izbūvēta viena dzelzceļa elektrifikācijas sistēma ar 4 savstarpēji saistītām un funkcionāli neatdalāmām vilces jaudas apakšstacijām un attiecīgi, šīs sistēmas ekspluatācija uzskatāma ar brīdi, kad izbūvētas un pieņemtas ekspluatācijā visas vilces jaudas apakšstacijas, savukārt maksa par pārvades jaudas uzturēšanu un attīstīšanu tiek piemērota ar brīdi, kad dzelzceļa elektrifikācijas sistēma tiek pieņemta ekspluatācijā un tiek uzsākta tās izmantošana. </w:t>
      </w:r>
      <w:r w:rsidRPr="00131186">
        <w:rPr>
          <w:bCs/>
          <w:color w:val="353838"/>
        </w:rPr>
        <w:t xml:space="preserve">Gadījumā, ja dzelzceļa elektrifikācijas sistēma tiek pieņemta ekspluatācijā pa daļām, izbūvētās vilces jaudas apakšstacijas pēc kārtas tiek nodotas ekspluatācijā, pieslēdzot pie pārvades tīkla pārbaudēm un pēc to pieņemšanas ekspluatācijā tiek atslēgtas, lai netiktu piemērota maksa par pārvades jaudas uzturēšanu un attīstīšanu, līdz brīdim kamēr ekspluatācijā nav nodotas visas vilces jaudas apakšstacijas. </w:t>
      </w:r>
      <w:r w:rsidRPr="00131186">
        <w:rPr>
          <w:bCs/>
        </w:rPr>
        <w:t xml:space="preserve"> </w:t>
      </w:r>
    </w:p>
    <w:p w14:paraId="1A2786BA" w14:textId="3D87A277" w:rsidR="00D86DA2" w:rsidRPr="00131186" w:rsidRDefault="00D86DA2" w:rsidP="00453AF0">
      <w:pPr>
        <w:pStyle w:val="ListParagraph"/>
        <w:numPr>
          <w:ilvl w:val="2"/>
          <w:numId w:val="4"/>
        </w:numPr>
        <w:ind w:left="993" w:hanging="284"/>
        <w:jc w:val="both"/>
        <w:rPr>
          <w:bCs/>
        </w:rPr>
      </w:pPr>
      <w:r w:rsidRPr="00131186">
        <w:rPr>
          <w:bCs/>
        </w:rPr>
        <w:t>Saskaņā ar E</w:t>
      </w:r>
      <w:r w:rsidR="003963DD">
        <w:rPr>
          <w:bCs/>
        </w:rPr>
        <w:t>konomikas ministrijas</w:t>
      </w:r>
      <w:r w:rsidRPr="00131186">
        <w:rPr>
          <w:bCs/>
        </w:rPr>
        <w:t xml:space="preserve"> konceptuālo ziņojumu "Kompleksi pasākumi elektroenerģijas tirgus attīstībai", kas tika izskatīts un apstiprināts MK 02.10.2017., tiek paredzēts, ka no 2018. gada vidējais OIK maksājums par 1 </w:t>
      </w:r>
      <w:proofErr w:type="spellStart"/>
      <w:r w:rsidRPr="00131186">
        <w:rPr>
          <w:bCs/>
        </w:rPr>
        <w:t>MWh</w:t>
      </w:r>
      <w:proofErr w:type="spellEnd"/>
      <w:r w:rsidRPr="00131186">
        <w:rPr>
          <w:bCs/>
        </w:rPr>
        <w:t xml:space="preserve"> elektroenerģijas samazinātos no 26,79 EUR līdz EUR 25,79, bet 2020.</w:t>
      </w:r>
      <w:r w:rsidR="00D4723E">
        <w:rPr>
          <w:bCs/>
        </w:rPr>
        <w:t xml:space="preserve"> </w:t>
      </w:r>
      <w:r w:rsidRPr="00131186">
        <w:rPr>
          <w:bCs/>
        </w:rPr>
        <w:t>gadā – līdz EUR 24,92;</w:t>
      </w:r>
    </w:p>
    <w:p w14:paraId="79685C8B" w14:textId="1239CEDD" w:rsidR="00AF559F" w:rsidRPr="00131186" w:rsidRDefault="00D86DA2" w:rsidP="00453AF0">
      <w:pPr>
        <w:pStyle w:val="ListParagraph"/>
        <w:numPr>
          <w:ilvl w:val="2"/>
          <w:numId w:val="4"/>
        </w:numPr>
        <w:ind w:left="993" w:hanging="284"/>
        <w:jc w:val="both"/>
        <w:rPr>
          <w:bCs/>
          <w:color w:val="FF0000"/>
        </w:rPr>
      </w:pPr>
      <w:r w:rsidRPr="00131186">
        <w:rPr>
          <w:bCs/>
        </w:rPr>
        <w:t>Ņemot vērā, ka OIK apmērs samazināsies sākot no 2018.</w:t>
      </w:r>
      <w:r w:rsidR="00E068E4">
        <w:rPr>
          <w:bCs/>
        </w:rPr>
        <w:t xml:space="preserve"> </w:t>
      </w:r>
      <w:r w:rsidRPr="00131186">
        <w:rPr>
          <w:bCs/>
        </w:rPr>
        <w:t xml:space="preserve">gada, EM, balstoties uz OIK nākotnes prognozēm, ir veikusi provizoriskus aprēķinus, cik liela varētu būt tā ietekme uz </w:t>
      </w:r>
      <w:r w:rsidR="003963DD">
        <w:rPr>
          <w:bCs/>
        </w:rPr>
        <w:t>VAS “Latvijas dzelzceļš”</w:t>
      </w:r>
      <w:r w:rsidRPr="00131186">
        <w:rPr>
          <w:bCs/>
        </w:rPr>
        <w:t xml:space="preserve"> pēc elektrifikācijas projekta pabeigšanas</w:t>
      </w:r>
      <w:r w:rsidR="00AF559F" w:rsidRPr="00131186">
        <w:rPr>
          <w:bCs/>
        </w:rPr>
        <w:t>.</w:t>
      </w:r>
    </w:p>
    <w:p w14:paraId="33B32B92" w14:textId="4EAB84BD" w:rsidR="00025D3E" w:rsidRPr="00131186" w:rsidRDefault="00025D3E" w:rsidP="00453AF0">
      <w:pPr>
        <w:pStyle w:val="ListParagraph"/>
        <w:ind w:left="0" w:firstLine="709"/>
        <w:jc w:val="both"/>
        <w:rPr>
          <w:bCs/>
          <w:color w:val="FF0000"/>
        </w:rPr>
      </w:pPr>
      <w:r w:rsidRPr="00131186">
        <w:rPr>
          <w:bCs/>
        </w:rPr>
        <w:t>Ņemot vērā, ka OIK apmērs samazināsies sākot no 2018.</w:t>
      </w:r>
      <w:r w:rsidR="00E068E4">
        <w:rPr>
          <w:bCs/>
        </w:rPr>
        <w:t xml:space="preserve"> </w:t>
      </w:r>
      <w:r w:rsidRPr="00131186">
        <w:rPr>
          <w:bCs/>
        </w:rPr>
        <w:t>gada, E</w:t>
      </w:r>
      <w:r w:rsidR="003963DD">
        <w:rPr>
          <w:bCs/>
        </w:rPr>
        <w:t>konomikas ministrija</w:t>
      </w:r>
      <w:r w:rsidRPr="00131186">
        <w:rPr>
          <w:bCs/>
        </w:rPr>
        <w:t xml:space="preserve">, balstoties uz OIK nākotnes prognozēm, ir veikusi provizoriskus aprēķinus, cik liela varētu būt tā ietekme uz </w:t>
      </w:r>
      <w:r w:rsidR="003963DD">
        <w:rPr>
          <w:bCs/>
        </w:rPr>
        <w:t xml:space="preserve">VAS “Latvijas dzelzceļš” </w:t>
      </w:r>
      <w:r w:rsidRPr="00131186">
        <w:rPr>
          <w:bCs/>
        </w:rPr>
        <w:t>pēc elektrifikācijas projekta pabeigšanas un secinājusi, ka</w:t>
      </w:r>
      <w:r w:rsidRPr="00131186">
        <w:rPr>
          <w:bCs/>
          <w:color w:val="FF0000"/>
        </w:rPr>
        <w:t xml:space="preserve"> </w:t>
      </w:r>
      <w:r w:rsidRPr="00131186">
        <w:rPr>
          <w:bCs/>
        </w:rPr>
        <w:t>vidējās izmaksas par OIK 2024.</w:t>
      </w:r>
      <w:r w:rsidR="00E068E4">
        <w:rPr>
          <w:bCs/>
        </w:rPr>
        <w:t xml:space="preserve"> </w:t>
      </w:r>
      <w:r w:rsidRPr="00131186">
        <w:rPr>
          <w:bCs/>
        </w:rPr>
        <w:t>gadā projekta ietvaros sasniegs vidēji no</w:t>
      </w:r>
      <w:r w:rsidRPr="00131186">
        <w:rPr>
          <w:b/>
          <w:bCs/>
        </w:rPr>
        <w:t xml:space="preserve"> 1,1862 miljoniem EUR gadā līdz 1,7814 miljoniem EUR gadā</w:t>
      </w:r>
      <w:r w:rsidRPr="00131186">
        <w:rPr>
          <w:bCs/>
        </w:rPr>
        <w:t xml:space="preserve">, un vidēji </w:t>
      </w:r>
      <w:r w:rsidRPr="00131186">
        <w:rPr>
          <w:b/>
          <w:bCs/>
        </w:rPr>
        <w:t>no 18,95 EUR līdz 23,37 EUR</w:t>
      </w:r>
      <w:r w:rsidRPr="00131186">
        <w:rPr>
          <w:bCs/>
        </w:rPr>
        <w:t xml:space="preserve"> par vienu patērēto megavatstundu elektroenerģijas. </w:t>
      </w:r>
    </w:p>
    <w:p w14:paraId="7B9B493E" w14:textId="77777777" w:rsidR="00025D3E" w:rsidRPr="00131186" w:rsidRDefault="00025D3E" w:rsidP="00453AF0">
      <w:pPr>
        <w:pStyle w:val="ListParagraph"/>
        <w:ind w:left="0" w:firstLine="709"/>
        <w:jc w:val="both"/>
        <w:rPr>
          <w:bCs/>
        </w:rPr>
      </w:pPr>
      <w:r w:rsidRPr="00131186">
        <w:rPr>
          <w:bCs/>
        </w:rPr>
        <w:t xml:space="preserve">Aprēķini ir veikti, balstoties uz diviem scenārijiem, no kuriem optimistiskajā scenārijā elektrificētā dzelzceļa posms patērēs vidēji 90 000 </w:t>
      </w:r>
      <w:proofErr w:type="spellStart"/>
      <w:r w:rsidRPr="00131186">
        <w:rPr>
          <w:bCs/>
        </w:rPr>
        <w:t>MWh</w:t>
      </w:r>
      <w:proofErr w:type="spellEnd"/>
      <w:r w:rsidRPr="00131186">
        <w:rPr>
          <w:bCs/>
        </w:rPr>
        <w:t xml:space="preserve"> gadā, bet konservatīvajā attīstības scenārijā – 54 000 </w:t>
      </w:r>
      <w:proofErr w:type="spellStart"/>
      <w:r w:rsidRPr="00131186">
        <w:rPr>
          <w:bCs/>
        </w:rPr>
        <w:t>MWh</w:t>
      </w:r>
      <w:proofErr w:type="spellEnd"/>
      <w:r w:rsidRPr="00131186">
        <w:rPr>
          <w:bCs/>
        </w:rPr>
        <w:t xml:space="preserve"> gadā, kā arī atsevišķi katram no diviem iespējamajiem </w:t>
      </w:r>
      <w:proofErr w:type="spellStart"/>
      <w:r w:rsidRPr="00131186">
        <w:rPr>
          <w:bCs/>
        </w:rPr>
        <w:t>pieslēguma</w:t>
      </w:r>
      <w:proofErr w:type="spellEnd"/>
      <w:r w:rsidRPr="00131186">
        <w:rPr>
          <w:bCs/>
        </w:rPr>
        <w:t xml:space="preserve"> veidiem – </w:t>
      </w:r>
      <w:proofErr w:type="spellStart"/>
      <w:r w:rsidRPr="00131186">
        <w:rPr>
          <w:bCs/>
        </w:rPr>
        <w:t>pieslēgumam</w:t>
      </w:r>
      <w:proofErr w:type="spellEnd"/>
      <w:r w:rsidRPr="00131186">
        <w:rPr>
          <w:bCs/>
        </w:rPr>
        <w:t xml:space="preserve"> pie 110 kilovoltu līnijas un </w:t>
      </w:r>
      <w:proofErr w:type="spellStart"/>
      <w:r w:rsidRPr="00131186">
        <w:rPr>
          <w:bCs/>
        </w:rPr>
        <w:t>pieslēgumam</w:t>
      </w:r>
      <w:proofErr w:type="spellEnd"/>
      <w:r w:rsidRPr="00131186">
        <w:rPr>
          <w:bCs/>
        </w:rPr>
        <w:t xml:space="preserve"> pie 110 kilovoltu kopnes, kopējai uzstādītajai jaudai apakšstacijās sasniedzot 200 MW. </w:t>
      </w:r>
    </w:p>
    <w:p w14:paraId="0F55BB20" w14:textId="271FD2B1" w:rsidR="00025D3E" w:rsidRPr="00131186" w:rsidRDefault="00025D3E" w:rsidP="00453AF0">
      <w:pPr>
        <w:pStyle w:val="ListParagraph"/>
        <w:ind w:left="0" w:firstLine="709"/>
        <w:jc w:val="both"/>
        <w:rPr>
          <w:bCs/>
        </w:rPr>
      </w:pPr>
      <w:r w:rsidRPr="00131186">
        <w:rPr>
          <w:bCs/>
        </w:rPr>
        <w:t>Aprēķinos ir ņemta vērā vidējā Latvijas elektroenerģijas vairumtirdzniecības cena 2017.</w:t>
      </w:r>
      <w:r w:rsidR="001B3C70" w:rsidRPr="00131186">
        <w:rPr>
          <w:bCs/>
        </w:rPr>
        <w:t xml:space="preserve"> </w:t>
      </w:r>
      <w:r w:rsidRPr="00131186">
        <w:rPr>
          <w:bCs/>
        </w:rPr>
        <w:t>gadā - 34,68 EUR/</w:t>
      </w:r>
      <w:proofErr w:type="spellStart"/>
      <w:r w:rsidRPr="00131186">
        <w:rPr>
          <w:bCs/>
        </w:rPr>
        <w:t>MWh</w:t>
      </w:r>
      <w:proofErr w:type="spellEnd"/>
      <w:r w:rsidRPr="00131186">
        <w:rPr>
          <w:bCs/>
        </w:rPr>
        <w:t>, spēkā esošie elektropārvades sistēmas  operatora tarifi, kā arī pieņēmums, ka laika posmā līdz 2024.</w:t>
      </w:r>
      <w:r w:rsidR="001B3C70" w:rsidRPr="00131186">
        <w:rPr>
          <w:bCs/>
        </w:rPr>
        <w:t xml:space="preserve"> </w:t>
      </w:r>
      <w:r w:rsidRPr="00131186">
        <w:rPr>
          <w:bCs/>
        </w:rPr>
        <w:t>gadam nenotiks būtiskas izmaiņas elektroenerģijas pieprasījuma, pārvadītās elektroenerģijas un pieprasītās elektroenerģijas apjomiem. Aprēķinos nav iekļautas izmaksas, kas ir saistītas ar reaktīvo enerģiju</w:t>
      </w:r>
      <w:r w:rsidR="001571C0" w:rsidRPr="00131186">
        <w:rPr>
          <w:bCs/>
        </w:rPr>
        <w:t>.</w:t>
      </w:r>
    </w:p>
    <w:p w14:paraId="1077727A" w14:textId="041074FF" w:rsidR="00025D3E" w:rsidRPr="00131186" w:rsidRDefault="00025D3E" w:rsidP="00453AF0">
      <w:pPr>
        <w:pStyle w:val="ListParagraph"/>
        <w:ind w:left="0" w:firstLine="709"/>
        <w:jc w:val="both"/>
        <w:rPr>
          <w:bCs/>
        </w:rPr>
      </w:pPr>
      <w:r w:rsidRPr="00131186">
        <w:rPr>
          <w:bCs/>
        </w:rPr>
        <w:t>E</w:t>
      </w:r>
      <w:r w:rsidR="003963DD">
        <w:rPr>
          <w:bCs/>
        </w:rPr>
        <w:t xml:space="preserve">konomikas ministrija </w:t>
      </w:r>
      <w:r w:rsidRPr="00131186">
        <w:rPr>
          <w:bCs/>
        </w:rPr>
        <w:t>pievērš uzmanību, ka tās īstenotie pasākumi un paredzamais obligātās iepirkumu komponentes samazinājums laika posmā no 2018.</w:t>
      </w:r>
      <w:r w:rsidR="00E068E4">
        <w:rPr>
          <w:bCs/>
        </w:rPr>
        <w:t xml:space="preserve"> </w:t>
      </w:r>
      <w:r w:rsidRPr="00131186">
        <w:rPr>
          <w:bCs/>
        </w:rPr>
        <w:t>gadam līdz 2024.</w:t>
      </w:r>
      <w:r w:rsidR="00E068E4">
        <w:rPr>
          <w:bCs/>
        </w:rPr>
        <w:t xml:space="preserve"> </w:t>
      </w:r>
      <w:r w:rsidRPr="00131186">
        <w:rPr>
          <w:bCs/>
        </w:rPr>
        <w:t xml:space="preserve">gadam ļauj sasniegt gala izmaksu samazinājumu aptuveni līdz 10% optimistiskajā scenārijā, </w:t>
      </w:r>
      <w:r w:rsidRPr="00131186">
        <w:rPr>
          <w:bCs/>
        </w:rPr>
        <w:lastRenderedPageBreak/>
        <w:t xml:space="preserve">un līdz 14% - konservatīvajā scenārijā. Plašāka informācija par EM veiktajiem aprēķiniem par </w:t>
      </w:r>
      <w:r w:rsidR="003963DD">
        <w:rPr>
          <w:bCs/>
        </w:rPr>
        <w:t xml:space="preserve">VAS “Latvijas dzelzceļš” </w:t>
      </w:r>
      <w:r w:rsidRPr="00131186">
        <w:rPr>
          <w:bCs/>
        </w:rPr>
        <w:t>prognozējamajām izmaksām par elektroenerģiju, ņemot vērā spēkā esošos elektropārvades tarifus, kā arī spēkā esošo un prognozējamo metodoloģiju OIK aprēķināšanai, sniegta Tabulās 1.</w:t>
      </w:r>
      <w:r w:rsidR="00E068E4">
        <w:rPr>
          <w:bCs/>
        </w:rPr>
        <w:t xml:space="preserve"> </w:t>
      </w:r>
      <w:r w:rsidRPr="00131186">
        <w:rPr>
          <w:bCs/>
        </w:rPr>
        <w:t>-</w:t>
      </w:r>
      <w:r w:rsidR="00E068E4">
        <w:rPr>
          <w:bCs/>
        </w:rPr>
        <w:t xml:space="preserve"> </w:t>
      </w:r>
      <w:r w:rsidRPr="00131186">
        <w:rPr>
          <w:bCs/>
        </w:rPr>
        <w:t xml:space="preserve">4. </w:t>
      </w:r>
    </w:p>
    <w:p w14:paraId="74EF5B08" w14:textId="77777777" w:rsidR="001571C0" w:rsidRPr="00131186" w:rsidRDefault="001571C0" w:rsidP="00C5188C">
      <w:pPr>
        <w:pStyle w:val="ListParagraph"/>
        <w:jc w:val="both"/>
        <w:rPr>
          <w:bCs/>
          <w:color w:val="FF0000"/>
        </w:rPr>
      </w:pPr>
    </w:p>
    <w:p w14:paraId="516F6113" w14:textId="384951F4" w:rsidR="00025D3E" w:rsidRPr="00131186" w:rsidRDefault="00025D3E" w:rsidP="003963DD">
      <w:pPr>
        <w:pStyle w:val="ListParagraph"/>
        <w:ind w:left="567"/>
        <w:jc w:val="both"/>
        <w:rPr>
          <w:b/>
          <w:bCs/>
        </w:rPr>
      </w:pPr>
      <w:r w:rsidRPr="00131186">
        <w:rPr>
          <w:b/>
          <w:bCs/>
        </w:rPr>
        <w:t>Tabula 1. Elektroenerģijas izmaksu aprēķins (EUR) 2024.</w:t>
      </w:r>
      <w:r w:rsidR="00E61280" w:rsidRPr="00131186">
        <w:rPr>
          <w:b/>
          <w:bCs/>
        </w:rPr>
        <w:t xml:space="preserve"> </w:t>
      </w:r>
      <w:r w:rsidRPr="00131186">
        <w:rPr>
          <w:b/>
          <w:bCs/>
        </w:rPr>
        <w:t>gadā optimistiskajā scenārijā</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1878"/>
        <w:gridCol w:w="1602"/>
      </w:tblGrid>
      <w:tr w:rsidR="00025D3E" w:rsidRPr="00131186" w14:paraId="0C267E00" w14:textId="77777777" w:rsidTr="00097A4C">
        <w:trPr>
          <w:trHeight w:val="300"/>
        </w:trPr>
        <w:tc>
          <w:tcPr>
            <w:tcW w:w="4884" w:type="dxa"/>
            <w:shd w:val="clear" w:color="auto" w:fill="auto"/>
            <w:noWrap/>
            <w:vAlign w:val="bottom"/>
            <w:hideMark/>
          </w:tcPr>
          <w:p w14:paraId="38EBFCEE" w14:textId="77777777" w:rsidR="00025D3E" w:rsidRPr="00131186" w:rsidRDefault="00025D3E" w:rsidP="001952F5"/>
        </w:tc>
        <w:tc>
          <w:tcPr>
            <w:tcW w:w="1878" w:type="dxa"/>
            <w:shd w:val="clear" w:color="auto" w:fill="auto"/>
            <w:noWrap/>
            <w:vAlign w:val="bottom"/>
            <w:hideMark/>
          </w:tcPr>
          <w:p w14:paraId="505306EF" w14:textId="77777777" w:rsidR="00025D3E" w:rsidRPr="00131186" w:rsidRDefault="00025D3E" w:rsidP="001952F5">
            <w:pPr>
              <w:jc w:val="right"/>
              <w:rPr>
                <w:b/>
                <w:bCs/>
                <w:color w:val="000000"/>
              </w:rPr>
            </w:pPr>
            <w:r w:rsidRPr="00131186">
              <w:rPr>
                <w:b/>
                <w:bCs/>
                <w:color w:val="000000"/>
              </w:rPr>
              <w:t xml:space="preserve">110 </w:t>
            </w:r>
            <w:proofErr w:type="spellStart"/>
            <w:r w:rsidRPr="00131186">
              <w:rPr>
                <w:b/>
                <w:bCs/>
                <w:color w:val="000000"/>
              </w:rPr>
              <w:t>kV</w:t>
            </w:r>
            <w:proofErr w:type="spellEnd"/>
            <w:r w:rsidRPr="00131186">
              <w:rPr>
                <w:b/>
                <w:bCs/>
                <w:color w:val="000000"/>
              </w:rPr>
              <w:t xml:space="preserve"> līnija</w:t>
            </w:r>
          </w:p>
        </w:tc>
        <w:tc>
          <w:tcPr>
            <w:tcW w:w="1602" w:type="dxa"/>
            <w:shd w:val="clear" w:color="auto" w:fill="auto"/>
            <w:noWrap/>
            <w:vAlign w:val="bottom"/>
            <w:hideMark/>
          </w:tcPr>
          <w:p w14:paraId="1C3DDBD0" w14:textId="77777777" w:rsidR="00025D3E" w:rsidRPr="00131186" w:rsidRDefault="00025D3E" w:rsidP="001952F5">
            <w:pPr>
              <w:jc w:val="right"/>
              <w:rPr>
                <w:b/>
                <w:bCs/>
                <w:color w:val="000000"/>
              </w:rPr>
            </w:pPr>
            <w:r w:rsidRPr="00131186">
              <w:rPr>
                <w:b/>
                <w:bCs/>
                <w:color w:val="000000"/>
              </w:rPr>
              <w:t xml:space="preserve">110 </w:t>
            </w:r>
            <w:proofErr w:type="spellStart"/>
            <w:r w:rsidRPr="00131186">
              <w:rPr>
                <w:b/>
                <w:bCs/>
                <w:color w:val="000000"/>
              </w:rPr>
              <w:t>kV</w:t>
            </w:r>
            <w:proofErr w:type="spellEnd"/>
            <w:r w:rsidRPr="00131186">
              <w:rPr>
                <w:b/>
                <w:bCs/>
                <w:color w:val="000000"/>
              </w:rPr>
              <w:t xml:space="preserve"> kopne</w:t>
            </w:r>
          </w:p>
        </w:tc>
      </w:tr>
      <w:tr w:rsidR="00025D3E" w:rsidRPr="00131186" w14:paraId="3C0D5C75" w14:textId="77777777" w:rsidTr="00097A4C">
        <w:trPr>
          <w:trHeight w:val="300"/>
        </w:trPr>
        <w:tc>
          <w:tcPr>
            <w:tcW w:w="4884" w:type="dxa"/>
            <w:shd w:val="clear" w:color="auto" w:fill="auto"/>
            <w:noWrap/>
            <w:vAlign w:val="bottom"/>
            <w:hideMark/>
          </w:tcPr>
          <w:p w14:paraId="3BBC8BC2" w14:textId="77777777" w:rsidR="00025D3E" w:rsidRPr="00131186" w:rsidRDefault="00025D3E" w:rsidP="001952F5">
            <w:pPr>
              <w:rPr>
                <w:b/>
                <w:bCs/>
                <w:color w:val="000000"/>
              </w:rPr>
            </w:pPr>
            <w:r w:rsidRPr="00131186">
              <w:rPr>
                <w:b/>
                <w:bCs/>
                <w:color w:val="000000"/>
              </w:rPr>
              <w:t xml:space="preserve">Jauda AST </w:t>
            </w:r>
          </w:p>
        </w:tc>
        <w:tc>
          <w:tcPr>
            <w:tcW w:w="1878" w:type="dxa"/>
            <w:shd w:val="clear" w:color="auto" w:fill="auto"/>
            <w:noWrap/>
            <w:vAlign w:val="bottom"/>
            <w:hideMark/>
          </w:tcPr>
          <w:p w14:paraId="4B4A6F70" w14:textId="77777777" w:rsidR="00025D3E" w:rsidRPr="00131186" w:rsidRDefault="00025D3E" w:rsidP="001952F5">
            <w:pPr>
              <w:jc w:val="right"/>
              <w:rPr>
                <w:color w:val="000000"/>
              </w:rPr>
            </w:pPr>
            <w:r w:rsidRPr="00131186">
              <w:rPr>
                <w:color w:val="000000"/>
              </w:rPr>
              <w:t>1347600</w:t>
            </w:r>
          </w:p>
        </w:tc>
        <w:tc>
          <w:tcPr>
            <w:tcW w:w="1602" w:type="dxa"/>
            <w:shd w:val="clear" w:color="auto" w:fill="auto"/>
            <w:noWrap/>
            <w:vAlign w:val="bottom"/>
            <w:hideMark/>
          </w:tcPr>
          <w:p w14:paraId="01A1ECFD" w14:textId="77777777" w:rsidR="00025D3E" w:rsidRPr="00131186" w:rsidRDefault="00025D3E" w:rsidP="001952F5">
            <w:pPr>
              <w:jc w:val="right"/>
              <w:rPr>
                <w:color w:val="000000"/>
              </w:rPr>
            </w:pPr>
            <w:r w:rsidRPr="00131186">
              <w:rPr>
                <w:color w:val="000000"/>
              </w:rPr>
              <w:t>1609000</w:t>
            </w:r>
          </w:p>
        </w:tc>
      </w:tr>
      <w:tr w:rsidR="00025D3E" w:rsidRPr="00131186" w14:paraId="23E8E4ED" w14:textId="77777777" w:rsidTr="00097A4C">
        <w:trPr>
          <w:trHeight w:val="300"/>
        </w:trPr>
        <w:tc>
          <w:tcPr>
            <w:tcW w:w="4884" w:type="dxa"/>
            <w:shd w:val="clear" w:color="auto" w:fill="auto"/>
            <w:noWrap/>
            <w:vAlign w:val="bottom"/>
            <w:hideMark/>
          </w:tcPr>
          <w:p w14:paraId="67A0D755" w14:textId="77777777" w:rsidR="00025D3E" w:rsidRPr="00131186" w:rsidRDefault="00025D3E" w:rsidP="001952F5">
            <w:pPr>
              <w:rPr>
                <w:b/>
                <w:bCs/>
                <w:color w:val="000000"/>
              </w:rPr>
            </w:pPr>
            <w:r w:rsidRPr="00131186">
              <w:rPr>
                <w:b/>
                <w:bCs/>
                <w:color w:val="000000"/>
              </w:rPr>
              <w:t>Pārvade AST</w:t>
            </w:r>
          </w:p>
        </w:tc>
        <w:tc>
          <w:tcPr>
            <w:tcW w:w="1878" w:type="dxa"/>
            <w:shd w:val="clear" w:color="auto" w:fill="auto"/>
            <w:noWrap/>
            <w:vAlign w:val="bottom"/>
            <w:hideMark/>
          </w:tcPr>
          <w:p w14:paraId="2071D396" w14:textId="77777777" w:rsidR="00025D3E" w:rsidRPr="00131186" w:rsidRDefault="00025D3E" w:rsidP="001952F5">
            <w:pPr>
              <w:jc w:val="right"/>
              <w:rPr>
                <w:color w:val="000000"/>
              </w:rPr>
            </w:pPr>
            <w:r w:rsidRPr="00131186">
              <w:rPr>
                <w:color w:val="000000"/>
              </w:rPr>
              <w:t>270900</w:t>
            </w:r>
          </w:p>
        </w:tc>
        <w:tc>
          <w:tcPr>
            <w:tcW w:w="1602" w:type="dxa"/>
            <w:shd w:val="clear" w:color="auto" w:fill="auto"/>
            <w:noWrap/>
            <w:vAlign w:val="bottom"/>
            <w:hideMark/>
          </w:tcPr>
          <w:p w14:paraId="49CEF70F" w14:textId="77777777" w:rsidR="00025D3E" w:rsidRPr="00131186" w:rsidRDefault="00025D3E" w:rsidP="001952F5">
            <w:pPr>
              <w:jc w:val="right"/>
              <w:rPr>
                <w:color w:val="000000"/>
              </w:rPr>
            </w:pPr>
            <w:r w:rsidRPr="00131186">
              <w:rPr>
                <w:color w:val="000000"/>
              </w:rPr>
              <w:t>317700</w:t>
            </w:r>
          </w:p>
        </w:tc>
      </w:tr>
      <w:tr w:rsidR="00025D3E" w:rsidRPr="00131186" w14:paraId="7C8E2907" w14:textId="77777777" w:rsidTr="00097A4C">
        <w:trPr>
          <w:trHeight w:val="300"/>
        </w:trPr>
        <w:tc>
          <w:tcPr>
            <w:tcW w:w="4884" w:type="dxa"/>
            <w:shd w:val="clear" w:color="auto" w:fill="auto"/>
            <w:noWrap/>
            <w:vAlign w:val="bottom"/>
            <w:hideMark/>
          </w:tcPr>
          <w:p w14:paraId="38A30FD8" w14:textId="77777777" w:rsidR="00025D3E" w:rsidRPr="00131186" w:rsidRDefault="00025D3E" w:rsidP="001952F5">
            <w:pPr>
              <w:rPr>
                <w:b/>
                <w:bCs/>
                <w:color w:val="000000"/>
              </w:rPr>
            </w:pPr>
            <w:r w:rsidRPr="00131186">
              <w:rPr>
                <w:b/>
                <w:bCs/>
                <w:color w:val="000000"/>
              </w:rPr>
              <w:t>Elektroenerģija</w:t>
            </w:r>
          </w:p>
        </w:tc>
        <w:tc>
          <w:tcPr>
            <w:tcW w:w="1878" w:type="dxa"/>
            <w:shd w:val="clear" w:color="auto" w:fill="auto"/>
            <w:noWrap/>
            <w:vAlign w:val="bottom"/>
            <w:hideMark/>
          </w:tcPr>
          <w:p w14:paraId="62A3B0B3" w14:textId="77777777" w:rsidR="00025D3E" w:rsidRPr="00131186" w:rsidRDefault="00025D3E" w:rsidP="001952F5">
            <w:pPr>
              <w:jc w:val="right"/>
              <w:rPr>
                <w:color w:val="000000"/>
              </w:rPr>
            </w:pPr>
            <w:r w:rsidRPr="00131186">
              <w:rPr>
                <w:color w:val="000000"/>
              </w:rPr>
              <w:t>3121200</w:t>
            </w:r>
          </w:p>
        </w:tc>
        <w:tc>
          <w:tcPr>
            <w:tcW w:w="1602" w:type="dxa"/>
            <w:shd w:val="clear" w:color="auto" w:fill="auto"/>
            <w:noWrap/>
            <w:vAlign w:val="bottom"/>
            <w:hideMark/>
          </w:tcPr>
          <w:p w14:paraId="3CBEBE0F" w14:textId="77777777" w:rsidR="00025D3E" w:rsidRPr="00131186" w:rsidRDefault="00025D3E" w:rsidP="001952F5">
            <w:pPr>
              <w:jc w:val="right"/>
              <w:rPr>
                <w:color w:val="000000"/>
              </w:rPr>
            </w:pPr>
            <w:r w:rsidRPr="00131186">
              <w:rPr>
                <w:color w:val="000000"/>
              </w:rPr>
              <w:t>3121200</w:t>
            </w:r>
          </w:p>
        </w:tc>
      </w:tr>
      <w:tr w:rsidR="00025D3E" w:rsidRPr="00131186" w14:paraId="5AE2DDF3" w14:textId="77777777" w:rsidTr="00097A4C">
        <w:trPr>
          <w:trHeight w:val="300"/>
        </w:trPr>
        <w:tc>
          <w:tcPr>
            <w:tcW w:w="4884" w:type="dxa"/>
            <w:shd w:val="clear" w:color="auto" w:fill="auto"/>
            <w:noWrap/>
            <w:vAlign w:val="bottom"/>
            <w:hideMark/>
          </w:tcPr>
          <w:p w14:paraId="74C8DABD" w14:textId="77777777" w:rsidR="00025D3E" w:rsidRPr="00131186" w:rsidRDefault="00025D3E" w:rsidP="001952F5">
            <w:pPr>
              <w:rPr>
                <w:b/>
                <w:bCs/>
                <w:color w:val="000000"/>
              </w:rPr>
            </w:pPr>
            <w:r w:rsidRPr="00131186">
              <w:rPr>
                <w:b/>
                <w:bCs/>
                <w:color w:val="000000"/>
              </w:rPr>
              <w:t>OIK par uzstādīto jaudu</w:t>
            </w:r>
          </w:p>
        </w:tc>
        <w:tc>
          <w:tcPr>
            <w:tcW w:w="1878" w:type="dxa"/>
            <w:shd w:val="clear" w:color="auto" w:fill="auto"/>
            <w:noWrap/>
            <w:vAlign w:val="bottom"/>
            <w:hideMark/>
          </w:tcPr>
          <w:p w14:paraId="587C85C3" w14:textId="77777777" w:rsidR="00025D3E" w:rsidRPr="00131186" w:rsidRDefault="00025D3E" w:rsidP="001952F5">
            <w:pPr>
              <w:jc w:val="right"/>
              <w:rPr>
                <w:color w:val="000000"/>
              </w:rPr>
            </w:pPr>
            <w:r w:rsidRPr="00131186">
              <w:rPr>
                <w:color w:val="000000"/>
              </w:rPr>
              <w:t>406980</w:t>
            </w:r>
          </w:p>
        </w:tc>
        <w:tc>
          <w:tcPr>
            <w:tcW w:w="1602" w:type="dxa"/>
            <w:shd w:val="clear" w:color="auto" w:fill="auto"/>
            <w:noWrap/>
            <w:vAlign w:val="bottom"/>
            <w:hideMark/>
          </w:tcPr>
          <w:p w14:paraId="3C24627B" w14:textId="77777777" w:rsidR="00025D3E" w:rsidRPr="00131186" w:rsidRDefault="00025D3E" w:rsidP="001952F5">
            <w:pPr>
              <w:jc w:val="right"/>
              <w:rPr>
                <w:color w:val="000000"/>
              </w:rPr>
            </w:pPr>
            <w:r w:rsidRPr="00131186">
              <w:rPr>
                <w:color w:val="000000"/>
              </w:rPr>
              <w:t>482700</w:t>
            </w:r>
          </w:p>
        </w:tc>
      </w:tr>
      <w:tr w:rsidR="00025D3E" w:rsidRPr="00131186" w14:paraId="2C1FD697" w14:textId="77777777" w:rsidTr="00097A4C">
        <w:trPr>
          <w:trHeight w:val="300"/>
        </w:trPr>
        <w:tc>
          <w:tcPr>
            <w:tcW w:w="4884" w:type="dxa"/>
            <w:shd w:val="clear" w:color="auto" w:fill="auto"/>
            <w:noWrap/>
            <w:vAlign w:val="bottom"/>
            <w:hideMark/>
          </w:tcPr>
          <w:p w14:paraId="4C69A83D" w14:textId="77777777" w:rsidR="00025D3E" w:rsidRPr="00131186" w:rsidRDefault="00025D3E" w:rsidP="001952F5">
            <w:pPr>
              <w:rPr>
                <w:b/>
                <w:bCs/>
                <w:color w:val="000000"/>
              </w:rPr>
            </w:pPr>
            <w:r w:rsidRPr="00131186">
              <w:rPr>
                <w:b/>
                <w:bCs/>
                <w:color w:val="000000"/>
              </w:rPr>
              <w:t xml:space="preserve">OIK par patērētajām </w:t>
            </w:r>
            <w:proofErr w:type="spellStart"/>
            <w:r w:rsidRPr="00131186">
              <w:rPr>
                <w:b/>
                <w:bCs/>
                <w:color w:val="000000"/>
              </w:rPr>
              <w:t>MWh</w:t>
            </w:r>
            <w:proofErr w:type="spellEnd"/>
          </w:p>
        </w:tc>
        <w:tc>
          <w:tcPr>
            <w:tcW w:w="1878" w:type="dxa"/>
            <w:shd w:val="clear" w:color="auto" w:fill="auto"/>
            <w:noWrap/>
            <w:vAlign w:val="bottom"/>
            <w:hideMark/>
          </w:tcPr>
          <w:p w14:paraId="0C681AC2" w14:textId="77777777" w:rsidR="00025D3E" w:rsidRPr="00131186" w:rsidRDefault="00025D3E" w:rsidP="001952F5">
            <w:pPr>
              <w:jc w:val="right"/>
              <w:rPr>
                <w:color w:val="000000"/>
              </w:rPr>
            </w:pPr>
            <w:r w:rsidRPr="00131186">
              <w:rPr>
                <w:color w:val="000000"/>
              </w:rPr>
              <w:t>1298700</w:t>
            </w:r>
          </w:p>
        </w:tc>
        <w:tc>
          <w:tcPr>
            <w:tcW w:w="1602" w:type="dxa"/>
            <w:shd w:val="clear" w:color="auto" w:fill="auto"/>
            <w:noWrap/>
            <w:vAlign w:val="bottom"/>
            <w:hideMark/>
          </w:tcPr>
          <w:p w14:paraId="10D73BDA" w14:textId="77777777" w:rsidR="00025D3E" w:rsidRPr="00131186" w:rsidRDefault="00025D3E" w:rsidP="001952F5">
            <w:pPr>
              <w:jc w:val="right"/>
              <w:rPr>
                <w:color w:val="000000"/>
              </w:rPr>
            </w:pPr>
            <w:r w:rsidRPr="00131186">
              <w:rPr>
                <w:color w:val="000000"/>
              </w:rPr>
              <w:t>1298700</w:t>
            </w:r>
          </w:p>
        </w:tc>
      </w:tr>
      <w:tr w:rsidR="00025D3E" w:rsidRPr="00131186" w14:paraId="324F8908" w14:textId="77777777" w:rsidTr="00097A4C">
        <w:trPr>
          <w:trHeight w:val="300"/>
        </w:trPr>
        <w:tc>
          <w:tcPr>
            <w:tcW w:w="4884" w:type="dxa"/>
            <w:shd w:val="clear" w:color="auto" w:fill="auto"/>
            <w:noWrap/>
            <w:vAlign w:val="bottom"/>
            <w:hideMark/>
          </w:tcPr>
          <w:p w14:paraId="5C7821C4" w14:textId="77777777" w:rsidR="00025D3E" w:rsidRPr="00131186" w:rsidRDefault="00025D3E" w:rsidP="001952F5">
            <w:pPr>
              <w:rPr>
                <w:b/>
                <w:bCs/>
                <w:color w:val="000000"/>
              </w:rPr>
            </w:pPr>
            <w:r w:rsidRPr="00131186">
              <w:rPr>
                <w:b/>
                <w:bCs/>
                <w:color w:val="000000"/>
              </w:rPr>
              <w:t>Kopā</w:t>
            </w:r>
          </w:p>
        </w:tc>
        <w:tc>
          <w:tcPr>
            <w:tcW w:w="1878" w:type="dxa"/>
            <w:shd w:val="clear" w:color="auto" w:fill="auto"/>
            <w:noWrap/>
            <w:vAlign w:val="bottom"/>
            <w:hideMark/>
          </w:tcPr>
          <w:p w14:paraId="07B43DEA" w14:textId="77777777" w:rsidR="00025D3E" w:rsidRPr="00131186" w:rsidRDefault="00025D3E" w:rsidP="001952F5">
            <w:pPr>
              <w:jc w:val="right"/>
              <w:rPr>
                <w:color w:val="000000"/>
              </w:rPr>
            </w:pPr>
            <w:r w:rsidRPr="00131186">
              <w:rPr>
                <w:color w:val="000000"/>
              </w:rPr>
              <w:t>6445380</w:t>
            </w:r>
          </w:p>
        </w:tc>
        <w:tc>
          <w:tcPr>
            <w:tcW w:w="1602" w:type="dxa"/>
            <w:shd w:val="clear" w:color="auto" w:fill="auto"/>
            <w:noWrap/>
            <w:vAlign w:val="bottom"/>
            <w:hideMark/>
          </w:tcPr>
          <w:p w14:paraId="28B7E817" w14:textId="77777777" w:rsidR="00025D3E" w:rsidRPr="00131186" w:rsidRDefault="00025D3E" w:rsidP="001952F5">
            <w:pPr>
              <w:jc w:val="right"/>
              <w:rPr>
                <w:color w:val="000000"/>
              </w:rPr>
            </w:pPr>
            <w:r w:rsidRPr="00131186">
              <w:rPr>
                <w:color w:val="000000"/>
              </w:rPr>
              <w:t>6829300</w:t>
            </w:r>
          </w:p>
        </w:tc>
      </w:tr>
      <w:tr w:rsidR="00025D3E" w:rsidRPr="00131186" w14:paraId="2B8F0F9D" w14:textId="77777777" w:rsidTr="00097A4C">
        <w:trPr>
          <w:trHeight w:val="300"/>
        </w:trPr>
        <w:tc>
          <w:tcPr>
            <w:tcW w:w="4884" w:type="dxa"/>
            <w:shd w:val="clear" w:color="auto" w:fill="auto"/>
            <w:noWrap/>
            <w:vAlign w:val="bottom"/>
            <w:hideMark/>
          </w:tcPr>
          <w:p w14:paraId="3048C71B" w14:textId="77777777" w:rsidR="00025D3E" w:rsidRPr="00131186" w:rsidRDefault="00025D3E" w:rsidP="001952F5">
            <w:pPr>
              <w:rPr>
                <w:b/>
                <w:bCs/>
                <w:color w:val="000000"/>
              </w:rPr>
            </w:pPr>
            <w:r w:rsidRPr="00131186">
              <w:rPr>
                <w:b/>
                <w:bCs/>
                <w:color w:val="000000"/>
              </w:rPr>
              <w:t>Izmaksas par OIK</w:t>
            </w:r>
          </w:p>
        </w:tc>
        <w:tc>
          <w:tcPr>
            <w:tcW w:w="1878" w:type="dxa"/>
            <w:shd w:val="clear" w:color="auto" w:fill="auto"/>
            <w:noWrap/>
            <w:vAlign w:val="bottom"/>
            <w:hideMark/>
          </w:tcPr>
          <w:p w14:paraId="730B306C" w14:textId="77777777" w:rsidR="00025D3E" w:rsidRPr="00131186" w:rsidRDefault="00025D3E" w:rsidP="001952F5">
            <w:pPr>
              <w:jc w:val="right"/>
              <w:rPr>
                <w:color w:val="000000"/>
              </w:rPr>
            </w:pPr>
            <w:r w:rsidRPr="00131186">
              <w:rPr>
                <w:color w:val="000000"/>
              </w:rPr>
              <w:t>1705680</w:t>
            </w:r>
          </w:p>
        </w:tc>
        <w:tc>
          <w:tcPr>
            <w:tcW w:w="1602" w:type="dxa"/>
            <w:shd w:val="clear" w:color="auto" w:fill="auto"/>
            <w:noWrap/>
            <w:vAlign w:val="bottom"/>
            <w:hideMark/>
          </w:tcPr>
          <w:p w14:paraId="0F4D825E" w14:textId="77777777" w:rsidR="00025D3E" w:rsidRPr="00131186" w:rsidRDefault="00025D3E" w:rsidP="001952F5">
            <w:pPr>
              <w:jc w:val="right"/>
              <w:rPr>
                <w:color w:val="000000"/>
              </w:rPr>
            </w:pPr>
            <w:r w:rsidRPr="00131186">
              <w:rPr>
                <w:color w:val="000000"/>
              </w:rPr>
              <w:t>1781400</w:t>
            </w:r>
          </w:p>
        </w:tc>
      </w:tr>
      <w:tr w:rsidR="00025D3E" w:rsidRPr="00131186" w14:paraId="23123F5D" w14:textId="77777777" w:rsidTr="00097A4C">
        <w:trPr>
          <w:trHeight w:val="300"/>
        </w:trPr>
        <w:tc>
          <w:tcPr>
            <w:tcW w:w="4884" w:type="dxa"/>
            <w:shd w:val="clear" w:color="auto" w:fill="auto"/>
            <w:noWrap/>
            <w:vAlign w:val="bottom"/>
            <w:hideMark/>
          </w:tcPr>
          <w:p w14:paraId="2A56CE1B" w14:textId="77777777" w:rsidR="00025D3E" w:rsidRPr="00131186" w:rsidRDefault="00025D3E" w:rsidP="001952F5">
            <w:pPr>
              <w:rPr>
                <w:b/>
                <w:bCs/>
                <w:color w:val="000000"/>
              </w:rPr>
            </w:pPr>
            <w:r w:rsidRPr="00131186">
              <w:rPr>
                <w:b/>
                <w:bCs/>
                <w:color w:val="000000"/>
              </w:rPr>
              <w:t>Izmaksas par OIK/</w:t>
            </w:r>
            <w:proofErr w:type="spellStart"/>
            <w:r w:rsidRPr="00131186">
              <w:rPr>
                <w:b/>
                <w:bCs/>
                <w:color w:val="000000"/>
              </w:rPr>
              <w:t>MWh</w:t>
            </w:r>
            <w:proofErr w:type="spellEnd"/>
          </w:p>
        </w:tc>
        <w:tc>
          <w:tcPr>
            <w:tcW w:w="1878" w:type="dxa"/>
            <w:shd w:val="clear" w:color="auto" w:fill="auto"/>
            <w:noWrap/>
            <w:vAlign w:val="bottom"/>
            <w:hideMark/>
          </w:tcPr>
          <w:p w14:paraId="5F2DB401" w14:textId="77777777" w:rsidR="00025D3E" w:rsidRPr="00131186" w:rsidRDefault="00025D3E" w:rsidP="001952F5">
            <w:pPr>
              <w:jc w:val="right"/>
              <w:rPr>
                <w:color w:val="000000"/>
              </w:rPr>
            </w:pPr>
            <w:r w:rsidRPr="00131186">
              <w:rPr>
                <w:color w:val="000000"/>
              </w:rPr>
              <w:t>18,95</w:t>
            </w:r>
          </w:p>
        </w:tc>
        <w:tc>
          <w:tcPr>
            <w:tcW w:w="1602" w:type="dxa"/>
            <w:shd w:val="clear" w:color="auto" w:fill="auto"/>
            <w:noWrap/>
            <w:vAlign w:val="bottom"/>
            <w:hideMark/>
          </w:tcPr>
          <w:p w14:paraId="775F6E2A" w14:textId="77777777" w:rsidR="00025D3E" w:rsidRPr="00131186" w:rsidRDefault="00025D3E" w:rsidP="001952F5">
            <w:pPr>
              <w:jc w:val="right"/>
              <w:rPr>
                <w:color w:val="000000"/>
              </w:rPr>
            </w:pPr>
            <w:r w:rsidRPr="00131186">
              <w:rPr>
                <w:color w:val="000000"/>
              </w:rPr>
              <w:t>19,79</w:t>
            </w:r>
          </w:p>
        </w:tc>
      </w:tr>
      <w:tr w:rsidR="00025D3E" w:rsidRPr="00131186" w14:paraId="5E06FBFA" w14:textId="77777777" w:rsidTr="00097A4C">
        <w:trPr>
          <w:trHeight w:val="300"/>
        </w:trPr>
        <w:tc>
          <w:tcPr>
            <w:tcW w:w="4884" w:type="dxa"/>
            <w:shd w:val="clear" w:color="auto" w:fill="auto"/>
            <w:noWrap/>
            <w:vAlign w:val="bottom"/>
            <w:hideMark/>
          </w:tcPr>
          <w:p w14:paraId="0E15A13D" w14:textId="77777777" w:rsidR="00025D3E" w:rsidRPr="00131186" w:rsidRDefault="00025D3E" w:rsidP="001952F5">
            <w:pPr>
              <w:rPr>
                <w:b/>
                <w:bCs/>
                <w:color w:val="000000"/>
              </w:rPr>
            </w:pPr>
            <w:r w:rsidRPr="00131186">
              <w:rPr>
                <w:b/>
                <w:bCs/>
                <w:color w:val="000000"/>
              </w:rPr>
              <w:t>Izmaksas par OIK jaudu /</w:t>
            </w:r>
            <w:proofErr w:type="spellStart"/>
            <w:r w:rsidRPr="00131186">
              <w:rPr>
                <w:b/>
                <w:bCs/>
                <w:color w:val="000000"/>
              </w:rPr>
              <w:t>MWh</w:t>
            </w:r>
            <w:proofErr w:type="spellEnd"/>
          </w:p>
        </w:tc>
        <w:tc>
          <w:tcPr>
            <w:tcW w:w="1878" w:type="dxa"/>
            <w:shd w:val="clear" w:color="auto" w:fill="auto"/>
            <w:noWrap/>
            <w:vAlign w:val="bottom"/>
            <w:hideMark/>
          </w:tcPr>
          <w:p w14:paraId="6ED75B74" w14:textId="77777777" w:rsidR="00025D3E" w:rsidRPr="00131186" w:rsidRDefault="00025D3E" w:rsidP="001952F5">
            <w:pPr>
              <w:jc w:val="right"/>
              <w:rPr>
                <w:color w:val="000000"/>
              </w:rPr>
            </w:pPr>
            <w:r w:rsidRPr="00131186">
              <w:rPr>
                <w:color w:val="000000"/>
              </w:rPr>
              <w:t>4,52</w:t>
            </w:r>
          </w:p>
        </w:tc>
        <w:tc>
          <w:tcPr>
            <w:tcW w:w="1602" w:type="dxa"/>
            <w:shd w:val="clear" w:color="auto" w:fill="auto"/>
            <w:noWrap/>
            <w:vAlign w:val="bottom"/>
            <w:hideMark/>
          </w:tcPr>
          <w:p w14:paraId="56DC571E" w14:textId="77777777" w:rsidR="00025D3E" w:rsidRPr="00131186" w:rsidRDefault="00025D3E" w:rsidP="001952F5">
            <w:pPr>
              <w:jc w:val="right"/>
              <w:rPr>
                <w:color w:val="000000"/>
              </w:rPr>
            </w:pPr>
            <w:r w:rsidRPr="00131186">
              <w:rPr>
                <w:color w:val="000000"/>
              </w:rPr>
              <w:t>5,36</w:t>
            </w:r>
          </w:p>
        </w:tc>
      </w:tr>
      <w:tr w:rsidR="00025D3E" w:rsidRPr="00131186" w14:paraId="174EE197" w14:textId="77777777" w:rsidTr="00097A4C">
        <w:trPr>
          <w:trHeight w:val="300"/>
        </w:trPr>
        <w:tc>
          <w:tcPr>
            <w:tcW w:w="4884" w:type="dxa"/>
            <w:shd w:val="clear" w:color="auto" w:fill="auto"/>
            <w:noWrap/>
            <w:vAlign w:val="bottom"/>
            <w:hideMark/>
          </w:tcPr>
          <w:p w14:paraId="4CFD9D1B" w14:textId="77777777" w:rsidR="00025D3E" w:rsidRPr="00131186" w:rsidRDefault="00025D3E" w:rsidP="001952F5">
            <w:pPr>
              <w:rPr>
                <w:b/>
                <w:bCs/>
                <w:color w:val="000000"/>
              </w:rPr>
            </w:pPr>
            <w:r w:rsidRPr="00131186">
              <w:rPr>
                <w:b/>
                <w:bCs/>
                <w:color w:val="000000"/>
              </w:rPr>
              <w:t>Izmaksas par OIK jaudu /</w:t>
            </w:r>
            <w:proofErr w:type="spellStart"/>
            <w:r w:rsidRPr="00131186">
              <w:rPr>
                <w:b/>
                <w:bCs/>
                <w:color w:val="000000"/>
              </w:rPr>
              <w:t>MWh</w:t>
            </w:r>
            <w:proofErr w:type="spellEnd"/>
          </w:p>
        </w:tc>
        <w:tc>
          <w:tcPr>
            <w:tcW w:w="1878" w:type="dxa"/>
            <w:shd w:val="clear" w:color="auto" w:fill="auto"/>
            <w:noWrap/>
            <w:vAlign w:val="bottom"/>
            <w:hideMark/>
          </w:tcPr>
          <w:p w14:paraId="3880F53E" w14:textId="77777777" w:rsidR="00025D3E" w:rsidRPr="00131186" w:rsidRDefault="00025D3E" w:rsidP="001952F5">
            <w:pPr>
              <w:jc w:val="right"/>
              <w:rPr>
                <w:color w:val="000000"/>
              </w:rPr>
            </w:pPr>
            <w:r w:rsidRPr="00131186">
              <w:rPr>
                <w:color w:val="000000"/>
              </w:rPr>
              <w:t>4,52</w:t>
            </w:r>
          </w:p>
        </w:tc>
        <w:tc>
          <w:tcPr>
            <w:tcW w:w="1602" w:type="dxa"/>
            <w:shd w:val="clear" w:color="auto" w:fill="auto"/>
            <w:noWrap/>
            <w:vAlign w:val="bottom"/>
            <w:hideMark/>
          </w:tcPr>
          <w:p w14:paraId="464D1C99" w14:textId="77777777" w:rsidR="00025D3E" w:rsidRPr="00131186" w:rsidRDefault="00025D3E" w:rsidP="001952F5">
            <w:pPr>
              <w:jc w:val="right"/>
              <w:rPr>
                <w:color w:val="000000"/>
              </w:rPr>
            </w:pPr>
            <w:r w:rsidRPr="00131186">
              <w:rPr>
                <w:color w:val="000000"/>
              </w:rPr>
              <w:t>5,36</w:t>
            </w:r>
          </w:p>
        </w:tc>
      </w:tr>
      <w:tr w:rsidR="00025D3E" w:rsidRPr="00131186" w14:paraId="05B1440D" w14:textId="77777777" w:rsidTr="00097A4C">
        <w:trPr>
          <w:trHeight w:val="300"/>
        </w:trPr>
        <w:tc>
          <w:tcPr>
            <w:tcW w:w="4884" w:type="dxa"/>
            <w:shd w:val="clear" w:color="auto" w:fill="auto"/>
            <w:noWrap/>
            <w:vAlign w:val="bottom"/>
            <w:hideMark/>
          </w:tcPr>
          <w:p w14:paraId="483126B0" w14:textId="77777777" w:rsidR="00025D3E" w:rsidRPr="00131186" w:rsidRDefault="00025D3E" w:rsidP="001952F5">
            <w:pPr>
              <w:rPr>
                <w:b/>
                <w:bCs/>
                <w:color w:val="000000"/>
              </w:rPr>
            </w:pPr>
            <w:r w:rsidRPr="00131186">
              <w:rPr>
                <w:b/>
                <w:bCs/>
                <w:color w:val="000000"/>
              </w:rPr>
              <w:t xml:space="preserve">Gala izmaksas par vienu </w:t>
            </w:r>
            <w:proofErr w:type="spellStart"/>
            <w:r w:rsidRPr="00131186">
              <w:rPr>
                <w:b/>
                <w:bCs/>
                <w:color w:val="000000"/>
              </w:rPr>
              <w:t>MWh</w:t>
            </w:r>
            <w:proofErr w:type="spellEnd"/>
          </w:p>
        </w:tc>
        <w:tc>
          <w:tcPr>
            <w:tcW w:w="1878" w:type="dxa"/>
            <w:shd w:val="clear" w:color="auto" w:fill="auto"/>
            <w:noWrap/>
            <w:vAlign w:val="bottom"/>
            <w:hideMark/>
          </w:tcPr>
          <w:p w14:paraId="20A5F6B2" w14:textId="77777777" w:rsidR="00025D3E" w:rsidRPr="00131186" w:rsidRDefault="00025D3E" w:rsidP="001952F5">
            <w:pPr>
              <w:jc w:val="right"/>
              <w:rPr>
                <w:b/>
                <w:color w:val="000000"/>
              </w:rPr>
            </w:pPr>
            <w:r w:rsidRPr="00131186">
              <w:rPr>
                <w:b/>
                <w:color w:val="000000"/>
              </w:rPr>
              <w:t>72,63</w:t>
            </w:r>
          </w:p>
        </w:tc>
        <w:tc>
          <w:tcPr>
            <w:tcW w:w="1602" w:type="dxa"/>
            <w:shd w:val="clear" w:color="auto" w:fill="auto"/>
            <w:noWrap/>
            <w:vAlign w:val="bottom"/>
            <w:hideMark/>
          </w:tcPr>
          <w:p w14:paraId="19F5CC74" w14:textId="77777777" w:rsidR="00025D3E" w:rsidRPr="00131186" w:rsidRDefault="00025D3E" w:rsidP="001952F5">
            <w:pPr>
              <w:jc w:val="right"/>
              <w:rPr>
                <w:b/>
                <w:color w:val="000000"/>
              </w:rPr>
            </w:pPr>
            <w:r w:rsidRPr="00131186">
              <w:rPr>
                <w:b/>
                <w:color w:val="000000"/>
              </w:rPr>
              <w:t>76,89</w:t>
            </w:r>
          </w:p>
        </w:tc>
      </w:tr>
    </w:tbl>
    <w:p w14:paraId="7C8C6C41" w14:textId="4595A9B1" w:rsidR="00025D3E" w:rsidRPr="00131186" w:rsidRDefault="00025D3E" w:rsidP="00C5188C">
      <w:pPr>
        <w:pStyle w:val="ListParagraph"/>
        <w:jc w:val="both"/>
        <w:rPr>
          <w:bCs/>
          <w:color w:val="FF0000"/>
        </w:rPr>
      </w:pPr>
    </w:p>
    <w:p w14:paraId="1825E0A0" w14:textId="22DA81A8" w:rsidR="001571C0" w:rsidRPr="00131186" w:rsidRDefault="001571C0" w:rsidP="00E61280">
      <w:pPr>
        <w:jc w:val="both"/>
        <w:rPr>
          <w:bCs/>
          <w:color w:val="FF0000"/>
        </w:rPr>
      </w:pPr>
    </w:p>
    <w:p w14:paraId="3221E908" w14:textId="0A0B7F80" w:rsidR="00025D3E" w:rsidRPr="00131186" w:rsidRDefault="00025D3E" w:rsidP="003963DD">
      <w:pPr>
        <w:pStyle w:val="ListParagraph"/>
        <w:ind w:left="567"/>
        <w:jc w:val="both"/>
        <w:rPr>
          <w:b/>
          <w:bCs/>
        </w:rPr>
      </w:pPr>
      <w:r w:rsidRPr="00131186">
        <w:rPr>
          <w:b/>
          <w:bCs/>
        </w:rPr>
        <w:t>Tabula 2. Elektroenerģijas izmaksu aprēķins (EUR) 2024.</w:t>
      </w:r>
      <w:r w:rsidR="006F3EFC">
        <w:rPr>
          <w:b/>
          <w:bCs/>
        </w:rPr>
        <w:t xml:space="preserve"> </w:t>
      </w:r>
      <w:r w:rsidRPr="00131186">
        <w:rPr>
          <w:b/>
          <w:bCs/>
        </w:rPr>
        <w:t>gadā konservatīvajā scenārijā</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01"/>
        <w:gridCol w:w="1559"/>
      </w:tblGrid>
      <w:tr w:rsidR="00E61280" w:rsidRPr="00131186" w14:paraId="2AC436E0" w14:textId="77777777" w:rsidTr="00097A4C">
        <w:trPr>
          <w:trHeight w:val="300"/>
        </w:trPr>
        <w:tc>
          <w:tcPr>
            <w:tcW w:w="5387" w:type="dxa"/>
            <w:shd w:val="clear" w:color="auto" w:fill="auto"/>
            <w:noWrap/>
            <w:vAlign w:val="bottom"/>
            <w:hideMark/>
          </w:tcPr>
          <w:p w14:paraId="59F5B5A4" w14:textId="77777777" w:rsidR="00025D3E" w:rsidRPr="00131186" w:rsidRDefault="00025D3E" w:rsidP="001952F5"/>
        </w:tc>
        <w:tc>
          <w:tcPr>
            <w:tcW w:w="1701" w:type="dxa"/>
            <w:shd w:val="clear" w:color="auto" w:fill="auto"/>
            <w:noWrap/>
            <w:vAlign w:val="bottom"/>
            <w:hideMark/>
          </w:tcPr>
          <w:p w14:paraId="42463755" w14:textId="77777777" w:rsidR="00025D3E" w:rsidRPr="00131186" w:rsidRDefault="00025D3E" w:rsidP="001952F5">
            <w:pPr>
              <w:jc w:val="right"/>
              <w:rPr>
                <w:b/>
                <w:bCs/>
              </w:rPr>
            </w:pPr>
            <w:r w:rsidRPr="00131186">
              <w:rPr>
                <w:b/>
                <w:bCs/>
              </w:rPr>
              <w:t xml:space="preserve">110 </w:t>
            </w:r>
            <w:proofErr w:type="spellStart"/>
            <w:r w:rsidRPr="00131186">
              <w:rPr>
                <w:b/>
                <w:bCs/>
              </w:rPr>
              <w:t>kV</w:t>
            </w:r>
            <w:proofErr w:type="spellEnd"/>
            <w:r w:rsidRPr="00131186">
              <w:rPr>
                <w:b/>
                <w:bCs/>
              </w:rPr>
              <w:t xml:space="preserve"> līnija</w:t>
            </w:r>
          </w:p>
        </w:tc>
        <w:tc>
          <w:tcPr>
            <w:tcW w:w="1559" w:type="dxa"/>
            <w:shd w:val="clear" w:color="auto" w:fill="auto"/>
            <w:noWrap/>
            <w:vAlign w:val="bottom"/>
            <w:hideMark/>
          </w:tcPr>
          <w:p w14:paraId="1AC5A128" w14:textId="77777777" w:rsidR="00025D3E" w:rsidRPr="00131186" w:rsidRDefault="00025D3E" w:rsidP="001952F5">
            <w:pPr>
              <w:jc w:val="right"/>
              <w:rPr>
                <w:b/>
                <w:bCs/>
              </w:rPr>
            </w:pPr>
            <w:r w:rsidRPr="00131186">
              <w:rPr>
                <w:b/>
                <w:bCs/>
              </w:rPr>
              <w:t xml:space="preserve">110 </w:t>
            </w:r>
            <w:proofErr w:type="spellStart"/>
            <w:r w:rsidRPr="00131186">
              <w:rPr>
                <w:b/>
                <w:bCs/>
              </w:rPr>
              <w:t>kV</w:t>
            </w:r>
            <w:proofErr w:type="spellEnd"/>
            <w:r w:rsidRPr="00131186">
              <w:rPr>
                <w:b/>
                <w:bCs/>
              </w:rPr>
              <w:t xml:space="preserve"> kopne</w:t>
            </w:r>
          </w:p>
        </w:tc>
      </w:tr>
      <w:tr w:rsidR="00E61280" w:rsidRPr="00131186" w14:paraId="42A0D313" w14:textId="77777777" w:rsidTr="003963DD">
        <w:trPr>
          <w:trHeight w:val="407"/>
        </w:trPr>
        <w:tc>
          <w:tcPr>
            <w:tcW w:w="5387" w:type="dxa"/>
            <w:shd w:val="clear" w:color="auto" w:fill="auto"/>
            <w:noWrap/>
            <w:vAlign w:val="bottom"/>
            <w:hideMark/>
          </w:tcPr>
          <w:p w14:paraId="447A03D2" w14:textId="77777777" w:rsidR="00025D3E" w:rsidRPr="00131186" w:rsidRDefault="00025D3E" w:rsidP="001952F5">
            <w:pPr>
              <w:rPr>
                <w:b/>
                <w:bCs/>
              </w:rPr>
            </w:pPr>
            <w:r w:rsidRPr="00131186">
              <w:rPr>
                <w:b/>
                <w:bCs/>
              </w:rPr>
              <w:t>Jauda AST</w:t>
            </w:r>
          </w:p>
        </w:tc>
        <w:tc>
          <w:tcPr>
            <w:tcW w:w="1701" w:type="dxa"/>
            <w:shd w:val="clear" w:color="auto" w:fill="auto"/>
            <w:noWrap/>
            <w:vAlign w:val="bottom"/>
            <w:hideMark/>
          </w:tcPr>
          <w:p w14:paraId="17F15DF7" w14:textId="77777777" w:rsidR="00025D3E" w:rsidRPr="00131186" w:rsidRDefault="00025D3E" w:rsidP="001952F5">
            <w:pPr>
              <w:jc w:val="right"/>
            </w:pPr>
            <w:r w:rsidRPr="00131186">
              <w:t>1347600</w:t>
            </w:r>
          </w:p>
        </w:tc>
        <w:tc>
          <w:tcPr>
            <w:tcW w:w="1559" w:type="dxa"/>
            <w:shd w:val="clear" w:color="auto" w:fill="auto"/>
            <w:noWrap/>
            <w:vAlign w:val="bottom"/>
            <w:hideMark/>
          </w:tcPr>
          <w:p w14:paraId="21AE9BEF" w14:textId="77777777" w:rsidR="00025D3E" w:rsidRPr="00131186" w:rsidRDefault="00025D3E" w:rsidP="001952F5">
            <w:pPr>
              <w:jc w:val="right"/>
            </w:pPr>
            <w:r w:rsidRPr="00131186">
              <w:t>1609000</w:t>
            </w:r>
          </w:p>
        </w:tc>
      </w:tr>
      <w:tr w:rsidR="00E61280" w:rsidRPr="00131186" w14:paraId="6EE24574" w14:textId="77777777" w:rsidTr="003963DD">
        <w:trPr>
          <w:trHeight w:val="413"/>
        </w:trPr>
        <w:tc>
          <w:tcPr>
            <w:tcW w:w="5387" w:type="dxa"/>
            <w:shd w:val="clear" w:color="auto" w:fill="auto"/>
            <w:noWrap/>
            <w:vAlign w:val="bottom"/>
            <w:hideMark/>
          </w:tcPr>
          <w:p w14:paraId="2ECE6309" w14:textId="77777777" w:rsidR="00025D3E" w:rsidRPr="00131186" w:rsidRDefault="00025D3E" w:rsidP="001952F5">
            <w:pPr>
              <w:rPr>
                <w:b/>
                <w:bCs/>
              </w:rPr>
            </w:pPr>
            <w:r w:rsidRPr="00131186">
              <w:rPr>
                <w:b/>
                <w:bCs/>
              </w:rPr>
              <w:t>Pārvade AST</w:t>
            </w:r>
          </w:p>
        </w:tc>
        <w:tc>
          <w:tcPr>
            <w:tcW w:w="1701" w:type="dxa"/>
            <w:shd w:val="clear" w:color="auto" w:fill="auto"/>
            <w:noWrap/>
            <w:vAlign w:val="bottom"/>
            <w:hideMark/>
          </w:tcPr>
          <w:p w14:paraId="3EBA0FA9" w14:textId="77777777" w:rsidR="00025D3E" w:rsidRPr="00131186" w:rsidRDefault="00025D3E" w:rsidP="001952F5">
            <w:pPr>
              <w:jc w:val="right"/>
            </w:pPr>
            <w:r w:rsidRPr="00131186">
              <w:t>162540</w:t>
            </w:r>
          </w:p>
        </w:tc>
        <w:tc>
          <w:tcPr>
            <w:tcW w:w="1559" w:type="dxa"/>
            <w:shd w:val="clear" w:color="auto" w:fill="auto"/>
            <w:noWrap/>
            <w:vAlign w:val="bottom"/>
            <w:hideMark/>
          </w:tcPr>
          <w:p w14:paraId="02F79380" w14:textId="77777777" w:rsidR="00025D3E" w:rsidRPr="00131186" w:rsidRDefault="00025D3E" w:rsidP="001952F5">
            <w:pPr>
              <w:jc w:val="right"/>
            </w:pPr>
            <w:r w:rsidRPr="00131186">
              <w:t>190620</w:t>
            </w:r>
          </w:p>
        </w:tc>
      </w:tr>
      <w:tr w:rsidR="00E61280" w:rsidRPr="00131186" w14:paraId="459ACAC3" w14:textId="77777777" w:rsidTr="003963DD">
        <w:trPr>
          <w:trHeight w:val="358"/>
        </w:trPr>
        <w:tc>
          <w:tcPr>
            <w:tcW w:w="5387" w:type="dxa"/>
            <w:shd w:val="clear" w:color="auto" w:fill="auto"/>
            <w:noWrap/>
            <w:vAlign w:val="bottom"/>
            <w:hideMark/>
          </w:tcPr>
          <w:p w14:paraId="798F5692" w14:textId="77777777" w:rsidR="00025D3E" w:rsidRPr="00131186" w:rsidRDefault="00025D3E" w:rsidP="001952F5">
            <w:pPr>
              <w:rPr>
                <w:b/>
                <w:bCs/>
              </w:rPr>
            </w:pPr>
            <w:r w:rsidRPr="00131186">
              <w:rPr>
                <w:b/>
                <w:bCs/>
              </w:rPr>
              <w:t>Elektroenerģija</w:t>
            </w:r>
          </w:p>
        </w:tc>
        <w:tc>
          <w:tcPr>
            <w:tcW w:w="1701" w:type="dxa"/>
            <w:shd w:val="clear" w:color="auto" w:fill="auto"/>
            <w:noWrap/>
            <w:vAlign w:val="bottom"/>
            <w:hideMark/>
          </w:tcPr>
          <w:p w14:paraId="0AF9114F" w14:textId="77777777" w:rsidR="00025D3E" w:rsidRPr="00131186" w:rsidRDefault="00025D3E" w:rsidP="001952F5">
            <w:pPr>
              <w:jc w:val="right"/>
            </w:pPr>
            <w:r w:rsidRPr="00131186">
              <w:t>1872720</w:t>
            </w:r>
          </w:p>
        </w:tc>
        <w:tc>
          <w:tcPr>
            <w:tcW w:w="1559" w:type="dxa"/>
            <w:shd w:val="clear" w:color="auto" w:fill="auto"/>
            <w:noWrap/>
            <w:vAlign w:val="bottom"/>
            <w:hideMark/>
          </w:tcPr>
          <w:p w14:paraId="1019B754" w14:textId="77777777" w:rsidR="00025D3E" w:rsidRPr="00131186" w:rsidRDefault="00025D3E" w:rsidP="001952F5">
            <w:pPr>
              <w:jc w:val="right"/>
            </w:pPr>
            <w:r w:rsidRPr="00131186">
              <w:t>1872720</w:t>
            </w:r>
          </w:p>
        </w:tc>
      </w:tr>
      <w:tr w:rsidR="00E61280" w:rsidRPr="00131186" w14:paraId="26121B7B" w14:textId="77777777" w:rsidTr="003963DD">
        <w:trPr>
          <w:trHeight w:val="463"/>
        </w:trPr>
        <w:tc>
          <w:tcPr>
            <w:tcW w:w="5387" w:type="dxa"/>
            <w:shd w:val="clear" w:color="auto" w:fill="auto"/>
            <w:noWrap/>
            <w:vAlign w:val="bottom"/>
            <w:hideMark/>
          </w:tcPr>
          <w:p w14:paraId="5E616BFC" w14:textId="77777777" w:rsidR="00025D3E" w:rsidRPr="00131186" w:rsidRDefault="00025D3E" w:rsidP="001952F5">
            <w:pPr>
              <w:rPr>
                <w:b/>
                <w:bCs/>
              </w:rPr>
            </w:pPr>
            <w:r w:rsidRPr="00131186">
              <w:rPr>
                <w:b/>
                <w:bCs/>
              </w:rPr>
              <w:t>OIK par uzstādīto jaudu</w:t>
            </w:r>
          </w:p>
        </w:tc>
        <w:tc>
          <w:tcPr>
            <w:tcW w:w="1701" w:type="dxa"/>
            <w:shd w:val="clear" w:color="auto" w:fill="auto"/>
            <w:noWrap/>
            <w:vAlign w:val="bottom"/>
            <w:hideMark/>
          </w:tcPr>
          <w:p w14:paraId="5A7897E2" w14:textId="77777777" w:rsidR="00025D3E" w:rsidRPr="00131186" w:rsidRDefault="00025D3E" w:rsidP="001952F5">
            <w:pPr>
              <w:jc w:val="right"/>
            </w:pPr>
            <w:r w:rsidRPr="00131186">
              <w:t>406980</w:t>
            </w:r>
          </w:p>
        </w:tc>
        <w:tc>
          <w:tcPr>
            <w:tcW w:w="1559" w:type="dxa"/>
            <w:shd w:val="clear" w:color="auto" w:fill="auto"/>
            <w:noWrap/>
            <w:vAlign w:val="bottom"/>
            <w:hideMark/>
          </w:tcPr>
          <w:p w14:paraId="5F67A42C" w14:textId="77777777" w:rsidR="00025D3E" w:rsidRPr="00131186" w:rsidRDefault="00025D3E" w:rsidP="001952F5">
            <w:pPr>
              <w:jc w:val="right"/>
            </w:pPr>
            <w:r w:rsidRPr="00131186">
              <w:t>482700</w:t>
            </w:r>
          </w:p>
        </w:tc>
      </w:tr>
      <w:tr w:rsidR="00E61280" w:rsidRPr="00131186" w14:paraId="5CD616AC" w14:textId="77777777" w:rsidTr="003963DD">
        <w:trPr>
          <w:trHeight w:val="438"/>
        </w:trPr>
        <w:tc>
          <w:tcPr>
            <w:tcW w:w="5387" w:type="dxa"/>
            <w:shd w:val="clear" w:color="auto" w:fill="auto"/>
            <w:noWrap/>
            <w:vAlign w:val="bottom"/>
            <w:hideMark/>
          </w:tcPr>
          <w:p w14:paraId="1FB4FBF4" w14:textId="77777777" w:rsidR="00025D3E" w:rsidRPr="00131186" w:rsidRDefault="00025D3E" w:rsidP="001952F5">
            <w:pPr>
              <w:rPr>
                <w:b/>
                <w:bCs/>
              </w:rPr>
            </w:pPr>
            <w:r w:rsidRPr="00131186">
              <w:rPr>
                <w:b/>
                <w:bCs/>
              </w:rPr>
              <w:t xml:space="preserve">OIK par patērētajām </w:t>
            </w:r>
            <w:proofErr w:type="spellStart"/>
            <w:r w:rsidRPr="00131186">
              <w:rPr>
                <w:b/>
                <w:bCs/>
              </w:rPr>
              <w:t>MWh</w:t>
            </w:r>
            <w:proofErr w:type="spellEnd"/>
          </w:p>
        </w:tc>
        <w:tc>
          <w:tcPr>
            <w:tcW w:w="1701" w:type="dxa"/>
            <w:shd w:val="clear" w:color="auto" w:fill="auto"/>
            <w:noWrap/>
            <w:vAlign w:val="bottom"/>
            <w:hideMark/>
          </w:tcPr>
          <w:p w14:paraId="7D3270F1" w14:textId="77777777" w:rsidR="00025D3E" w:rsidRPr="00131186" w:rsidRDefault="00025D3E" w:rsidP="001952F5">
            <w:pPr>
              <w:jc w:val="right"/>
            </w:pPr>
            <w:r w:rsidRPr="00131186">
              <w:t>779220</w:t>
            </w:r>
          </w:p>
        </w:tc>
        <w:tc>
          <w:tcPr>
            <w:tcW w:w="1559" w:type="dxa"/>
            <w:shd w:val="clear" w:color="auto" w:fill="auto"/>
            <w:noWrap/>
            <w:vAlign w:val="bottom"/>
            <w:hideMark/>
          </w:tcPr>
          <w:p w14:paraId="1323BB53" w14:textId="77777777" w:rsidR="00025D3E" w:rsidRPr="00131186" w:rsidRDefault="00025D3E" w:rsidP="001952F5">
            <w:pPr>
              <w:jc w:val="right"/>
            </w:pPr>
            <w:r w:rsidRPr="00131186">
              <w:t>779220</w:t>
            </w:r>
          </w:p>
        </w:tc>
      </w:tr>
      <w:tr w:rsidR="00E61280" w:rsidRPr="00131186" w14:paraId="2F25B911" w14:textId="77777777" w:rsidTr="003963DD">
        <w:trPr>
          <w:trHeight w:val="417"/>
        </w:trPr>
        <w:tc>
          <w:tcPr>
            <w:tcW w:w="5387" w:type="dxa"/>
            <w:shd w:val="clear" w:color="auto" w:fill="auto"/>
            <w:noWrap/>
            <w:vAlign w:val="bottom"/>
            <w:hideMark/>
          </w:tcPr>
          <w:p w14:paraId="1C30B52E" w14:textId="77777777" w:rsidR="00025D3E" w:rsidRPr="00131186" w:rsidRDefault="00025D3E" w:rsidP="001952F5">
            <w:pPr>
              <w:rPr>
                <w:b/>
                <w:bCs/>
              </w:rPr>
            </w:pPr>
            <w:r w:rsidRPr="00131186">
              <w:rPr>
                <w:b/>
                <w:bCs/>
              </w:rPr>
              <w:t>Kopā</w:t>
            </w:r>
          </w:p>
        </w:tc>
        <w:tc>
          <w:tcPr>
            <w:tcW w:w="1701" w:type="dxa"/>
            <w:shd w:val="clear" w:color="auto" w:fill="auto"/>
            <w:noWrap/>
            <w:vAlign w:val="bottom"/>
            <w:hideMark/>
          </w:tcPr>
          <w:p w14:paraId="13A36062" w14:textId="77777777" w:rsidR="00025D3E" w:rsidRPr="00131186" w:rsidRDefault="00025D3E" w:rsidP="001952F5">
            <w:pPr>
              <w:jc w:val="right"/>
            </w:pPr>
            <w:r w:rsidRPr="00131186">
              <w:t>4569060</w:t>
            </w:r>
          </w:p>
        </w:tc>
        <w:tc>
          <w:tcPr>
            <w:tcW w:w="1559" w:type="dxa"/>
            <w:shd w:val="clear" w:color="auto" w:fill="auto"/>
            <w:noWrap/>
            <w:vAlign w:val="bottom"/>
            <w:hideMark/>
          </w:tcPr>
          <w:p w14:paraId="7DB54BB1" w14:textId="77777777" w:rsidR="00025D3E" w:rsidRPr="00131186" w:rsidRDefault="00025D3E" w:rsidP="001952F5">
            <w:pPr>
              <w:jc w:val="right"/>
            </w:pPr>
            <w:r w:rsidRPr="00131186">
              <w:t>4934260</w:t>
            </w:r>
          </w:p>
        </w:tc>
      </w:tr>
      <w:tr w:rsidR="00E61280" w:rsidRPr="00131186" w14:paraId="10421CF8" w14:textId="77777777" w:rsidTr="00097A4C">
        <w:trPr>
          <w:trHeight w:val="300"/>
        </w:trPr>
        <w:tc>
          <w:tcPr>
            <w:tcW w:w="5387" w:type="dxa"/>
            <w:shd w:val="clear" w:color="auto" w:fill="auto"/>
            <w:noWrap/>
            <w:vAlign w:val="bottom"/>
            <w:hideMark/>
          </w:tcPr>
          <w:p w14:paraId="55398D14" w14:textId="77777777" w:rsidR="00025D3E" w:rsidRPr="00131186" w:rsidRDefault="00025D3E" w:rsidP="001952F5">
            <w:pPr>
              <w:rPr>
                <w:b/>
                <w:bCs/>
              </w:rPr>
            </w:pPr>
            <w:r w:rsidRPr="00131186">
              <w:rPr>
                <w:b/>
                <w:bCs/>
              </w:rPr>
              <w:t>Izmaksas par OIK</w:t>
            </w:r>
          </w:p>
        </w:tc>
        <w:tc>
          <w:tcPr>
            <w:tcW w:w="1701" w:type="dxa"/>
            <w:shd w:val="clear" w:color="auto" w:fill="auto"/>
            <w:noWrap/>
            <w:vAlign w:val="bottom"/>
            <w:hideMark/>
          </w:tcPr>
          <w:p w14:paraId="1BE6122F" w14:textId="77777777" w:rsidR="00025D3E" w:rsidRPr="00131186" w:rsidRDefault="00025D3E" w:rsidP="001952F5">
            <w:pPr>
              <w:jc w:val="right"/>
            </w:pPr>
            <w:r w:rsidRPr="00131186">
              <w:t>1186200</w:t>
            </w:r>
          </w:p>
        </w:tc>
        <w:tc>
          <w:tcPr>
            <w:tcW w:w="1559" w:type="dxa"/>
            <w:shd w:val="clear" w:color="auto" w:fill="auto"/>
            <w:noWrap/>
            <w:vAlign w:val="bottom"/>
            <w:hideMark/>
          </w:tcPr>
          <w:p w14:paraId="64544759" w14:textId="77777777" w:rsidR="00025D3E" w:rsidRPr="00131186" w:rsidRDefault="00025D3E" w:rsidP="001952F5">
            <w:pPr>
              <w:jc w:val="right"/>
            </w:pPr>
            <w:r w:rsidRPr="00131186">
              <w:t>1261920</w:t>
            </w:r>
          </w:p>
        </w:tc>
      </w:tr>
      <w:tr w:rsidR="00E61280" w:rsidRPr="00131186" w14:paraId="3B1C7D0A" w14:textId="77777777" w:rsidTr="003963DD">
        <w:trPr>
          <w:trHeight w:val="367"/>
        </w:trPr>
        <w:tc>
          <w:tcPr>
            <w:tcW w:w="5387" w:type="dxa"/>
            <w:shd w:val="clear" w:color="auto" w:fill="auto"/>
            <w:noWrap/>
            <w:vAlign w:val="bottom"/>
            <w:hideMark/>
          </w:tcPr>
          <w:p w14:paraId="535DFE54" w14:textId="77777777" w:rsidR="00025D3E" w:rsidRPr="00131186" w:rsidRDefault="00025D3E" w:rsidP="001952F5">
            <w:pPr>
              <w:rPr>
                <w:b/>
                <w:bCs/>
              </w:rPr>
            </w:pPr>
            <w:r w:rsidRPr="00131186">
              <w:rPr>
                <w:b/>
                <w:bCs/>
              </w:rPr>
              <w:t>Izmaksas par OIK/</w:t>
            </w:r>
            <w:proofErr w:type="spellStart"/>
            <w:r w:rsidRPr="00131186">
              <w:rPr>
                <w:b/>
                <w:bCs/>
              </w:rPr>
              <w:t>MWh</w:t>
            </w:r>
            <w:proofErr w:type="spellEnd"/>
          </w:p>
        </w:tc>
        <w:tc>
          <w:tcPr>
            <w:tcW w:w="1701" w:type="dxa"/>
            <w:shd w:val="clear" w:color="auto" w:fill="auto"/>
            <w:noWrap/>
            <w:vAlign w:val="bottom"/>
            <w:hideMark/>
          </w:tcPr>
          <w:p w14:paraId="57F2CB1C" w14:textId="77777777" w:rsidR="00025D3E" w:rsidRPr="00131186" w:rsidRDefault="00025D3E" w:rsidP="001952F5">
            <w:pPr>
              <w:jc w:val="right"/>
            </w:pPr>
            <w:r w:rsidRPr="00131186">
              <w:t>21,97</w:t>
            </w:r>
          </w:p>
        </w:tc>
        <w:tc>
          <w:tcPr>
            <w:tcW w:w="1559" w:type="dxa"/>
            <w:shd w:val="clear" w:color="auto" w:fill="auto"/>
            <w:noWrap/>
            <w:vAlign w:val="bottom"/>
            <w:hideMark/>
          </w:tcPr>
          <w:p w14:paraId="1866CEE9" w14:textId="77777777" w:rsidR="00025D3E" w:rsidRPr="00131186" w:rsidRDefault="00025D3E" w:rsidP="001952F5">
            <w:pPr>
              <w:jc w:val="right"/>
            </w:pPr>
            <w:r w:rsidRPr="00131186">
              <w:t>23,37</w:t>
            </w:r>
          </w:p>
        </w:tc>
      </w:tr>
      <w:tr w:rsidR="00E61280" w:rsidRPr="00131186" w14:paraId="656BB1EA" w14:textId="77777777" w:rsidTr="003963DD">
        <w:trPr>
          <w:trHeight w:val="343"/>
        </w:trPr>
        <w:tc>
          <w:tcPr>
            <w:tcW w:w="5387" w:type="dxa"/>
            <w:shd w:val="clear" w:color="auto" w:fill="auto"/>
            <w:noWrap/>
            <w:vAlign w:val="bottom"/>
            <w:hideMark/>
          </w:tcPr>
          <w:p w14:paraId="4EF5AB8B" w14:textId="77777777" w:rsidR="00025D3E" w:rsidRPr="00131186" w:rsidRDefault="00025D3E" w:rsidP="001952F5">
            <w:pPr>
              <w:rPr>
                <w:b/>
                <w:bCs/>
              </w:rPr>
            </w:pPr>
            <w:r w:rsidRPr="00131186">
              <w:rPr>
                <w:b/>
                <w:bCs/>
              </w:rPr>
              <w:t>Izmaksas par OIK jaudu /</w:t>
            </w:r>
            <w:proofErr w:type="spellStart"/>
            <w:r w:rsidRPr="00131186">
              <w:rPr>
                <w:b/>
                <w:bCs/>
              </w:rPr>
              <w:t>MWh</w:t>
            </w:r>
            <w:proofErr w:type="spellEnd"/>
          </w:p>
        </w:tc>
        <w:tc>
          <w:tcPr>
            <w:tcW w:w="1701" w:type="dxa"/>
            <w:shd w:val="clear" w:color="auto" w:fill="auto"/>
            <w:noWrap/>
            <w:vAlign w:val="bottom"/>
            <w:hideMark/>
          </w:tcPr>
          <w:p w14:paraId="41C2D534" w14:textId="77777777" w:rsidR="00025D3E" w:rsidRPr="00131186" w:rsidRDefault="00025D3E" w:rsidP="001952F5">
            <w:pPr>
              <w:jc w:val="right"/>
            </w:pPr>
            <w:r w:rsidRPr="00131186">
              <w:t>7,54</w:t>
            </w:r>
          </w:p>
        </w:tc>
        <w:tc>
          <w:tcPr>
            <w:tcW w:w="1559" w:type="dxa"/>
            <w:shd w:val="clear" w:color="auto" w:fill="auto"/>
            <w:noWrap/>
            <w:vAlign w:val="bottom"/>
            <w:hideMark/>
          </w:tcPr>
          <w:p w14:paraId="6A7A0055" w14:textId="77777777" w:rsidR="00025D3E" w:rsidRPr="00131186" w:rsidRDefault="00025D3E" w:rsidP="001952F5">
            <w:pPr>
              <w:jc w:val="right"/>
            </w:pPr>
            <w:r w:rsidRPr="00131186">
              <w:t>8,94</w:t>
            </w:r>
          </w:p>
        </w:tc>
      </w:tr>
      <w:tr w:rsidR="00E61280" w:rsidRPr="00131186" w14:paraId="0FDFC5DE" w14:textId="77777777" w:rsidTr="003963DD">
        <w:trPr>
          <w:trHeight w:val="475"/>
        </w:trPr>
        <w:tc>
          <w:tcPr>
            <w:tcW w:w="5387" w:type="dxa"/>
            <w:shd w:val="clear" w:color="auto" w:fill="auto"/>
            <w:noWrap/>
            <w:vAlign w:val="bottom"/>
            <w:hideMark/>
          </w:tcPr>
          <w:p w14:paraId="6F955391" w14:textId="77777777" w:rsidR="00025D3E" w:rsidRPr="00131186" w:rsidRDefault="00025D3E" w:rsidP="001952F5">
            <w:pPr>
              <w:rPr>
                <w:b/>
                <w:bCs/>
              </w:rPr>
            </w:pPr>
            <w:r w:rsidRPr="00131186">
              <w:rPr>
                <w:b/>
                <w:bCs/>
              </w:rPr>
              <w:t xml:space="preserve">Gala izmaksas par vienu </w:t>
            </w:r>
            <w:proofErr w:type="spellStart"/>
            <w:r w:rsidRPr="00131186">
              <w:rPr>
                <w:b/>
                <w:bCs/>
              </w:rPr>
              <w:t>MWh</w:t>
            </w:r>
            <w:proofErr w:type="spellEnd"/>
          </w:p>
        </w:tc>
        <w:tc>
          <w:tcPr>
            <w:tcW w:w="1701" w:type="dxa"/>
            <w:shd w:val="clear" w:color="auto" w:fill="auto"/>
            <w:noWrap/>
            <w:vAlign w:val="bottom"/>
            <w:hideMark/>
          </w:tcPr>
          <w:p w14:paraId="4EB3E1A7" w14:textId="77777777" w:rsidR="00025D3E" w:rsidRPr="00131186" w:rsidRDefault="00025D3E" w:rsidP="001952F5">
            <w:pPr>
              <w:jc w:val="right"/>
              <w:rPr>
                <w:b/>
              </w:rPr>
            </w:pPr>
            <w:r w:rsidRPr="00131186">
              <w:rPr>
                <w:b/>
              </w:rPr>
              <w:t>84,61</w:t>
            </w:r>
          </w:p>
        </w:tc>
        <w:tc>
          <w:tcPr>
            <w:tcW w:w="1559" w:type="dxa"/>
            <w:shd w:val="clear" w:color="auto" w:fill="auto"/>
            <w:noWrap/>
            <w:vAlign w:val="bottom"/>
            <w:hideMark/>
          </w:tcPr>
          <w:p w14:paraId="65E4A6CC" w14:textId="77777777" w:rsidR="00025D3E" w:rsidRPr="00131186" w:rsidRDefault="00025D3E" w:rsidP="001952F5">
            <w:pPr>
              <w:jc w:val="right"/>
              <w:rPr>
                <w:b/>
              </w:rPr>
            </w:pPr>
            <w:r w:rsidRPr="00131186">
              <w:rPr>
                <w:b/>
              </w:rPr>
              <w:t>91,38</w:t>
            </w:r>
          </w:p>
        </w:tc>
      </w:tr>
    </w:tbl>
    <w:p w14:paraId="5AA494EC" w14:textId="4EA35C33" w:rsidR="001571C0" w:rsidRPr="00131186" w:rsidRDefault="001571C0" w:rsidP="00C5188C">
      <w:pPr>
        <w:ind w:left="360"/>
        <w:jc w:val="both"/>
        <w:rPr>
          <w:b/>
          <w:bCs/>
        </w:rPr>
      </w:pPr>
    </w:p>
    <w:p w14:paraId="69B9FCF6" w14:textId="77777777" w:rsidR="00025D3E" w:rsidRPr="00131186" w:rsidRDefault="00025D3E" w:rsidP="00C5188C">
      <w:pPr>
        <w:pStyle w:val="ListParagraph"/>
        <w:jc w:val="both"/>
        <w:rPr>
          <w:b/>
          <w:bCs/>
        </w:rPr>
      </w:pPr>
      <w:r w:rsidRPr="00131186">
        <w:rPr>
          <w:b/>
          <w:bCs/>
        </w:rPr>
        <w:t>Tabula 3. Elektroenerģijas izmaksu aprēķins (EUR) – esošā situācija, optimistiskais scenārijs</w:t>
      </w:r>
    </w:p>
    <w:tbl>
      <w:tblPr>
        <w:tblW w:w="7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2020"/>
        <w:gridCol w:w="1500"/>
      </w:tblGrid>
      <w:tr w:rsidR="00E61280" w:rsidRPr="00131186" w14:paraId="615FAAD3" w14:textId="77777777" w:rsidTr="00097A4C">
        <w:trPr>
          <w:trHeight w:val="300"/>
        </w:trPr>
        <w:tc>
          <w:tcPr>
            <w:tcW w:w="3740" w:type="dxa"/>
            <w:shd w:val="clear" w:color="auto" w:fill="auto"/>
            <w:noWrap/>
            <w:vAlign w:val="bottom"/>
            <w:hideMark/>
          </w:tcPr>
          <w:p w14:paraId="1F2A636D" w14:textId="77777777" w:rsidR="00025D3E" w:rsidRPr="00131186" w:rsidRDefault="00025D3E" w:rsidP="001952F5"/>
        </w:tc>
        <w:tc>
          <w:tcPr>
            <w:tcW w:w="2020" w:type="dxa"/>
            <w:shd w:val="clear" w:color="auto" w:fill="auto"/>
            <w:noWrap/>
            <w:vAlign w:val="bottom"/>
            <w:hideMark/>
          </w:tcPr>
          <w:p w14:paraId="38352251" w14:textId="77777777" w:rsidR="00025D3E" w:rsidRPr="00131186" w:rsidRDefault="00025D3E" w:rsidP="001952F5">
            <w:pPr>
              <w:jc w:val="right"/>
              <w:rPr>
                <w:b/>
                <w:bCs/>
              </w:rPr>
            </w:pPr>
            <w:r w:rsidRPr="00131186">
              <w:rPr>
                <w:b/>
                <w:bCs/>
              </w:rPr>
              <w:t xml:space="preserve">110 </w:t>
            </w:r>
            <w:proofErr w:type="spellStart"/>
            <w:r w:rsidRPr="00131186">
              <w:rPr>
                <w:b/>
                <w:bCs/>
              </w:rPr>
              <w:t>kV</w:t>
            </w:r>
            <w:proofErr w:type="spellEnd"/>
            <w:r w:rsidRPr="00131186">
              <w:rPr>
                <w:b/>
                <w:bCs/>
              </w:rPr>
              <w:t xml:space="preserve"> līnija</w:t>
            </w:r>
          </w:p>
        </w:tc>
        <w:tc>
          <w:tcPr>
            <w:tcW w:w="1500" w:type="dxa"/>
            <w:shd w:val="clear" w:color="auto" w:fill="auto"/>
            <w:noWrap/>
            <w:vAlign w:val="bottom"/>
            <w:hideMark/>
          </w:tcPr>
          <w:p w14:paraId="69724F78" w14:textId="77777777" w:rsidR="00025D3E" w:rsidRPr="00131186" w:rsidRDefault="00025D3E" w:rsidP="001952F5">
            <w:pPr>
              <w:jc w:val="right"/>
              <w:rPr>
                <w:b/>
                <w:bCs/>
              </w:rPr>
            </w:pPr>
            <w:r w:rsidRPr="00131186">
              <w:rPr>
                <w:b/>
                <w:bCs/>
              </w:rPr>
              <w:t xml:space="preserve">110 </w:t>
            </w:r>
            <w:proofErr w:type="spellStart"/>
            <w:r w:rsidRPr="00131186">
              <w:rPr>
                <w:b/>
                <w:bCs/>
              </w:rPr>
              <w:t>kV</w:t>
            </w:r>
            <w:proofErr w:type="spellEnd"/>
            <w:r w:rsidRPr="00131186">
              <w:rPr>
                <w:b/>
                <w:bCs/>
              </w:rPr>
              <w:t xml:space="preserve"> kopne</w:t>
            </w:r>
          </w:p>
        </w:tc>
      </w:tr>
      <w:tr w:rsidR="00E61280" w:rsidRPr="00131186" w14:paraId="1EF980C4" w14:textId="77777777" w:rsidTr="00097A4C">
        <w:trPr>
          <w:trHeight w:val="300"/>
        </w:trPr>
        <w:tc>
          <w:tcPr>
            <w:tcW w:w="3740" w:type="dxa"/>
            <w:shd w:val="clear" w:color="auto" w:fill="auto"/>
            <w:noWrap/>
            <w:vAlign w:val="bottom"/>
            <w:hideMark/>
          </w:tcPr>
          <w:p w14:paraId="2E2940A3" w14:textId="77777777" w:rsidR="00025D3E" w:rsidRPr="00131186" w:rsidRDefault="00025D3E" w:rsidP="001952F5">
            <w:pPr>
              <w:rPr>
                <w:b/>
                <w:bCs/>
              </w:rPr>
            </w:pPr>
            <w:r w:rsidRPr="00131186">
              <w:rPr>
                <w:b/>
                <w:bCs/>
              </w:rPr>
              <w:t>Jauda AST</w:t>
            </w:r>
          </w:p>
        </w:tc>
        <w:tc>
          <w:tcPr>
            <w:tcW w:w="2020" w:type="dxa"/>
            <w:shd w:val="clear" w:color="auto" w:fill="auto"/>
            <w:noWrap/>
            <w:vAlign w:val="bottom"/>
            <w:hideMark/>
          </w:tcPr>
          <w:p w14:paraId="7FA17AD6" w14:textId="77777777" w:rsidR="00025D3E" w:rsidRPr="00131186" w:rsidRDefault="00025D3E" w:rsidP="001952F5">
            <w:pPr>
              <w:jc w:val="right"/>
            </w:pPr>
            <w:r w:rsidRPr="00131186">
              <w:t>1347600</w:t>
            </w:r>
          </w:p>
        </w:tc>
        <w:tc>
          <w:tcPr>
            <w:tcW w:w="1500" w:type="dxa"/>
            <w:shd w:val="clear" w:color="auto" w:fill="auto"/>
            <w:noWrap/>
            <w:vAlign w:val="bottom"/>
            <w:hideMark/>
          </w:tcPr>
          <w:p w14:paraId="70F26AD6" w14:textId="77777777" w:rsidR="00025D3E" w:rsidRPr="00131186" w:rsidRDefault="00025D3E" w:rsidP="001952F5">
            <w:pPr>
              <w:jc w:val="right"/>
            </w:pPr>
            <w:r w:rsidRPr="00131186">
              <w:t>1609000</w:t>
            </w:r>
          </w:p>
        </w:tc>
      </w:tr>
      <w:tr w:rsidR="00E61280" w:rsidRPr="00131186" w14:paraId="5E516702" w14:textId="77777777" w:rsidTr="00097A4C">
        <w:trPr>
          <w:trHeight w:val="300"/>
        </w:trPr>
        <w:tc>
          <w:tcPr>
            <w:tcW w:w="3740" w:type="dxa"/>
            <w:shd w:val="clear" w:color="auto" w:fill="auto"/>
            <w:noWrap/>
            <w:vAlign w:val="bottom"/>
            <w:hideMark/>
          </w:tcPr>
          <w:p w14:paraId="64CD9DC4" w14:textId="77777777" w:rsidR="00025D3E" w:rsidRPr="00131186" w:rsidRDefault="00025D3E" w:rsidP="001952F5">
            <w:pPr>
              <w:rPr>
                <w:b/>
                <w:bCs/>
              </w:rPr>
            </w:pPr>
            <w:r w:rsidRPr="00131186">
              <w:rPr>
                <w:b/>
                <w:bCs/>
              </w:rPr>
              <w:t>Pārvade AST</w:t>
            </w:r>
          </w:p>
        </w:tc>
        <w:tc>
          <w:tcPr>
            <w:tcW w:w="2020" w:type="dxa"/>
            <w:shd w:val="clear" w:color="auto" w:fill="auto"/>
            <w:noWrap/>
            <w:vAlign w:val="bottom"/>
            <w:hideMark/>
          </w:tcPr>
          <w:p w14:paraId="3F2A5BBE" w14:textId="77777777" w:rsidR="00025D3E" w:rsidRPr="00131186" w:rsidRDefault="00025D3E" w:rsidP="001952F5">
            <w:pPr>
              <w:jc w:val="right"/>
            </w:pPr>
            <w:r w:rsidRPr="00131186">
              <w:t>270900</w:t>
            </w:r>
          </w:p>
        </w:tc>
        <w:tc>
          <w:tcPr>
            <w:tcW w:w="1500" w:type="dxa"/>
            <w:shd w:val="clear" w:color="auto" w:fill="auto"/>
            <w:noWrap/>
            <w:vAlign w:val="bottom"/>
            <w:hideMark/>
          </w:tcPr>
          <w:p w14:paraId="570E654F" w14:textId="77777777" w:rsidR="00025D3E" w:rsidRPr="00131186" w:rsidRDefault="00025D3E" w:rsidP="001952F5">
            <w:pPr>
              <w:jc w:val="right"/>
            </w:pPr>
            <w:r w:rsidRPr="00131186">
              <w:t>317700</w:t>
            </w:r>
          </w:p>
        </w:tc>
      </w:tr>
      <w:tr w:rsidR="00E61280" w:rsidRPr="00131186" w14:paraId="2926A00B" w14:textId="77777777" w:rsidTr="00097A4C">
        <w:trPr>
          <w:trHeight w:val="300"/>
        </w:trPr>
        <w:tc>
          <w:tcPr>
            <w:tcW w:w="3740" w:type="dxa"/>
            <w:shd w:val="clear" w:color="auto" w:fill="auto"/>
            <w:noWrap/>
            <w:vAlign w:val="bottom"/>
            <w:hideMark/>
          </w:tcPr>
          <w:p w14:paraId="73E9935C" w14:textId="77777777" w:rsidR="00025D3E" w:rsidRPr="00131186" w:rsidRDefault="00025D3E" w:rsidP="001952F5">
            <w:pPr>
              <w:rPr>
                <w:b/>
                <w:bCs/>
              </w:rPr>
            </w:pPr>
            <w:r w:rsidRPr="00131186">
              <w:rPr>
                <w:b/>
                <w:bCs/>
              </w:rPr>
              <w:t>OIK par uzstādīto jaudu</w:t>
            </w:r>
          </w:p>
        </w:tc>
        <w:tc>
          <w:tcPr>
            <w:tcW w:w="2020" w:type="dxa"/>
            <w:shd w:val="clear" w:color="auto" w:fill="auto"/>
            <w:noWrap/>
            <w:vAlign w:val="bottom"/>
            <w:hideMark/>
          </w:tcPr>
          <w:p w14:paraId="62C7363E" w14:textId="77777777" w:rsidR="00025D3E" w:rsidRPr="00131186" w:rsidRDefault="00025D3E" w:rsidP="001952F5">
            <w:pPr>
              <w:jc w:val="right"/>
            </w:pPr>
            <w:r w:rsidRPr="00131186">
              <w:t>1092000</w:t>
            </w:r>
          </w:p>
        </w:tc>
        <w:tc>
          <w:tcPr>
            <w:tcW w:w="1500" w:type="dxa"/>
            <w:shd w:val="clear" w:color="auto" w:fill="auto"/>
            <w:noWrap/>
            <w:vAlign w:val="bottom"/>
            <w:hideMark/>
          </w:tcPr>
          <w:p w14:paraId="0F78D240" w14:textId="77777777" w:rsidR="00025D3E" w:rsidRPr="00131186" w:rsidRDefault="00025D3E" w:rsidP="001952F5">
            <w:pPr>
              <w:jc w:val="right"/>
            </w:pPr>
            <w:r w:rsidRPr="00131186">
              <w:t>1302000</w:t>
            </w:r>
          </w:p>
        </w:tc>
      </w:tr>
      <w:tr w:rsidR="00E61280" w:rsidRPr="00131186" w14:paraId="0BC99945" w14:textId="77777777" w:rsidTr="00097A4C">
        <w:trPr>
          <w:trHeight w:val="300"/>
        </w:trPr>
        <w:tc>
          <w:tcPr>
            <w:tcW w:w="3740" w:type="dxa"/>
            <w:shd w:val="clear" w:color="auto" w:fill="auto"/>
            <w:noWrap/>
            <w:vAlign w:val="bottom"/>
            <w:hideMark/>
          </w:tcPr>
          <w:p w14:paraId="49D681B7" w14:textId="77777777" w:rsidR="00025D3E" w:rsidRPr="00131186" w:rsidRDefault="00025D3E" w:rsidP="001952F5">
            <w:pPr>
              <w:rPr>
                <w:b/>
                <w:bCs/>
              </w:rPr>
            </w:pPr>
            <w:r w:rsidRPr="00131186">
              <w:rPr>
                <w:b/>
                <w:bCs/>
              </w:rPr>
              <w:lastRenderedPageBreak/>
              <w:t xml:space="preserve">OIK par patērētajām </w:t>
            </w:r>
            <w:proofErr w:type="spellStart"/>
            <w:r w:rsidRPr="00131186">
              <w:rPr>
                <w:b/>
                <w:bCs/>
              </w:rPr>
              <w:t>MWh</w:t>
            </w:r>
            <w:proofErr w:type="spellEnd"/>
          </w:p>
        </w:tc>
        <w:tc>
          <w:tcPr>
            <w:tcW w:w="2020" w:type="dxa"/>
            <w:shd w:val="clear" w:color="auto" w:fill="auto"/>
            <w:noWrap/>
            <w:vAlign w:val="bottom"/>
            <w:hideMark/>
          </w:tcPr>
          <w:p w14:paraId="453B1A67" w14:textId="77777777" w:rsidR="00025D3E" w:rsidRPr="00131186" w:rsidRDefault="00025D3E" w:rsidP="001952F5">
            <w:pPr>
              <w:jc w:val="right"/>
            </w:pPr>
            <w:r w:rsidRPr="00131186">
              <w:t>1316700</w:t>
            </w:r>
          </w:p>
        </w:tc>
        <w:tc>
          <w:tcPr>
            <w:tcW w:w="1500" w:type="dxa"/>
            <w:shd w:val="clear" w:color="auto" w:fill="auto"/>
            <w:noWrap/>
            <w:vAlign w:val="bottom"/>
            <w:hideMark/>
          </w:tcPr>
          <w:p w14:paraId="0770C1DB" w14:textId="77777777" w:rsidR="00025D3E" w:rsidRPr="00131186" w:rsidRDefault="00025D3E" w:rsidP="001952F5">
            <w:pPr>
              <w:jc w:val="right"/>
            </w:pPr>
            <w:r w:rsidRPr="00131186">
              <w:t>1316700</w:t>
            </w:r>
          </w:p>
        </w:tc>
      </w:tr>
      <w:tr w:rsidR="00E61280" w:rsidRPr="00131186" w14:paraId="7640C8DF" w14:textId="77777777" w:rsidTr="00097A4C">
        <w:trPr>
          <w:trHeight w:val="300"/>
        </w:trPr>
        <w:tc>
          <w:tcPr>
            <w:tcW w:w="3740" w:type="dxa"/>
            <w:shd w:val="clear" w:color="auto" w:fill="auto"/>
            <w:noWrap/>
            <w:vAlign w:val="bottom"/>
            <w:hideMark/>
          </w:tcPr>
          <w:p w14:paraId="5009B412" w14:textId="77777777" w:rsidR="00025D3E" w:rsidRPr="00131186" w:rsidRDefault="00025D3E" w:rsidP="001952F5">
            <w:pPr>
              <w:rPr>
                <w:b/>
                <w:bCs/>
              </w:rPr>
            </w:pPr>
            <w:r w:rsidRPr="00131186">
              <w:rPr>
                <w:b/>
                <w:bCs/>
              </w:rPr>
              <w:t>Elektroenerģija</w:t>
            </w:r>
          </w:p>
        </w:tc>
        <w:tc>
          <w:tcPr>
            <w:tcW w:w="2020" w:type="dxa"/>
            <w:shd w:val="clear" w:color="auto" w:fill="auto"/>
            <w:noWrap/>
            <w:vAlign w:val="bottom"/>
            <w:hideMark/>
          </w:tcPr>
          <w:p w14:paraId="1F4E05BC" w14:textId="77777777" w:rsidR="00025D3E" w:rsidRPr="00131186" w:rsidRDefault="00025D3E" w:rsidP="001952F5">
            <w:pPr>
              <w:jc w:val="right"/>
            </w:pPr>
            <w:r w:rsidRPr="00131186">
              <w:t>3121200</w:t>
            </w:r>
          </w:p>
        </w:tc>
        <w:tc>
          <w:tcPr>
            <w:tcW w:w="1500" w:type="dxa"/>
            <w:shd w:val="clear" w:color="auto" w:fill="auto"/>
            <w:noWrap/>
            <w:vAlign w:val="bottom"/>
            <w:hideMark/>
          </w:tcPr>
          <w:p w14:paraId="0F3EC60E" w14:textId="77777777" w:rsidR="00025D3E" w:rsidRPr="00131186" w:rsidRDefault="00025D3E" w:rsidP="001952F5">
            <w:pPr>
              <w:jc w:val="right"/>
            </w:pPr>
            <w:r w:rsidRPr="00131186">
              <w:t>3121200</w:t>
            </w:r>
          </w:p>
        </w:tc>
      </w:tr>
      <w:tr w:rsidR="00E61280" w:rsidRPr="00131186" w14:paraId="3083A7A1" w14:textId="77777777" w:rsidTr="00097A4C">
        <w:trPr>
          <w:trHeight w:val="300"/>
        </w:trPr>
        <w:tc>
          <w:tcPr>
            <w:tcW w:w="3740" w:type="dxa"/>
            <w:shd w:val="clear" w:color="auto" w:fill="auto"/>
            <w:noWrap/>
            <w:vAlign w:val="bottom"/>
            <w:hideMark/>
          </w:tcPr>
          <w:p w14:paraId="2E66FF49" w14:textId="77777777" w:rsidR="00025D3E" w:rsidRPr="00131186" w:rsidRDefault="00025D3E" w:rsidP="001952F5">
            <w:pPr>
              <w:rPr>
                <w:b/>
                <w:bCs/>
              </w:rPr>
            </w:pPr>
            <w:r w:rsidRPr="00131186">
              <w:rPr>
                <w:b/>
                <w:bCs/>
              </w:rPr>
              <w:t>Kopā</w:t>
            </w:r>
          </w:p>
        </w:tc>
        <w:tc>
          <w:tcPr>
            <w:tcW w:w="2020" w:type="dxa"/>
            <w:shd w:val="clear" w:color="auto" w:fill="auto"/>
            <w:noWrap/>
            <w:vAlign w:val="bottom"/>
            <w:hideMark/>
          </w:tcPr>
          <w:p w14:paraId="405C5921" w14:textId="77777777" w:rsidR="00025D3E" w:rsidRPr="00131186" w:rsidRDefault="00025D3E" w:rsidP="001952F5">
            <w:pPr>
              <w:jc w:val="right"/>
            </w:pPr>
            <w:r w:rsidRPr="00131186">
              <w:t>7148400</w:t>
            </w:r>
          </w:p>
        </w:tc>
        <w:tc>
          <w:tcPr>
            <w:tcW w:w="1500" w:type="dxa"/>
            <w:shd w:val="clear" w:color="auto" w:fill="auto"/>
            <w:noWrap/>
            <w:vAlign w:val="bottom"/>
            <w:hideMark/>
          </w:tcPr>
          <w:p w14:paraId="31D41703" w14:textId="77777777" w:rsidR="00025D3E" w:rsidRPr="00131186" w:rsidRDefault="00025D3E" w:rsidP="001952F5">
            <w:pPr>
              <w:jc w:val="right"/>
            </w:pPr>
            <w:r w:rsidRPr="00131186">
              <w:t>7666600</w:t>
            </w:r>
          </w:p>
        </w:tc>
      </w:tr>
      <w:tr w:rsidR="00E61280" w:rsidRPr="00131186" w14:paraId="5E9DCC86" w14:textId="77777777" w:rsidTr="00097A4C">
        <w:trPr>
          <w:trHeight w:val="300"/>
        </w:trPr>
        <w:tc>
          <w:tcPr>
            <w:tcW w:w="3740" w:type="dxa"/>
            <w:shd w:val="clear" w:color="auto" w:fill="auto"/>
            <w:noWrap/>
            <w:vAlign w:val="bottom"/>
            <w:hideMark/>
          </w:tcPr>
          <w:p w14:paraId="45C2A7A6" w14:textId="77777777" w:rsidR="00025D3E" w:rsidRPr="00131186" w:rsidRDefault="00025D3E" w:rsidP="001952F5">
            <w:pPr>
              <w:rPr>
                <w:b/>
                <w:bCs/>
              </w:rPr>
            </w:pPr>
            <w:r w:rsidRPr="00131186">
              <w:rPr>
                <w:b/>
                <w:bCs/>
              </w:rPr>
              <w:t>Izmaksas par OIK</w:t>
            </w:r>
          </w:p>
        </w:tc>
        <w:tc>
          <w:tcPr>
            <w:tcW w:w="2020" w:type="dxa"/>
            <w:shd w:val="clear" w:color="auto" w:fill="auto"/>
            <w:noWrap/>
            <w:vAlign w:val="bottom"/>
            <w:hideMark/>
          </w:tcPr>
          <w:p w14:paraId="57A6752D" w14:textId="77777777" w:rsidR="00025D3E" w:rsidRPr="00131186" w:rsidRDefault="00025D3E" w:rsidP="001952F5">
            <w:pPr>
              <w:jc w:val="right"/>
            </w:pPr>
            <w:r w:rsidRPr="00131186">
              <w:t>2408700</w:t>
            </w:r>
          </w:p>
        </w:tc>
        <w:tc>
          <w:tcPr>
            <w:tcW w:w="1500" w:type="dxa"/>
            <w:shd w:val="clear" w:color="auto" w:fill="auto"/>
            <w:noWrap/>
            <w:vAlign w:val="bottom"/>
            <w:hideMark/>
          </w:tcPr>
          <w:p w14:paraId="27EA3270" w14:textId="77777777" w:rsidR="00025D3E" w:rsidRPr="00131186" w:rsidRDefault="00025D3E" w:rsidP="001952F5">
            <w:pPr>
              <w:jc w:val="right"/>
            </w:pPr>
            <w:r w:rsidRPr="00131186">
              <w:t>2618700</w:t>
            </w:r>
          </w:p>
        </w:tc>
      </w:tr>
      <w:tr w:rsidR="00E61280" w:rsidRPr="00131186" w14:paraId="58D299E9" w14:textId="77777777" w:rsidTr="00097A4C">
        <w:trPr>
          <w:trHeight w:val="300"/>
        </w:trPr>
        <w:tc>
          <w:tcPr>
            <w:tcW w:w="3740" w:type="dxa"/>
            <w:shd w:val="clear" w:color="auto" w:fill="auto"/>
            <w:noWrap/>
            <w:vAlign w:val="bottom"/>
            <w:hideMark/>
          </w:tcPr>
          <w:p w14:paraId="66BC28B6" w14:textId="77777777" w:rsidR="00025D3E" w:rsidRPr="00131186" w:rsidRDefault="00025D3E" w:rsidP="001952F5">
            <w:pPr>
              <w:rPr>
                <w:b/>
                <w:bCs/>
              </w:rPr>
            </w:pPr>
            <w:r w:rsidRPr="00131186">
              <w:rPr>
                <w:b/>
                <w:bCs/>
              </w:rPr>
              <w:t>Izmaksas par OIK/</w:t>
            </w:r>
            <w:proofErr w:type="spellStart"/>
            <w:r w:rsidRPr="00131186">
              <w:rPr>
                <w:b/>
                <w:bCs/>
              </w:rPr>
              <w:t>MWh</w:t>
            </w:r>
            <w:proofErr w:type="spellEnd"/>
          </w:p>
        </w:tc>
        <w:tc>
          <w:tcPr>
            <w:tcW w:w="2020" w:type="dxa"/>
            <w:shd w:val="clear" w:color="auto" w:fill="auto"/>
            <w:noWrap/>
            <w:vAlign w:val="bottom"/>
            <w:hideMark/>
          </w:tcPr>
          <w:p w14:paraId="5B72CDDE" w14:textId="77777777" w:rsidR="00025D3E" w:rsidRPr="00131186" w:rsidRDefault="00025D3E" w:rsidP="001952F5">
            <w:pPr>
              <w:jc w:val="right"/>
            </w:pPr>
            <w:r w:rsidRPr="00131186">
              <w:t>26,76</w:t>
            </w:r>
          </w:p>
        </w:tc>
        <w:tc>
          <w:tcPr>
            <w:tcW w:w="1500" w:type="dxa"/>
            <w:shd w:val="clear" w:color="auto" w:fill="auto"/>
            <w:noWrap/>
            <w:vAlign w:val="bottom"/>
            <w:hideMark/>
          </w:tcPr>
          <w:p w14:paraId="5E50B23C" w14:textId="77777777" w:rsidR="00025D3E" w:rsidRPr="00131186" w:rsidRDefault="00025D3E" w:rsidP="001952F5">
            <w:pPr>
              <w:jc w:val="right"/>
            </w:pPr>
            <w:r w:rsidRPr="00131186">
              <w:t>29,10</w:t>
            </w:r>
          </w:p>
        </w:tc>
      </w:tr>
      <w:tr w:rsidR="00E61280" w:rsidRPr="00131186" w14:paraId="07C94D55" w14:textId="77777777" w:rsidTr="00097A4C">
        <w:trPr>
          <w:trHeight w:val="300"/>
        </w:trPr>
        <w:tc>
          <w:tcPr>
            <w:tcW w:w="3740" w:type="dxa"/>
            <w:shd w:val="clear" w:color="auto" w:fill="auto"/>
            <w:noWrap/>
            <w:vAlign w:val="bottom"/>
            <w:hideMark/>
          </w:tcPr>
          <w:p w14:paraId="226771FD" w14:textId="77777777" w:rsidR="00025D3E" w:rsidRPr="00131186" w:rsidRDefault="00025D3E" w:rsidP="001952F5">
            <w:pPr>
              <w:rPr>
                <w:b/>
                <w:bCs/>
              </w:rPr>
            </w:pPr>
            <w:r w:rsidRPr="00131186">
              <w:rPr>
                <w:b/>
                <w:bCs/>
              </w:rPr>
              <w:t>Izmaksas par OIK jaudu /</w:t>
            </w:r>
            <w:proofErr w:type="spellStart"/>
            <w:r w:rsidRPr="00131186">
              <w:rPr>
                <w:b/>
                <w:bCs/>
              </w:rPr>
              <w:t>MWh</w:t>
            </w:r>
            <w:proofErr w:type="spellEnd"/>
          </w:p>
        </w:tc>
        <w:tc>
          <w:tcPr>
            <w:tcW w:w="2020" w:type="dxa"/>
            <w:shd w:val="clear" w:color="auto" w:fill="auto"/>
            <w:noWrap/>
            <w:vAlign w:val="bottom"/>
            <w:hideMark/>
          </w:tcPr>
          <w:p w14:paraId="758CB16D" w14:textId="77777777" w:rsidR="00025D3E" w:rsidRPr="00131186" w:rsidRDefault="00025D3E" w:rsidP="001952F5">
            <w:pPr>
              <w:jc w:val="right"/>
            </w:pPr>
            <w:r w:rsidRPr="00131186">
              <w:t>12,13</w:t>
            </w:r>
          </w:p>
        </w:tc>
        <w:tc>
          <w:tcPr>
            <w:tcW w:w="1500" w:type="dxa"/>
            <w:shd w:val="clear" w:color="auto" w:fill="auto"/>
            <w:noWrap/>
            <w:vAlign w:val="bottom"/>
            <w:hideMark/>
          </w:tcPr>
          <w:p w14:paraId="317F9D7B" w14:textId="77777777" w:rsidR="00025D3E" w:rsidRPr="00131186" w:rsidRDefault="00025D3E" w:rsidP="001952F5">
            <w:pPr>
              <w:jc w:val="right"/>
            </w:pPr>
            <w:r w:rsidRPr="00131186">
              <w:t>14,47</w:t>
            </w:r>
          </w:p>
        </w:tc>
      </w:tr>
      <w:tr w:rsidR="00E61280" w:rsidRPr="00131186" w14:paraId="0C0DAA70" w14:textId="77777777" w:rsidTr="00097A4C">
        <w:trPr>
          <w:trHeight w:val="300"/>
        </w:trPr>
        <w:tc>
          <w:tcPr>
            <w:tcW w:w="3740" w:type="dxa"/>
            <w:shd w:val="clear" w:color="auto" w:fill="auto"/>
            <w:noWrap/>
            <w:vAlign w:val="bottom"/>
            <w:hideMark/>
          </w:tcPr>
          <w:p w14:paraId="50A85A98" w14:textId="77777777" w:rsidR="00025D3E" w:rsidRPr="00131186" w:rsidRDefault="00025D3E" w:rsidP="001952F5">
            <w:pPr>
              <w:rPr>
                <w:b/>
                <w:bCs/>
              </w:rPr>
            </w:pPr>
            <w:r w:rsidRPr="00131186">
              <w:rPr>
                <w:b/>
                <w:bCs/>
              </w:rPr>
              <w:t xml:space="preserve">Gala izmaksas par vienu </w:t>
            </w:r>
            <w:proofErr w:type="spellStart"/>
            <w:r w:rsidRPr="00131186">
              <w:rPr>
                <w:b/>
                <w:bCs/>
              </w:rPr>
              <w:t>MWh</w:t>
            </w:r>
            <w:proofErr w:type="spellEnd"/>
          </w:p>
        </w:tc>
        <w:tc>
          <w:tcPr>
            <w:tcW w:w="2020" w:type="dxa"/>
            <w:shd w:val="clear" w:color="auto" w:fill="auto"/>
            <w:noWrap/>
            <w:vAlign w:val="bottom"/>
            <w:hideMark/>
          </w:tcPr>
          <w:p w14:paraId="65A85335" w14:textId="77777777" w:rsidR="00025D3E" w:rsidRPr="00131186" w:rsidRDefault="00025D3E" w:rsidP="001952F5">
            <w:pPr>
              <w:jc w:val="right"/>
              <w:rPr>
                <w:b/>
              </w:rPr>
            </w:pPr>
            <w:r w:rsidRPr="00131186">
              <w:rPr>
                <w:b/>
              </w:rPr>
              <w:t>79,43</w:t>
            </w:r>
          </w:p>
        </w:tc>
        <w:tc>
          <w:tcPr>
            <w:tcW w:w="1500" w:type="dxa"/>
            <w:shd w:val="clear" w:color="auto" w:fill="auto"/>
            <w:noWrap/>
            <w:vAlign w:val="bottom"/>
            <w:hideMark/>
          </w:tcPr>
          <w:p w14:paraId="058CF7DE" w14:textId="77777777" w:rsidR="00025D3E" w:rsidRPr="00131186" w:rsidRDefault="00025D3E" w:rsidP="001952F5">
            <w:pPr>
              <w:jc w:val="right"/>
              <w:rPr>
                <w:b/>
              </w:rPr>
            </w:pPr>
            <w:r w:rsidRPr="00131186">
              <w:rPr>
                <w:b/>
              </w:rPr>
              <w:t>85,18</w:t>
            </w:r>
          </w:p>
        </w:tc>
      </w:tr>
    </w:tbl>
    <w:p w14:paraId="0350334D" w14:textId="7666A76C" w:rsidR="00025D3E" w:rsidRPr="00131186" w:rsidRDefault="00025D3E" w:rsidP="00C5188C">
      <w:pPr>
        <w:pStyle w:val="ListParagraph"/>
        <w:jc w:val="both"/>
        <w:rPr>
          <w:b/>
          <w:bCs/>
        </w:rPr>
      </w:pPr>
    </w:p>
    <w:p w14:paraId="5B31CAC6" w14:textId="77777777" w:rsidR="00E61280" w:rsidRPr="00131186" w:rsidRDefault="00E61280" w:rsidP="00C5188C">
      <w:pPr>
        <w:pStyle w:val="ListParagraph"/>
        <w:jc w:val="both"/>
        <w:rPr>
          <w:b/>
          <w:bCs/>
        </w:rPr>
      </w:pPr>
    </w:p>
    <w:p w14:paraId="36CCD5AF" w14:textId="77777777" w:rsidR="00025D3E" w:rsidRPr="00131186" w:rsidRDefault="00025D3E" w:rsidP="00C5188C">
      <w:pPr>
        <w:pStyle w:val="ListParagraph"/>
        <w:jc w:val="both"/>
        <w:rPr>
          <w:b/>
          <w:bCs/>
        </w:rPr>
      </w:pPr>
      <w:r w:rsidRPr="00131186">
        <w:rPr>
          <w:b/>
          <w:bCs/>
        </w:rPr>
        <w:t>Tabula 4. Elektroenerģijas izmaksu aprēķins (EUR) – esošā situācija, konservatīvais scenārijs</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020"/>
        <w:gridCol w:w="1548"/>
      </w:tblGrid>
      <w:tr w:rsidR="00E61280" w:rsidRPr="00131186" w14:paraId="036330B5" w14:textId="77777777" w:rsidTr="00097A4C">
        <w:trPr>
          <w:trHeight w:val="300"/>
        </w:trPr>
        <w:tc>
          <w:tcPr>
            <w:tcW w:w="3520" w:type="dxa"/>
            <w:shd w:val="clear" w:color="auto" w:fill="auto"/>
            <w:noWrap/>
            <w:vAlign w:val="bottom"/>
            <w:hideMark/>
          </w:tcPr>
          <w:p w14:paraId="6B2E63B4" w14:textId="77777777" w:rsidR="00025D3E" w:rsidRPr="00131186" w:rsidRDefault="00025D3E" w:rsidP="001952F5"/>
        </w:tc>
        <w:tc>
          <w:tcPr>
            <w:tcW w:w="2020" w:type="dxa"/>
            <w:shd w:val="clear" w:color="auto" w:fill="auto"/>
            <w:noWrap/>
            <w:vAlign w:val="bottom"/>
            <w:hideMark/>
          </w:tcPr>
          <w:p w14:paraId="6DB3EC05" w14:textId="77777777" w:rsidR="00025D3E" w:rsidRPr="00131186" w:rsidRDefault="00025D3E" w:rsidP="001952F5">
            <w:pPr>
              <w:jc w:val="right"/>
              <w:rPr>
                <w:b/>
              </w:rPr>
            </w:pPr>
            <w:r w:rsidRPr="00131186">
              <w:rPr>
                <w:b/>
              </w:rPr>
              <w:t xml:space="preserve">110 </w:t>
            </w:r>
            <w:proofErr w:type="spellStart"/>
            <w:r w:rsidRPr="00131186">
              <w:rPr>
                <w:b/>
              </w:rPr>
              <w:t>kV</w:t>
            </w:r>
            <w:proofErr w:type="spellEnd"/>
            <w:r w:rsidRPr="00131186">
              <w:rPr>
                <w:b/>
              </w:rPr>
              <w:t xml:space="preserve"> līnija</w:t>
            </w:r>
          </w:p>
        </w:tc>
        <w:tc>
          <w:tcPr>
            <w:tcW w:w="1548" w:type="dxa"/>
            <w:shd w:val="clear" w:color="auto" w:fill="auto"/>
            <w:noWrap/>
            <w:vAlign w:val="bottom"/>
            <w:hideMark/>
          </w:tcPr>
          <w:p w14:paraId="2A7270EE" w14:textId="77777777" w:rsidR="00025D3E" w:rsidRPr="00131186" w:rsidRDefault="00025D3E" w:rsidP="001952F5">
            <w:pPr>
              <w:jc w:val="right"/>
              <w:rPr>
                <w:b/>
              </w:rPr>
            </w:pPr>
            <w:r w:rsidRPr="00131186">
              <w:rPr>
                <w:b/>
              </w:rPr>
              <w:t xml:space="preserve">110 </w:t>
            </w:r>
            <w:proofErr w:type="spellStart"/>
            <w:r w:rsidRPr="00131186">
              <w:rPr>
                <w:b/>
              </w:rPr>
              <w:t>kV</w:t>
            </w:r>
            <w:proofErr w:type="spellEnd"/>
            <w:r w:rsidRPr="00131186">
              <w:rPr>
                <w:b/>
              </w:rPr>
              <w:t xml:space="preserve"> kopne</w:t>
            </w:r>
          </w:p>
        </w:tc>
      </w:tr>
      <w:tr w:rsidR="00E61280" w:rsidRPr="00131186" w14:paraId="78549AD9" w14:textId="77777777" w:rsidTr="00097A4C">
        <w:trPr>
          <w:trHeight w:val="300"/>
        </w:trPr>
        <w:tc>
          <w:tcPr>
            <w:tcW w:w="3520" w:type="dxa"/>
            <w:shd w:val="clear" w:color="auto" w:fill="auto"/>
            <w:noWrap/>
            <w:vAlign w:val="bottom"/>
            <w:hideMark/>
          </w:tcPr>
          <w:p w14:paraId="0F5045DB" w14:textId="77777777" w:rsidR="00025D3E" w:rsidRPr="00131186" w:rsidRDefault="00025D3E" w:rsidP="001952F5">
            <w:pPr>
              <w:rPr>
                <w:b/>
                <w:bCs/>
              </w:rPr>
            </w:pPr>
            <w:r w:rsidRPr="00131186">
              <w:rPr>
                <w:b/>
                <w:bCs/>
              </w:rPr>
              <w:t>Jauda AST</w:t>
            </w:r>
          </w:p>
        </w:tc>
        <w:tc>
          <w:tcPr>
            <w:tcW w:w="2020" w:type="dxa"/>
            <w:shd w:val="clear" w:color="auto" w:fill="auto"/>
            <w:noWrap/>
            <w:vAlign w:val="bottom"/>
            <w:hideMark/>
          </w:tcPr>
          <w:p w14:paraId="15949B95" w14:textId="77777777" w:rsidR="00025D3E" w:rsidRPr="00131186" w:rsidRDefault="00025D3E" w:rsidP="001952F5">
            <w:pPr>
              <w:jc w:val="right"/>
            </w:pPr>
            <w:r w:rsidRPr="00131186">
              <w:t>1347600</w:t>
            </w:r>
          </w:p>
        </w:tc>
        <w:tc>
          <w:tcPr>
            <w:tcW w:w="1548" w:type="dxa"/>
            <w:shd w:val="clear" w:color="auto" w:fill="auto"/>
            <w:noWrap/>
            <w:vAlign w:val="bottom"/>
            <w:hideMark/>
          </w:tcPr>
          <w:p w14:paraId="01215F60" w14:textId="77777777" w:rsidR="00025D3E" w:rsidRPr="00131186" w:rsidRDefault="00025D3E" w:rsidP="001952F5">
            <w:pPr>
              <w:jc w:val="right"/>
            </w:pPr>
            <w:r w:rsidRPr="00131186">
              <w:t>1609000</w:t>
            </w:r>
          </w:p>
        </w:tc>
      </w:tr>
      <w:tr w:rsidR="00E61280" w:rsidRPr="00131186" w14:paraId="0A453DB8" w14:textId="77777777" w:rsidTr="00097A4C">
        <w:trPr>
          <w:trHeight w:val="300"/>
        </w:trPr>
        <w:tc>
          <w:tcPr>
            <w:tcW w:w="3520" w:type="dxa"/>
            <w:shd w:val="clear" w:color="auto" w:fill="auto"/>
            <w:noWrap/>
            <w:vAlign w:val="bottom"/>
            <w:hideMark/>
          </w:tcPr>
          <w:p w14:paraId="60C560C8" w14:textId="77777777" w:rsidR="00025D3E" w:rsidRPr="00131186" w:rsidRDefault="00025D3E" w:rsidP="001952F5">
            <w:pPr>
              <w:rPr>
                <w:b/>
                <w:bCs/>
              </w:rPr>
            </w:pPr>
            <w:r w:rsidRPr="00131186">
              <w:rPr>
                <w:b/>
                <w:bCs/>
              </w:rPr>
              <w:t>Pārvade AST</w:t>
            </w:r>
          </w:p>
        </w:tc>
        <w:tc>
          <w:tcPr>
            <w:tcW w:w="2020" w:type="dxa"/>
            <w:shd w:val="clear" w:color="auto" w:fill="auto"/>
            <w:noWrap/>
            <w:vAlign w:val="bottom"/>
            <w:hideMark/>
          </w:tcPr>
          <w:p w14:paraId="0F1EB7E5" w14:textId="77777777" w:rsidR="00025D3E" w:rsidRPr="00131186" w:rsidRDefault="00025D3E" w:rsidP="001952F5">
            <w:pPr>
              <w:jc w:val="right"/>
            </w:pPr>
            <w:r w:rsidRPr="00131186">
              <w:t>162540</w:t>
            </w:r>
          </w:p>
        </w:tc>
        <w:tc>
          <w:tcPr>
            <w:tcW w:w="1548" w:type="dxa"/>
            <w:shd w:val="clear" w:color="auto" w:fill="auto"/>
            <w:noWrap/>
            <w:vAlign w:val="bottom"/>
            <w:hideMark/>
          </w:tcPr>
          <w:p w14:paraId="28817A80" w14:textId="77777777" w:rsidR="00025D3E" w:rsidRPr="00131186" w:rsidRDefault="00025D3E" w:rsidP="001952F5">
            <w:pPr>
              <w:jc w:val="right"/>
            </w:pPr>
            <w:r w:rsidRPr="00131186">
              <w:t>190620</w:t>
            </w:r>
          </w:p>
        </w:tc>
      </w:tr>
      <w:tr w:rsidR="00E61280" w:rsidRPr="00131186" w14:paraId="24AAB1C5" w14:textId="77777777" w:rsidTr="00097A4C">
        <w:trPr>
          <w:trHeight w:val="300"/>
        </w:trPr>
        <w:tc>
          <w:tcPr>
            <w:tcW w:w="3520" w:type="dxa"/>
            <w:shd w:val="clear" w:color="auto" w:fill="auto"/>
            <w:noWrap/>
            <w:vAlign w:val="bottom"/>
            <w:hideMark/>
          </w:tcPr>
          <w:p w14:paraId="1D5D7EAF" w14:textId="77777777" w:rsidR="00025D3E" w:rsidRPr="00131186" w:rsidRDefault="00025D3E" w:rsidP="001952F5">
            <w:pPr>
              <w:rPr>
                <w:b/>
                <w:bCs/>
              </w:rPr>
            </w:pPr>
            <w:r w:rsidRPr="00131186">
              <w:rPr>
                <w:b/>
                <w:bCs/>
              </w:rPr>
              <w:t>OIK par uzstādīto jaudu</w:t>
            </w:r>
          </w:p>
        </w:tc>
        <w:tc>
          <w:tcPr>
            <w:tcW w:w="2020" w:type="dxa"/>
            <w:shd w:val="clear" w:color="auto" w:fill="auto"/>
            <w:noWrap/>
            <w:vAlign w:val="bottom"/>
            <w:hideMark/>
          </w:tcPr>
          <w:p w14:paraId="26D1B3F3" w14:textId="77777777" w:rsidR="00025D3E" w:rsidRPr="00131186" w:rsidRDefault="00025D3E" w:rsidP="001952F5">
            <w:pPr>
              <w:jc w:val="right"/>
            </w:pPr>
            <w:r w:rsidRPr="00131186">
              <w:t>1092000</w:t>
            </w:r>
          </w:p>
        </w:tc>
        <w:tc>
          <w:tcPr>
            <w:tcW w:w="1548" w:type="dxa"/>
            <w:shd w:val="clear" w:color="auto" w:fill="auto"/>
            <w:noWrap/>
            <w:vAlign w:val="bottom"/>
            <w:hideMark/>
          </w:tcPr>
          <w:p w14:paraId="55F149D7" w14:textId="77777777" w:rsidR="00025D3E" w:rsidRPr="00131186" w:rsidRDefault="00025D3E" w:rsidP="001952F5">
            <w:pPr>
              <w:jc w:val="right"/>
            </w:pPr>
            <w:r w:rsidRPr="00131186">
              <w:t>1302000</w:t>
            </w:r>
          </w:p>
        </w:tc>
      </w:tr>
      <w:tr w:rsidR="00E61280" w:rsidRPr="00131186" w14:paraId="7E82165D" w14:textId="77777777" w:rsidTr="00097A4C">
        <w:trPr>
          <w:trHeight w:val="300"/>
        </w:trPr>
        <w:tc>
          <w:tcPr>
            <w:tcW w:w="3520" w:type="dxa"/>
            <w:shd w:val="clear" w:color="auto" w:fill="auto"/>
            <w:noWrap/>
            <w:vAlign w:val="bottom"/>
            <w:hideMark/>
          </w:tcPr>
          <w:p w14:paraId="4372A54A" w14:textId="77777777" w:rsidR="00025D3E" w:rsidRPr="00131186" w:rsidRDefault="00025D3E" w:rsidP="001952F5">
            <w:pPr>
              <w:rPr>
                <w:b/>
                <w:bCs/>
              </w:rPr>
            </w:pPr>
            <w:r w:rsidRPr="00131186">
              <w:rPr>
                <w:b/>
                <w:bCs/>
              </w:rPr>
              <w:t xml:space="preserve">OIK par patērētajām </w:t>
            </w:r>
            <w:proofErr w:type="spellStart"/>
            <w:r w:rsidRPr="00131186">
              <w:rPr>
                <w:b/>
                <w:bCs/>
              </w:rPr>
              <w:t>MWh</w:t>
            </w:r>
            <w:proofErr w:type="spellEnd"/>
          </w:p>
        </w:tc>
        <w:tc>
          <w:tcPr>
            <w:tcW w:w="2020" w:type="dxa"/>
            <w:shd w:val="clear" w:color="auto" w:fill="auto"/>
            <w:noWrap/>
            <w:vAlign w:val="bottom"/>
            <w:hideMark/>
          </w:tcPr>
          <w:p w14:paraId="203BCFBE" w14:textId="77777777" w:rsidR="00025D3E" w:rsidRPr="00131186" w:rsidRDefault="00025D3E" w:rsidP="001952F5">
            <w:pPr>
              <w:jc w:val="right"/>
            </w:pPr>
            <w:r w:rsidRPr="00131186">
              <w:t>790020</w:t>
            </w:r>
          </w:p>
        </w:tc>
        <w:tc>
          <w:tcPr>
            <w:tcW w:w="1548" w:type="dxa"/>
            <w:shd w:val="clear" w:color="auto" w:fill="auto"/>
            <w:noWrap/>
            <w:vAlign w:val="bottom"/>
            <w:hideMark/>
          </w:tcPr>
          <w:p w14:paraId="319D66EB" w14:textId="77777777" w:rsidR="00025D3E" w:rsidRPr="00131186" w:rsidRDefault="00025D3E" w:rsidP="001952F5">
            <w:pPr>
              <w:jc w:val="right"/>
            </w:pPr>
            <w:r w:rsidRPr="00131186">
              <w:t>790020</w:t>
            </w:r>
          </w:p>
        </w:tc>
      </w:tr>
      <w:tr w:rsidR="00E61280" w:rsidRPr="00131186" w14:paraId="46BB3E3E" w14:textId="77777777" w:rsidTr="00097A4C">
        <w:trPr>
          <w:trHeight w:val="300"/>
        </w:trPr>
        <w:tc>
          <w:tcPr>
            <w:tcW w:w="3520" w:type="dxa"/>
            <w:shd w:val="clear" w:color="auto" w:fill="auto"/>
            <w:noWrap/>
            <w:vAlign w:val="bottom"/>
            <w:hideMark/>
          </w:tcPr>
          <w:p w14:paraId="5FA0FB8C" w14:textId="77777777" w:rsidR="00025D3E" w:rsidRPr="00131186" w:rsidRDefault="00025D3E" w:rsidP="001952F5">
            <w:pPr>
              <w:rPr>
                <w:b/>
                <w:bCs/>
              </w:rPr>
            </w:pPr>
            <w:r w:rsidRPr="00131186">
              <w:rPr>
                <w:b/>
                <w:bCs/>
              </w:rPr>
              <w:t>Elektroenerģija</w:t>
            </w:r>
          </w:p>
        </w:tc>
        <w:tc>
          <w:tcPr>
            <w:tcW w:w="2020" w:type="dxa"/>
            <w:shd w:val="clear" w:color="auto" w:fill="auto"/>
            <w:noWrap/>
            <w:vAlign w:val="bottom"/>
            <w:hideMark/>
          </w:tcPr>
          <w:p w14:paraId="3DDF1D2D" w14:textId="77777777" w:rsidR="00025D3E" w:rsidRPr="00131186" w:rsidRDefault="00025D3E" w:rsidP="001952F5">
            <w:pPr>
              <w:jc w:val="right"/>
            </w:pPr>
            <w:r w:rsidRPr="00131186">
              <w:t>1872720</w:t>
            </w:r>
          </w:p>
        </w:tc>
        <w:tc>
          <w:tcPr>
            <w:tcW w:w="1548" w:type="dxa"/>
            <w:shd w:val="clear" w:color="auto" w:fill="auto"/>
            <w:noWrap/>
            <w:vAlign w:val="bottom"/>
            <w:hideMark/>
          </w:tcPr>
          <w:p w14:paraId="336F0FBB" w14:textId="77777777" w:rsidR="00025D3E" w:rsidRPr="00131186" w:rsidRDefault="00025D3E" w:rsidP="001952F5">
            <w:pPr>
              <w:jc w:val="right"/>
            </w:pPr>
            <w:r w:rsidRPr="00131186">
              <w:t>1872720</w:t>
            </w:r>
          </w:p>
        </w:tc>
      </w:tr>
      <w:tr w:rsidR="00E61280" w:rsidRPr="00131186" w14:paraId="712A093D" w14:textId="77777777" w:rsidTr="00097A4C">
        <w:trPr>
          <w:trHeight w:val="300"/>
        </w:trPr>
        <w:tc>
          <w:tcPr>
            <w:tcW w:w="3520" w:type="dxa"/>
            <w:shd w:val="clear" w:color="auto" w:fill="auto"/>
            <w:noWrap/>
            <w:vAlign w:val="bottom"/>
            <w:hideMark/>
          </w:tcPr>
          <w:p w14:paraId="184FAB0A" w14:textId="77777777" w:rsidR="00025D3E" w:rsidRPr="00131186" w:rsidRDefault="00025D3E" w:rsidP="001952F5">
            <w:pPr>
              <w:rPr>
                <w:b/>
                <w:bCs/>
              </w:rPr>
            </w:pPr>
            <w:r w:rsidRPr="00131186">
              <w:rPr>
                <w:b/>
                <w:bCs/>
              </w:rPr>
              <w:t>Kopā</w:t>
            </w:r>
          </w:p>
        </w:tc>
        <w:tc>
          <w:tcPr>
            <w:tcW w:w="2020" w:type="dxa"/>
            <w:shd w:val="clear" w:color="auto" w:fill="auto"/>
            <w:noWrap/>
            <w:vAlign w:val="bottom"/>
            <w:hideMark/>
          </w:tcPr>
          <w:p w14:paraId="4361624B" w14:textId="77777777" w:rsidR="00025D3E" w:rsidRPr="00131186" w:rsidRDefault="00025D3E" w:rsidP="001952F5">
            <w:pPr>
              <w:jc w:val="right"/>
            </w:pPr>
            <w:r w:rsidRPr="00131186">
              <w:t>5264880</w:t>
            </w:r>
          </w:p>
        </w:tc>
        <w:tc>
          <w:tcPr>
            <w:tcW w:w="1548" w:type="dxa"/>
            <w:shd w:val="clear" w:color="auto" w:fill="auto"/>
            <w:noWrap/>
            <w:vAlign w:val="bottom"/>
            <w:hideMark/>
          </w:tcPr>
          <w:p w14:paraId="0A04B1EA" w14:textId="77777777" w:rsidR="00025D3E" w:rsidRPr="00131186" w:rsidRDefault="00025D3E" w:rsidP="001952F5">
            <w:pPr>
              <w:jc w:val="right"/>
            </w:pPr>
            <w:r w:rsidRPr="00131186">
              <w:t>5764360</w:t>
            </w:r>
          </w:p>
        </w:tc>
      </w:tr>
      <w:tr w:rsidR="00E61280" w:rsidRPr="00131186" w14:paraId="251BCE37" w14:textId="77777777" w:rsidTr="00097A4C">
        <w:trPr>
          <w:trHeight w:val="300"/>
        </w:trPr>
        <w:tc>
          <w:tcPr>
            <w:tcW w:w="3520" w:type="dxa"/>
            <w:shd w:val="clear" w:color="auto" w:fill="auto"/>
            <w:noWrap/>
            <w:vAlign w:val="bottom"/>
            <w:hideMark/>
          </w:tcPr>
          <w:p w14:paraId="74B161F1" w14:textId="77777777" w:rsidR="00025D3E" w:rsidRPr="00131186" w:rsidRDefault="00025D3E" w:rsidP="001952F5">
            <w:pPr>
              <w:rPr>
                <w:b/>
                <w:bCs/>
              </w:rPr>
            </w:pPr>
            <w:r w:rsidRPr="00131186">
              <w:rPr>
                <w:b/>
                <w:bCs/>
              </w:rPr>
              <w:t>Izmaksas par OIK</w:t>
            </w:r>
          </w:p>
        </w:tc>
        <w:tc>
          <w:tcPr>
            <w:tcW w:w="2020" w:type="dxa"/>
            <w:shd w:val="clear" w:color="auto" w:fill="auto"/>
            <w:noWrap/>
            <w:vAlign w:val="bottom"/>
            <w:hideMark/>
          </w:tcPr>
          <w:p w14:paraId="54075342" w14:textId="77777777" w:rsidR="00025D3E" w:rsidRPr="00131186" w:rsidRDefault="00025D3E" w:rsidP="001952F5">
            <w:pPr>
              <w:jc w:val="right"/>
            </w:pPr>
            <w:r w:rsidRPr="00131186">
              <w:t>1882020</w:t>
            </w:r>
          </w:p>
        </w:tc>
        <w:tc>
          <w:tcPr>
            <w:tcW w:w="1548" w:type="dxa"/>
            <w:shd w:val="clear" w:color="auto" w:fill="auto"/>
            <w:noWrap/>
            <w:vAlign w:val="bottom"/>
            <w:hideMark/>
          </w:tcPr>
          <w:p w14:paraId="3811FCCB" w14:textId="77777777" w:rsidR="00025D3E" w:rsidRPr="00131186" w:rsidRDefault="00025D3E" w:rsidP="001952F5">
            <w:pPr>
              <w:jc w:val="right"/>
            </w:pPr>
            <w:r w:rsidRPr="00131186">
              <w:t>2092020</w:t>
            </w:r>
          </w:p>
        </w:tc>
      </w:tr>
      <w:tr w:rsidR="00E61280" w:rsidRPr="00131186" w14:paraId="00D7E8A2" w14:textId="77777777" w:rsidTr="00097A4C">
        <w:trPr>
          <w:trHeight w:val="300"/>
        </w:trPr>
        <w:tc>
          <w:tcPr>
            <w:tcW w:w="3520" w:type="dxa"/>
            <w:shd w:val="clear" w:color="auto" w:fill="auto"/>
            <w:noWrap/>
            <w:vAlign w:val="bottom"/>
            <w:hideMark/>
          </w:tcPr>
          <w:p w14:paraId="36C2DEFC" w14:textId="77777777" w:rsidR="00025D3E" w:rsidRPr="00131186" w:rsidRDefault="00025D3E" w:rsidP="001952F5">
            <w:pPr>
              <w:rPr>
                <w:b/>
                <w:bCs/>
              </w:rPr>
            </w:pPr>
            <w:r w:rsidRPr="00131186">
              <w:rPr>
                <w:b/>
                <w:bCs/>
              </w:rPr>
              <w:t>Izmaksas par OIK/</w:t>
            </w:r>
            <w:proofErr w:type="spellStart"/>
            <w:r w:rsidRPr="00131186">
              <w:rPr>
                <w:b/>
                <w:bCs/>
              </w:rPr>
              <w:t>MWh</w:t>
            </w:r>
            <w:proofErr w:type="spellEnd"/>
          </w:p>
        </w:tc>
        <w:tc>
          <w:tcPr>
            <w:tcW w:w="2020" w:type="dxa"/>
            <w:shd w:val="clear" w:color="auto" w:fill="auto"/>
            <w:noWrap/>
            <w:vAlign w:val="bottom"/>
            <w:hideMark/>
          </w:tcPr>
          <w:p w14:paraId="6CF13C91" w14:textId="77777777" w:rsidR="00025D3E" w:rsidRPr="00131186" w:rsidRDefault="00025D3E" w:rsidP="001952F5">
            <w:pPr>
              <w:jc w:val="right"/>
            </w:pPr>
            <w:r w:rsidRPr="00131186">
              <w:t>34,85</w:t>
            </w:r>
          </w:p>
        </w:tc>
        <w:tc>
          <w:tcPr>
            <w:tcW w:w="1548" w:type="dxa"/>
            <w:shd w:val="clear" w:color="auto" w:fill="auto"/>
            <w:noWrap/>
            <w:vAlign w:val="bottom"/>
            <w:hideMark/>
          </w:tcPr>
          <w:p w14:paraId="7DAD6A67" w14:textId="77777777" w:rsidR="00025D3E" w:rsidRPr="00131186" w:rsidRDefault="00025D3E" w:rsidP="001952F5">
            <w:pPr>
              <w:jc w:val="right"/>
            </w:pPr>
            <w:r w:rsidRPr="00131186">
              <w:t>38,74</w:t>
            </w:r>
          </w:p>
        </w:tc>
      </w:tr>
      <w:tr w:rsidR="00E61280" w:rsidRPr="00131186" w14:paraId="07D99284" w14:textId="77777777" w:rsidTr="00097A4C">
        <w:trPr>
          <w:trHeight w:val="300"/>
        </w:trPr>
        <w:tc>
          <w:tcPr>
            <w:tcW w:w="3520" w:type="dxa"/>
            <w:shd w:val="clear" w:color="auto" w:fill="auto"/>
            <w:noWrap/>
            <w:vAlign w:val="bottom"/>
            <w:hideMark/>
          </w:tcPr>
          <w:p w14:paraId="76044206" w14:textId="77777777" w:rsidR="00025D3E" w:rsidRPr="00131186" w:rsidRDefault="00025D3E" w:rsidP="001952F5">
            <w:pPr>
              <w:rPr>
                <w:b/>
                <w:bCs/>
              </w:rPr>
            </w:pPr>
            <w:r w:rsidRPr="00131186">
              <w:rPr>
                <w:b/>
                <w:bCs/>
              </w:rPr>
              <w:t>Izmaksas par OIK jaudu /</w:t>
            </w:r>
            <w:proofErr w:type="spellStart"/>
            <w:r w:rsidRPr="00131186">
              <w:rPr>
                <w:b/>
                <w:bCs/>
              </w:rPr>
              <w:t>MWh</w:t>
            </w:r>
            <w:proofErr w:type="spellEnd"/>
          </w:p>
        </w:tc>
        <w:tc>
          <w:tcPr>
            <w:tcW w:w="2020" w:type="dxa"/>
            <w:shd w:val="clear" w:color="auto" w:fill="auto"/>
            <w:noWrap/>
            <w:vAlign w:val="bottom"/>
            <w:hideMark/>
          </w:tcPr>
          <w:p w14:paraId="1C65E2B5" w14:textId="77777777" w:rsidR="00025D3E" w:rsidRPr="00131186" w:rsidRDefault="00025D3E" w:rsidP="001952F5">
            <w:pPr>
              <w:jc w:val="right"/>
            </w:pPr>
            <w:r w:rsidRPr="00131186">
              <w:t>20,22</w:t>
            </w:r>
          </w:p>
        </w:tc>
        <w:tc>
          <w:tcPr>
            <w:tcW w:w="1548" w:type="dxa"/>
            <w:shd w:val="clear" w:color="auto" w:fill="auto"/>
            <w:noWrap/>
            <w:vAlign w:val="bottom"/>
            <w:hideMark/>
          </w:tcPr>
          <w:p w14:paraId="0BB708CF" w14:textId="77777777" w:rsidR="00025D3E" w:rsidRPr="00131186" w:rsidRDefault="00025D3E" w:rsidP="001952F5">
            <w:pPr>
              <w:jc w:val="right"/>
            </w:pPr>
            <w:r w:rsidRPr="00131186">
              <w:t>24,11</w:t>
            </w:r>
          </w:p>
        </w:tc>
      </w:tr>
      <w:tr w:rsidR="00E61280" w:rsidRPr="00131186" w14:paraId="58071632" w14:textId="77777777" w:rsidTr="00097A4C">
        <w:trPr>
          <w:trHeight w:val="300"/>
        </w:trPr>
        <w:tc>
          <w:tcPr>
            <w:tcW w:w="3520" w:type="dxa"/>
            <w:shd w:val="clear" w:color="auto" w:fill="auto"/>
            <w:noWrap/>
            <w:vAlign w:val="bottom"/>
            <w:hideMark/>
          </w:tcPr>
          <w:p w14:paraId="40D696F6" w14:textId="77777777" w:rsidR="00025D3E" w:rsidRPr="00131186" w:rsidRDefault="00025D3E" w:rsidP="001952F5">
            <w:pPr>
              <w:rPr>
                <w:b/>
                <w:bCs/>
              </w:rPr>
            </w:pPr>
            <w:r w:rsidRPr="00131186">
              <w:rPr>
                <w:b/>
                <w:bCs/>
              </w:rPr>
              <w:t xml:space="preserve">Gala izmaksas par vienu </w:t>
            </w:r>
            <w:proofErr w:type="spellStart"/>
            <w:r w:rsidRPr="00131186">
              <w:rPr>
                <w:b/>
                <w:bCs/>
              </w:rPr>
              <w:t>MWh</w:t>
            </w:r>
            <w:proofErr w:type="spellEnd"/>
          </w:p>
        </w:tc>
        <w:tc>
          <w:tcPr>
            <w:tcW w:w="2020" w:type="dxa"/>
            <w:shd w:val="clear" w:color="auto" w:fill="auto"/>
            <w:noWrap/>
            <w:vAlign w:val="bottom"/>
            <w:hideMark/>
          </w:tcPr>
          <w:p w14:paraId="036A4060" w14:textId="77777777" w:rsidR="00025D3E" w:rsidRPr="00131186" w:rsidRDefault="00025D3E" w:rsidP="001952F5">
            <w:pPr>
              <w:jc w:val="right"/>
            </w:pPr>
            <w:r w:rsidRPr="00131186">
              <w:t>97,50</w:t>
            </w:r>
          </w:p>
        </w:tc>
        <w:tc>
          <w:tcPr>
            <w:tcW w:w="1548" w:type="dxa"/>
            <w:shd w:val="clear" w:color="auto" w:fill="auto"/>
            <w:noWrap/>
            <w:vAlign w:val="bottom"/>
            <w:hideMark/>
          </w:tcPr>
          <w:p w14:paraId="1E3450A9" w14:textId="77777777" w:rsidR="00025D3E" w:rsidRPr="00131186" w:rsidRDefault="00025D3E" w:rsidP="001952F5">
            <w:pPr>
              <w:jc w:val="right"/>
            </w:pPr>
            <w:r w:rsidRPr="00131186">
              <w:t>106,75</w:t>
            </w:r>
          </w:p>
        </w:tc>
      </w:tr>
    </w:tbl>
    <w:p w14:paraId="3A2F6BF3" w14:textId="77777777" w:rsidR="00025D3E" w:rsidRPr="00E068E4" w:rsidRDefault="00025D3E" w:rsidP="003963DD">
      <w:pPr>
        <w:pStyle w:val="ListParagraph"/>
        <w:ind w:left="284"/>
        <w:jc w:val="both"/>
        <w:rPr>
          <w:bCs/>
        </w:rPr>
      </w:pPr>
      <w:r w:rsidRPr="00E068E4">
        <w:rPr>
          <w:bCs/>
        </w:rPr>
        <w:t>Avots: Ekonomikas ministrijas provizoriskie aprēķini</w:t>
      </w:r>
    </w:p>
    <w:p w14:paraId="484D1421" w14:textId="77777777" w:rsidR="00025D3E" w:rsidRPr="00131186" w:rsidRDefault="00025D3E" w:rsidP="00025D3E">
      <w:pPr>
        <w:pStyle w:val="ListParagraph"/>
        <w:ind w:left="1440"/>
        <w:jc w:val="both"/>
        <w:rPr>
          <w:bCs/>
        </w:rPr>
      </w:pPr>
    </w:p>
    <w:p w14:paraId="2FB18B4C" w14:textId="4B5424A9" w:rsidR="00D86DA2" w:rsidRPr="00131186" w:rsidRDefault="00D86DA2" w:rsidP="00D86DA2">
      <w:pPr>
        <w:ind w:firstLine="567"/>
        <w:jc w:val="both"/>
        <w:rPr>
          <w:bCs/>
        </w:rPr>
      </w:pPr>
      <w:r w:rsidRPr="00131186">
        <w:rPr>
          <w:bCs/>
        </w:rPr>
        <w:t xml:space="preserve">Ņemot vērā augstākminēto, darba grupas uzdevums uzskatāms par izpildītu, secinot, ka Projekta īstenošanas gaitā elektroenerģijas </w:t>
      </w:r>
      <w:proofErr w:type="spellStart"/>
      <w:r w:rsidRPr="00131186">
        <w:rPr>
          <w:bCs/>
        </w:rPr>
        <w:t>pieslēguma</w:t>
      </w:r>
      <w:proofErr w:type="spellEnd"/>
      <w:r w:rsidRPr="00131186">
        <w:rPr>
          <w:bCs/>
        </w:rPr>
        <w:t xml:space="preserve"> un </w:t>
      </w:r>
      <w:proofErr w:type="spellStart"/>
      <w:r w:rsidRPr="00131186">
        <w:rPr>
          <w:bCs/>
        </w:rPr>
        <w:t>pieslēguma</w:t>
      </w:r>
      <w:proofErr w:type="spellEnd"/>
      <w:r w:rsidRPr="00131186">
        <w:rPr>
          <w:bCs/>
        </w:rPr>
        <w:t xml:space="preserve"> maksas noteikšanai nav nepieciešams izstrādāt grozījumus normatīvajos aktos, un Projekta īstenošanas gaitā </w:t>
      </w:r>
      <w:r w:rsidR="003963DD">
        <w:rPr>
          <w:bCs/>
        </w:rPr>
        <w:t xml:space="preserve">VAS “Latvijas dzelzceļš” </w:t>
      </w:r>
      <w:r w:rsidRPr="00131186">
        <w:rPr>
          <w:bCs/>
        </w:rPr>
        <w:t>individuāli var turpināt sadarbību ar katru no darba grupā iesaistītajām institūcijām.</w:t>
      </w:r>
      <w:r w:rsidRPr="00131186" w:rsidDel="00C30220">
        <w:rPr>
          <w:bCs/>
        </w:rPr>
        <w:t xml:space="preserve"> </w:t>
      </w:r>
    </w:p>
    <w:p w14:paraId="4939B2A2" w14:textId="77777777" w:rsidR="00DF182F" w:rsidRPr="00131186" w:rsidRDefault="00DF182F" w:rsidP="00D86DA2">
      <w:pPr>
        <w:ind w:firstLine="567"/>
        <w:jc w:val="both"/>
        <w:rPr>
          <w:bCs/>
        </w:rPr>
      </w:pPr>
    </w:p>
    <w:p w14:paraId="4586CA64" w14:textId="77777777" w:rsidR="00C12150" w:rsidRPr="00131186" w:rsidRDefault="00C12150" w:rsidP="00741DBD">
      <w:pPr>
        <w:jc w:val="both"/>
      </w:pPr>
    </w:p>
    <w:p w14:paraId="5F0F3A7D" w14:textId="77777777" w:rsidR="00CB2E06" w:rsidRPr="00131186" w:rsidRDefault="00CB2E06" w:rsidP="003963DD">
      <w:pPr>
        <w:spacing w:after="120"/>
        <w:rPr>
          <w:rFonts w:eastAsiaTheme="minorHAnsi"/>
          <w:lang w:eastAsia="en-US"/>
        </w:rPr>
      </w:pPr>
      <w:r w:rsidRPr="00131186">
        <w:rPr>
          <w:rFonts w:eastAsiaTheme="minorHAnsi"/>
          <w:lang w:eastAsia="en-US"/>
        </w:rPr>
        <w:t>Satiksmes ministrs</w:t>
      </w:r>
      <w:r w:rsidRPr="00131186">
        <w:rPr>
          <w:rFonts w:eastAsiaTheme="minorHAnsi"/>
          <w:lang w:eastAsia="en-US"/>
        </w:rPr>
        <w:tab/>
      </w:r>
      <w:r w:rsidRPr="00131186">
        <w:rPr>
          <w:rFonts w:eastAsiaTheme="minorHAnsi"/>
          <w:lang w:eastAsia="en-US"/>
        </w:rPr>
        <w:tab/>
      </w:r>
      <w:r w:rsidRPr="00131186">
        <w:rPr>
          <w:rFonts w:eastAsiaTheme="minorHAnsi"/>
          <w:lang w:eastAsia="en-US"/>
        </w:rPr>
        <w:tab/>
      </w:r>
      <w:r w:rsidRPr="00131186">
        <w:rPr>
          <w:rFonts w:eastAsiaTheme="minorHAnsi"/>
          <w:lang w:eastAsia="en-US"/>
        </w:rPr>
        <w:tab/>
      </w:r>
      <w:r w:rsidRPr="00131186">
        <w:rPr>
          <w:rFonts w:eastAsiaTheme="minorHAnsi"/>
          <w:lang w:eastAsia="en-US"/>
        </w:rPr>
        <w:tab/>
      </w:r>
      <w:r w:rsidRPr="00131186">
        <w:rPr>
          <w:rFonts w:eastAsiaTheme="minorHAnsi"/>
          <w:lang w:eastAsia="en-US"/>
        </w:rPr>
        <w:tab/>
      </w:r>
      <w:r w:rsidRPr="00131186">
        <w:rPr>
          <w:rFonts w:eastAsiaTheme="minorHAnsi"/>
          <w:lang w:eastAsia="en-US"/>
        </w:rPr>
        <w:tab/>
        <w:t xml:space="preserve">            U. Augulis</w:t>
      </w:r>
    </w:p>
    <w:p w14:paraId="6643B748" w14:textId="5FC9AA37" w:rsidR="00CB2E06" w:rsidRDefault="00CB2E06" w:rsidP="003963DD">
      <w:pPr>
        <w:spacing w:after="120"/>
        <w:rPr>
          <w:rFonts w:eastAsiaTheme="minorHAnsi"/>
          <w:bCs/>
          <w:lang w:eastAsia="en-US"/>
        </w:rPr>
      </w:pPr>
    </w:p>
    <w:p w14:paraId="5693DF70" w14:textId="77777777" w:rsidR="00C45EA9" w:rsidRPr="00131186" w:rsidRDefault="00C45EA9" w:rsidP="003963DD">
      <w:pPr>
        <w:spacing w:after="120"/>
        <w:rPr>
          <w:rFonts w:eastAsiaTheme="minorHAnsi"/>
          <w:bCs/>
          <w:lang w:eastAsia="en-US"/>
        </w:rPr>
      </w:pPr>
    </w:p>
    <w:p w14:paraId="4EDB383F" w14:textId="77777777" w:rsidR="00CB2E06" w:rsidRPr="00131186" w:rsidRDefault="00CB2E06" w:rsidP="003963DD">
      <w:pPr>
        <w:tabs>
          <w:tab w:val="left" w:pos="6379"/>
          <w:tab w:val="left" w:pos="6521"/>
        </w:tabs>
        <w:spacing w:after="120"/>
        <w:rPr>
          <w:rFonts w:eastAsiaTheme="minorHAnsi"/>
          <w:bCs/>
          <w:lang w:eastAsia="en-US"/>
        </w:rPr>
      </w:pPr>
      <w:r w:rsidRPr="00131186">
        <w:rPr>
          <w:rFonts w:eastAsiaTheme="minorHAnsi"/>
          <w:bCs/>
          <w:lang w:eastAsia="en-US"/>
        </w:rPr>
        <w:t>Vīza: Valsts sekretārs</w:t>
      </w:r>
      <w:r w:rsidRPr="00131186">
        <w:rPr>
          <w:rFonts w:eastAsiaTheme="minorHAnsi"/>
          <w:bCs/>
          <w:lang w:eastAsia="en-US"/>
        </w:rPr>
        <w:tab/>
        <w:t xml:space="preserve">             </w:t>
      </w:r>
      <w:r w:rsidRPr="00131186">
        <w:rPr>
          <w:rFonts w:eastAsiaTheme="minorHAnsi"/>
          <w:bCs/>
          <w:lang w:eastAsia="en-US"/>
        </w:rPr>
        <w:tab/>
        <w:t xml:space="preserve">K. Ozoliņš </w:t>
      </w:r>
    </w:p>
    <w:p w14:paraId="4B09A2BA" w14:textId="1720B6E5" w:rsidR="00C12150" w:rsidRDefault="00C12150" w:rsidP="003963DD">
      <w:pPr>
        <w:jc w:val="both"/>
      </w:pPr>
    </w:p>
    <w:p w14:paraId="2E52661D" w14:textId="74F2588B" w:rsidR="00C45EA9" w:rsidRPr="00131186" w:rsidRDefault="00C45EA9" w:rsidP="003963DD">
      <w:pPr>
        <w:jc w:val="both"/>
      </w:pPr>
    </w:p>
    <w:p w14:paraId="4BB48B3E" w14:textId="77777777" w:rsidR="00832CED" w:rsidRPr="004F6E26" w:rsidRDefault="00832CED" w:rsidP="003963DD">
      <w:pPr>
        <w:jc w:val="both"/>
        <w:rPr>
          <w:sz w:val="20"/>
          <w:szCs w:val="20"/>
        </w:rPr>
      </w:pPr>
      <w:r w:rsidRPr="004F6E26">
        <w:rPr>
          <w:sz w:val="20"/>
          <w:szCs w:val="20"/>
        </w:rPr>
        <w:t>Balaša, 67028071</w:t>
      </w:r>
    </w:p>
    <w:p w14:paraId="684EA2E9" w14:textId="77777777" w:rsidR="00832CED" w:rsidRPr="004F6E26" w:rsidRDefault="00832CED" w:rsidP="003963DD">
      <w:pPr>
        <w:jc w:val="both"/>
        <w:rPr>
          <w:sz w:val="20"/>
          <w:szCs w:val="20"/>
        </w:rPr>
      </w:pPr>
      <w:r w:rsidRPr="004F6E26">
        <w:rPr>
          <w:sz w:val="20"/>
          <w:szCs w:val="20"/>
        </w:rPr>
        <w:t>Santa.Balasa@sam.gov.lv</w:t>
      </w:r>
    </w:p>
    <w:sectPr w:rsidR="00832CED" w:rsidRPr="004F6E26" w:rsidSect="0073633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F75CD" w14:textId="77777777" w:rsidR="0082109B" w:rsidRDefault="0082109B" w:rsidP="00BE20F0">
      <w:r>
        <w:separator/>
      </w:r>
    </w:p>
  </w:endnote>
  <w:endnote w:type="continuationSeparator" w:id="0">
    <w:p w14:paraId="03F6EB98" w14:textId="77777777" w:rsidR="0082109B" w:rsidRDefault="0082109B" w:rsidP="00BE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E573" w14:textId="1AFB87F6" w:rsidR="00200EA7" w:rsidRDefault="00200EA7">
    <w:pPr>
      <w:pStyle w:val="Footer"/>
      <w:rPr>
        <w:sz w:val="22"/>
        <w:szCs w:val="22"/>
      </w:rPr>
    </w:pPr>
    <w:r w:rsidRPr="00C12150">
      <w:rPr>
        <w:sz w:val="22"/>
        <w:szCs w:val="22"/>
      </w:rPr>
      <w:t>SMZin_</w:t>
    </w:r>
    <w:r w:rsidR="00C477FC">
      <w:rPr>
        <w:sz w:val="22"/>
        <w:szCs w:val="22"/>
      </w:rPr>
      <w:t>1004</w:t>
    </w:r>
    <w:r w:rsidRPr="00C12150">
      <w:rPr>
        <w:sz w:val="22"/>
        <w:szCs w:val="22"/>
      </w:rPr>
      <w:t>18_Elektrifikacija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D30A" w14:textId="515EFA21" w:rsidR="00200EA7" w:rsidRPr="00FB4106" w:rsidRDefault="00C0419C">
    <w:pPr>
      <w:pStyle w:val="Footer"/>
      <w:rPr>
        <w:sz w:val="22"/>
        <w:szCs w:val="22"/>
      </w:rPr>
    </w:pPr>
    <w:r w:rsidRPr="00FB4106">
      <w:rPr>
        <w:sz w:val="22"/>
        <w:szCs w:val="22"/>
      </w:rPr>
      <w:t>SMZi</w:t>
    </w:r>
    <w:r w:rsidR="00200EA7" w:rsidRPr="00FB4106">
      <w:rPr>
        <w:sz w:val="22"/>
        <w:szCs w:val="22"/>
      </w:rPr>
      <w:t>n_</w:t>
    </w:r>
    <w:r w:rsidR="00C477FC" w:rsidRPr="00FB4106">
      <w:rPr>
        <w:sz w:val="22"/>
        <w:szCs w:val="22"/>
      </w:rPr>
      <w:t>1004</w:t>
    </w:r>
    <w:r w:rsidR="007414FF" w:rsidRPr="00FB4106">
      <w:rPr>
        <w:sz w:val="22"/>
        <w:szCs w:val="22"/>
      </w:rPr>
      <w:t>18</w:t>
    </w:r>
    <w:r w:rsidR="00200EA7" w:rsidRPr="00FB4106">
      <w:rPr>
        <w:sz w:val="22"/>
        <w:szCs w:val="22"/>
      </w:rPr>
      <w:t>_Elektrifikacija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9AFA1" w14:textId="77777777" w:rsidR="0082109B" w:rsidRDefault="0082109B" w:rsidP="00BE20F0">
      <w:r>
        <w:separator/>
      </w:r>
    </w:p>
  </w:footnote>
  <w:footnote w:type="continuationSeparator" w:id="0">
    <w:p w14:paraId="76C8E69E" w14:textId="77777777" w:rsidR="0082109B" w:rsidRDefault="0082109B" w:rsidP="00BE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34576"/>
      <w:docPartObj>
        <w:docPartGallery w:val="Page Numbers (Top of Page)"/>
        <w:docPartUnique/>
      </w:docPartObj>
    </w:sdtPr>
    <w:sdtEndPr>
      <w:rPr>
        <w:noProof/>
      </w:rPr>
    </w:sdtEndPr>
    <w:sdtContent>
      <w:p w14:paraId="60D7CE95" w14:textId="1CFE0E65" w:rsidR="00BE20F0" w:rsidRDefault="00BE20F0">
        <w:pPr>
          <w:pStyle w:val="Header"/>
          <w:jc w:val="center"/>
        </w:pPr>
        <w:r>
          <w:fldChar w:fldCharType="begin"/>
        </w:r>
        <w:r>
          <w:instrText xml:space="preserve"> PAGE   \* MERGEFORMAT </w:instrText>
        </w:r>
        <w:r>
          <w:fldChar w:fldCharType="separate"/>
        </w:r>
        <w:r w:rsidR="009D26BB">
          <w:rPr>
            <w:noProof/>
          </w:rPr>
          <w:t>5</w:t>
        </w:r>
        <w:r>
          <w:rPr>
            <w:noProof/>
          </w:rPr>
          <w:fldChar w:fldCharType="end"/>
        </w:r>
      </w:p>
    </w:sdtContent>
  </w:sdt>
  <w:p w14:paraId="521D1533" w14:textId="77777777" w:rsidR="00BE20F0" w:rsidRDefault="00BE2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7C03"/>
    <w:multiLevelType w:val="hybridMultilevel"/>
    <w:tmpl w:val="B6DCC3BE"/>
    <w:lvl w:ilvl="0" w:tplc="0426000F">
      <w:start w:val="1"/>
      <w:numFmt w:val="decimal"/>
      <w:lvlText w:val="%1."/>
      <w:lvlJc w:val="left"/>
      <w:pPr>
        <w:ind w:left="1360" w:hanging="360"/>
      </w:pPr>
    </w:lvl>
    <w:lvl w:ilvl="1" w:tplc="04260019" w:tentative="1">
      <w:start w:val="1"/>
      <w:numFmt w:val="lowerLetter"/>
      <w:lvlText w:val="%2."/>
      <w:lvlJc w:val="left"/>
      <w:pPr>
        <w:ind w:left="2080" w:hanging="360"/>
      </w:pPr>
    </w:lvl>
    <w:lvl w:ilvl="2" w:tplc="0426001B" w:tentative="1">
      <w:start w:val="1"/>
      <w:numFmt w:val="lowerRoman"/>
      <w:lvlText w:val="%3."/>
      <w:lvlJc w:val="right"/>
      <w:pPr>
        <w:ind w:left="2800" w:hanging="180"/>
      </w:pPr>
    </w:lvl>
    <w:lvl w:ilvl="3" w:tplc="0426000F" w:tentative="1">
      <w:start w:val="1"/>
      <w:numFmt w:val="decimal"/>
      <w:lvlText w:val="%4."/>
      <w:lvlJc w:val="left"/>
      <w:pPr>
        <w:ind w:left="3520" w:hanging="360"/>
      </w:pPr>
    </w:lvl>
    <w:lvl w:ilvl="4" w:tplc="04260019" w:tentative="1">
      <w:start w:val="1"/>
      <w:numFmt w:val="lowerLetter"/>
      <w:lvlText w:val="%5."/>
      <w:lvlJc w:val="left"/>
      <w:pPr>
        <w:ind w:left="4240" w:hanging="360"/>
      </w:pPr>
    </w:lvl>
    <w:lvl w:ilvl="5" w:tplc="0426001B" w:tentative="1">
      <w:start w:val="1"/>
      <w:numFmt w:val="lowerRoman"/>
      <w:lvlText w:val="%6."/>
      <w:lvlJc w:val="right"/>
      <w:pPr>
        <w:ind w:left="4960" w:hanging="180"/>
      </w:pPr>
    </w:lvl>
    <w:lvl w:ilvl="6" w:tplc="0426000F" w:tentative="1">
      <w:start w:val="1"/>
      <w:numFmt w:val="decimal"/>
      <w:lvlText w:val="%7."/>
      <w:lvlJc w:val="left"/>
      <w:pPr>
        <w:ind w:left="5680" w:hanging="360"/>
      </w:pPr>
    </w:lvl>
    <w:lvl w:ilvl="7" w:tplc="04260019" w:tentative="1">
      <w:start w:val="1"/>
      <w:numFmt w:val="lowerLetter"/>
      <w:lvlText w:val="%8."/>
      <w:lvlJc w:val="left"/>
      <w:pPr>
        <w:ind w:left="6400" w:hanging="360"/>
      </w:pPr>
    </w:lvl>
    <w:lvl w:ilvl="8" w:tplc="0426001B" w:tentative="1">
      <w:start w:val="1"/>
      <w:numFmt w:val="lowerRoman"/>
      <w:lvlText w:val="%9."/>
      <w:lvlJc w:val="right"/>
      <w:pPr>
        <w:ind w:left="7120" w:hanging="180"/>
      </w:pPr>
    </w:lvl>
  </w:abstractNum>
  <w:abstractNum w:abstractNumId="1" w15:restartNumberingAfterBreak="0">
    <w:nsid w:val="28D10FF9"/>
    <w:multiLevelType w:val="hybridMultilevel"/>
    <w:tmpl w:val="90BCFA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826838A0">
      <w:start w:val="1"/>
      <w:numFmt w:val="decimal"/>
      <w:lvlText w:val="%3."/>
      <w:lvlJc w:val="right"/>
      <w:pPr>
        <w:ind w:left="2160" w:hanging="180"/>
      </w:pPr>
      <w:rPr>
        <w:rFonts w:ascii="Times New Roman" w:eastAsia="Times New Roman" w:hAnsi="Times New Roman" w:cs="Times New Roman"/>
        <w:color w:val="auto"/>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307A36"/>
    <w:multiLevelType w:val="hybridMultilevel"/>
    <w:tmpl w:val="3AB827D6"/>
    <w:lvl w:ilvl="0" w:tplc="0AFCA046">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683932A4"/>
    <w:multiLevelType w:val="hybridMultilevel"/>
    <w:tmpl w:val="5FB63B8E"/>
    <w:lvl w:ilvl="0" w:tplc="51DE457E">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7A"/>
    <w:rsid w:val="00025D3E"/>
    <w:rsid w:val="000370D1"/>
    <w:rsid w:val="0008037D"/>
    <w:rsid w:val="000864C4"/>
    <w:rsid w:val="00097A4C"/>
    <w:rsid w:val="000B299E"/>
    <w:rsid w:val="000C672A"/>
    <w:rsid w:val="000F0387"/>
    <w:rsid w:val="00117568"/>
    <w:rsid w:val="00131186"/>
    <w:rsid w:val="001571C0"/>
    <w:rsid w:val="001576B5"/>
    <w:rsid w:val="0018150D"/>
    <w:rsid w:val="00181EA5"/>
    <w:rsid w:val="001B053A"/>
    <w:rsid w:val="001B3C70"/>
    <w:rsid w:val="001F1A4D"/>
    <w:rsid w:val="001F1C14"/>
    <w:rsid w:val="0020003E"/>
    <w:rsid w:val="00200EA7"/>
    <w:rsid w:val="002648EB"/>
    <w:rsid w:val="002A5D1E"/>
    <w:rsid w:val="002A7F31"/>
    <w:rsid w:val="00315F55"/>
    <w:rsid w:val="003246DE"/>
    <w:rsid w:val="003542B6"/>
    <w:rsid w:val="00356A71"/>
    <w:rsid w:val="00357B5A"/>
    <w:rsid w:val="00363535"/>
    <w:rsid w:val="00381672"/>
    <w:rsid w:val="00384D93"/>
    <w:rsid w:val="003963DD"/>
    <w:rsid w:val="003D5CF7"/>
    <w:rsid w:val="003E11C1"/>
    <w:rsid w:val="003E7EF3"/>
    <w:rsid w:val="004043D6"/>
    <w:rsid w:val="004261A8"/>
    <w:rsid w:val="00427237"/>
    <w:rsid w:val="004444E3"/>
    <w:rsid w:val="00451C7D"/>
    <w:rsid w:val="00451CB8"/>
    <w:rsid w:val="00453AF0"/>
    <w:rsid w:val="004A41EB"/>
    <w:rsid w:val="004A5E37"/>
    <w:rsid w:val="004E61B7"/>
    <w:rsid w:val="004F6E26"/>
    <w:rsid w:val="00521173"/>
    <w:rsid w:val="005C4731"/>
    <w:rsid w:val="005F3906"/>
    <w:rsid w:val="005F4A73"/>
    <w:rsid w:val="00616A43"/>
    <w:rsid w:val="00616CDB"/>
    <w:rsid w:val="00622319"/>
    <w:rsid w:val="00633EB7"/>
    <w:rsid w:val="00641B0E"/>
    <w:rsid w:val="0065005C"/>
    <w:rsid w:val="00650FBE"/>
    <w:rsid w:val="00673A37"/>
    <w:rsid w:val="006761B9"/>
    <w:rsid w:val="006B609F"/>
    <w:rsid w:val="006B7269"/>
    <w:rsid w:val="006F3EFC"/>
    <w:rsid w:val="0070658D"/>
    <w:rsid w:val="007102E6"/>
    <w:rsid w:val="00714011"/>
    <w:rsid w:val="00716C73"/>
    <w:rsid w:val="00732B94"/>
    <w:rsid w:val="0073633C"/>
    <w:rsid w:val="007414FF"/>
    <w:rsid w:val="00741DBD"/>
    <w:rsid w:val="00796C92"/>
    <w:rsid w:val="007B4FD8"/>
    <w:rsid w:val="007D6F3A"/>
    <w:rsid w:val="007E26BA"/>
    <w:rsid w:val="007F57DD"/>
    <w:rsid w:val="007F5B78"/>
    <w:rsid w:val="008076E9"/>
    <w:rsid w:val="008120E7"/>
    <w:rsid w:val="008150A0"/>
    <w:rsid w:val="0082109B"/>
    <w:rsid w:val="00832CED"/>
    <w:rsid w:val="008B0A4A"/>
    <w:rsid w:val="008B13A6"/>
    <w:rsid w:val="00917539"/>
    <w:rsid w:val="00942E9A"/>
    <w:rsid w:val="00960308"/>
    <w:rsid w:val="00980E86"/>
    <w:rsid w:val="00982B1D"/>
    <w:rsid w:val="00994BAA"/>
    <w:rsid w:val="009D26BB"/>
    <w:rsid w:val="009D38B7"/>
    <w:rsid w:val="009F3C8E"/>
    <w:rsid w:val="009F5BDE"/>
    <w:rsid w:val="00A15F2A"/>
    <w:rsid w:val="00A20CDD"/>
    <w:rsid w:val="00A3615B"/>
    <w:rsid w:val="00A54268"/>
    <w:rsid w:val="00A70ED1"/>
    <w:rsid w:val="00AA34D5"/>
    <w:rsid w:val="00AB7B7D"/>
    <w:rsid w:val="00AC119E"/>
    <w:rsid w:val="00AD243F"/>
    <w:rsid w:val="00AD7B0F"/>
    <w:rsid w:val="00AF559F"/>
    <w:rsid w:val="00B07324"/>
    <w:rsid w:val="00B2523D"/>
    <w:rsid w:val="00B50D6C"/>
    <w:rsid w:val="00BB2EAB"/>
    <w:rsid w:val="00BE20F0"/>
    <w:rsid w:val="00BF6114"/>
    <w:rsid w:val="00C0419C"/>
    <w:rsid w:val="00C12150"/>
    <w:rsid w:val="00C22892"/>
    <w:rsid w:val="00C45EA9"/>
    <w:rsid w:val="00C477FC"/>
    <w:rsid w:val="00C5188C"/>
    <w:rsid w:val="00C76C5D"/>
    <w:rsid w:val="00C80155"/>
    <w:rsid w:val="00CA0A0E"/>
    <w:rsid w:val="00CB2E06"/>
    <w:rsid w:val="00CB768A"/>
    <w:rsid w:val="00D1371F"/>
    <w:rsid w:val="00D13927"/>
    <w:rsid w:val="00D42CEF"/>
    <w:rsid w:val="00D4723E"/>
    <w:rsid w:val="00D55FCE"/>
    <w:rsid w:val="00D86DA2"/>
    <w:rsid w:val="00DC738A"/>
    <w:rsid w:val="00DD4869"/>
    <w:rsid w:val="00DD56E2"/>
    <w:rsid w:val="00DF182F"/>
    <w:rsid w:val="00E068E4"/>
    <w:rsid w:val="00E345B2"/>
    <w:rsid w:val="00E61280"/>
    <w:rsid w:val="00E7699F"/>
    <w:rsid w:val="00E8015C"/>
    <w:rsid w:val="00E85FB2"/>
    <w:rsid w:val="00EB7015"/>
    <w:rsid w:val="00EE6C7A"/>
    <w:rsid w:val="00EF706C"/>
    <w:rsid w:val="00F83FC7"/>
    <w:rsid w:val="00F97C7C"/>
    <w:rsid w:val="00FB23FE"/>
    <w:rsid w:val="00FB4106"/>
    <w:rsid w:val="00FD0F05"/>
    <w:rsid w:val="00FE2BA0"/>
    <w:rsid w:val="00FE2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FF4B5"/>
  <w15:docId w15:val="{CFFE5218-0F34-4306-86B5-16D498C8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7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7A"/>
    <w:pPr>
      <w:ind w:left="720"/>
      <w:contextualSpacing/>
    </w:pPr>
  </w:style>
  <w:style w:type="paragraph" w:styleId="Header">
    <w:name w:val="header"/>
    <w:basedOn w:val="Normal"/>
    <w:link w:val="HeaderChar"/>
    <w:uiPriority w:val="99"/>
    <w:unhideWhenUsed/>
    <w:rsid w:val="00BE20F0"/>
    <w:pPr>
      <w:tabs>
        <w:tab w:val="center" w:pos="4153"/>
        <w:tab w:val="right" w:pos="8306"/>
      </w:tabs>
    </w:pPr>
  </w:style>
  <w:style w:type="character" w:customStyle="1" w:styleId="HeaderChar">
    <w:name w:val="Header Char"/>
    <w:basedOn w:val="DefaultParagraphFont"/>
    <w:link w:val="Header"/>
    <w:uiPriority w:val="99"/>
    <w:rsid w:val="00BE20F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E20F0"/>
    <w:pPr>
      <w:tabs>
        <w:tab w:val="center" w:pos="4153"/>
        <w:tab w:val="right" w:pos="8306"/>
      </w:tabs>
    </w:pPr>
  </w:style>
  <w:style w:type="character" w:customStyle="1" w:styleId="FooterChar">
    <w:name w:val="Footer Char"/>
    <w:basedOn w:val="DefaultParagraphFont"/>
    <w:link w:val="Footer"/>
    <w:uiPriority w:val="99"/>
    <w:rsid w:val="00BE20F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D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F0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CA0A0E"/>
    <w:rPr>
      <w:sz w:val="16"/>
      <w:szCs w:val="16"/>
    </w:rPr>
  </w:style>
  <w:style w:type="paragraph" w:styleId="CommentText">
    <w:name w:val="annotation text"/>
    <w:basedOn w:val="Normal"/>
    <w:link w:val="CommentTextChar"/>
    <w:uiPriority w:val="99"/>
    <w:semiHidden/>
    <w:unhideWhenUsed/>
    <w:rsid w:val="00CA0A0E"/>
    <w:rPr>
      <w:sz w:val="20"/>
      <w:szCs w:val="20"/>
    </w:rPr>
  </w:style>
  <w:style w:type="character" w:customStyle="1" w:styleId="CommentTextChar">
    <w:name w:val="Comment Text Char"/>
    <w:basedOn w:val="DefaultParagraphFont"/>
    <w:link w:val="CommentText"/>
    <w:uiPriority w:val="99"/>
    <w:semiHidden/>
    <w:rsid w:val="00CA0A0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A0A0E"/>
    <w:rPr>
      <w:b/>
      <w:bCs/>
    </w:rPr>
  </w:style>
  <w:style w:type="character" w:customStyle="1" w:styleId="CommentSubjectChar">
    <w:name w:val="Comment Subject Char"/>
    <w:basedOn w:val="CommentTextChar"/>
    <w:link w:val="CommentSubject"/>
    <w:uiPriority w:val="99"/>
    <w:semiHidden/>
    <w:rsid w:val="00CA0A0E"/>
    <w:rPr>
      <w:rFonts w:ascii="Times New Roman" w:eastAsia="Times New Roman" w:hAnsi="Times New Roman" w:cs="Times New Roman"/>
      <w:b/>
      <w:bCs/>
      <w:sz w:val="20"/>
      <w:szCs w:val="20"/>
      <w:lang w:eastAsia="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B07324"/>
    <w:pPr>
      <w:jc w:val="both"/>
    </w:pPr>
    <w:rPr>
      <w:sz w:val="20"/>
      <w:szCs w:val="20"/>
      <w:lang w:eastAsia="en-US"/>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B073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718">
      <w:bodyDiv w:val="1"/>
      <w:marLeft w:val="0"/>
      <w:marRight w:val="0"/>
      <w:marTop w:val="0"/>
      <w:marBottom w:val="0"/>
      <w:divBdr>
        <w:top w:val="none" w:sz="0" w:space="0" w:color="auto"/>
        <w:left w:val="none" w:sz="0" w:space="0" w:color="auto"/>
        <w:bottom w:val="none" w:sz="0" w:space="0" w:color="auto"/>
        <w:right w:val="none" w:sz="0" w:space="0" w:color="auto"/>
      </w:divBdr>
    </w:div>
    <w:div w:id="1237781440">
      <w:bodyDiv w:val="1"/>
      <w:marLeft w:val="0"/>
      <w:marRight w:val="0"/>
      <w:marTop w:val="0"/>
      <w:marBottom w:val="0"/>
      <w:divBdr>
        <w:top w:val="none" w:sz="0" w:space="0" w:color="auto"/>
        <w:left w:val="none" w:sz="0" w:space="0" w:color="auto"/>
        <w:bottom w:val="none" w:sz="0" w:space="0" w:color="auto"/>
        <w:right w:val="none" w:sz="0" w:space="0" w:color="auto"/>
      </w:divBdr>
    </w:div>
    <w:div w:id="20642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955F-2A11-404A-88DF-D8759364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Pages>
  <Words>8915</Words>
  <Characters>5083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“Par lielā projekta “Latvijas dzelzceļa tīkla elektrifikācija” sagatavošanas progresu, izmaksu un ieguvumu analīzesrezultātiem un projekta īstenošanas risinājumiem”</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lielā projekta “Latvijas dzelzceļa tīkla elektrifikācija” sagatavošanas progresu, izmaksu un ieguvumu analīzesrezultātiem un projekta īstenošanas risinājumiem”</dc:title>
  <dc:creator>Olga Artemjeva</dc:creator>
  <cp:keywords>Informatīvais ziņojums</cp:keywords>
  <dc:description>Balaša  67028071
Santa.Balasa@sam.gov.lv</dc:description>
  <cp:lastModifiedBy>Santa Balaša</cp:lastModifiedBy>
  <cp:revision>23</cp:revision>
  <cp:lastPrinted>2018-04-20T07:53:00Z</cp:lastPrinted>
  <dcterms:created xsi:type="dcterms:W3CDTF">2018-02-22T15:00:00Z</dcterms:created>
  <dcterms:modified xsi:type="dcterms:W3CDTF">2018-04-20T14:15:00Z</dcterms:modified>
</cp:coreProperties>
</file>