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0ACD" w14:textId="4F98E0C4" w:rsidR="00D37446" w:rsidRDefault="00D37446" w:rsidP="00D37446">
      <w:pPr>
        <w:rPr>
          <w:sz w:val="28"/>
          <w:szCs w:val="28"/>
        </w:rPr>
      </w:pPr>
      <w:bookmarkStart w:id="0" w:name="OLE_LINK7"/>
      <w:bookmarkStart w:id="1" w:name="OLE_LINK8"/>
      <w:bookmarkStart w:id="2" w:name="OLE_LINK5"/>
      <w:bookmarkStart w:id="3" w:name="OLE_LINK6"/>
    </w:p>
    <w:p w14:paraId="36F38D0E" w14:textId="31D4E729" w:rsidR="007F45E3" w:rsidRDefault="007F45E3" w:rsidP="00D37446">
      <w:pPr>
        <w:rPr>
          <w:sz w:val="28"/>
          <w:szCs w:val="28"/>
        </w:rPr>
      </w:pPr>
    </w:p>
    <w:p w14:paraId="4FB4D19B" w14:textId="77777777" w:rsidR="007F45E3" w:rsidRPr="00646909" w:rsidRDefault="007F45E3" w:rsidP="00D37446">
      <w:pPr>
        <w:rPr>
          <w:sz w:val="28"/>
          <w:szCs w:val="28"/>
        </w:rPr>
      </w:pPr>
    </w:p>
    <w:p w14:paraId="5EB5B570" w14:textId="6BBB7CE1" w:rsidR="007F45E3" w:rsidRPr="007779EA" w:rsidRDefault="007F45E3" w:rsidP="007F45E3">
      <w:pPr>
        <w:tabs>
          <w:tab w:val="left" w:pos="6663"/>
        </w:tabs>
        <w:ind w:firstLine="0"/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 w:rsidRPr="007779EA">
        <w:rPr>
          <w:sz w:val="28"/>
          <w:szCs w:val="28"/>
        </w:rPr>
        <w:t>8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0A5974">
        <w:rPr>
          <w:sz w:val="28"/>
          <w:szCs w:val="28"/>
        </w:rPr>
        <w:t>30. oktobrī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0A5974">
        <w:rPr>
          <w:rFonts w:eastAsia="Times New Roman"/>
          <w:sz w:val="28"/>
          <w:szCs w:val="28"/>
        </w:rPr>
        <w:t> 658</w:t>
      </w:r>
    </w:p>
    <w:p w14:paraId="7BFE8371" w14:textId="60353B0E" w:rsidR="007F45E3" w:rsidRPr="007779EA" w:rsidRDefault="007F45E3" w:rsidP="007F45E3">
      <w:pPr>
        <w:tabs>
          <w:tab w:val="left" w:pos="6663"/>
        </w:tabs>
        <w:ind w:firstLine="0"/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0A5974">
        <w:rPr>
          <w:rFonts w:eastAsia="Times New Roman"/>
          <w:sz w:val="28"/>
          <w:szCs w:val="28"/>
        </w:rPr>
        <w:t> 50 27</w:t>
      </w:r>
      <w:bookmarkStart w:id="4" w:name="_GoBack"/>
      <w:bookmarkEnd w:id="4"/>
      <w:r w:rsidRPr="007779EA">
        <w:rPr>
          <w:rFonts w:eastAsia="Times New Roman"/>
          <w:sz w:val="28"/>
          <w:szCs w:val="28"/>
        </w:rPr>
        <w:t>. §)</w:t>
      </w:r>
    </w:p>
    <w:p w14:paraId="5FC7C468" w14:textId="77777777" w:rsidR="00D37446" w:rsidRPr="00B26DDE" w:rsidRDefault="00D37446" w:rsidP="00D37446">
      <w:pPr>
        <w:ind w:firstLine="0"/>
        <w:jc w:val="center"/>
        <w:rPr>
          <w:sz w:val="28"/>
          <w:szCs w:val="28"/>
        </w:rPr>
      </w:pPr>
    </w:p>
    <w:p w14:paraId="0DC6A9EB" w14:textId="77777777" w:rsidR="00D37446" w:rsidRDefault="00D37446" w:rsidP="00D3744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2012</w:t>
      </w:r>
      <w:r w:rsidRPr="009534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53441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26</w:t>
      </w:r>
      <w:r w:rsidRPr="00953441">
        <w:rPr>
          <w:b/>
          <w:sz w:val="28"/>
          <w:szCs w:val="28"/>
        </w:rPr>
        <w:t>. </w:t>
      </w:r>
      <w:bookmarkStart w:id="5" w:name="OLE_LINK1"/>
      <w:bookmarkStart w:id="6" w:name="OLE_LINK2"/>
      <w:r>
        <w:rPr>
          <w:b/>
          <w:sz w:val="28"/>
          <w:szCs w:val="28"/>
        </w:rPr>
        <w:t xml:space="preserve">jūnija </w:t>
      </w:r>
      <w:r w:rsidRPr="00953441">
        <w:rPr>
          <w:b/>
          <w:sz w:val="28"/>
          <w:szCs w:val="28"/>
        </w:rPr>
        <w:t xml:space="preserve">noteikumos </w:t>
      </w:r>
      <w:bookmarkStart w:id="7" w:name="OLE_LINK3"/>
      <w:bookmarkStart w:id="8" w:name="OLE_LINK4"/>
      <w:r w:rsidRPr="00953441">
        <w:rPr>
          <w:b/>
          <w:sz w:val="28"/>
          <w:szCs w:val="28"/>
        </w:rPr>
        <w:t>Nr.</w:t>
      </w:r>
      <w:r>
        <w:rPr>
          <w:b/>
          <w:sz w:val="28"/>
          <w:szCs w:val="28"/>
        </w:rPr>
        <w:t> 4</w:t>
      </w:r>
      <w:r w:rsidR="00BA6E79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"</w:t>
      </w:r>
      <w:bookmarkEnd w:id="0"/>
      <w:bookmarkEnd w:id="1"/>
      <w:r w:rsidR="00371216">
        <w:rPr>
          <w:b/>
          <w:bCs/>
          <w:sz w:val="28"/>
          <w:szCs w:val="28"/>
        </w:rPr>
        <w:t>Noteikumi par zvērinātu tiesu izpildītāju amata atlīdzības taksēm</w:t>
      </w:r>
      <w:r>
        <w:rPr>
          <w:b/>
          <w:sz w:val="28"/>
          <w:szCs w:val="28"/>
        </w:rPr>
        <w:t>"</w:t>
      </w:r>
    </w:p>
    <w:bookmarkEnd w:id="2"/>
    <w:bookmarkEnd w:id="3"/>
    <w:bookmarkEnd w:id="5"/>
    <w:bookmarkEnd w:id="6"/>
    <w:bookmarkEnd w:id="7"/>
    <w:bookmarkEnd w:id="8"/>
    <w:p w14:paraId="2B532688" w14:textId="77777777" w:rsidR="00D37446" w:rsidRPr="008201DE" w:rsidRDefault="00D37446" w:rsidP="00D37446">
      <w:pPr>
        <w:jc w:val="right"/>
        <w:rPr>
          <w:sz w:val="28"/>
          <w:szCs w:val="28"/>
        </w:rPr>
      </w:pPr>
    </w:p>
    <w:p w14:paraId="2FF9F6BD" w14:textId="77777777" w:rsidR="00D37446" w:rsidRDefault="00D37446" w:rsidP="00D37446">
      <w:pPr>
        <w:jc w:val="right"/>
        <w:rPr>
          <w:bCs/>
          <w:iCs/>
          <w:sz w:val="28"/>
          <w:szCs w:val="28"/>
        </w:rPr>
      </w:pPr>
      <w:r w:rsidRPr="00953441">
        <w:rPr>
          <w:bCs/>
          <w:iCs/>
          <w:sz w:val="28"/>
          <w:szCs w:val="28"/>
        </w:rPr>
        <w:t>Izdoti saskaņā ar</w:t>
      </w:r>
    </w:p>
    <w:p w14:paraId="1C49A2FD" w14:textId="77777777" w:rsidR="00073D27" w:rsidRDefault="00D37446" w:rsidP="00D37446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Tiesu izpildītāju likuma </w:t>
      </w:r>
    </w:p>
    <w:p w14:paraId="237B8781" w14:textId="0FCBE62A" w:rsidR="00D37446" w:rsidRPr="008201DE" w:rsidRDefault="00182E27" w:rsidP="00D37446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80. pantu</w:t>
      </w:r>
    </w:p>
    <w:p w14:paraId="01943FC0" w14:textId="77777777" w:rsidR="00D37446" w:rsidRPr="008201DE" w:rsidRDefault="00D37446" w:rsidP="00D37446">
      <w:pPr>
        <w:rPr>
          <w:sz w:val="28"/>
          <w:szCs w:val="28"/>
        </w:rPr>
      </w:pPr>
    </w:p>
    <w:p w14:paraId="2F5E67FE" w14:textId="1CBCD109" w:rsidR="00D37446" w:rsidRPr="00F17E17" w:rsidRDefault="00D37446" w:rsidP="00D37446">
      <w:pPr>
        <w:rPr>
          <w:sz w:val="28"/>
          <w:szCs w:val="28"/>
        </w:rPr>
      </w:pPr>
      <w:r w:rsidRPr="00F17E17">
        <w:rPr>
          <w:sz w:val="28"/>
          <w:szCs w:val="28"/>
        </w:rPr>
        <w:t>Izdarīt Ministru kabineta 2012. gada 26. jūnija noteikumos Nr. </w:t>
      </w:r>
      <w:r>
        <w:rPr>
          <w:sz w:val="28"/>
          <w:szCs w:val="28"/>
        </w:rPr>
        <w:t>4</w:t>
      </w:r>
      <w:r w:rsidR="00C14E37">
        <w:rPr>
          <w:sz w:val="28"/>
          <w:szCs w:val="28"/>
        </w:rPr>
        <w:t>51</w:t>
      </w:r>
      <w:r>
        <w:rPr>
          <w:sz w:val="28"/>
          <w:szCs w:val="28"/>
        </w:rPr>
        <w:t xml:space="preserve"> "</w:t>
      </w:r>
      <w:r w:rsidR="00C14E37">
        <w:rPr>
          <w:sz w:val="28"/>
          <w:szCs w:val="28"/>
        </w:rPr>
        <w:t>Noteikumi par zvērinātu tiesu izpildītāju amata atl</w:t>
      </w:r>
      <w:r w:rsidR="00841A26">
        <w:rPr>
          <w:sz w:val="28"/>
          <w:szCs w:val="28"/>
        </w:rPr>
        <w:t>īdzības taksēm</w:t>
      </w:r>
      <w:r>
        <w:rPr>
          <w:sz w:val="28"/>
          <w:szCs w:val="28"/>
        </w:rPr>
        <w:t>"</w:t>
      </w:r>
      <w:r w:rsidRPr="00F17E17">
        <w:rPr>
          <w:sz w:val="28"/>
          <w:szCs w:val="28"/>
        </w:rPr>
        <w:t xml:space="preserve"> (Latvijas Vēstnesis, 2012, 1</w:t>
      </w:r>
      <w:r w:rsidR="00841A26">
        <w:rPr>
          <w:sz w:val="28"/>
          <w:szCs w:val="28"/>
        </w:rPr>
        <w:t>11</w:t>
      </w:r>
      <w:r w:rsidRPr="00F17E1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17E17">
        <w:rPr>
          <w:sz w:val="28"/>
          <w:szCs w:val="28"/>
        </w:rPr>
        <w:t>nr.</w:t>
      </w:r>
      <w:r w:rsidR="00371216">
        <w:rPr>
          <w:sz w:val="28"/>
          <w:szCs w:val="28"/>
        </w:rPr>
        <w:t>; 2013, 203. nr.; 2016, 154. nr.</w:t>
      </w:r>
      <w:r w:rsidRPr="00F17E17">
        <w:rPr>
          <w:sz w:val="28"/>
          <w:szCs w:val="28"/>
        </w:rPr>
        <w:t>) šādus grozījumus:</w:t>
      </w:r>
    </w:p>
    <w:p w14:paraId="53C83A70" w14:textId="77777777" w:rsidR="00D37446" w:rsidRDefault="00D37446" w:rsidP="00D37446">
      <w:pPr>
        <w:rPr>
          <w:sz w:val="28"/>
          <w:szCs w:val="28"/>
        </w:rPr>
      </w:pPr>
    </w:p>
    <w:p w14:paraId="21EB1C50" w14:textId="209720D9" w:rsidR="00073D27" w:rsidRPr="00073D27" w:rsidRDefault="00073D27" w:rsidP="00073D27">
      <w:pPr>
        <w:ind w:firstLine="709"/>
        <w:rPr>
          <w:sz w:val="28"/>
          <w:szCs w:val="28"/>
        </w:rPr>
      </w:pPr>
      <w:r w:rsidRPr="00073D27">
        <w:rPr>
          <w:sz w:val="28"/>
          <w:szCs w:val="28"/>
        </w:rPr>
        <w:t xml:space="preserve">1. </w:t>
      </w:r>
      <w:r w:rsidR="00A86EC3" w:rsidRPr="00073D27">
        <w:rPr>
          <w:sz w:val="28"/>
          <w:szCs w:val="28"/>
        </w:rPr>
        <w:t>A</w:t>
      </w:r>
      <w:r w:rsidR="000A7E77" w:rsidRPr="00073D27">
        <w:rPr>
          <w:sz w:val="28"/>
          <w:szCs w:val="28"/>
        </w:rPr>
        <w:t>izstāt visā tekstā</w:t>
      </w:r>
      <w:r w:rsidRPr="00073D27">
        <w:rPr>
          <w:sz w:val="28"/>
          <w:szCs w:val="28"/>
        </w:rPr>
        <w:t>:</w:t>
      </w:r>
    </w:p>
    <w:p w14:paraId="3ECEDF08" w14:textId="77777777" w:rsidR="00073D27" w:rsidRPr="00073D27" w:rsidRDefault="00073D27" w:rsidP="00073D27">
      <w:pPr>
        <w:ind w:firstLine="709"/>
        <w:rPr>
          <w:sz w:val="28"/>
          <w:szCs w:val="28"/>
        </w:rPr>
      </w:pPr>
      <w:r w:rsidRPr="00073D27">
        <w:rPr>
          <w:sz w:val="28"/>
          <w:szCs w:val="28"/>
        </w:rPr>
        <w:t>1.1. </w:t>
      </w:r>
      <w:r w:rsidR="000A7E77" w:rsidRPr="00073D27">
        <w:rPr>
          <w:sz w:val="28"/>
          <w:szCs w:val="28"/>
        </w:rPr>
        <w:t>skaitli "36,99" ar skaitli "40,00"</w:t>
      </w:r>
      <w:r w:rsidRPr="00073D27">
        <w:rPr>
          <w:sz w:val="28"/>
          <w:szCs w:val="28"/>
        </w:rPr>
        <w:t>;</w:t>
      </w:r>
    </w:p>
    <w:p w14:paraId="731412B5" w14:textId="27700664" w:rsidR="00073D27" w:rsidRPr="00073D27" w:rsidRDefault="00073D27" w:rsidP="00073D27">
      <w:pPr>
        <w:ind w:firstLine="709"/>
        <w:rPr>
          <w:sz w:val="28"/>
          <w:szCs w:val="28"/>
        </w:rPr>
      </w:pPr>
      <w:r w:rsidRPr="00073D27">
        <w:rPr>
          <w:sz w:val="28"/>
          <w:szCs w:val="28"/>
        </w:rPr>
        <w:t>1.2. </w:t>
      </w:r>
      <w:r w:rsidR="000A7E77" w:rsidRPr="00073D27">
        <w:rPr>
          <w:sz w:val="28"/>
          <w:szCs w:val="28"/>
        </w:rPr>
        <w:t>skaitli "66,73" ar skaitli "70,00"</w:t>
      </w:r>
      <w:r w:rsidRPr="00073D27">
        <w:rPr>
          <w:sz w:val="28"/>
          <w:szCs w:val="28"/>
        </w:rPr>
        <w:t>;</w:t>
      </w:r>
    </w:p>
    <w:p w14:paraId="38879053" w14:textId="0DAB169E" w:rsidR="00073D27" w:rsidRPr="00073D27" w:rsidRDefault="00073D27" w:rsidP="00073D27">
      <w:pPr>
        <w:ind w:firstLine="709"/>
        <w:rPr>
          <w:sz w:val="28"/>
          <w:szCs w:val="28"/>
        </w:rPr>
      </w:pPr>
      <w:r w:rsidRPr="00073D27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="000A7E77" w:rsidRPr="00073D27">
        <w:rPr>
          <w:sz w:val="28"/>
          <w:szCs w:val="28"/>
        </w:rPr>
        <w:t>skaitli "133,32" ar skaitli "130,00"</w:t>
      </w:r>
      <w:r w:rsidRPr="00073D27">
        <w:rPr>
          <w:sz w:val="28"/>
          <w:szCs w:val="28"/>
        </w:rPr>
        <w:t>;</w:t>
      </w:r>
    </w:p>
    <w:p w14:paraId="4376C4C0" w14:textId="2C2F0599" w:rsidR="000A7E77" w:rsidRPr="00073D27" w:rsidRDefault="00073D27" w:rsidP="00073D27">
      <w:pPr>
        <w:ind w:firstLine="709"/>
        <w:rPr>
          <w:sz w:val="28"/>
          <w:szCs w:val="28"/>
        </w:rPr>
      </w:pPr>
      <w:r w:rsidRPr="00073D27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="000A7E77" w:rsidRPr="00073D27">
        <w:rPr>
          <w:sz w:val="28"/>
          <w:szCs w:val="28"/>
        </w:rPr>
        <w:t>skaitli "266,65" ar skaitli "270,00"</w:t>
      </w:r>
      <w:r w:rsidRPr="00073D27">
        <w:rPr>
          <w:sz w:val="28"/>
          <w:szCs w:val="28"/>
        </w:rPr>
        <w:t>.</w:t>
      </w:r>
    </w:p>
    <w:p w14:paraId="3E66C4AE" w14:textId="77777777" w:rsidR="000A7E77" w:rsidRPr="00073D27" w:rsidRDefault="000A7E77" w:rsidP="000A7E77">
      <w:pPr>
        <w:ind w:left="720" w:firstLine="0"/>
        <w:rPr>
          <w:sz w:val="28"/>
          <w:szCs w:val="28"/>
        </w:rPr>
      </w:pPr>
    </w:p>
    <w:p w14:paraId="07941344" w14:textId="75D1E3F4" w:rsidR="007D7BF0" w:rsidRPr="000A7E77" w:rsidRDefault="00570D95" w:rsidP="00031BB4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A86EC3">
        <w:rPr>
          <w:sz w:val="28"/>
          <w:szCs w:val="28"/>
        </w:rPr>
        <w:t>I</w:t>
      </w:r>
      <w:r w:rsidR="003B2CCD" w:rsidRPr="000A7E77">
        <w:rPr>
          <w:sz w:val="28"/>
          <w:szCs w:val="28"/>
        </w:rPr>
        <w:t>zteikt 3. punktu šādā redakcijā:</w:t>
      </w:r>
    </w:p>
    <w:p w14:paraId="283F5E7D" w14:textId="77777777" w:rsidR="00570D95" w:rsidRDefault="00570D95" w:rsidP="007D7BF0">
      <w:pPr>
        <w:pStyle w:val="ListParagraph"/>
        <w:ind w:left="495" w:firstLine="0"/>
        <w:rPr>
          <w:sz w:val="28"/>
          <w:szCs w:val="28"/>
        </w:rPr>
      </w:pPr>
    </w:p>
    <w:p w14:paraId="56B3D930" w14:textId="45325A5F" w:rsidR="007D7BF0" w:rsidRDefault="007D7BF0" w:rsidP="00031BB4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"3. Katrā izpildu lietā par piedziņu maksājama amata atlīdzība šādā apmērā:</w:t>
      </w:r>
    </w:p>
    <w:p w14:paraId="4C9FFD33" w14:textId="77777777" w:rsidR="00B96A43" w:rsidRDefault="00B96A43" w:rsidP="007D7BF0">
      <w:pPr>
        <w:pStyle w:val="ListParagraph"/>
        <w:ind w:left="495" w:firstLine="0"/>
        <w:rPr>
          <w:sz w:val="28"/>
          <w:szCs w:val="28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343"/>
        <w:gridCol w:w="3686"/>
        <w:gridCol w:w="3537"/>
      </w:tblGrid>
      <w:tr w:rsidR="00B96A43" w:rsidRPr="008B32CB" w14:paraId="54FBB618" w14:textId="77777777" w:rsidTr="00073D27">
        <w:tc>
          <w:tcPr>
            <w:tcW w:w="1343" w:type="dxa"/>
            <w:vAlign w:val="center"/>
          </w:tcPr>
          <w:p w14:paraId="55835166" w14:textId="4F6C59B7" w:rsidR="00073D27" w:rsidRPr="008B32CB" w:rsidRDefault="00B96A43" w:rsidP="00073D27">
            <w:pPr>
              <w:pStyle w:val="ListParagraph"/>
              <w:ind w:left="0" w:firstLine="0"/>
              <w:jc w:val="center"/>
              <w:rPr>
                <w:szCs w:val="24"/>
              </w:rPr>
            </w:pPr>
            <w:r w:rsidRPr="008B32CB">
              <w:rPr>
                <w:szCs w:val="24"/>
              </w:rPr>
              <w:t>Nr.</w:t>
            </w:r>
          </w:p>
          <w:p w14:paraId="30C1638C" w14:textId="0F83FCBB" w:rsidR="00B96A43" w:rsidRPr="008B32CB" w:rsidRDefault="00B96A43" w:rsidP="00073D27">
            <w:pPr>
              <w:pStyle w:val="ListParagraph"/>
              <w:ind w:left="0" w:firstLine="0"/>
              <w:jc w:val="center"/>
              <w:rPr>
                <w:szCs w:val="24"/>
              </w:rPr>
            </w:pPr>
            <w:r w:rsidRPr="008B32CB">
              <w:rPr>
                <w:szCs w:val="24"/>
              </w:rPr>
              <w:t>p. k.</w:t>
            </w:r>
          </w:p>
        </w:tc>
        <w:tc>
          <w:tcPr>
            <w:tcW w:w="3686" w:type="dxa"/>
            <w:vAlign w:val="center"/>
          </w:tcPr>
          <w:p w14:paraId="3D55497C" w14:textId="77777777" w:rsidR="00073D27" w:rsidRPr="008B32CB" w:rsidRDefault="00B96A43" w:rsidP="00073D27">
            <w:pPr>
              <w:pStyle w:val="ListParagraph"/>
              <w:ind w:left="0" w:firstLine="0"/>
              <w:jc w:val="center"/>
              <w:rPr>
                <w:szCs w:val="24"/>
              </w:rPr>
            </w:pPr>
            <w:r w:rsidRPr="008B32CB">
              <w:rPr>
                <w:szCs w:val="24"/>
              </w:rPr>
              <w:t xml:space="preserve">Piedzenamā summa </w:t>
            </w:r>
          </w:p>
          <w:p w14:paraId="0614B96B" w14:textId="75DD1400" w:rsidR="00B96A43" w:rsidRPr="008B32CB" w:rsidRDefault="00B96A43" w:rsidP="00073D27">
            <w:pPr>
              <w:pStyle w:val="ListParagraph"/>
              <w:ind w:left="0" w:firstLine="0"/>
              <w:jc w:val="center"/>
              <w:rPr>
                <w:szCs w:val="24"/>
              </w:rPr>
            </w:pPr>
            <w:r w:rsidRPr="008B32CB">
              <w:rPr>
                <w:szCs w:val="24"/>
              </w:rPr>
              <w:t>(</w:t>
            </w:r>
            <w:proofErr w:type="spellStart"/>
            <w:r w:rsidRPr="008B32CB">
              <w:rPr>
                <w:i/>
                <w:szCs w:val="24"/>
              </w:rPr>
              <w:t>euro</w:t>
            </w:r>
            <w:proofErr w:type="spellEnd"/>
            <w:r w:rsidRPr="008B32CB">
              <w:rPr>
                <w:szCs w:val="24"/>
              </w:rPr>
              <w:t>)</w:t>
            </w:r>
          </w:p>
        </w:tc>
        <w:tc>
          <w:tcPr>
            <w:tcW w:w="3537" w:type="dxa"/>
            <w:vAlign w:val="center"/>
          </w:tcPr>
          <w:p w14:paraId="16D360C5" w14:textId="77777777" w:rsidR="00073D27" w:rsidRPr="008B32CB" w:rsidRDefault="00B96A43" w:rsidP="00073D27">
            <w:pPr>
              <w:pStyle w:val="ListParagraph"/>
              <w:ind w:left="0" w:firstLine="0"/>
              <w:jc w:val="center"/>
              <w:rPr>
                <w:szCs w:val="24"/>
              </w:rPr>
            </w:pPr>
            <w:r w:rsidRPr="008B32CB">
              <w:rPr>
                <w:szCs w:val="24"/>
              </w:rPr>
              <w:t xml:space="preserve">Amata atlīdzība </w:t>
            </w:r>
          </w:p>
          <w:p w14:paraId="641A0341" w14:textId="2CA37BDC" w:rsidR="00B96A43" w:rsidRPr="008B32CB" w:rsidRDefault="00B96A43" w:rsidP="00073D27">
            <w:pPr>
              <w:pStyle w:val="ListParagraph"/>
              <w:ind w:left="0" w:firstLine="0"/>
              <w:jc w:val="center"/>
              <w:rPr>
                <w:szCs w:val="24"/>
              </w:rPr>
            </w:pPr>
            <w:r w:rsidRPr="008B32CB">
              <w:rPr>
                <w:szCs w:val="24"/>
              </w:rPr>
              <w:t>(</w:t>
            </w:r>
            <w:proofErr w:type="spellStart"/>
            <w:r w:rsidRPr="008B32CB">
              <w:rPr>
                <w:i/>
                <w:szCs w:val="24"/>
              </w:rPr>
              <w:t>euro</w:t>
            </w:r>
            <w:proofErr w:type="spellEnd"/>
            <w:r w:rsidRPr="008B32CB">
              <w:rPr>
                <w:szCs w:val="24"/>
              </w:rPr>
              <w:t>)</w:t>
            </w:r>
          </w:p>
        </w:tc>
      </w:tr>
      <w:tr w:rsidR="00B96A43" w:rsidRPr="008B32CB" w14:paraId="5194370A" w14:textId="77777777" w:rsidTr="00B96A43">
        <w:tc>
          <w:tcPr>
            <w:tcW w:w="1343" w:type="dxa"/>
          </w:tcPr>
          <w:p w14:paraId="57859C9F" w14:textId="77777777" w:rsidR="00B96A43" w:rsidRPr="008B32CB" w:rsidRDefault="00B96A43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3.1.</w:t>
            </w:r>
          </w:p>
        </w:tc>
        <w:tc>
          <w:tcPr>
            <w:tcW w:w="3686" w:type="dxa"/>
          </w:tcPr>
          <w:p w14:paraId="3BD65ACD" w14:textId="77777777" w:rsidR="00B96A43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līdz 10</w:t>
            </w:r>
          </w:p>
        </w:tc>
        <w:tc>
          <w:tcPr>
            <w:tcW w:w="3537" w:type="dxa"/>
          </w:tcPr>
          <w:p w14:paraId="2966388D" w14:textId="77777777" w:rsidR="00B96A43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15</w:t>
            </w:r>
          </w:p>
        </w:tc>
      </w:tr>
      <w:tr w:rsidR="00B96A43" w:rsidRPr="008B32CB" w14:paraId="22DCEAC2" w14:textId="77777777" w:rsidTr="00B96A43">
        <w:tc>
          <w:tcPr>
            <w:tcW w:w="1343" w:type="dxa"/>
          </w:tcPr>
          <w:p w14:paraId="3E104EDA" w14:textId="77777777" w:rsidR="00B96A43" w:rsidRPr="008B32CB" w:rsidRDefault="00B96A43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3.2.</w:t>
            </w:r>
          </w:p>
        </w:tc>
        <w:tc>
          <w:tcPr>
            <w:tcW w:w="3686" w:type="dxa"/>
          </w:tcPr>
          <w:p w14:paraId="12ADE155" w14:textId="7C31052F" w:rsidR="00B96A43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10,01</w:t>
            </w:r>
            <w:r w:rsidR="00073D27" w:rsidRPr="008B32CB">
              <w:rPr>
                <w:szCs w:val="24"/>
              </w:rPr>
              <w:t>–</w:t>
            </w:r>
            <w:r w:rsidRPr="008B32CB">
              <w:rPr>
                <w:szCs w:val="24"/>
              </w:rPr>
              <w:t>30</w:t>
            </w:r>
          </w:p>
        </w:tc>
        <w:tc>
          <w:tcPr>
            <w:tcW w:w="3537" w:type="dxa"/>
          </w:tcPr>
          <w:p w14:paraId="33AA2F14" w14:textId="77777777" w:rsidR="00B96A43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20</w:t>
            </w:r>
          </w:p>
        </w:tc>
      </w:tr>
      <w:tr w:rsidR="00B96A43" w:rsidRPr="008B32CB" w14:paraId="1B40C91A" w14:textId="77777777" w:rsidTr="00B96A43">
        <w:tc>
          <w:tcPr>
            <w:tcW w:w="1343" w:type="dxa"/>
          </w:tcPr>
          <w:p w14:paraId="1026DBD0" w14:textId="77777777" w:rsidR="00B96A43" w:rsidRPr="008B32CB" w:rsidRDefault="00B96A43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3.3.</w:t>
            </w:r>
          </w:p>
        </w:tc>
        <w:tc>
          <w:tcPr>
            <w:tcW w:w="3686" w:type="dxa"/>
          </w:tcPr>
          <w:p w14:paraId="3DCB6B0B" w14:textId="55F66695" w:rsidR="00B96A43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30,01</w:t>
            </w:r>
            <w:r w:rsidR="00073D27" w:rsidRPr="008B32CB">
              <w:rPr>
                <w:szCs w:val="24"/>
              </w:rPr>
              <w:t>–</w:t>
            </w:r>
            <w:r w:rsidRPr="008B32CB">
              <w:rPr>
                <w:szCs w:val="24"/>
              </w:rPr>
              <w:t>50</w:t>
            </w:r>
          </w:p>
        </w:tc>
        <w:tc>
          <w:tcPr>
            <w:tcW w:w="3537" w:type="dxa"/>
          </w:tcPr>
          <w:p w14:paraId="3FD64C7A" w14:textId="77777777" w:rsidR="00B96A43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25</w:t>
            </w:r>
          </w:p>
        </w:tc>
      </w:tr>
      <w:tr w:rsidR="00B96A43" w:rsidRPr="008B32CB" w14:paraId="660CE10B" w14:textId="77777777" w:rsidTr="00B96A43">
        <w:tc>
          <w:tcPr>
            <w:tcW w:w="1343" w:type="dxa"/>
          </w:tcPr>
          <w:p w14:paraId="1F6FA9B0" w14:textId="77777777" w:rsidR="00B96A43" w:rsidRPr="008B32CB" w:rsidRDefault="00B96A43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3.4.</w:t>
            </w:r>
          </w:p>
        </w:tc>
        <w:tc>
          <w:tcPr>
            <w:tcW w:w="3686" w:type="dxa"/>
          </w:tcPr>
          <w:p w14:paraId="19CD841B" w14:textId="3062F6AA" w:rsidR="00B96A43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50,01</w:t>
            </w:r>
            <w:r w:rsidR="00073D27" w:rsidRPr="008B32CB">
              <w:rPr>
                <w:szCs w:val="24"/>
              </w:rPr>
              <w:t>–</w:t>
            </w:r>
            <w:r w:rsidRPr="008B32CB">
              <w:rPr>
                <w:szCs w:val="24"/>
              </w:rPr>
              <w:t>100</w:t>
            </w:r>
          </w:p>
        </w:tc>
        <w:tc>
          <w:tcPr>
            <w:tcW w:w="3537" w:type="dxa"/>
          </w:tcPr>
          <w:p w14:paraId="7C51B800" w14:textId="77777777" w:rsidR="00B96A43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35</w:t>
            </w:r>
          </w:p>
        </w:tc>
      </w:tr>
      <w:tr w:rsidR="00B96A43" w:rsidRPr="008B32CB" w14:paraId="2DBD52E6" w14:textId="77777777" w:rsidTr="00B96A43">
        <w:tc>
          <w:tcPr>
            <w:tcW w:w="1343" w:type="dxa"/>
          </w:tcPr>
          <w:p w14:paraId="17224561" w14:textId="77777777" w:rsidR="00B96A43" w:rsidRPr="008B32CB" w:rsidRDefault="00B96A43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3.5.</w:t>
            </w:r>
          </w:p>
        </w:tc>
        <w:tc>
          <w:tcPr>
            <w:tcW w:w="3686" w:type="dxa"/>
          </w:tcPr>
          <w:p w14:paraId="18CC60AC" w14:textId="3EF554CA" w:rsidR="00B96A43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100,01</w:t>
            </w:r>
            <w:r w:rsidR="00073D27" w:rsidRPr="008B32CB">
              <w:rPr>
                <w:szCs w:val="24"/>
              </w:rPr>
              <w:t>–</w:t>
            </w:r>
            <w:r w:rsidRPr="008B32CB">
              <w:rPr>
                <w:szCs w:val="24"/>
              </w:rPr>
              <w:t>300</w:t>
            </w:r>
          </w:p>
        </w:tc>
        <w:tc>
          <w:tcPr>
            <w:tcW w:w="3537" w:type="dxa"/>
          </w:tcPr>
          <w:p w14:paraId="73A5766E" w14:textId="77777777" w:rsidR="00B96A43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50</w:t>
            </w:r>
          </w:p>
        </w:tc>
      </w:tr>
      <w:tr w:rsidR="00B96A43" w:rsidRPr="008B32CB" w14:paraId="7518D699" w14:textId="77777777" w:rsidTr="00B96A43">
        <w:tc>
          <w:tcPr>
            <w:tcW w:w="1343" w:type="dxa"/>
          </w:tcPr>
          <w:p w14:paraId="5321FBA0" w14:textId="77777777" w:rsidR="00B96A43" w:rsidRPr="008B32CB" w:rsidRDefault="00B96A43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3.6.</w:t>
            </w:r>
          </w:p>
        </w:tc>
        <w:tc>
          <w:tcPr>
            <w:tcW w:w="3686" w:type="dxa"/>
          </w:tcPr>
          <w:p w14:paraId="59BEFA32" w14:textId="1A6F8E35" w:rsidR="00B96A43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300,01</w:t>
            </w:r>
            <w:r w:rsidR="00073D27" w:rsidRPr="008B32CB">
              <w:rPr>
                <w:szCs w:val="24"/>
              </w:rPr>
              <w:t>–</w:t>
            </w:r>
            <w:r w:rsidRPr="008B32CB">
              <w:rPr>
                <w:szCs w:val="24"/>
              </w:rPr>
              <w:t>700</w:t>
            </w:r>
          </w:p>
        </w:tc>
        <w:tc>
          <w:tcPr>
            <w:tcW w:w="3537" w:type="dxa"/>
          </w:tcPr>
          <w:p w14:paraId="0E913E89" w14:textId="77777777" w:rsidR="00B96A43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75</w:t>
            </w:r>
          </w:p>
        </w:tc>
      </w:tr>
      <w:tr w:rsidR="00B96A43" w:rsidRPr="008B32CB" w14:paraId="2E009A30" w14:textId="77777777" w:rsidTr="00B96A43">
        <w:tc>
          <w:tcPr>
            <w:tcW w:w="1343" w:type="dxa"/>
          </w:tcPr>
          <w:p w14:paraId="54ED9AB3" w14:textId="77777777" w:rsidR="00B96A43" w:rsidRPr="008B32CB" w:rsidRDefault="00B96A43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3.7.</w:t>
            </w:r>
          </w:p>
        </w:tc>
        <w:tc>
          <w:tcPr>
            <w:tcW w:w="3686" w:type="dxa"/>
          </w:tcPr>
          <w:p w14:paraId="3A54AD41" w14:textId="15667BD4" w:rsidR="00B96A43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700,01</w:t>
            </w:r>
            <w:r w:rsidR="00073D27" w:rsidRPr="008B32CB">
              <w:rPr>
                <w:szCs w:val="24"/>
              </w:rPr>
              <w:t>–</w:t>
            </w:r>
            <w:r w:rsidRPr="008B32CB">
              <w:rPr>
                <w:szCs w:val="24"/>
              </w:rPr>
              <w:t>3 000</w:t>
            </w:r>
          </w:p>
        </w:tc>
        <w:tc>
          <w:tcPr>
            <w:tcW w:w="3537" w:type="dxa"/>
          </w:tcPr>
          <w:p w14:paraId="5D87637D" w14:textId="77777777" w:rsidR="00B96A43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100</w:t>
            </w:r>
          </w:p>
        </w:tc>
      </w:tr>
      <w:tr w:rsidR="006A57DC" w:rsidRPr="008B32CB" w14:paraId="60110994" w14:textId="77777777" w:rsidTr="00B96A43">
        <w:tc>
          <w:tcPr>
            <w:tcW w:w="1343" w:type="dxa"/>
          </w:tcPr>
          <w:p w14:paraId="6827ECDD" w14:textId="77777777" w:rsidR="006A57DC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3.8.</w:t>
            </w:r>
          </w:p>
        </w:tc>
        <w:tc>
          <w:tcPr>
            <w:tcW w:w="3686" w:type="dxa"/>
          </w:tcPr>
          <w:p w14:paraId="5EB6DAC9" w14:textId="4F236108" w:rsidR="006A57DC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3 000,01</w:t>
            </w:r>
            <w:r w:rsidR="00073D27" w:rsidRPr="008B32CB">
              <w:rPr>
                <w:szCs w:val="24"/>
              </w:rPr>
              <w:t>–</w:t>
            </w:r>
            <w:r w:rsidRPr="008B32CB">
              <w:rPr>
                <w:szCs w:val="24"/>
              </w:rPr>
              <w:t>10 000</w:t>
            </w:r>
          </w:p>
        </w:tc>
        <w:tc>
          <w:tcPr>
            <w:tcW w:w="3537" w:type="dxa"/>
          </w:tcPr>
          <w:p w14:paraId="27F43E91" w14:textId="77777777" w:rsidR="006A57DC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150</w:t>
            </w:r>
          </w:p>
        </w:tc>
      </w:tr>
      <w:tr w:rsidR="006A57DC" w:rsidRPr="008B32CB" w14:paraId="0877EF13" w14:textId="77777777" w:rsidTr="00B96A43">
        <w:tc>
          <w:tcPr>
            <w:tcW w:w="1343" w:type="dxa"/>
          </w:tcPr>
          <w:p w14:paraId="08A968DB" w14:textId="77777777" w:rsidR="006A57DC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3.9.</w:t>
            </w:r>
          </w:p>
        </w:tc>
        <w:tc>
          <w:tcPr>
            <w:tcW w:w="3686" w:type="dxa"/>
          </w:tcPr>
          <w:p w14:paraId="66285739" w14:textId="26392D02" w:rsidR="006A57DC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10 000,01</w:t>
            </w:r>
            <w:r w:rsidR="00073D27" w:rsidRPr="008B32CB">
              <w:rPr>
                <w:szCs w:val="24"/>
              </w:rPr>
              <w:t>–</w:t>
            </w:r>
            <w:r w:rsidRPr="008B32CB">
              <w:rPr>
                <w:szCs w:val="24"/>
              </w:rPr>
              <w:t>100 000</w:t>
            </w:r>
          </w:p>
        </w:tc>
        <w:tc>
          <w:tcPr>
            <w:tcW w:w="3537" w:type="dxa"/>
          </w:tcPr>
          <w:p w14:paraId="34A7125B" w14:textId="77777777" w:rsidR="006A57DC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200</w:t>
            </w:r>
          </w:p>
        </w:tc>
      </w:tr>
      <w:tr w:rsidR="006A57DC" w:rsidRPr="008B32CB" w14:paraId="790FD300" w14:textId="77777777" w:rsidTr="00B96A43">
        <w:tc>
          <w:tcPr>
            <w:tcW w:w="1343" w:type="dxa"/>
          </w:tcPr>
          <w:p w14:paraId="7C1B6059" w14:textId="77777777" w:rsidR="006A57DC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3.10.</w:t>
            </w:r>
          </w:p>
        </w:tc>
        <w:tc>
          <w:tcPr>
            <w:tcW w:w="3686" w:type="dxa"/>
          </w:tcPr>
          <w:p w14:paraId="414C3C3B" w14:textId="77777777" w:rsidR="006A57DC" w:rsidRPr="008B32CB" w:rsidRDefault="006A57DC" w:rsidP="007D7BF0">
            <w:pPr>
              <w:pStyle w:val="ListParagraph"/>
              <w:ind w:left="0" w:firstLine="0"/>
              <w:rPr>
                <w:szCs w:val="24"/>
              </w:rPr>
            </w:pPr>
            <w:r w:rsidRPr="008B32CB">
              <w:rPr>
                <w:szCs w:val="24"/>
              </w:rPr>
              <w:t>virs 100 000</w:t>
            </w:r>
          </w:p>
        </w:tc>
        <w:tc>
          <w:tcPr>
            <w:tcW w:w="3537" w:type="dxa"/>
          </w:tcPr>
          <w:p w14:paraId="24AF6DB1" w14:textId="32B055F2" w:rsidR="006A57DC" w:rsidRPr="008B32CB" w:rsidRDefault="006A57DC" w:rsidP="00073D27">
            <w:pPr>
              <w:pStyle w:val="ListParagraph"/>
              <w:ind w:left="178" w:firstLine="0"/>
              <w:rPr>
                <w:szCs w:val="24"/>
              </w:rPr>
            </w:pPr>
            <w:r w:rsidRPr="008B32CB">
              <w:rPr>
                <w:szCs w:val="24"/>
              </w:rPr>
              <w:t>250</w:t>
            </w:r>
            <w:r w:rsidR="00570D95" w:rsidRPr="008B32CB">
              <w:rPr>
                <w:szCs w:val="24"/>
              </w:rPr>
              <w:t>"</w:t>
            </w:r>
          </w:p>
        </w:tc>
      </w:tr>
    </w:tbl>
    <w:p w14:paraId="6F1E8D93" w14:textId="322A807F" w:rsidR="007D7BF0" w:rsidRDefault="007D7BF0" w:rsidP="007D7BF0">
      <w:pPr>
        <w:pStyle w:val="ListParagraph"/>
        <w:ind w:left="495" w:firstLine="0"/>
        <w:rPr>
          <w:sz w:val="28"/>
          <w:szCs w:val="28"/>
        </w:rPr>
      </w:pPr>
    </w:p>
    <w:p w14:paraId="022A33DF" w14:textId="6DE32FFA" w:rsidR="006A57DC" w:rsidRDefault="00570D95" w:rsidP="00031BB4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3. </w:t>
      </w:r>
      <w:r w:rsidR="00A86EC3">
        <w:rPr>
          <w:sz w:val="28"/>
          <w:szCs w:val="28"/>
        </w:rPr>
        <w:t>P</w:t>
      </w:r>
      <w:r w:rsidR="006A57DC">
        <w:rPr>
          <w:sz w:val="28"/>
          <w:szCs w:val="28"/>
        </w:rPr>
        <w:t>ap</w:t>
      </w:r>
      <w:r w:rsidR="001C06B8">
        <w:rPr>
          <w:sz w:val="28"/>
          <w:szCs w:val="28"/>
        </w:rPr>
        <w:t xml:space="preserve">ildināt noteikumus ar </w:t>
      </w:r>
      <w:r w:rsidR="0048482C">
        <w:rPr>
          <w:sz w:val="28"/>
          <w:szCs w:val="28"/>
        </w:rPr>
        <w:t>3</w:t>
      </w:r>
      <w:r w:rsidR="001C06B8">
        <w:rPr>
          <w:sz w:val="28"/>
          <w:szCs w:val="28"/>
        </w:rPr>
        <w:t>.</w:t>
      </w:r>
      <w:r w:rsidR="001C06B8" w:rsidRPr="001C06B8">
        <w:rPr>
          <w:sz w:val="28"/>
          <w:szCs w:val="28"/>
          <w:vertAlign w:val="superscript"/>
        </w:rPr>
        <w:t>1</w:t>
      </w:r>
      <w:r w:rsidR="001C06B8">
        <w:rPr>
          <w:sz w:val="28"/>
          <w:szCs w:val="28"/>
        </w:rPr>
        <w:t> </w:t>
      </w:r>
      <w:r w:rsidR="00D7460C">
        <w:rPr>
          <w:sz w:val="28"/>
          <w:szCs w:val="28"/>
        </w:rPr>
        <w:t>un 3.</w:t>
      </w:r>
      <w:r w:rsidR="00D7460C" w:rsidRPr="00D7460C">
        <w:rPr>
          <w:sz w:val="28"/>
          <w:szCs w:val="28"/>
          <w:vertAlign w:val="superscript"/>
        </w:rPr>
        <w:t>2</w:t>
      </w:r>
      <w:r w:rsidR="00D7460C">
        <w:rPr>
          <w:sz w:val="28"/>
          <w:szCs w:val="28"/>
        </w:rPr>
        <w:t> </w:t>
      </w:r>
      <w:r w:rsidR="001C06B8">
        <w:rPr>
          <w:sz w:val="28"/>
          <w:szCs w:val="28"/>
        </w:rPr>
        <w:t>punktu šādā redakcijā:</w:t>
      </w:r>
    </w:p>
    <w:p w14:paraId="61C80D1A" w14:textId="77777777" w:rsidR="007F45E3" w:rsidRDefault="007F45E3" w:rsidP="0048482C">
      <w:pPr>
        <w:pStyle w:val="ListParagraph"/>
        <w:ind w:left="0"/>
        <w:rPr>
          <w:sz w:val="28"/>
          <w:szCs w:val="28"/>
        </w:rPr>
      </w:pPr>
    </w:p>
    <w:p w14:paraId="2814A20B" w14:textId="08D6C7AB" w:rsidR="001C06B8" w:rsidRDefault="001C06B8" w:rsidP="0048482C">
      <w:pPr>
        <w:pStyle w:val="ListParagraph"/>
        <w:ind w:left="0"/>
        <w:rPr>
          <w:sz w:val="28"/>
          <w:szCs w:val="28"/>
        </w:rPr>
      </w:pPr>
      <w:r w:rsidRPr="0048482C">
        <w:rPr>
          <w:sz w:val="28"/>
          <w:szCs w:val="28"/>
        </w:rPr>
        <w:lastRenderedPageBreak/>
        <w:t>"</w:t>
      </w:r>
      <w:r w:rsidR="0048482C" w:rsidRPr="0048482C">
        <w:rPr>
          <w:sz w:val="28"/>
          <w:szCs w:val="28"/>
        </w:rPr>
        <w:t>3</w:t>
      </w:r>
      <w:r w:rsidRPr="0048482C">
        <w:rPr>
          <w:sz w:val="28"/>
          <w:szCs w:val="28"/>
        </w:rPr>
        <w:t>.</w:t>
      </w:r>
      <w:r w:rsidRPr="0048482C">
        <w:rPr>
          <w:sz w:val="28"/>
          <w:szCs w:val="28"/>
          <w:vertAlign w:val="superscript"/>
        </w:rPr>
        <w:t>1</w:t>
      </w:r>
      <w:r w:rsidRPr="0048482C">
        <w:rPr>
          <w:sz w:val="28"/>
          <w:szCs w:val="28"/>
        </w:rPr>
        <w:t> </w:t>
      </w:r>
      <w:r w:rsidR="00F07CF8">
        <w:rPr>
          <w:sz w:val="28"/>
          <w:szCs w:val="28"/>
        </w:rPr>
        <w:t xml:space="preserve">Ja </w:t>
      </w:r>
      <w:r w:rsidR="0048482C" w:rsidRPr="0048482C">
        <w:rPr>
          <w:sz w:val="28"/>
          <w:szCs w:val="28"/>
        </w:rPr>
        <w:t xml:space="preserve">parādnieks savas saistības, </w:t>
      </w:r>
      <w:r w:rsidR="00D7460C">
        <w:rPr>
          <w:sz w:val="28"/>
          <w:szCs w:val="28"/>
        </w:rPr>
        <w:t>ieskaitot</w:t>
      </w:r>
      <w:r w:rsidR="0048482C" w:rsidRPr="0048482C">
        <w:rPr>
          <w:sz w:val="28"/>
          <w:szCs w:val="28"/>
        </w:rPr>
        <w:t xml:space="preserve"> </w:t>
      </w:r>
      <w:r w:rsidR="00285154">
        <w:rPr>
          <w:sz w:val="28"/>
          <w:szCs w:val="28"/>
        </w:rPr>
        <w:t xml:space="preserve">zvērināta </w:t>
      </w:r>
      <w:r w:rsidR="0048482C" w:rsidRPr="0048482C">
        <w:rPr>
          <w:sz w:val="28"/>
          <w:szCs w:val="28"/>
        </w:rPr>
        <w:t xml:space="preserve">tiesu izpildītāja depozīta </w:t>
      </w:r>
      <w:r w:rsidR="0048482C" w:rsidRPr="00F07CF8">
        <w:rPr>
          <w:sz w:val="28"/>
          <w:szCs w:val="28"/>
        </w:rPr>
        <w:t xml:space="preserve">kontā visu </w:t>
      </w:r>
      <w:r w:rsidR="00F07CF8" w:rsidRPr="00F07CF8">
        <w:rPr>
          <w:sz w:val="28"/>
          <w:szCs w:val="28"/>
        </w:rPr>
        <w:t xml:space="preserve">piedzenamā </w:t>
      </w:r>
      <w:r w:rsidR="0048482C" w:rsidRPr="00F07CF8">
        <w:rPr>
          <w:sz w:val="28"/>
          <w:szCs w:val="28"/>
        </w:rPr>
        <w:t xml:space="preserve">parāda summu un </w:t>
      </w:r>
      <w:r w:rsidR="00285154" w:rsidRPr="00F07CF8">
        <w:rPr>
          <w:sz w:val="28"/>
          <w:szCs w:val="28"/>
        </w:rPr>
        <w:t xml:space="preserve">summu </w:t>
      </w:r>
      <w:r w:rsidR="0048482C" w:rsidRPr="00F07CF8">
        <w:rPr>
          <w:sz w:val="28"/>
          <w:szCs w:val="28"/>
        </w:rPr>
        <w:t>sprieduma izpildes izdevumu</w:t>
      </w:r>
      <w:r w:rsidR="00285154" w:rsidRPr="00F07CF8">
        <w:rPr>
          <w:sz w:val="28"/>
          <w:szCs w:val="28"/>
        </w:rPr>
        <w:t xml:space="preserve"> segšanai</w:t>
      </w:r>
      <w:r w:rsidR="0048482C" w:rsidRPr="00F07CF8">
        <w:rPr>
          <w:sz w:val="28"/>
          <w:szCs w:val="28"/>
        </w:rPr>
        <w:t xml:space="preserve">, </w:t>
      </w:r>
      <w:r w:rsidR="00E507A3" w:rsidRPr="0048482C">
        <w:rPr>
          <w:sz w:val="28"/>
          <w:szCs w:val="28"/>
        </w:rPr>
        <w:t xml:space="preserve">nokārto </w:t>
      </w:r>
      <w:r w:rsidR="00723D4A" w:rsidRPr="0048482C">
        <w:rPr>
          <w:sz w:val="28"/>
          <w:szCs w:val="28"/>
        </w:rPr>
        <w:t>termiņā</w:t>
      </w:r>
      <w:r w:rsidR="00E507A3">
        <w:rPr>
          <w:sz w:val="28"/>
          <w:szCs w:val="28"/>
        </w:rPr>
        <w:t>,</w:t>
      </w:r>
      <w:r w:rsidR="00723D4A" w:rsidRPr="00F07CF8">
        <w:rPr>
          <w:sz w:val="28"/>
          <w:szCs w:val="28"/>
        </w:rPr>
        <w:t xml:space="preserve"> </w:t>
      </w:r>
      <w:r w:rsidR="00E507A3">
        <w:rPr>
          <w:sz w:val="28"/>
          <w:szCs w:val="28"/>
        </w:rPr>
        <w:t xml:space="preserve">kas </w:t>
      </w:r>
      <w:r w:rsidR="00E507A3" w:rsidRPr="0048482C">
        <w:rPr>
          <w:sz w:val="28"/>
          <w:szCs w:val="28"/>
        </w:rPr>
        <w:t>norādīt</w:t>
      </w:r>
      <w:r w:rsidR="00E507A3">
        <w:rPr>
          <w:sz w:val="28"/>
          <w:szCs w:val="28"/>
        </w:rPr>
        <w:t>s</w:t>
      </w:r>
      <w:r w:rsidR="00E507A3" w:rsidRPr="00F07CF8">
        <w:rPr>
          <w:sz w:val="28"/>
          <w:szCs w:val="28"/>
        </w:rPr>
        <w:t xml:space="preserve"> </w:t>
      </w:r>
      <w:r w:rsidR="00E507A3">
        <w:rPr>
          <w:sz w:val="28"/>
          <w:szCs w:val="28"/>
        </w:rPr>
        <w:t xml:space="preserve">zvērināta tiesu izpildītāja </w:t>
      </w:r>
      <w:r w:rsidR="00E507A3" w:rsidRPr="0048482C">
        <w:rPr>
          <w:sz w:val="28"/>
          <w:szCs w:val="28"/>
        </w:rPr>
        <w:t>paziņojumā par pienākumu izpildīt nolēmumu</w:t>
      </w:r>
      <w:r w:rsidR="00E507A3">
        <w:rPr>
          <w:sz w:val="28"/>
          <w:szCs w:val="28"/>
        </w:rPr>
        <w:t>,</w:t>
      </w:r>
      <w:r w:rsidR="00E507A3" w:rsidRPr="0048482C">
        <w:rPr>
          <w:sz w:val="28"/>
          <w:szCs w:val="28"/>
        </w:rPr>
        <w:t xml:space="preserve"> </w:t>
      </w:r>
      <w:r w:rsidR="00285154" w:rsidRPr="00F07CF8">
        <w:rPr>
          <w:sz w:val="28"/>
          <w:szCs w:val="28"/>
        </w:rPr>
        <w:t xml:space="preserve">šo noteikumu 3. punktā minētajai atlīdzībai tiek </w:t>
      </w:r>
      <w:r w:rsidR="0048482C" w:rsidRPr="00F07CF8">
        <w:rPr>
          <w:sz w:val="28"/>
          <w:szCs w:val="28"/>
        </w:rPr>
        <w:t>piemēro</w:t>
      </w:r>
      <w:r w:rsidR="00285154" w:rsidRPr="00F07CF8">
        <w:rPr>
          <w:sz w:val="28"/>
          <w:szCs w:val="28"/>
        </w:rPr>
        <w:t>ts</w:t>
      </w:r>
      <w:r w:rsidR="0048482C" w:rsidRPr="00F07CF8">
        <w:rPr>
          <w:sz w:val="28"/>
          <w:szCs w:val="28"/>
        </w:rPr>
        <w:t xml:space="preserve"> koeficient</w:t>
      </w:r>
      <w:r w:rsidR="00285154" w:rsidRPr="00F07CF8">
        <w:rPr>
          <w:sz w:val="28"/>
          <w:szCs w:val="28"/>
        </w:rPr>
        <w:t>s</w:t>
      </w:r>
      <w:r w:rsidR="0048482C" w:rsidRPr="00F07CF8">
        <w:rPr>
          <w:sz w:val="28"/>
          <w:szCs w:val="28"/>
        </w:rPr>
        <w:t xml:space="preserve"> 0,5.</w:t>
      </w:r>
    </w:p>
    <w:p w14:paraId="178B0F27" w14:textId="4CD109F5" w:rsidR="00D7460C" w:rsidRDefault="00D7460C" w:rsidP="0048482C">
      <w:pPr>
        <w:pStyle w:val="ListParagraph"/>
        <w:ind w:left="0"/>
        <w:rPr>
          <w:sz w:val="28"/>
          <w:szCs w:val="28"/>
        </w:rPr>
      </w:pPr>
    </w:p>
    <w:p w14:paraId="0A77DE17" w14:textId="61A05110" w:rsidR="00D7460C" w:rsidRPr="00211498" w:rsidRDefault="00D7460C" w:rsidP="0048482C">
      <w:pPr>
        <w:pStyle w:val="ListParagraph"/>
        <w:ind w:left="0"/>
        <w:rPr>
          <w:sz w:val="28"/>
          <w:szCs w:val="28"/>
        </w:rPr>
      </w:pPr>
      <w:r w:rsidRPr="00211498">
        <w:rPr>
          <w:sz w:val="28"/>
          <w:szCs w:val="28"/>
        </w:rPr>
        <w:t>3.</w:t>
      </w:r>
      <w:r w:rsidRPr="00211498">
        <w:rPr>
          <w:sz w:val="28"/>
          <w:szCs w:val="28"/>
          <w:vertAlign w:val="superscript"/>
        </w:rPr>
        <w:t>2</w:t>
      </w:r>
      <w:r w:rsidRPr="00211498">
        <w:rPr>
          <w:sz w:val="28"/>
          <w:szCs w:val="28"/>
        </w:rPr>
        <w:t> </w:t>
      </w:r>
      <w:r w:rsidR="00211498" w:rsidRPr="00211498">
        <w:rPr>
          <w:rFonts w:cs="Times New Roman"/>
          <w:sz w:val="28"/>
          <w:szCs w:val="28"/>
        </w:rPr>
        <w:t xml:space="preserve">Ja </w:t>
      </w:r>
      <w:r w:rsidR="00E507A3" w:rsidRPr="00211498">
        <w:rPr>
          <w:rFonts w:cs="Times New Roman"/>
          <w:sz w:val="28"/>
          <w:szCs w:val="28"/>
        </w:rPr>
        <w:t xml:space="preserve">parāds </w:t>
      </w:r>
      <w:r w:rsidR="00211498" w:rsidRPr="00211498">
        <w:rPr>
          <w:rFonts w:cs="Times New Roman"/>
          <w:sz w:val="28"/>
          <w:szCs w:val="28"/>
        </w:rPr>
        <w:t>izpildu lietā par parāda piedziņu nav segts gada laikā no izpildu lietas ievešanas dienas, šo noteikumu 3.</w:t>
      </w:r>
      <w:r w:rsidR="00F324C1">
        <w:rPr>
          <w:rFonts w:cs="Times New Roman"/>
          <w:sz w:val="28"/>
          <w:szCs w:val="28"/>
        </w:rPr>
        <w:t> </w:t>
      </w:r>
      <w:r w:rsidR="00211498" w:rsidRPr="00211498">
        <w:rPr>
          <w:rFonts w:cs="Times New Roman"/>
          <w:sz w:val="28"/>
          <w:szCs w:val="28"/>
        </w:rPr>
        <w:t xml:space="preserve">punktā noteiktajai amata atlīdzībai </w:t>
      </w:r>
      <w:r w:rsidR="00841A26">
        <w:rPr>
          <w:rFonts w:cs="Times New Roman"/>
          <w:sz w:val="28"/>
          <w:szCs w:val="28"/>
        </w:rPr>
        <w:t xml:space="preserve">tiek piemērots </w:t>
      </w:r>
      <w:r w:rsidR="00211498" w:rsidRPr="00211498">
        <w:rPr>
          <w:rFonts w:cs="Times New Roman"/>
          <w:sz w:val="28"/>
          <w:szCs w:val="28"/>
        </w:rPr>
        <w:t>koeficients 1,5.</w:t>
      </w:r>
      <w:r w:rsidRPr="00211498">
        <w:rPr>
          <w:sz w:val="28"/>
          <w:szCs w:val="28"/>
        </w:rPr>
        <w:t>"</w:t>
      </w:r>
    </w:p>
    <w:p w14:paraId="5B6EFE35" w14:textId="77777777" w:rsidR="006227F0" w:rsidRPr="00F7362D" w:rsidRDefault="006227F0" w:rsidP="00F7362D">
      <w:pPr>
        <w:ind w:firstLine="0"/>
        <w:rPr>
          <w:sz w:val="28"/>
          <w:szCs w:val="28"/>
        </w:rPr>
      </w:pPr>
    </w:p>
    <w:p w14:paraId="4C1B1E48" w14:textId="2FA87BB6" w:rsidR="00F07CF8" w:rsidRDefault="00570D95" w:rsidP="00031BB4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A86EC3">
        <w:rPr>
          <w:sz w:val="28"/>
          <w:szCs w:val="28"/>
        </w:rPr>
        <w:t>P</w:t>
      </w:r>
      <w:r w:rsidR="00F07CF8">
        <w:rPr>
          <w:sz w:val="28"/>
          <w:szCs w:val="28"/>
        </w:rPr>
        <w:t>apildināt noteikumus ar 6.</w:t>
      </w:r>
      <w:r w:rsidR="00F07CF8" w:rsidRPr="00F07CF8">
        <w:rPr>
          <w:sz w:val="28"/>
          <w:szCs w:val="28"/>
          <w:vertAlign w:val="superscript"/>
        </w:rPr>
        <w:t>1</w:t>
      </w:r>
      <w:r w:rsidR="00F07CF8">
        <w:rPr>
          <w:sz w:val="28"/>
          <w:szCs w:val="28"/>
        </w:rPr>
        <w:t> punktu šādā redakcijā:</w:t>
      </w:r>
    </w:p>
    <w:p w14:paraId="7EC4B350" w14:textId="77777777" w:rsidR="00570D95" w:rsidRDefault="00570D95" w:rsidP="00A02DE7">
      <w:pPr>
        <w:pStyle w:val="ListParagraph"/>
        <w:ind w:left="0"/>
        <w:rPr>
          <w:sz w:val="28"/>
          <w:szCs w:val="28"/>
        </w:rPr>
      </w:pPr>
    </w:p>
    <w:p w14:paraId="476580A1" w14:textId="596AF499" w:rsidR="001C06B8" w:rsidRDefault="00F07CF8" w:rsidP="00A02DE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"</w:t>
      </w:r>
      <w:r w:rsidR="001C06B8" w:rsidRPr="00F07CF8">
        <w:rPr>
          <w:sz w:val="28"/>
          <w:szCs w:val="28"/>
        </w:rPr>
        <w:t>6.</w:t>
      </w:r>
      <w:r>
        <w:rPr>
          <w:sz w:val="28"/>
          <w:szCs w:val="28"/>
          <w:vertAlign w:val="superscript"/>
        </w:rPr>
        <w:t>1</w:t>
      </w:r>
      <w:r w:rsidR="001C06B8" w:rsidRPr="00F07CF8">
        <w:rPr>
          <w:sz w:val="28"/>
          <w:szCs w:val="28"/>
        </w:rPr>
        <w:t> </w:t>
      </w:r>
      <w:r w:rsidR="00A02DE7" w:rsidRPr="00A02DE7">
        <w:rPr>
          <w:sz w:val="28"/>
          <w:szCs w:val="28"/>
        </w:rPr>
        <w:t>Ja parāds izpildu lietā</w:t>
      </w:r>
      <w:r w:rsidR="00A02DE7">
        <w:rPr>
          <w:sz w:val="28"/>
          <w:szCs w:val="28"/>
        </w:rPr>
        <w:t xml:space="preserve"> par piedziņu</w:t>
      </w:r>
      <w:r w:rsidR="00A02DE7" w:rsidRPr="00A02DE7">
        <w:rPr>
          <w:sz w:val="28"/>
          <w:szCs w:val="28"/>
        </w:rPr>
        <w:t xml:space="preserve"> tiek segts no naudas līdzekļiem, kas bijuši apķīlāti kā šī prasījuma nodrošinājums, </w:t>
      </w:r>
      <w:r w:rsidR="00A02DE7">
        <w:rPr>
          <w:sz w:val="28"/>
          <w:szCs w:val="28"/>
        </w:rPr>
        <w:t>šo noteikumu 5. punktā minētajai atlīdzībai</w:t>
      </w:r>
      <w:r w:rsidR="00A71613">
        <w:rPr>
          <w:sz w:val="28"/>
          <w:szCs w:val="28"/>
        </w:rPr>
        <w:t>, ko aprēķina no šādā veidā atgūtas summas,</w:t>
      </w:r>
      <w:r w:rsidR="00A02DE7">
        <w:rPr>
          <w:sz w:val="28"/>
          <w:szCs w:val="28"/>
        </w:rPr>
        <w:t xml:space="preserve"> tiek piemērots koeficients </w:t>
      </w:r>
      <w:r w:rsidR="00A02DE7" w:rsidRPr="00A02DE7">
        <w:rPr>
          <w:sz w:val="28"/>
          <w:szCs w:val="28"/>
        </w:rPr>
        <w:t>0,5.</w:t>
      </w:r>
      <w:r w:rsidR="00A02DE7">
        <w:rPr>
          <w:sz w:val="28"/>
          <w:szCs w:val="28"/>
        </w:rPr>
        <w:t>"</w:t>
      </w:r>
    </w:p>
    <w:p w14:paraId="2F9667D5" w14:textId="77777777" w:rsidR="006A57DC" w:rsidRPr="006A30B5" w:rsidRDefault="006A57DC" w:rsidP="006A30B5">
      <w:pPr>
        <w:ind w:firstLine="0"/>
        <w:rPr>
          <w:sz w:val="28"/>
          <w:szCs w:val="28"/>
        </w:rPr>
      </w:pPr>
    </w:p>
    <w:p w14:paraId="381A2EA5" w14:textId="4BBD91FC" w:rsidR="00330A6A" w:rsidRDefault="00A86EC3" w:rsidP="00031BB4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5. A</w:t>
      </w:r>
      <w:r w:rsidR="00330A6A">
        <w:rPr>
          <w:sz w:val="28"/>
          <w:szCs w:val="28"/>
        </w:rPr>
        <w:t>izstāt 7.13. apakšpunktā skaitli "284,57" ar skaitli "280,00"</w:t>
      </w:r>
      <w:r w:rsidR="008B32CB">
        <w:rPr>
          <w:sz w:val="28"/>
          <w:szCs w:val="28"/>
        </w:rPr>
        <w:t>.</w:t>
      </w:r>
    </w:p>
    <w:p w14:paraId="5F7C48BB" w14:textId="77777777" w:rsidR="00C87929" w:rsidRPr="009E7AA9" w:rsidRDefault="00C87929" w:rsidP="00C87929">
      <w:pPr>
        <w:pStyle w:val="ListParagraph"/>
        <w:ind w:left="1440" w:firstLine="0"/>
        <w:rPr>
          <w:sz w:val="28"/>
          <w:szCs w:val="28"/>
        </w:rPr>
      </w:pPr>
    </w:p>
    <w:p w14:paraId="3DFF1124" w14:textId="6A787CC8" w:rsidR="00C87929" w:rsidRPr="00F7362D" w:rsidRDefault="00A86EC3" w:rsidP="00031BB4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6. I</w:t>
      </w:r>
      <w:r w:rsidR="00C87929" w:rsidRPr="00F7362D">
        <w:rPr>
          <w:sz w:val="28"/>
          <w:szCs w:val="28"/>
        </w:rPr>
        <w:t>zteikt 8.2. apakšpunktu šādā redakcijā:</w:t>
      </w:r>
    </w:p>
    <w:p w14:paraId="1579EFDD" w14:textId="77777777" w:rsidR="00570D95" w:rsidRDefault="00570D95" w:rsidP="00BA5089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61A41E4B" w14:textId="4DF9C2D8" w:rsidR="00C87929" w:rsidRPr="00031BB4" w:rsidRDefault="00C87929" w:rsidP="00BA5089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570D95">
        <w:rPr>
          <w:color w:val="auto"/>
          <w:sz w:val="28"/>
          <w:szCs w:val="28"/>
        </w:rPr>
        <w:t>"</w:t>
      </w:r>
      <w:r w:rsidR="00BA5089" w:rsidRPr="00031BB4">
        <w:rPr>
          <w:color w:val="auto"/>
          <w:sz w:val="28"/>
          <w:szCs w:val="28"/>
        </w:rPr>
        <w:t>8.2.</w:t>
      </w:r>
      <w:r w:rsidR="00570D95">
        <w:rPr>
          <w:color w:val="auto"/>
          <w:sz w:val="28"/>
          <w:szCs w:val="28"/>
        </w:rPr>
        <w:t> </w:t>
      </w:r>
      <w:r w:rsidR="00BA5089" w:rsidRPr="00031BB4">
        <w:rPr>
          <w:color w:val="auto"/>
          <w:sz w:val="28"/>
          <w:szCs w:val="28"/>
        </w:rPr>
        <w:t>fakta fiksēšana – 70</w:t>
      </w:r>
      <w:r w:rsidR="00326842">
        <w:rPr>
          <w:color w:val="auto"/>
          <w:sz w:val="28"/>
          <w:szCs w:val="28"/>
        </w:rPr>
        <w:t> </w:t>
      </w:r>
      <w:proofErr w:type="spellStart"/>
      <w:r w:rsidR="00BA5089" w:rsidRPr="00031BB4">
        <w:rPr>
          <w:i/>
          <w:color w:val="auto"/>
          <w:sz w:val="28"/>
          <w:szCs w:val="28"/>
        </w:rPr>
        <w:t>euro</w:t>
      </w:r>
      <w:proofErr w:type="spellEnd"/>
      <w:r w:rsidR="00BA5089" w:rsidRPr="00031BB4">
        <w:rPr>
          <w:color w:val="auto"/>
          <w:sz w:val="28"/>
          <w:szCs w:val="28"/>
        </w:rPr>
        <w:t>. Ja fakta fiksēšana ilgst ilgāk par stundu, papildus maksājami 50</w:t>
      </w:r>
      <w:r w:rsidR="00326842">
        <w:rPr>
          <w:color w:val="auto"/>
          <w:sz w:val="28"/>
          <w:szCs w:val="28"/>
        </w:rPr>
        <w:t> </w:t>
      </w:r>
      <w:proofErr w:type="spellStart"/>
      <w:r w:rsidR="00BA5089" w:rsidRPr="00031BB4">
        <w:rPr>
          <w:i/>
          <w:color w:val="auto"/>
          <w:sz w:val="28"/>
          <w:szCs w:val="28"/>
        </w:rPr>
        <w:t>euro</w:t>
      </w:r>
      <w:proofErr w:type="spellEnd"/>
      <w:r w:rsidR="00BA5089" w:rsidRPr="00031BB4">
        <w:rPr>
          <w:color w:val="auto"/>
          <w:sz w:val="28"/>
          <w:szCs w:val="28"/>
        </w:rPr>
        <w:t xml:space="preserve"> par katru nākamo stundu;</w:t>
      </w:r>
      <w:r w:rsidR="009E7AA9" w:rsidRPr="00031BB4">
        <w:rPr>
          <w:color w:val="auto"/>
          <w:sz w:val="28"/>
          <w:szCs w:val="28"/>
        </w:rPr>
        <w:t>"</w:t>
      </w:r>
      <w:r w:rsidR="008B32CB">
        <w:rPr>
          <w:color w:val="auto"/>
          <w:sz w:val="28"/>
          <w:szCs w:val="28"/>
        </w:rPr>
        <w:t>.</w:t>
      </w:r>
    </w:p>
    <w:p w14:paraId="702B1FC6" w14:textId="77777777" w:rsidR="00F065D2" w:rsidRPr="00BA5089" w:rsidRDefault="00F065D2" w:rsidP="00C87929">
      <w:pPr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416EEAC9" w14:textId="7D7EC877" w:rsidR="00F065D2" w:rsidRPr="00F7362D" w:rsidRDefault="00A86EC3" w:rsidP="00031BB4">
      <w:pPr>
        <w:pStyle w:val="ListParagraph"/>
        <w:ind w:left="0"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7. P</w:t>
      </w:r>
      <w:r w:rsidR="00F065D2" w:rsidRPr="00F7362D">
        <w:rPr>
          <w:rFonts w:eastAsia="Times New Roman" w:cs="Times New Roman"/>
          <w:sz w:val="28"/>
          <w:szCs w:val="28"/>
          <w:lang w:eastAsia="lv-LV"/>
        </w:rPr>
        <w:t>apildināt noteikumus ar 8.3.</w:t>
      </w:r>
      <w:r w:rsidR="00F065D2"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F065D2" w:rsidRPr="00F7362D">
        <w:rPr>
          <w:rFonts w:eastAsia="Times New Roman" w:cs="Times New Roman"/>
          <w:sz w:val="28"/>
          <w:szCs w:val="28"/>
          <w:lang w:eastAsia="lv-LV"/>
        </w:rPr>
        <w:t> apakšpunktu šādā redakcijā:</w:t>
      </w:r>
    </w:p>
    <w:p w14:paraId="00E84CFF" w14:textId="77777777" w:rsidR="00570D95" w:rsidRDefault="00570D95" w:rsidP="000B4890">
      <w:pPr>
        <w:rPr>
          <w:rFonts w:eastAsia="Times New Roman" w:cs="Times New Roman"/>
          <w:sz w:val="28"/>
          <w:szCs w:val="28"/>
          <w:lang w:eastAsia="lv-LV"/>
        </w:rPr>
      </w:pPr>
    </w:p>
    <w:p w14:paraId="57320499" w14:textId="4CA0E9D8" w:rsidR="00F065D2" w:rsidRPr="00F7362D" w:rsidRDefault="00F065D2" w:rsidP="000B4890">
      <w:pPr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"8.3.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F7362D">
        <w:rPr>
          <w:rFonts w:eastAsia="Times New Roman" w:cs="Times New Roman"/>
          <w:sz w:val="28"/>
          <w:szCs w:val="28"/>
          <w:lang w:eastAsia="lv-LV"/>
        </w:rPr>
        <w:t> mantojuma masas sastāvā norādīt</w:t>
      </w:r>
      <w:r w:rsidR="00F4174C">
        <w:rPr>
          <w:rFonts w:eastAsia="Times New Roman" w:cs="Times New Roman"/>
          <w:sz w:val="28"/>
          <w:szCs w:val="28"/>
          <w:lang w:eastAsia="lv-LV"/>
        </w:rPr>
        <w:t>ā</w:t>
      </w:r>
      <w:r w:rsidRPr="00F7362D">
        <w:rPr>
          <w:rFonts w:eastAsia="Times New Roman" w:cs="Times New Roman"/>
          <w:sz w:val="28"/>
          <w:szCs w:val="28"/>
          <w:lang w:eastAsia="lv-LV"/>
        </w:rPr>
        <w:t>s nereģistrējam</w:t>
      </w:r>
      <w:r w:rsidR="00F4174C">
        <w:rPr>
          <w:rFonts w:eastAsia="Times New Roman" w:cs="Times New Roman"/>
          <w:sz w:val="28"/>
          <w:szCs w:val="28"/>
          <w:lang w:eastAsia="lv-LV"/>
        </w:rPr>
        <w:t>ā</w:t>
      </w:r>
      <w:r w:rsidRPr="00F7362D">
        <w:rPr>
          <w:rFonts w:eastAsia="Times New Roman" w:cs="Times New Roman"/>
          <w:sz w:val="28"/>
          <w:szCs w:val="28"/>
          <w:lang w:eastAsia="lv-LV"/>
        </w:rPr>
        <w:t>s kustam</w:t>
      </w:r>
      <w:r w:rsidR="00F4174C">
        <w:rPr>
          <w:rFonts w:eastAsia="Times New Roman" w:cs="Times New Roman"/>
          <w:sz w:val="28"/>
          <w:szCs w:val="28"/>
          <w:lang w:eastAsia="lv-LV"/>
        </w:rPr>
        <w:t>ā</w:t>
      </w:r>
      <w:r w:rsidRPr="00F7362D">
        <w:rPr>
          <w:rFonts w:eastAsia="Times New Roman" w:cs="Times New Roman"/>
          <w:sz w:val="28"/>
          <w:szCs w:val="28"/>
          <w:lang w:eastAsia="lv-LV"/>
        </w:rPr>
        <w:t>s mantas saraksta sastādīšana mantojuma lietā atbilstoši mantojuma masas sastāvā norādīt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o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 šād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u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priekšmetu</w:t>
      </w:r>
      <w:r w:rsidRPr="00F7362D">
        <w:rPr>
          <w:rFonts w:eastAsia="Times New Roman" w:cs="Times New Roman"/>
          <w:sz w:val="28"/>
          <w:szCs w:val="28"/>
          <w:lang w:eastAsia="lv-LV"/>
        </w:rPr>
        <w:t xml:space="preserve"> skaitam:</w:t>
      </w:r>
    </w:p>
    <w:p w14:paraId="34E74AC8" w14:textId="2416A895" w:rsidR="00F065D2" w:rsidRPr="00F7362D" w:rsidRDefault="00F065D2" w:rsidP="000B4890">
      <w:pPr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8.3.</w:t>
      </w:r>
      <w:r w:rsidR="000B4890"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8B32CB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1.</w:t>
      </w:r>
      <w:r w:rsidRPr="00F7362D">
        <w:rPr>
          <w:rFonts w:eastAsia="Times New Roman" w:cs="Times New Roman"/>
          <w:sz w:val="28"/>
          <w:szCs w:val="28"/>
          <w:lang w:eastAsia="lv-LV"/>
        </w:rPr>
        <w:t> </w:t>
      </w:r>
      <w:r w:rsidR="000B4890" w:rsidRPr="00F7362D">
        <w:rPr>
          <w:rFonts w:eastAsia="Times New Roman" w:cs="Times New Roman"/>
          <w:sz w:val="28"/>
          <w:szCs w:val="28"/>
          <w:lang w:eastAsia="lv-LV"/>
        </w:rPr>
        <w:t>līdz 10 priekšmetiem </w:t>
      </w:r>
      <w:r w:rsidRPr="00F7362D">
        <w:rPr>
          <w:rFonts w:eastAsia="Times New Roman" w:cs="Times New Roman"/>
          <w:sz w:val="28"/>
          <w:szCs w:val="28"/>
          <w:lang w:eastAsia="lv-LV"/>
        </w:rPr>
        <w:t>– 70,00</w:t>
      </w:r>
      <w:r w:rsidR="00326842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="000B4890" w:rsidRPr="00F7362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="000B4890" w:rsidRPr="00F7362D">
        <w:rPr>
          <w:rFonts w:eastAsia="Times New Roman" w:cs="Times New Roman"/>
          <w:sz w:val="28"/>
          <w:szCs w:val="28"/>
          <w:lang w:eastAsia="lv-LV"/>
        </w:rPr>
        <w:t>;</w:t>
      </w:r>
    </w:p>
    <w:p w14:paraId="282CB565" w14:textId="6A73C004" w:rsidR="000B4890" w:rsidRPr="00F7362D" w:rsidRDefault="000B4890" w:rsidP="000B4890">
      <w:pPr>
        <w:rPr>
          <w:rFonts w:eastAsia="Times New Roman" w:cs="Times New Roman"/>
          <w:sz w:val="28"/>
          <w:szCs w:val="28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8B32CB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F7362D">
        <w:rPr>
          <w:rFonts w:eastAsia="Times New Roman" w:cs="Times New Roman"/>
          <w:sz w:val="28"/>
          <w:szCs w:val="28"/>
          <w:lang w:eastAsia="lv-LV"/>
        </w:rPr>
        <w:t>2.</w:t>
      </w:r>
      <w:r w:rsidRPr="00031BB4">
        <w:rPr>
          <w:rFonts w:eastAsia="Times New Roman" w:cs="Times New Roman"/>
          <w:sz w:val="28"/>
          <w:szCs w:val="28"/>
          <w:lang w:eastAsia="lv-LV"/>
        </w:rPr>
        <w:t> </w:t>
      </w:r>
      <w:r w:rsidRPr="00F7362D">
        <w:rPr>
          <w:rFonts w:eastAsia="Times New Roman" w:cs="Times New Roman"/>
          <w:sz w:val="28"/>
          <w:szCs w:val="28"/>
          <w:lang w:eastAsia="lv-LV"/>
        </w:rPr>
        <w:t>no 11 līdz 50 priekšmetiem – 130,00</w:t>
      </w:r>
      <w:r w:rsidR="00326842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F7362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F7362D">
        <w:rPr>
          <w:rFonts w:eastAsia="Times New Roman" w:cs="Times New Roman"/>
          <w:sz w:val="28"/>
          <w:szCs w:val="28"/>
          <w:lang w:eastAsia="lv-LV"/>
        </w:rPr>
        <w:t>;</w:t>
      </w:r>
    </w:p>
    <w:p w14:paraId="5637BC41" w14:textId="3F8E252C" w:rsidR="007D4AC1" w:rsidRDefault="000B4890" w:rsidP="000B4890">
      <w:pPr>
        <w:rPr>
          <w:rFonts w:eastAsia="Times New Roman" w:cs="Times New Roman"/>
          <w:sz w:val="28"/>
          <w:szCs w:val="28"/>
          <w:vertAlign w:val="superscript"/>
          <w:lang w:eastAsia="lv-LV"/>
        </w:rPr>
      </w:pPr>
      <w:r w:rsidRPr="00F7362D">
        <w:rPr>
          <w:rFonts w:eastAsia="Times New Roman" w:cs="Times New Roman"/>
          <w:sz w:val="28"/>
          <w:szCs w:val="28"/>
          <w:lang w:eastAsia="lv-LV"/>
        </w:rPr>
        <w:t>8.3.</w:t>
      </w:r>
      <w:r w:rsidRPr="00F7362D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8B32CB">
        <w:rPr>
          <w:rFonts w:eastAsia="Times New Roman" w:cs="Times New Roman"/>
          <w:sz w:val="28"/>
          <w:szCs w:val="28"/>
          <w:vertAlign w:val="superscript"/>
          <w:lang w:eastAsia="lv-LV"/>
        </w:rPr>
        <w:t> </w:t>
      </w:r>
      <w:r w:rsidRPr="00F7362D">
        <w:rPr>
          <w:rFonts w:eastAsia="Times New Roman" w:cs="Times New Roman"/>
          <w:sz w:val="28"/>
          <w:szCs w:val="28"/>
          <w:lang w:eastAsia="lv-LV"/>
        </w:rPr>
        <w:t>3. vairāk par 50 priekšmetiem – 270,00</w:t>
      </w:r>
      <w:r w:rsidR="00326842">
        <w:rPr>
          <w:rFonts w:eastAsia="Times New Roman" w:cs="Times New Roman"/>
          <w:sz w:val="28"/>
          <w:szCs w:val="28"/>
          <w:lang w:eastAsia="lv-LV"/>
        </w:rPr>
        <w:t> </w:t>
      </w:r>
      <w:proofErr w:type="spellStart"/>
      <w:r w:rsidRPr="00F7362D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="00F4174C">
        <w:rPr>
          <w:rFonts w:eastAsia="Times New Roman" w:cs="Times New Roman"/>
          <w:sz w:val="28"/>
          <w:szCs w:val="28"/>
          <w:lang w:eastAsia="lv-LV"/>
        </w:rPr>
        <w:t>;</w:t>
      </w:r>
      <w:r w:rsidRPr="00F7362D">
        <w:rPr>
          <w:rFonts w:eastAsia="Times New Roman" w:cs="Times New Roman"/>
          <w:sz w:val="28"/>
          <w:szCs w:val="28"/>
          <w:lang w:eastAsia="lv-LV"/>
        </w:rPr>
        <w:t>"</w:t>
      </w:r>
      <w:r w:rsidR="00F4174C">
        <w:rPr>
          <w:rFonts w:eastAsia="Times New Roman" w:cs="Times New Roman"/>
          <w:sz w:val="28"/>
          <w:szCs w:val="28"/>
          <w:lang w:eastAsia="lv-LV"/>
        </w:rPr>
        <w:t>.</w:t>
      </w:r>
    </w:p>
    <w:p w14:paraId="333DFE47" w14:textId="77777777" w:rsidR="000B4890" w:rsidRDefault="000B4890" w:rsidP="00C87929">
      <w:pPr>
        <w:rPr>
          <w:rFonts w:cs="Times New Roman"/>
          <w:sz w:val="28"/>
          <w:szCs w:val="28"/>
        </w:rPr>
      </w:pPr>
    </w:p>
    <w:p w14:paraId="6C50BC83" w14:textId="6B23AC87" w:rsidR="007D4AC1" w:rsidRPr="00F7362D" w:rsidRDefault="00A86EC3" w:rsidP="00031BB4">
      <w:pPr>
        <w:pStyle w:val="ListParagraph"/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 P</w:t>
      </w:r>
      <w:r w:rsidR="009C73BE" w:rsidRPr="00F7362D">
        <w:rPr>
          <w:rFonts w:cs="Times New Roman"/>
          <w:sz w:val="28"/>
          <w:szCs w:val="28"/>
        </w:rPr>
        <w:t>apildināt 8.4. apakšpunkta ievadteikumu aiz vārdiem "izsoles rīkošana" ar vārdiem "</w:t>
      </w:r>
      <w:r w:rsidR="009C73BE" w:rsidRPr="00670720">
        <w:rPr>
          <w:rFonts w:cs="Times New Roman"/>
          <w:sz w:val="28"/>
          <w:szCs w:val="28"/>
        </w:rPr>
        <w:t>vai izsole</w:t>
      </w:r>
      <w:r w:rsidR="00F63FA4" w:rsidRPr="00670720">
        <w:rPr>
          <w:rFonts w:cs="Times New Roman"/>
          <w:sz w:val="28"/>
          <w:szCs w:val="28"/>
        </w:rPr>
        <w:t>s</w:t>
      </w:r>
      <w:r w:rsidR="009C73BE" w:rsidRPr="00670720">
        <w:rPr>
          <w:rFonts w:cs="Times New Roman"/>
          <w:sz w:val="28"/>
          <w:szCs w:val="28"/>
        </w:rPr>
        <w:t xml:space="preserve"> rīkošan</w:t>
      </w:r>
      <w:r w:rsidR="009C73BE" w:rsidRPr="00F7362D">
        <w:rPr>
          <w:rFonts w:cs="Times New Roman"/>
          <w:sz w:val="28"/>
          <w:szCs w:val="28"/>
        </w:rPr>
        <w:t>a mantas dalīšanas nolūkā"</w:t>
      </w:r>
      <w:r w:rsidR="008B32CB">
        <w:rPr>
          <w:rFonts w:cs="Times New Roman"/>
          <w:sz w:val="28"/>
          <w:szCs w:val="28"/>
        </w:rPr>
        <w:t>.</w:t>
      </w:r>
    </w:p>
    <w:p w14:paraId="705CDBCF" w14:textId="77777777" w:rsidR="00330A6A" w:rsidRDefault="00330A6A" w:rsidP="00330A6A">
      <w:pPr>
        <w:pStyle w:val="ListParagraph"/>
        <w:ind w:left="1440" w:firstLine="0"/>
        <w:rPr>
          <w:sz w:val="28"/>
          <w:szCs w:val="28"/>
        </w:rPr>
      </w:pPr>
    </w:p>
    <w:p w14:paraId="35697588" w14:textId="631C1872" w:rsidR="00F065D2" w:rsidRDefault="00A86EC3" w:rsidP="00031BB4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9. A</w:t>
      </w:r>
      <w:r w:rsidR="00330A6A">
        <w:rPr>
          <w:sz w:val="28"/>
          <w:szCs w:val="28"/>
        </w:rPr>
        <w:t>izstāt 8.6. </w:t>
      </w:r>
      <w:r w:rsidR="00326842">
        <w:rPr>
          <w:sz w:val="28"/>
          <w:szCs w:val="28"/>
        </w:rPr>
        <w:t>apakš</w:t>
      </w:r>
      <w:r w:rsidR="00330A6A">
        <w:rPr>
          <w:sz w:val="28"/>
          <w:szCs w:val="28"/>
        </w:rPr>
        <w:t>punktā skaitli "2,85" ar skaitli "3,00"</w:t>
      </w:r>
      <w:r w:rsidR="008B32CB">
        <w:rPr>
          <w:sz w:val="28"/>
          <w:szCs w:val="28"/>
        </w:rPr>
        <w:t>.</w:t>
      </w:r>
    </w:p>
    <w:p w14:paraId="29CEBA73" w14:textId="77777777" w:rsidR="00F065D2" w:rsidRPr="00F065D2" w:rsidRDefault="00F065D2" w:rsidP="00F065D2">
      <w:pPr>
        <w:pStyle w:val="ListParagraph"/>
        <w:rPr>
          <w:sz w:val="28"/>
          <w:szCs w:val="28"/>
        </w:rPr>
      </w:pPr>
    </w:p>
    <w:p w14:paraId="340BE6E5" w14:textId="738E1D29" w:rsidR="00F065D2" w:rsidRDefault="00570D95" w:rsidP="00031BB4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B698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24574" w:rsidRPr="00F065D2">
        <w:rPr>
          <w:sz w:val="28"/>
          <w:szCs w:val="28"/>
        </w:rPr>
        <w:t> </w:t>
      </w:r>
      <w:r w:rsidR="00A86EC3">
        <w:rPr>
          <w:sz w:val="28"/>
          <w:szCs w:val="28"/>
        </w:rPr>
        <w:t>P</w:t>
      </w:r>
      <w:r w:rsidR="00F065D2">
        <w:rPr>
          <w:sz w:val="28"/>
          <w:szCs w:val="28"/>
        </w:rPr>
        <w:t>apildināt noteikumus ar 1</w:t>
      </w:r>
      <w:r w:rsidR="00E168FC">
        <w:rPr>
          <w:sz w:val="28"/>
          <w:szCs w:val="28"/>
        </w:rPr>
        <w:t>5</w:t>
      </w:r>
      <w:r w:rsidR="00F065D2">
        <w:rPr>
          <w:sz w:val="28"/>
          <w:szCs w:val="28"/>
        </w:rPr>
        <w:t>.</w:t>
      </w:r>
      <w:r w:rsidR="00F065D2" w:rsidRPr="00F065D2">
        <w:rPr>
          <w:sz w:val="28"/>
          <w:szCs w:val="28"/>
          <w:vertAlign w:val="superscript"/>
        </w:rPr>
        <w:t>1</w:t>
      </w:r>
      <w:r w:rsidR="003F19B5">
        <w:rPr>
          <w:sz w:val="28"/>
          <w:szCs w:val="28"/>
        </w:rPr>
        <w:t> </w:t>
      </w:r>
      <w:r w:rsidR="0066766D">
        <w:rPr>
          <w:sz w:val="28"/>
          <w:szCs w:val="28"/>
        </w:rPr>
        <w:t>un 1</w:t>
      </w:r>
      <w:r w:rsidR="00E168FC">
        <w:rPr>
          <w:sz w:val="28"/>
          <w:szCs w:val="28"/>
        </w:rPr>
        <w:t>5</w:t>
      </w:r>
      <w:r w:rsidR="0066766D">
        <w:rPr>
          <w:sz w:val="28"/>
          <w:szCs w:val="28"/>
        </w:rPr>
        <w:t>.</w:t>
      </w:r>
      <w:r w:rsidR="0066766D" w:rsidRPr="00670720">
        <w:rPr>
          <w:sz w:val="28"/>
          <w:szCs w:val="28"/>
          <w:vertAlign w:val="superscript"/>
        </w:rPr>
        <w:t>2</w:t>
      </w:r>
      <w:r w:rsidR="00E168FC">
        <w:rPr>
          <w:sz w:val="28"/>
          <w:szCs w:val="28"/>
        </w:rPr>
        <w:t> </w:t>
      </w:r>
      <w:r w:rsidR="00F065D2">
        <w:rPr>
          <w:sz w:val="28"/>
          <w:szCs w:val="28"/>
        </w:rPr>
        <w:t>punktu šādā redakcijā:</w:t>
      </w:r>
    </w:p>
    <w:p w14:paraId="6230F4B5" w14:textId="77777777" w:rsidR="00570D95" w:rsidRDefault="00570D95" w:rsidP="000C1AE5">
      <w:pPr>
        <w:rPr>
          <w:sz w:val="28"/>
          <w:szCs w:val="28"/>
        </w:rPr>
      </w:pPr>
    </w:p>
    <w:p w14:paraId="3A81C78C" w14:textId="7577D00C" w:rsidR="00677A83" w:rsidRDefault="00F065D2" w:rsidP="0066766D">
      <w:pPr>
        <w:rPr>
          <w:sz w:val="28"/>
          <w:szCs w:val="28"/>
        </w:rPr>
      </w:pPr>
      <w:r>
        <w:rPr>
          <w:sz w:val="28"/>
          <w:szCs w:val="28"/>
        </w:rPr>
        <w:t>"1</w:t>
      </w:r>
      <w:r w:rsidR="00E168F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065D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677A83" w:rsidRPr="00F065D2">
        <w:rPr>
          <w:sz w:val="28"/>
          <w:szCs w:val="28"/>
        </w:rPr>
        <w:t xml:space="preserve">Šo noteikumu </w:t>
      </w:r>
      <w:r w:rsidR="000C1AE5">
        <w:rPr>
          <w:sz w:val="28"/>
          <w:szCs w:val="28"/>
        </w:rPr>
        <w:t>8.3.</w:t>
      </w:r>
      <w:r w:rsidR="000C1AE5" w:rsidRPr="000C1AE5">
        <w:rPr>
          <w:sz w:val="28"/>
          <w:szCs w:val="28"/>
          <w:vertAlign w:val="superscript"/>
        </w:rPr>
        <w:t>1</w:t>
      </w:r>
      <w:r w:rsidR="000C1AE5">
        <w:rPr>
          <w:sz w:val="28"/>
          <w:szCs w:val="28"/>
        </w:rPr>
        <w:t xml:space="preserve"> apakšpunkts </w:t>
      </w:r>
      <w:r w:rsidR="00677A83" w:rsidRPr="00F065D2">
        <w:rPr>
          <w:sz w:val="28"/>
          <w:szCs w:val="28"/>
        </w:rPr>
        <w:t>stājas spēkā 2019. gada 1. janvārī.</w:t>
      </w:r>
    </w:p>
    <w:p w14:paraId="09B59E0A" w14:textId="77777777" w:rsidR="00FD0B60" w:rsidRDefault="00FD0B60" w:rsidP="0066766D">
      <w:pPr>
        <w:rPr>
          <w:sz w:val="28"/>
          <w:szCs w:val="28"/>
        </w:rPr>
      </w:pPr>
    </w:p>
    <w:p w14:paraId="1FD10FF7" w14:textId="6196FCF2" w:rsidR="009A69A3" w:rsidRPr="004E1DF7" w:rsidRDefault="004E1DF7" w:rsidP="007F45E3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</w:t>
      </w:r>
      <w:r w:rsidR="00E168FC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</w:t>
      </w:r>
      <w:r w:rsidR="0066766D">
        <w:rPr>
          <w:rFonts w:cs="Times New Roman"/>
          <w:sz w:val="28"/>
          <w:szCs w:val="28"/>
          <w:vertAlign w:val="superscript"/>
        </w:rPr>
        <w:t>2</w:t>
      </w:r>
      <w:r>
        <w:rPr>
          <w:rFonts w:cs="Times New Roman"/>
          <w:sz w:val="28"/>
          <w:szCs w:val="28"/>
        </w:rPr>
        <w:t> </w:t>
      </w:r>
      <w:r w:rsidR="009A69A3" w:rsidRPr="004E1DF7">
        <w:rPr>
          <w:rFonts w:cs="Times New Roman"/>
          <w:sz w:val="28"/>
          <w:szCs w:val="28"/>
        </w:rPr>
        <w:t xml:space="preserve">Izpildu lietās, </w:t>
      </w:r>
      <w:proofErr w:type="gramStart"/>
      <w:r w:rsidR="002B6985">
        <w:rPr>
          <w:rFonts w:cs="Times New Roman"/>
          <w:sz w:val="28"/>
          <w:szCs w:val="28"/>
        </w:rPr>
        <w:t>kurās izpildu</w:t>
      </w:r>
      <w:proofErr w:type="gramEnd"/>
      <w:r w:rsidR="002B6985">
        <w:rPr>
          <w:rFonts w:cs="Times New Roman"/>
          <w:sz w:val="28"/>
          <w:szCs w:val="28"/>
        </w:rPr>
        <w:t xml:space="preserve"> lietvedība uzsākta </w:t>
      </w:r>
      <w:r w:rsidR="009A69A3" w:rsidRPr="004E1DF7">
        <w:rPr>
          <w:rFonts w:cs="Times New Roman"/>
          <w:sz w:val="28"/>
          <w:szCs w:val="28"/>
        </w:rPr>
        <w:t xml:space="preserve">līdz 2018. gada 31. oktobrim, </w:t>
      </w:r>
      <w:r w:rsidR="00A71613">
        <w:rPr>
          <w:rFonts w:cs="Times New Roman"/>
          <w:sz w:val="28"/>
          <w:szCs w:val="28"/>
        </w:rPr>
        <w:t xml:space="preserve">amata atlīdzības noteikšanai </w:t>
      </w:r>
      <w:r w:rsidR="003A7ECB" w:rsidRPr="004E1DF7">
        <w:rPr>
          <w:rFonts w:cs="Times New Roman"/>
          <w:sz w:val="28"/>
          <w:szCs w:val="28"/>
        </w:rPr>
        <w:t xml:space="preserve">piemēro </w:t>
      </w:r>
      <w:r w:rsidR="00A71613">
        <w:rPr>
          <w:rFonts w:cs="Times New Roman"/>
          <w:sz w:val="28"/>
          <w:szCs w:val="28"/>
        </w:rPr>
        <w:t>noteikumus</w:t>
      </w:r>
      <w:r w:rsidR="003A7ECB" w:rsidRPr="004E1DF7">
        <w:rPr>
          <w:rFonts w:cs="Times New Roman"/>
          <w:sz w:val="28"/>
          <w:szCs w:val="28"/>
        </w:rPr>
        <w:t>, kas bija spēkā līdz 2018. gada 31. oktobrim</w:t>
      </w:r>
      <w:r w:rsidR="009A69A3" w:rsidRPr="004E1DF7">
        <w:rPr>
          <w:sz w:val="28"/>
          <w:szCs w:val="28"/>
        </w:rPr>
        <w:t>."</w:t>
      </w:r>
    </w:p>
    <w:p w14:paraId="325E42DC" w14:textId="77777777" w:rsidR="009A69A3" w:rsidRDefault="009A69A3" w:rsidP="00D37446">
      <w:pPr>
        <w:rPr>
          <w:sz w:val="28"/>
          <w:szCs w:val="28"/>
        </w:rPr>
      </w:pPr>
    </w:p>
    <w:p w14:paraId="25F5E784" w14:textId="77777777" w:rsidR="00D37446" w:rsidRDefault="00D37446" w:rsidP="00D37446">
      <w:pPr>
        <w:rPr>
          <w:sz w:val="28"/>
          <w:szCs w:val="28"/>
        </w:rPr>
      </w:pPr>
    </w:p>
    <w:p w14:paraId="65BF8958" w14:textId="77777777" w:rsidR="007D7BF0" w:rsidRPr="00161600" w:rsidRDefault="007D7BF0" w:rsidP="00D37446">
      <w:pPr>
        <w:rPr>
          <w:sz w:val="28"/>
          <w:szCs w:val="28"/>
        </w:rPr>
      </w:pPr>
    </w:p>
    <w:p w14:paraId="2695C2E9" w14:textId="77777777" w:rsidR="007F45E3" w:rsidRPr="0089569A" w:rsidRDefault="007F45E3" w:rsidP="0089569A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Ministru prezidents</w:t>
      </w:r>
      <w:r w:rsidRPr="0089569A">
        <w:rPr>
          <w:sz w:val="28"/>
          <w:szCs w:val="28"/>
        </w:rPr>
        <w:tab/>
        <w:t xml:space="preserve">Māris Kučinskis </w:t>
      </w:r>
    </w:p>
    <w:p w14:paraId="5A6319C4" w14:textId="77777777" w:rsidR="007F45E3" w:rsidRPr="0089569A" w:rsidRDefault="007F45E3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E06C17" w14:textId="77777777" w:rsidR="007F45E3" w:rsidRPr="0089569A" w:rsidRDefault="007F45E3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9F79D0" w14:textId="77777777" w:rsidR="007F45E3" w:rsidRPr="0089569A" w:rsidRDefault="007F45E3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10D0AB" w14:textId="77777777" w:rsidR="007F45E3" w:rsidRPr="0089569A" w:rsidRDefault="007F45E3" w:rsidP="0089569A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sectPr w:rsidR="007F45E3" w:rsidRPr="0089569A" w:rsidSect="007F45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0AE76" w14:textId="77777777" w:rsidR="008736FC" w:rsidRDefault="008736FC" w:rsidP="00371216">
      <w:r>
        <w:separator/>
      </w:r>
    </w:p>
  </w:endnote>
  <w:endnote w:type="continuationSeparator" w:id="0">
    <w:p w14:paraId="245ADF7A" w14:textId="77777777" w:rsidR="008736FC" w:rsidRDefault="008736FC" w:rsidP="0037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87B8" w14:textId="0796B549" w:rsidR="007F45E3" w:rsidRPr="007F45E3" w:rsidRDefault="007F45E3">
    <w:pPr>
      <w:pStyle w:val="Footer"/>
      <w:rPr>
        <w:sz w:val="16"/>
        <w:szCs w:val="16"/>
        <w:lang w:val="lv-LV"/>
      </w:rPr>
    </w:pPr>
    <w:r w:rsidRPr="007F45E3">
      <w:rPr>
        <w:sz w:val="16"/>
        <w:szCs w:val="16"/>
        <w:lang w:val="lv-LV"/>
      </w:rPr>
      <w:t>N2128_8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4851" w14:textId="25F15BBC" w:rsidR="007F45E3" w:rsidRPr="007F45E3" w:rsidRDefault="007F45E3">
    <w:pPr>
      <w:pStyle w:val="Footer"/>
      <w:rPr>
        <w:sz w:val="16"/>
        <w:szCs w:val="16"/>
        <w:lang w:val="lv-LV"/>
      </w:rPr>
    </w:pPr>
    <w:r w:rsidRPr="007F45E3">
      <w:rPr>
        <w:sz w:val="16"/>
        <w:szCs w:val="16"/>
        <w:lang w:val="lv-LV"/>
      </w:rPr>
      <w:t>N2128_8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A98F" w14:textId="77777777" w:rsidR="008736FC" w:rsidRDefault="008736FC" w:rsidP="00371216">
      <w:r>
        <w:separator/>
      </w:r>
    </w:p>
  </w:footnote>
  <w:footnote w:type="continuationSeparator" w:id="0">
    <w:p w14:paraId="65C2E21D" w14:textId="77777777" w:rsidR="008736FC" w:rsidRDefault="008736FC" w:rsidP="00371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635284"/>
      <w:docPartObj>
        <w:docPartGallery w:val="Page Numbers (Top of Page)"/>
        <w:docPartUnique/>
      </w:docPartObj>
    </w:sdtPr>
    <w:sdtEndPr/>
    <w:sdtContent>
      <w:p w14:paraId="151D2215" w14:textId="031FD027" w:rsidR="008736FC" w:rsidRDefault="008736F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74C" w:rsidRPr="00F4174C">
          <w:rPr>
            <w:noProof/>
            <w:lang w:val="lv-LV"/>
          </w:rPr>
          <w:t>3</w:t>
        </w:r>
        <w:r>
          <w:fldChar w:fldCharType="end"/>
        </w:r>
      </w:p>
    </w:sdtContent>
  </w:sdt>
  <w:p w14:paraId="19B1337B" w14:textId="77777777" w:rsidR="008736FC" w:rsidRDefault="00873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495B" w14:textId="77777777" w:rsidR="007F45E3" w:rsidRPr="00A142D0" w:rsidRDefault="007F45E3">
    <w:pPr>
      <w:pStyle w:val="Header"/>
    </w:pPr>
  </w:p>
  <w:p w14:paraId="7F931995" w14:textId="14302D67" w:rsidR="008736FC" w:rsidRPr="007F45E3" w:rsidRDefault="007F45E3" w:rsidP="007F45E3">
    <w:pPr>
      <w:pStyle w:val="Header"/>
    </w:pPr>
    <w:r>
      <w:rPr>
        <w:noProof/>
      </w:rPr>
      <w:drawing>
        <wp:inline distT="0" distB="0" distL="0" distR="0" wp14:anchorId="57E9D850" wp14:editId="373BB7A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D5F"/>
    <w:multiLevelType w:val="multilevel"/>
    <w:tmpl w:val="86C82D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1077930"/>
    <w:multiLevelType w:val="multilevel"/>
    <w:tmpl w:val="0782467C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372A037B"/>
    <w:multiLevelType w:val="hybridMultilevel"/>
    <w:tmpl w:val="3134EB68"/>
    <w:lvl w:ilvl="0" w:tplc="EEAA7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157DFD"/>
    <w:multiLevelType w:val="hybridMultilevel"/>
    <w:tmpl w:val="FA4CFAA2"/>
    <w:lvl w:ilvl="0" w:tplc="E2068F6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46"/>
    <w:rsid w:val="00027532"/>
    <w:rsid w:val="000302D4"/>
    <w:rsid w:val="00031BB4"/>
    <w:rsid w:val="000460C6"/>
    <w:rsid w:val="000473FC"/>
    <w:rsid w:val="00070FB9"/>
    <w:rsid w:val="00073D27"/>
    <w:rsid w:val="00096E49"/>
    <w:rsid w:val="000A5974"/>
    <w:rsid w:val="000A7E77"/>
    <w:rsid w:val="000B26AF"/>
    <w:rsid w:val="000B4890"/>
    <w:rsid w:val="000C1AE5"/>
    <w:rsid w:val="00115052"/>
    <w:rsid w:val="00182E27"/>
    <w:rsid w:val="001B61E5"/>
    <w:rsid w:val="001C06B8"/>
    <w:rsid w:val="001C2732"/>
    <w:rsid w:val="001C38B6"/>
    <w:rsid w:val="00211498"/>
    <w:rsid w:val="00224574"/>
    <w:rsid w:val="00285154"/>
    <w:rsid w:val="002B6985"/>
    <w:rsid w:val="002C5735"/>
    <w:rsid w:val="002F435F"/>
    <w:rsid w:val="00326842"/>
    <w:rsid w:val="00330A6A"/>
    <w:rsid w:val="00371216"/>
    <w:rsid w:val="003A7ECB"/>
    <w:rsid w:val="003B2CCD"/>
    <w:rsid w:val="003D2E27"/>
    <w:rsid w:val="003F19B5"/>
    <w:rsid w:val="00451803"/>
    <w:rsid w:val="00454303"/>
    <w:rsid w:val="0048482C"/>
    <w:rsid w:val="00487DF9"/>
    <w:rsid w:val="004B282D"/>
    <w:rsid w:val="004D7E54"/>
    <w:rsid w:val="004E1DF7"/>
    <w:rsid w:val="00501AB3"/>
    <w:rsid w:val="00524BE9"/>
    <w:rsid w:val="005572F8"/>
    <w:rsid w:val="00563699"/>
    <w:rsid w:val="00570D95"/>
    <w:rsid w:val="005B7FB7"/>
    <w:rsid w:val="005D51D2"/>
    <w:rsid w:val="006227F0"/>
    <w:rsid w:val="0063200A"/>
    <w:rsid w:val="0063419C"/>
    <w:rsid w:val="006370E9"/>
    <w:rsid w:val="0066766D"/>
    <w:rsid w:val="00670720"/>
    <w:rsid w:val="00677A83"/>
    <w:rsid w:val="006A30B5"/>
    <w:rsid w:val="006A57DC"/>
    <w:rsid w:val="006F0805"/>
    <w:rsid w:val="006F23CB"/>
    <w:rsid w:val="00723D4A"/>
    <w:rsid w:val="007C2DAC"/>
    <w:rsid w:val="007D4AC1"/>
    <w:rsid w:val="007D7BF0"/>
    <w:rsid w:val="007F45E3"/>
    <w:rsid w:val="00803215"/>
    <w:rsid w:val="00812226"/>
    <w:rsid w:val="00841A26"/>
    <w:rsid w:val="00867416"/>
    <w:rsid w:val="008736FC"/>
    <w:rsid w:val="008B32CB"/>
    <w:rsid w:val="008C1AC7"/>
    <w:rsid w:val="00927170"/>
    <w:rsid w:val="0095675D"/>
    <w:rsid w:val="0098462C"/>
    <w:rsid w:val="009A69A3"/>
    <w:rsid w:val="009B3B47"/>
    <w:rsid w:val="009C0510"/>
    <w:rsid w:val="009C73BE"/>
    <w:rsid w:val="009E7AA9"/>
    <w:rsid w:val="00A02DE7"/>
    <w:rsid w:val="00A71613"/>
    <w:rsid w:val="00A729D9"/>
    <w:rsid w:val="00A86EC3"/>
    <w:rsid w:val="00A91051"/>
    <w:rsid w:val="00A954A9"/>
    <w:rsid w:val="00AE19E4"/>
    <w:rsid w:val="00AF2311"/>
    <w:rsid w:val="00B96A43"/>
    <w:rsid w:val="00BA5089"/>
    <w:rsid w:val="00BA5E27"/>
    <w:rsid w:val="00BA6E79"/>
    <w:rsid w:val="00BC02D4"/>
    <w:rsid w:val="00C01BAA"/>
    <w:rsid w:val="00C022A7"/>
    <w:rsid w:val="00C0744C"/>
    <w:rsid w:val="00C14E37"/>
    <w:rsid w:val="00C87929"/>
    <w:rsid w:val="00D07103"/>
    <w:rsid w:val="00D37446"/>
    <w:rsid w:val="00D53BE3"/>
    <w:rsid w:val="00D7460C"/>
    <w:rsid w:val="00DB53A4"/>
    <w:rsid w:val="00DD0D02"/>
    <w:rsid w:val="00E10CEC"/>
    <w:rsid w:val="00E168FC"/>
    <w:rsid w:val="00E507A3"/>
    <w:rsid w:val="00E51164"/>
    <w:rsid w:val="00E55D58"/>
    <w:rsid w:val="00E61948"/>
    <w:rsid w:val="00E97D9E"/>
    <w:rsid w:val="00F065D2"/>
    <w:rsid w:val="00F07CF8"/>
    <w:rsid w:val="00F324C1"/>
    <w:rsid w:val="00F4174C"/>
    <w:rsid w:val="00F43638"/>
    <w:rsid w:val="00F555CF"/>
    <w:rsid w:val="00F63FA4"/>
    <w:rsid w:val="00F643EC"/>
    <w:rsid w:val="00F67026"/>
    <w:rsid w:val="00F7362D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562F"/>
  <w15:chartTrackingRefBased/>
  <w15:docId w15:val="{1EF8BA72-618B-41EE-A977-943EDEC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446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446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374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7446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74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B2CCD"/>
    <w:pPr>
      <w:ind w:left="720"/>
      <w:contextualSpacing/>
    </w:pPr>
  </w:style>
  <w:style w:type="paragraph" w:customStyle="1" w:styleId="tv2131">
    <w:name w:val="tv2131"/>
    <w:basedOn w:val="Normal"/>
    <w:rsid w:val="003B2CCD"/>
    <w:pPr>
      <w:spacing w:line="360" w:lineRule="auto"/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B9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2">
    <w:name w:val="tv2132"/>
    <w:basedOn w:val="Normal"/>
    <w:rsid w:val="00C87929"/>
    <w:pPr>
      <w:spacing w:line="360" w:lineRule="auto"/>
      <w:ind w:firstLine="300"/>
      <w:jc w:val="left"/>
    </w:pPr>
    <w:rPr>
      <w:rFonts w:eastAsia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B2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2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2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2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9B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70E9"/>
    <w:rPr>
      <w:b/>
      <w:bCs/>
    </w:rPr>
  </w:style>
  <w:style w:type="paragraph" w:styleId="Revision">
    <w:name w:val="Revision"/>
    <w:hidden/>
    <w:uiPriority w:val="99"/>
    <w:semiHidden/>
    <w:rsid w:val="0066766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isf">
    <w:name w:val="naisf"/>
    <w:basedOn w:val="Normal"/>
    <w:rsid w:val="007F45E3"/>
    <w:pPr>
      <w:spacing w:before="75" w:after="75"/>
      <w:ind w:firstLine="375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23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1476-0846-4D33-8DBC-5293359D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2039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26.jūnija noteikumos Nr.451 "Noteikumi par zvērinātu tiesu izpildītāju amata atlīdzības taksēm"</vt:lpstr>
      <vt:lpstr>Grozījumi Ministru kabineta 2012.gada 26.jūnija noteikumos Nr.451 "Noteikumi par zvērinātu tiesu izpildītāju amata atlīdzības taksēm"</vt:lpstr>
    </vt:vector>
  </TitlesOfParts>
  <Company>Tieslietu ministrija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26.jūnija noteikumos Nr.451 "Noteikumi par zvērinātu tiesu izpildītāju amata atlīdzības taksēm"</dc:title>
  <dc:subject>Ministru kabineta noteikumu projekts</dc:subject>
  <dc:creator>Evija Timpare</dc:creator>
  <cp:keywords/>
  <dc:description>evija.timpare@tm.gov.lv
67036829</dc:description>
  <cp:lastModifiedBy>Leontine Babkina</cp:lastModifiedBy>
  <cp:revision>7</cp:revision>
  <cp:lastPrinted>2018-10-17T10:30:00Z</cp:lastPrinted>
  <dcterms:created xsi:type="dcterms:W3CDTF">2018-09-17T07:16:00Z</dcterms:created>
  <dcterms:modified xsi:type="dcterms:W3CDTF">2018-10-31T09:52:00Z</dcterms:modified>
</cp:coreProperties>
</file>