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8691" w14:textId="57F1018D" w:rsidR="00750FB6" w:rsidRDefault="00AE3EDA" w:rsidP="00BF3F2B">
      <w:pPr>
        <w:jc w:val="center"/>
        <w:rPr>
          <w:b/>
          <w:sz w:val="28"/>
          <w:szCs w:val="28"/>
        </w:rPr>
      </w:pPr>
      <w:r>
        <w:rPr>
          <w:b/>
          <w:sz w:val="28"/>
          <w:szCs w:val="28"/>
        </w:rPr>
        <w:t xml:space="preserve">Ministru kabineta rīkojuma </w:t>
      </w:r>
      <w:r w:rsidRPr="009A40F5">
        <w:rPr>
          <w:b/>
          <w:sz w:val="28"/>
          <w:szCs w:val="28"/>
        </w:rPr>
        <w:t xml:space="preserve">projekta </w:t>
      </w:r>
      <w:r w:rsidR="009A40F5" w:rsidRPr="009A40F5">
        <w:rPr>
          <w:b/>
          <w:sz w:val="28"/>
          <w:szCs w:val="28"/>
        </w:rPr>
        <w:t>„</w:t>
      </w:r>
      <w:r>
        <w:rPr>
          <w:b/>
          <w:sz w:val="28"/>
          <w:szCs w:val="28"/>
        </w:rPr>
        <w:t>G</w:t>
      </w:r>
      <w:r w:rsidRPr="00772589">
        <w:rPr>
          <w:b/>
          <w:sz w:val="28"/>
          <w:szCs w:val="28"/>
        </w:rPr>
        <w:t>rozījum</w:t>
      </w:r>
      <w:r>
        <w:rPr>
          <w:b/>
          <w:sz w:val="28"/>
          <w:szCs w:val="28"/>
        </w:rPr>
        <w:t>i</w:t>
      </w:r>
      <w:r w:rsidRPr="00772589">
        <w:rPr>
          <w:b/>
          <w:sz w:val="28"/>
          <w:szCs w:val="28"/>
        </w:rPr>
        <w:t xml:space="preserve"> Ministru kabineta 2015.gada 10.</w:t>
      </w:r>
      <w:r w:rsidR="00D7436B">
        <w:rPr>
          <w:b/>
          <w:sz w:val="28"/>
          <w:szCs w:val="28"/>
        </w:rPr>
        <w:t xml:space="preserve"> </w:t>
      </w:r>
      <w:r w:rsidRPr="00772589">
        <w:rPr>
          <w:b/>
          <w:sz w:val="28"/>
          <w:szCs w:val="28"/>
        </w:rPr>
        <w:t>novembra rīkojumā Nr.</w:t>
      </w:r>
      <w:r w:rsidR="00D7436B">
        <w:rPr>
          <w:b/>
          <w:sz w:val="28"/>
          <w:szCs w:val="28"/>
        </w:rPr>
        <w:t xml:space="preserve"> </w:t>
      </w:r>
      <w:r w:rsidRPr="00772589">
        <w:rPr>
          <w:b/>
          <w:sz w:val="28"/>
          <w:szCs w:val="28"/>
        </w:rPr>
        <w:t xml:space="preserve">709 </w:t>
      </w:r>
      <w:r w:rsidR="009A40F5" w:rsidRPr="009A40F5">
        <w:rPr>
          <w:b/>
          <w:sz w:val="28"/>
          <w:szCs w:val="28"/>
        </w:rPr>
        <w:t>„</w:t>
      </w:r>
      <w:r w:rsidRPr="00772589">
        <w:rPr>
          <w:b/>
          <w:sz w:val="28"/>
          <w:szCs w:val="28"/>
        </w:rPr>
        <w:t>Par integrēto teritoriālo investīciju specifisko atbalsta mērķu finansējuma kopējo apjomu katram nacionālas nozīmes attīstības centram un kopējiem rezultatīvajiem rādītājiem nacionālas nozīmes attīstības centru grupai</w:t>
      </w:r>
      <w:r w:rsidR="005C7B67">
        <w:rPr>
          <w:b/>
          <w:sz w:val="28"/>
          <w:szCs w:val="28"/>
        </w:rPr>
        <w:t>”</w:t>
      </w:r>
      <w:r w:rsidR="00C52BF2">
        <w:rPr>
          <w:b/>
          <w:sz w:val="28"/>
          <w:szCs w:val="28"/>
        </w:rPr>
        <w:t>”</w:t>
      </w:r>
      <w:r>
        <w:rPr>
          <w:b/>
          <w:sz w:val="28"/>
          <w:szCs w:val="28"/>
        </w:rPr>
        <w:t xml:space="preserve"> </w:t>
      </w:r>
      <w:r w:rsidRPr="006E3F47">
        <w:rPr>
          <w:b/>
          <w:sz w:val="28"/>
          <w:szCs w:val="28"/>
        </w:rPr>
        <w:t>sākotnējās ietekmes novērtējuma ziņojums (anotācija)</w:t>
      </w:r>
    </w:p>
    <w:p w14:paraId="43EC21D1" w14:textId="77777777" w:rsidR="00953559" w:rsidRDefault="00953559" w:rsidP="00BF3F2B">
      <w:pPr>
        <w:jc w:val="center"/>
        <w:rPr>
          <w:b/>
          <w:sz w:val="28"/>
          <w:szCs w:val="28"/>
        </w:rPr>
      </w:pPr>
    </w:p>
    <w:tbl>
      <w:tblPr>
        <w:tblStyle w:val="TableGrid"/>
        <w:tblW w:w="4942" w:type="pct"/>
        <w:tblLook w:val="04A0" w:firstRow="1" w:lastRow="0" w:firstColumn="1" w:lastColumn="0" w:noHBand="0" w:noVBand="1"/>
      </w:tblPr>
      <w:tblGrid>
        <w:gridCol w:w="3084"/>
        <w:gridCol w:w="6095"/>
      </w:tblGrid>
      <w:tr w:rsidR="00A02269" w14:paraId="029CBD06" w14:textId="77777777" w:rsidTr="00BE29C3">
        <w:tc>
          <w:tcPr>
            <w:tcW w:w="5000" w:type="pct"/>
            <w:gridSpan w:val="2"/>
            <w:hideMark/>
          </w:tcPr>
          <w:p w14:paraId="26E6E2EF" w14:textId="77777777" w:rsidR="00953559" w:rsidRPr="00250B3C" w:rsidRDefault="00AE3EDA" w:rsidP="00C169D8">
            <w:pPr>
              <w:jc w:val="center"/>
              <w:rPr>
                <w:b/>
                <w:bCs/>
                <w:color w:val="000000"/>
              </w:rPr>
            </w:pPr>
            <w:r w:rsidRPr="00250B3C">
              <w:rPr>
                <w:b/>
                <w:bCs/>
                <w:color w:val="000000"/>
              </w:rPr>
              <w:t>Tiesību akta projekta anotācijas kopsavilkums</w:t>
            </w:r>
          </w:p>
        </w:tc>
      </w:tr>
      <w:tr w:rsidR="00A02269" w:rsidRPr="00C11FD5" w14:paraId="1C98053E" w14:textId="77777777" w:rsidTr="00BE29C3">
        <w:tc>
          <w:tcPr>
            <w:tcW w:w="1680" w:type="pct"/>
            <w:hideMark/>
          </w:tcPr>
          <w:p w14:paraId="520C4C9F" w14:textId="10D0A4FC" w:rsidR="00953559" w:rsidRPr="00C11FD5" w:rsidRDefault="00AE3EDA" w:rsidP="00C169D8">
            <w:pPr>
              <w:rPr>
                <w:iCs/>
                <w:color w:val="414142"/>
              </w:rPr>
            </w:pPr>
            <w:r w:rsidRPr="00C11FD5">
              <w:rPr>
                <w:iCs/>
              </w:rPr>
              <w:t>Mērķis, risinājums un projekta spēkā stāšanās laiks (nepārsniedzot 500 zīmes bez atstarpēm)</w:t>
            </w:r>
          </w:p>
        </w:tc>
        <w:tc>
          <w:tcPr>
            <w:tcW w:w="3320" w:type="pct"/>
            <w:hideMark/>
          </w:tcPr>
          <w:p w14:paraId="5C366362" w14:textId="1E815593" w:rsidR="00A147B8" w:rsidRPr="00C11FD5" w:rsidRDefault="00AE3EDA" w:rsidP="00A147B8">
            <w:pPr>
              <w:ind w:right="142"/>
              <w:jc w:val="both"/>
            </w:pPr>
            <w:r w:rsidRPr="00C11FD5">
              <w:t xml:space="preserve">Ministru kabineta rīkojuma </w:t>
            </w:r>
            <w:r w:rsidR="005A7548" w:rsidRPr="00C11FD5">
              <w:t>“</w:t>
            </w:r>
            <w:r w:rsidR="00B2683A" w:rsidRPr="00C11FD5">
              <w:t>Grozījumi Ministru kabineta 2015. gada 10. novembra rīkojumā Nr. 709 „Par integrēto teritoriālo investīciju specifisko atbalsta mērķu finansējuma kopējo apjomu katram nacionālas nozīmes attīstības centram un kopējiem rezultatīvajiem rādītājiem nacionālas no</w:t>
            </w:r>
            <w:r w:rsidR="00C52BF2" w:rsidRPr="00C11FD5">
              <w:t>zīmes attīstības centru grupai””</w:t>
            </w:r>
            <w:r w:rsidR="00B2683A" w:rsidRPr="00C11FD5">
              <w:t xml:space="preserve"> projekts (turpmāk – MK rīkojuma projekts)</w:t>
            </w:r>
            <w:r w:rsidRPr="00C11FD5">
              <w:t xml:space="preserve"> izstrādāts, lai nodrošinātu</w:t>
            </w:r>
            <w:r w:rsidR="00A147B8">
              <w:t xml:space="preserve"> </w:t>
            </w:r>
            <w:r w:rsidR="00B95B83" w:rsidRPr="00C11FD5">
              <w:t>Rīgas</w:t>
            </w:r>
            <w:r w:rsidRPr="00C11FD5">
              <w:t xml:space="preserve"> pilsētas pašvaldībai iespēju īstenot </w:t>
            </w:r>
            <w:r w:rsidR="0082602B" w:rsidRPr="00C11FD5">
              <w:t>nacionāla līmeņa projektu k</w:t>
            </w:r>
            <w:r w:rsidR="006E3E74">
              <w:t>ultūras mantojuma attīstīšanai ar mērķi izveidot</w:t>
            </w:r>
            <w:r w:rsidR="0082602B" w:rsidRPr="00C11FD5">
              <w:t xml:space="preserve"> nacionālās koncertzāles ar konferenču funkciju būvniecību</w:t>
            </w:r>
            <w:r w:rsidR="006C631D" w:rsidRPr="00C11FD5">
              <w:t xml:space="preserve"> (turpmāk – koncertzāles projekts)</w:t>
            </w:r>
            <w:r w:rsidR="0082602B" w:rsidRPr="00C11FD5">
              <w:t xml:space="preserve"> integrēto teritoriālo investīciju </w:t>
            </w:r>
            <w:r w:rsidR="00797EC3" w:rsidRPr="00C11FD5">
              <w:t xml:space="preserve">(turpmāk – ITI) </w:t>
            </w:r>
            <w:r w:rsidR="00A30C3B">
              <w:t>ietvarā</w:t>
            </w:r>
            <w:r w:rsidR="00A147B8">
              <w:t>.</w:t>
            </w:r>
            <w:r w:rsidR="00C02E78">
              <w:t xml:space="preserve"> </w:t>
            </w:r>
            <w:r w:rsidR="00A147B8">
              <w:t xml:space="preserve">Tāpat MK rīkojuma projekts izstrādāts, lai nodrošinātu Liepājas un Jūrmalas pilsētu pašvaldībām iespēju īstenot projektus </w:t>
            </w:r>
            <w:r w:rsidR="00A147B8" w:rsidRPr="00B00946">
              <w:t>kult</w:t>
            </w:r>
            <w:r w:rsidR="00A147B8">
              <w:t>ūras un dabas mantojuma attīstīšanai. Ņemot vērā, ka šāda veida investīcijas ir viena no vietējā līmeņa sociālekonomiskās attīstības prioritātēm, kā arī, lai paātrinātu investīciju piesaisti nacionālas nozīmes attīstības centru pašvaldībās, ir nepieciešams veikt finansējuma pārdali starp specifiskā atbalsta mērķiem.</w:t>
            </w:r>
          </w:p>
          <w:p w14:paraId="1CFF4181" w14:textId="2EDE82E1" w:rsidR="00A60E8A" w:rsidRDefault="00A60E8A" w:rsidP="00A60E8A">
            <w:pPr>
              <w:ind w:right="142"/>
              <w:jc w:val="both"/>
            </w:pPr>
            <w:r w:rsidRPr="00C11FD5">
              <w:t xml:space="preserve">Papildus rīkojuma projekts paredz grozījumus attiecībā uz 9.3.1.1. pasākuma finansējuma un iznākuma rādītāju apmēru ITI </w:t>
            </w:r>
            <w:r w:rsidR="00704F8A" w:rsidRPr="00C11FD5">
              <w:t>pašvaldībām</w:t>
            </w:r>
            <w:r w:rsidRPr="00C11FD5">
              <w:t xml:space="preserve">, ņemot vērā plānošanas reģionu deinstitucionalizācijas (turpmāk – DI) plānos iekļautos infrastruktūras risinājumus pašvaldībās. </w:t>
            </w:r>
          </w:p>
          <w:p w14:paraId="3CE44781" w14:textId="294FD120" w:rsidR="00953559" w:rsidRPr="00C11FD5" w:rsidRDefault="005B6BF2" w:rsidP="00A147B8">
            <w:pPr>
              <w:ind w:right="142"/>
              <w:jc w:val="both"/>
            </w:pPr>
            <w:r w:rsidRPr="00C11FD5">
              <w:t>MK rīkojuma p</w:t>
            </w:r>
            <w:r w:rsidR="00037E41" w:rsidRPr="00C11FD5">
              <w:t xml:space="preserve">rojekta spēkā stāšanās laiks – 2018. gada </w:t>
            </w:r>
            <w:r w:rsidR="00A147B8">
              <w:t>novembris</w:t>
            </w:r>
            <w:r w:rsidR="00B95B83" w:rsidRPr="00C11FD5">
              <w:t>.</w:t>
            </w:r>
          </w:p>
        </w:tc>
      </w:tr>
    </w:tbl>
    <w:p w14:paraId="565A3391" w14:textId="0780ADE2" w:rsidR="00EF0BD3" w:rsidRPr="00C11FD5" w:rsidRDefault="00EF0BD3" w:rsidP="00BF3F2B">
      <w:pPr>
        <w:jc w:val="cente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89"/>
        <w:gridCol w:w="6131"/>
      </w:tblGrid>
      <w:tr w:rsidR="00A02269" w:rsidRPr="00C11FD5" w14:paraId="2D118693" w14:textId="77777777" w:rsidTr="00131DBD">
        <w:tc>
          <w:tcPr>
            <w:tcW w:w="92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C11FD5" w:rsidRDefault="00AE3EDA" w:rsidP="00BF3F2B">
            <w:pPr>
              <w:pStyle w:val="ListParagraph"/>
              <w:tabs>
                <w:tab w:val="left" w:pos="2268"/>
                <w:tab w:val="left" w:pos="2410"/>
              </w:tabs>
              <w:ind w:left="1080"/>
              <w:jc w:val="center"/>
              <w:rPr>
                <w:b/>
                <w:sz w:val="24"/>
                <w:szCs w:val="24"/>
                <w:lang w:eastAsia="en-US"/>
              </w:rPr>
            </w:pPr>
            <w:r w:rsidRPr="00C11FD5">
              <w:rPr>
                <w:b/>
                <w:bCs/>
                <w:sz w:val="24"/>
                <w:szCs w:val="24"/>
              </w:rPr>
              <w:t>I. Tiesību akta projekta izstrādes nepieciešamība</w:t>
            </w:r>
          </w:p>
        </w:tc>
      </w:tr>
      <w:tr w:rsidR="00A02269" w14:paraId="2D118697"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C11FD5" w:rsidRDefault="00AE3EDA" w:rsidP="00BF3F2B">
            <w:pPr>
              <w:spacing w:before="60" w:afterLines="60" w:after="144"/>
              <w:jc w:val="center"/>
              <w:rPr>
                <w:lang w:eastAsia="en-US"/>
              </w:rPr>
            </w:pPr>
            <w:r w:rsidRPr="00C11FD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C11FD5" w:rsidRDefault="00AE3EDA" w:rsidP="00BF3F2B">
            <w:pPr>
              <w:tabs>
                <w:tab w:val="left" w:pos="1904"/>
              </w:tabs>
              <w:spacing w:before="60" w:afterLines="60" w:after="144"/>
              <w:rPr>
                <w:lang w:eastAsia="en-US"/>
              </w:rPr>
            </w:pPr>
            <w:r w:rsidRPr="00C11FD5">
              <w:t>Pamatojums</w:t>
            </w:r>
          </w:p>
        </w:tc>
        <w:tc>
          <w:tcPr>
            <w:tcW w:w="6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A12DF" w14:textId="7C632FB3" w:rsidR="009D49A6" w:rsidRPr="00C11FD5" w:rsidRDefault="00AE3EDA" w:rsidP="0082602B">
            <w:pPr>
              <w:spacing w:before="60"/>
              <w:jc w:val="both"/>
            </w:pPr>
            <w:r w:rsidRPr="00C11FD5">
              <w:t xml:space="preserve">MK rīkojuma projekts </w:t>
            </w:r>
            <w:r w:rsidR="001C1C28" w:rsidRPr="00C11FD5">
              <w:t>izstrādāts</w:t>
            </w:r>
            <w:r w:rsidR="00A76A5E" w:rsidRPr="00C11FD5">
              <w:t>, lai nodrošinātu Rīgas pilsētas pašvaldībai iespēju īstenot nacionāla līmeņa projektu kultūras mantojuma attīstīšanai ar mērķi izveidot nacionālo koncertzāli ar konferenču funkciju Rīgas pilsētā ITI ietvarā. A</w:t>
            </w:r>
            <w:r w:rsidR="001C1C28" w:rsidRPr="00C11FD5">
              <w:t xml:space="preserve">tbilstoši </w:t>
            </w:r>
            <w:r w:rsidR="009D49A6" w:rsidRPr="00C11FD5">
              <w:t>Kultūras ministrijas (turpmāk – KM) sagatavotaj</w:t>
            </w:r>
            <w:r w:rsidR="00A76A5E" w:rsidRPr="00C11FD5">
              <w:t>iem g</w:t>
            </w:r>
            <w:r w:rsidR="009D49A6" w:rsidRPr="00C11FD5">
              <w:t>rozījumi</w:t>
            </w:r>
            <w:r w:rsidR="00A76A5E" w:rsidRPr="00C11FD5">
              <w:t>em</w:t>
            </w:r>
            <w:r w:rsidR="009D49A6" w:rsidRPr="00C11FD5">
              <w:t xml:space="preserve"> Ministru kabineta </w:t>
            </w:r>
            <w:r w:rsidR="00A76A5E" w:rsidRPr="00C11FD5">
              <w:t xml:space="preserve">(turpmāk – MK) </w:t>
            </w:r>
            <w:r w:rsidR="009D49A6" w:rsidRPr="00C11FD5">
              <w:t>2017. gada 24. oktobra noteikumos Nr.635 „Darbības programmas „Izaugsme un nodarbinātība” prioritārā virziena „Vides aizsardzības un resursu i</w:t>
            </w:r>
            <w:bookmarkStart w:id="0" w:name="_GoBack"/>
            <w:bookmarkEnd w:id="0"/>
            <w:r w:rsidR="009D49A6" w:rsidRPr="00C11FD5">
              <w:t xml:space="preserve">zmantošanas efektivitāte” 5.5.1. specifiskā atbalsta mērķa „Saglabāt, aizsargāt un attīstīt nozīmīgu kultūras un dabas mantojumu, kā arī attīstīt ar to saistītos pakalpojumus” trešās projektu iesniegumu atlases kārtas „Ieguldījumi kultūras un dabas mantojuma </w:t>
            </w:r>
            <w:r w:rsidR="009D49A6" w:rsidRPr="00C11FD5">
              <w:lastRenderedPageBreak/>
              <w:t>attīstībai nacionālas nozīmes attīstības centru pašvaldībās” īstenošanas noteikumi”</w:t>
            </w:r>
            <w:r w:rsidR="00C52BF2" w:rsidRPr="00C11FD5">
              <w:t>)</w:t>
            </w:r>
            <w:r w:rsidR="00A76A5E" w:rsidRPr="00C11FD5">
              <w:t xml:space="preserve"> (turpmāk – grozījumi MK noteikumos Nr. 635</w:t>
            </w:r>
            <w:r w:rsidR="005C272E" w:rsidRPr="00C11FD5">
              <w:t xml:space="preserve">), </w:t>
            </w:r>
            <w:r w:rsidR="00A76A5E" w:rsidRPr="00C11FD5">
              <w:t>MK protokollēmum</w:t>
            </w:r>
            <w:r w:rsidR="00A147B8">
              <w:t>s</w:t>
            </w:r>
            <w:r w:rsidR="00360BB5">
              <w:t xml:space="preserve"> </w:t>
            </w:r>
            <w:r w:rsidR="00C52BF2" w:rsidRPr="00C11FD5">
              <w:t xml:space="preserve">paredz </w:t>
            </w:r>
            <w:r w:rsidR="009D49A6" w:rsidRPr="00C11FD5">
              <w:t>VARAM sadarbībā ar KM sagatavot</w:t>
            </w:r>
            <w:r w:rsidR="00C52BF2" w:rsidRPr="00C11FD5">
              <w:t>,</w:t>
            </w:r>
            <w:r w:rsidR="009D49A6" w:rsidRPr="00C11FD5">
              <w:t xml:space="preserve"> un vides aizsardzības un reģionālās attīstības ministram steidzamības kārtībā līdz 2018.gada 18.septembrim iesniegt </w:t>
            </w:r>
            <w:r w:rsidR="005C272E" w:rsidRPr="00C11FD5">
              <w:t>MK</w:t>
            </w:r>
            <w:r w:rsidR="009D49A6" w:rsidRPr="00C11FD5">
              <w:t xml:space="preserve"> grozījumus MK 2015. gada 10. novembra rīkojumā Nr. 709 „Par integrēto teritoriālo investīciju specifisko atbalsta mērķu finansējuma kopējo apjomu katram nacionālas nozīmes attīstības centram un kopējiem rezultatīvajiem rādītājiem nacionālas nozīmes attīstības centru grupai”, precizējot 5.5.1. specifiskā atbalsta mērķa finansējumu un sasniedzamos rādītājus.</w:t>
            </w:r>
          </w:p>
          <w:p w14:paraId="31030D28" w14:textId="5E6D1F45" w:rsidR="00797EC3" w:rsidRPr="00C11FD5" w:rsidRDefault="009D49A6" w:rsidP="006C631D">
            <w:pPr>
              <w:spacing w:before="60"/>
              <w:jc w:val="both"/>
            </w:pPr>
            <w:r w:rsidRPr="00C11FD5">
              <w:t>Grozījumi MK no</w:t>
            </w:r>
            <w:r w:rsidR="00704F8A" w:rsidRPr="00C11FD5">
              <w:t>teikumos Nr. 635</w:t>
            </w:r>
            <w:r w:rsidRPr="00C11FD5">
              <w:t xml:space="preserve"> </w:t>
            </w:r>
            <w:r w:rsidR="00A43514" w:rsidRPr="00C11FD5">
              <w:t>paredz palielināt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(turpmāk – 5.5.1. SAM 3. atlases kārta) ietvaros pieejamo kopējo attiecināmo finansējumu, vienlaikus palielinot 5.5.1. SAM 3. atlases kārtas ietvaros sasniedzamos rādītājus.</w:t>
            </w:r>
          </w:p>
          <w:p w14:paraId="449BD02E" w14:textId="77777777" w:rsidR="00FA610A" w:rsidRDefault="00FA610A" w:rsidP="00FA610A">
            <w:pPr>
              <w:spacing w:before="60"/>
              <w:jc w:val="both"/>
            </w:pPr>
            <w:r w:rsidRPr="00C11FD5">
              <w:t>Papildus 9.2.2. specifiskā atbalsta mērķa "Palielināt kvalitatīvu institucionālai aprūpei alternatīvu sociālo pakalpojumu dzīvesvietā un ģimeniskai videi pietuvinātu pakalpojumu pieejamību personām ar invaliditāti un bērniem" 9.2.2.1. pasākuma "Deinstitucionalizācija"</w:t>
            </w:r>
            <w:r w:rsidR="00565F24" w:rsidRPr="00C11FD5">
              <w:t xml:space="preserve"> (turpmāk – 9.2.2.1. pasākums)</w:t>
            </w:r>
            <w:r w:rsidRPr="00C11FD5">
              <w:t xml:space="preserve"> ietvaros ir izstrādāti plānošanas reģionu deinstitucionalizācijas (turpmāk – DI) plāni, kuros noteikti plānotie iznākuma rādītāji un finansējuma apmērs 9.3.1. specifiskā atbalsta mērķa "Attīstīt pakalpojumu infrastruktūru bērnu aprūpei ģimeniskā vidē un personu ar invaliditāti neatkarīgai dzīvei un integrācij</w:t>
            </w:r>
            <w:r w:rsidR="00C52BF2" w:rsidRPr="00C11FD5">
              <w:t>ai sabiedrībā" 9.3.1.1. pasākumā</w:t>
            </w:r>
            <w:r w:rsidRPr="00C11FD5">
              <w:t xml:space="preserve"> "Pakalpojumu infrastruktūras attīstība deinstitucionalizācijas plānu īstenošanai"</w:t>
            </w:r>
            <w:r w:rsidR="008A23AE" w:rsidRPr="00C11FD5">
              <w:t xml:space="preserve"> (turpmāk – 9.3.1.1. pasākums) </w:t>
            </w:r>
            <w:r w:rsidRPr="00C11FD5">
              <w:t xml:space="preserve">ITI pašvaldībās, attiecīgi ir nepieciešams precizēt arī </w:t>
            </w:r>
            <w:r w:rsidR="008A23AE" w:rsidRPr="00C11FD5">
              <w:t>9.3.1.1. pas</w:t>
            </w:r>
            <w:r w:rsidR="00704F8A" w:rsidRPr="00C11FD5">
              <w:t>ākuma ietvaros noteiktos</w:t>
            </w:r>
            <w:r w:rsidR="008A23AE" w:rsidRPr="00C11FD5">
              <w:t xml:space="preserve"> iznākuma rādīt</w:t>
            </w:r>
            <w:r w:rsidR="00704F8A" w:rsidRPr="00C11FD5">
              <w:t>ājus</w:t>
            </w:r>
            <w:r w:rsidR="008A23AE" w:rsidRPr="00C11FD5">
              <w:t xml:space="preserve"> un finansējuma apm</w:t>
            </w:r>
            <w:r w:rsidR="00704F8A" w:rsidRPr="00C11FD5">
              <w:t>ēru</w:t>
            </w:r>
            <w:r w:rsidR="008A23AE" w:rsidRPr="00C11FD5">
              <w:t>.</w:t>
            </w:r>
          </w:p>
          <w:p w14:paraId="77F55328" w14:textId="68A83B25" w:rsidR="00C248EF" w:rsidRDefault="00C248EF" w:rsidP="00C248EF">
            <w:pPr>
              <w:spacing w:before="60"/>
              <w:jc w:val="both"/>
            </w:pPr>
            <w:r>
              <w:t xml:space="preserve">Tāpat MK rīkojuma projekts izstrādāts atbilstoši 2018. gada 9.oktobra Latvijas Lielo pilsētu asociācijas (turpmāk – LLPA)  vēstule Nr. 5-1/283 „Par Liepājas un Jūrmalas pilsētas finansējuma pārdali no 5.6.2.SAM uz 5.5.1.SAM”, kas paredz veikt izmaiņas </w:t>
            </w:r>
            <w:r w:rsidR="00987439">
              <w:t>ITI</w:t>
            </w:r>
            <w:r>
              <w:t xml:space="preserve"> specifisko atbalsta mērķu finansējuma apjomā, īstenojot:</w:t>
            </w:r>
          </w:p>
          <w:p w14:paraId="59B0944B" w14:textId="77777777" w:rsidR="00C248EF" w:rsidRDefault="00C248EF" w:rsidP="00C32B2D">
            <w:pPr>
              <w:pStyle w:val="ListParagraph"/>
              <w:numPr>
                <w:ilvl w:val="0"/>
                <w:numId w:val="25"/>
              </w:numPr>
              <w:spacing w:before="60"/>
              <w:jc w:val="both"/>
            </w:pPr>
            <w:r>
              <w:t xml:space="preserve">Liepājas pilsētas finansējuma pārdali no 5.6.2.SAM uz 5.5.1.SAM atlases 3.kārtu 1 246 717 </w:t>
            </w:r>
            <w:r w:rsidRPr="00C32B2D">
              <w:rPr>
                <w:i/>
              </w:rPr>
              <w:t>euro</w:t>
            </w:r>
            <w:r>
              <w:t xml:space="preserve"> apmērā;</w:t>
            </w:r>
          </w:p>
          <w:p w14:paraId="779C10EB" w14:textId="77777777" w:rsidR="00C248EF" w:rsidRDefault="00C248EF" w:rsidP="00C32B2D">
            <w:pPr>
              <w:pStyle w:val="ListParagraph"/>
              <w:numPr>
                <w:ilvl w:val="0"/>
                <w:numId w:val="25"/>
              </w:numPr>
              <w:spacing w:before="60"/>
              <w:jc w:val="both"/>
            </w:pPr>
            <w:r>
              <w:t xml:space="preserve">Jūrmalas pilsētas finansējuma pārdali no 5.6.2.SAM uz 5.5.1.SAM atlases 3.kārtu 994 331 </w:t>
            </w:r>
            <w:r w:rsidRPr="00C32B2D">
              <w:rPr>
                <w:i/>
              </w:rPr>
              <w:t>euro</w:t>
            </w:r>
            <w:r>
              <w:t xml:space="preserve"> apmērā</w:t>
            </w:r>
          </w:p>
          <w:p w14:paraId="2D118696" w14:textId="06B4AC14" w:rsidR="00C248EF" w:rsidRPr="00750634" w:rsidRDefault="00C248EF" w:rsidP="008E2A4D">
            <w:pPr>
              <w:spacing w:before="60"/>
              <w:jc w:val="both"/>
            </w:pPr>
            <w:r>
              <w:t xml:space="preserve">Atbilstoši Sadarbības partneru darba grupas par Eiropas Savienības struktūrfondu un Kohēzijas fonda jautājumiem 2017. gada 17. maija sanāksmē (protokollēmums Nr. 8, 3.2. </w:t>
            </w:r>
            <w:r>
              <w:lastRenderedPageBreak/>
              <w:t xml:space="preserve">apakšpunkts) pieņemtajam lēmumam VARAM sagatavoja un iesniedza </w:t>
            </w:r>
            <w:r w:rsidR="008E2A4D">
              <w:t>MK</w:t>
            </w:r>
            <w:r>
              <w:t xml:space="preserve"> grozījumus </w:t>
            </w:r>
            <w:r w:rsidR="008E2A4D">
              <w:t>MK</w:t>
            </w:r>
            <w:r>
              <w:t xml:space="preserve"> 2015. gada 10. novembra rīkojumā Nr.709 „Par integrēto teritoriālo investīciju specifisko atbalsta mērķu finansējuma kopējo apjomu katram nacionālas nozīmes attīstības centram un kopējiem rezultatīvajiem rādītājiem nacionālas nozīmes attīstības centru grupai” (turpmāk – MK rīkojums Nr. 709) un citos saistītajos tiesību aktos, lai nodrošinātu ieguldījumus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(turpmāk - 5.5.1. SAM 3. kārta) ietvaros Daugavpils, Jelgavas, Rīgas, Valmieras un Ventspils pilsētu pašvaldībās. Papildus šīm pašvaldībām, arī Liepājas un Jūrmalas pilsētu pašvaldības ir identificējušas nepieciešamību īstenot ar kultūras un dabas mantojuma </w:t>
            </w:r>
            <w:r w:rsidR="008E2A4D">
              <w:t>attīstīšanu saistītus projektus.</w:t>
            </w:r>
            <w:r>
              <w:t xml:space="preserve"> Attiecīgi nepieciešams grozīt MK rīkojumā Nr. 709 iekļauto kopējo finansējuma un iznākuma rādītāju apjomu nacionālas nozīmes attīstības centriem 5.6.2. SAM un 5.5.1. specifiskā atbalsta mērķa „Saglabāt, aizsargāt un attīstīt nozīmīgu kultūras un dabas mantojumu, kā arī attīstīt ar to saistītos pakalpojumus”  ietvaros.</w:t>
            </w:r>
          </w:p>
        </w:tc>
      </w:tr>
      <w:tr w:rsidR="00A02269" w14:paraId="2D1186BA"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369D5B26" w:rsidR="00750FB6" w:rsidRPr="006E3F47" w:rsidRDefault="00131DBD" w:rsidP="00BF3F2B">
            <w:pPr>
              <w:spacing w:before="60" w:afterLines="60" w:after="144"/>
              <w:jc w:val="center"/>
              <w:rPr>
                <w:lang w:eastAsia="en-US"/>
              </w:rPr>
            </w:pPr>
            <w:r>
              <w:lastRenderedPageBreak/>
              <w:br w:type="page"/>
            </w:r>
            <w:r w:rsidR="00AE3EDA" w:rsidRPr="006E3F47">
              <w:t>2.</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6E3F47" w:rsidRDefault="00AE3EDA" w:rsidP="00BF3F2B">
            <w:pPr>
              <w:spacing w:before="60" w:afterLines="60" w:after="144"/>
              <w:jc w:val="both"/>
              <w:rPr>
                <w:lang w:eastAsia="en-US"/>
              </w:rPr>
            </w:pPr>
            <w:r w:rsidRPr="006E3F47">
              <w:t>Pašreizējā situācija un problēmas, kuru risināšanai tiesību akta projekts izstrādāts, tiesiskā regulējuma mērķis un būtība</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17D9AF83" w14:textId="535F10E2" w:rsidR="00FA610A" w:rsidRPr="00FA610A" w:rsidRDefault="00FA610A" w:rsidP="00FA610A">
            <w:pPr>
              <w:spacing w:before="60"/>
              <w:jc w:val="center"/>
              <w:rPr>
                <w:b/>
              </w:rPr>
            </w:pPr>
            <w:r w:rsidRPr="00FA610A">
              <w:rPr>
                <w:b/>
              </w:rPr>
              <w:t>5.5.1. SAM 3. atlases kārta</w:t>
            </w:r>
            <w:r>
              <w:rPr>
                <w:b/>
              </w:rPr>
              <w:t xml:space="preserve"> (Rīgas pilsētas koncertzāles finansējuma pārdale)</w:t>
            </w:r>
          </w:p>
          <w:p w14:paraId="14106CA2" w14:textId="55360568" w:rsidR="00750FB6" w:rsidRPr="003B219B" w:rsidRDefault="00797EC3" w:rsidP="003B219B">
            <w:pPr>
              <w:jc w:val="both"/>
              <w:rPr>
                <w:rFonts w:eastAsia="Times New Roman"/>
                <w:szCs w:val="28"/>
              </w:rPr>
            </w:pPr>
            <w:r>
              <w:rPr>
                <w:rFonts w:eastAsia="Times New Roman"/>
                <w:szCs w:val="28"/>
              </w:rPr>
              <w:t xml:space="preserve">Atbilstoši </w:t>
            </w:r>
            <w:r w:rsidR="00ED536A">
              <w:rPr>
                <w:rFonts w:eastAsia="Times New Roman"/>
                <w:szCs w:val="28"/>
              </w:rPr>
              <w:t xml:space="preserve">grozījumu </w:t>
            </w:r>
            <w:r>
              <w:rPr>
                <w:rFonts w:eastAsia="Times New Roman"/>
                <w:szCs w:val="28"/>
              </w:rPr>
              <w:t xml:space="preserve">MK noteikumu Nr. 635 </w:t>
            </w:r>
            <w:r w:rsidR="00882257">
              <w:rPr>
                <w:rFonts w:eastAsia="Times New Roman"/>
                <w:szCs w:val="28"/>
              </w:rPr>
              <w:t>anotācijas 2. punktam</w:t>
            </w:r>
            <w:r>
              <w:rPr>
                <w:rFonts w:eastAsia="Times New Roman"/>
                <w:szCs w:val="28"/>
              </w:rPr>
              <w:t xml:space="preserve">, </w:t>
            </w:r>
            <w:r w:rsidR="00ED536A">
              <w:rPr>
                <w:rFonts w:eastAsia="Times New Roman"/>
                <w:szCs w:val="28"/>
              </w:rPr>
              <w:t>KM</w:t>
            </w:r>
            <w:r>
              <w:rPr>
                <w:rFonts w:eastAsia="Times New Roman"/>
                <w:szCs w:val="28"/>
              </w:rPr>
              <w:t xml:space="preserve"> ir identificējusi</w:t>
            </w:r>
            <w:r w:rsidR="00A43514" w:rsidRPr="00A43514">
              <w:rPr>
                <w:rFonts w:eastAsia="Times New Roman"/>
                <w:szCs w:val="28"/>
              </w:rPr>
              <w:t xml:space="preserve"> riskus koncertzāles (ar konferenču centru) projekta īstenošanai sadarbībā ar privāto partneri kādā no Rīgas apkaimēm </w:t>
            </w:r>
            <w:r w:rsidR="00A43514" w:rsidRPr="00A43514">
              <w:rPr>
                <w:szCs w:val="28"/>
              </w:rPr>
              <w:t>–</w:t>
            </w:r>
            <w:r>
              <w:rPr>
                <w:rFonts w:eastAsia="Times New Roman"/>
                <w:szCs w:val="28"/>
              </w:rPr>
              <w:t xml:space="preserve"> Skanstē vai Torņ</w:t>
            </w:r>
            <w:r w:rsidR="006C631D">
              <w:rPr>
                <w:rFonts w:eastAsia="Times New Roman"/>
                <w:szCs w:val="28"/>
              </w:rPr>
              <w:t>a</w:t>
            </w:r>
            <w:r>
              <w:rPr>
                <w:rFonts w:eastAsia="Times New Roman"/>
                <w:szCs w:val="28"/>
              </w:rPr>
              <w:t xml:space="preserve">kalnā </w:t>
            </w:r>
            <w:r w:rsidRPr="00A43514">
              <w:rPr>
                <w:rFonts w:eastAsia="Times New Roman"/>
                <w:szCs w:val="28"/>
              </w:rPr>
              <w:t>5.6.1. specifiskā atbalsta mērķa „Veicināt Rīgas pilsētas revitalizāciju, nodrošinot teritorijas efektīvu sociālekonomisko izmantošanu”</w:t>
            </w:r>
            <w:r w:rsidR="006C631D">
              <w:rPr>
                <w:rFonts w:eastAsia="Times New Roman"/>
                <w:szCs w:val="28"/>
              </w:rPr>
              <w:t xml:space="preserve"> (turpmāk – 5.6.1. SAM)</w:t>
            </w:r>
            <w:r w:rsidR="00882257">
              <w:rPr>
                <w:rFonts w:eastAsia="Times New Roman"/>
                <w:szCs w:val="28"/>
              </w:rPr>
              <w:t xml:space="preserve"> ietvaros. L</w:t>
            </w:r>
            <w:r>
              <w:rPr>
                <w:rFonts w:eastAsia="Times New Roman"/>
                <w:szCs w:val="28"/>
              </w:rPr>
              <w:t xml:space="preserve">īdz ar to, atbilstoši </w:t>
            </w:r>
            <w:r w:rsidR="00ED536A">
              <w:rPr>
                <w:rFonts w:eastAsia="Times New Roman"/>
                <w:szCs w:val="28"/>
              </w:rPr>
              <w:t>MK</w:t>
            </w:r>
            <w:r>
              <w:rPr>
                <w:rFonts w:eastAsia="Times New Roman"/>
                <w:szCs w:val="28"/>
              </w:rPr>
              <w:t xml:space="preserve"> </w:t>
            </w:r>
            <w:r w:rsidR="00C52BF2" w:rsidRPr="00797EC3">
              <w:rPr>
                <w:rFonts w:eastAsia="Times New Roman"/>
                <w:szCs w:val="28"/>
              </w:rPr>
              <w:t>2018.</w:t>
            </w:r>
            <w:r w:rsidR="00C52BF2">
              <w:rPr>
                <w:rFonts w:eastAsia="Times New Roman"/>
                <w:szCs w:val="28"/>
              </w:rPr>
              <w:t xml:space="preserve"> </w:t>
            </w:r>
            <w:r w:rsidR="00C52BF2" w:rsidRPr="00797EC3">
              <w:rPr>
                <w:rFonts w:eastAsia="Times New Roman"/>
                <w:szCs w:val="28"/>
              </w:rPr>
              <w:t>gada 10.</w:t>
            </w:r>
            <w:r w:rsidR="00C52BF2">
              <w:rPr>
                <w:rFonts w:eastAsia="Times New Roman"/>
                <w:szCs w:val="28"/>
              </w:rPr>
              <w:t xml:space="preserve"> jūlija</w:t>
            </w:r>
            <w:r w:rsidR="00C52BF2" w:rsidRPr="00A43514">
              <w:rPr>
                <w:rFonts w:eastAsia="Times New Roman"/>
                <w:szCs w:val="28"/>
              </w:rPr>
              <w:t xml:space="preserve"> </w:t>
            </w:r>
            <w:r>
              <w:rPr>
                <w:rFonts w:eastAsia="Times New Roman"/>
                <w:szCs w:val="28"/>
              </w:rPr>
              <w:t xml:space="preserve">sēdes </w:t>
            </w:r>
            <w:r w:rsidR="00882257">
              <w:rPr>
                <w:rFonts w:eastAsia="Times New Roman"/>
                <w:szCs w:val="28"/>
              </w:rPr>
              <w:t>protoko</w:t>
            </w:r>
            <w:r w:rsidR="004C2A97">
              <w:rPr>
                <w:rFonts w:eastAsia="Times New Roman"/>
                <w:szCs w:val="28"/>
              </w:rPr>
              <w:t>l</w:t>
            </w:r>
            <w:r>
              <w:rPr>
                <w:rFonts w:eastAsia="Times New Roman"/>
                <w:szCs w:val="28"/>
              </w:rPr>
              <w:t xml:space="preserve">lēmumam (protokols Nr. 32, lēmums </w:t>
            </w:r>
            <w:r w:rsidRPr="00797EC3">
              <w:rPr>
                <w:rFonts w:eastAsia="Times New Roman"/>
                <w:szCs w:val="28"/>
              </w:rPr>
              <w:t>36.§</w:t>
            </w:r>
            <w:r>
              <w:rPr>
                <w:rFonts w:eastAsia="Times New Roman"/>
                <w:szCs w:val="28"/>
              </w:rPr>
              <w:t>)</w:t>
            </w:r>
            <w:r w:rsidR="00ED536A">
              <w:rPr>
                <w:rFonts w:eastAsia="Times New Roman"/>
                <w:szCs w:val="28"/>
              </w:rPr>
              <w:t xml:space="preserve"> KM</w:t>
            </w:r>
            <w:r w:rsidR="00A43514" w:rsidRPr="00A43514">
              <w:rPr>
                <w:rFonts w:eastAsia="Times New Roman"/>
                <w:szCs w:val="28"/>
              </w:rPr>
              <w:t xml:space="preserve"> </w:t>
            </w:r>
            <w:r>
              <w:rPr>
                <w:rFonts w:eastAsia="Times New Roman"/>
                <w:szCs w:val="28"/>
              </w:rPr>
              <w:t>tika uz</w:t>
            </w:r>
            <w:r w:rsidR="00A43514" w:rsidRPr="00A43514">
              <w:rPr>
                <w:rFonts w:eastAsia="Times New Roman"/>
                <w:szCs w:val="28"/>
              </w:rPr>
              <w:t>dots izstrādāt</w:t>
            </w:r>
            <w:r w:rsidR="00C52BF2">
              <w:rPr>
                <w:rFonts w:eastAsia="Times New Roman"/>
                <w:szCs w:val="28"/>
              </w:rPr>
              <w:t>,</w:t>
            </w:r>
            <w:r w:rsidR="00A43514" w:rsidRPr="00A43514">
              <w:rPr>
                <w:rFonts w:eastAsia="Times New Roman"/>
                <w:szCs w:val="28"/>
              </w:rPr>
              <w:t xml:space="preserve"> un kultūras ministram līdz 2018.</w:t>
            </w:r>
            <w:r>
              <w:rPr>
                <w:rFonts w:eastAsia="Times New Roman"/>
                <w:szCs w:val="28"/>
              </w:rPr>
              <w:t xml:space="preserve"> </w:t>
            </w:r>
            <w:r w:rsidR="00A43514" w:rsidRPr="00A43514">
              <w:rPr>
                <w:rFonts w:eastAsia="Times New Roman"/>
                <w:szCs w:val="28"/>
              </w:rPr>
              <w:t>gada 11.</w:t>
            </w:r>
            <w:r>
              <w:rPr>
                <w:rFonts w:eastAsia="Times New Roman"/>
                <w:szCs w:val="28"/>
              </w:rPr>
              <w:t xml:space="preserve"> </w:t>
            </w:r>
            <w:r w:rsidR="00A43514" w:rsidRPr="00A43514">
              <w:rPr>
                <w:rFonts w:eastAsia="Times New Roman"/>
                <w:szCs w:val="28"/>
              </w:rPr>
              <w:t xml:space="preserve">septembrim iesniegt izskatīšanai </w:t>
            </w:r>
            <w:r w:rsidR="008E2A4D">
              <w:rPr>
                <w:rFonts w:eastAsia="Times New Roman"/>
                <w:szCs w:val="28"/>
              </w:rPr>
              <w:t>MK</w:t>
            </w:r>
            <w:r w:rsidR="00A43514" w:rsidRPr="00A43514">
              <w:rPr>
                <w:rFonts w:eastAsia="Times New Roman"/>
                <w:szCs w:val="28"/>
              </w:rPr>
              <w:t xml:space="preserve"> grozījumus </w:t>
            </w:r>
            <w:r w:rsidR="008E2A4D">
              <w:rPr>
                <w:rFonts w:eastAsia="Times New Roman"/>
                <w:szCs w:val="28"/>
              </w:rPr>
              <w:t>MK</w:t>
            </w:r>
            <w:r w:rsidR="00A43514" w:rsidRPr="00A43514">
              <w:rPr>
                <w:rFonts w:eastAsia="Times New Roman"/>
                <w:szCs w:val="28"/>
              </w:rPr>
              <w:t xml:space="preserve"> 2016.</w:t>
            </w:r>
            <w:r>
              <w:rPr>
                <w:rFonts w:eastAsia="Times New Roman"/>
                <w:szCs w:val="28"/>
              </w:rPr>
              <w:t xml:space="preserve"> </w:t>
            </w:r>
            <w:r w:rsidR="00A43514" w:rsidRPr="00A43514">
              <w:rPr>
                <w:rFonts w:eastAsia="Times New Roman"/>
                <w:szCs w:val="28"/>
              </w:rPr>
              <w:t>gada 29.</w:t>
            </w:r>
            <w:r>
              <w:rPr>
                <w:rFonts w:eastAsia="Times New Roman"/>
                <w:szCs w:val="28"/>
              </w:rPr>
              <w:t xml:space="preserve"> </w:t>
            </w:r>
            <w:r w:rsidR="00A43514" w:rsidRPr="00A43514">
              <w:rPr>
                <w:rFonts w:eastAsia="Times New Roman"/>
                <w:szCs w:val="28"/>
              </w:rPr>
              <w:t>marta noteikumos Nr.</w:t>
            </w:r>
            <w:r>
              <w:rPr>
                <w:rFonts w:eastAsia="Times New Roman"/>
                <w:szCs w:val="28"/>
              </w:rPr>
              <w:t xml:space="preserve"> </w:t>
            </w:r>
            <w:r w:rsidR="00A43514" w:rsidRPr="00A43514">
              <w:rPr>
                <w:rFonts w:eastAsia="Times New Roman"/>
                <w:szCs w:val="28"/>
              </w:rPr>
              <w:t>188 „Darbības programmas „Izaugsme un nodarbinātība” īstenošanas noteikumi”</w:t>
            </w:r>
            <w:r w:rsidR="00A43514" w:rsidRPr="00A43514">
              <w:rPr>
                <w:rFonts w:eastAsia="Times New Roman"/>
                <w:iCs/>
                <w:szCs w:val="28"/>
              </w:rPr>
              <w:t xml:space="preserve"> </w:t>
            </w:r>
            <w:r w:rsidR="00A43514" w:rsidRPr="00A43514">
              <w:rPr>
                <w:rFonts w:eastAsia="Times New Roman"/>
                <w:szCs w:val="28"/>
              </w:rPr>
              <w:t xml:space="preserve">un </w:t>
            </w:r>
            <w:r w:rsidR="006C631D">
              <w:rPr>
                <w:rFonts w:eastAsia="Times New Roman"/>
                <w:szCs w:val="28"/>
              </w:rPr>
              <w:t>MK noteikumos Nr. 635</w:t>
            </w:r>
            <w:r w:rsidR="00A43514" w:rsidRPr="00A43514">
              <w:rPr>
                <w:rFonts w:eastAsia="Times New Roman"/>
                <w:szCs w:val="28"/>
              </w:rPr>
              <w:t xml:space="preserve">, </w:t>
            </w:r>
            <w:r>
              <w:rPr>
                <w:rFonts w:eastAsia="Times New Roman"/>
                <w:szCs w:val="28"/>
              </w:rPr>
              <w:t>paredzot finansējuma pārdali no</w:t>
            </w:r>
            <w:r w:rsidR="00A43514" w:rsidRPr="00A43514">
              <w:rPr>
                <w:rFonts w:eastAsia="Times New Roman"/>
                <w:iCs/>
                <w:szCs w:val="28"/>
              </w:rPr>
              <w:t xml:space="preserve"> </w:t>
            </w:r>
            <w:r w:rsidR="00A43514" w:rsidRPr="00A43514">
              <w:rPr>
                <w:rFonts w:eastAsia="Times New Roman"/>
                <w:szCs w:val="28"/>
              </w:rPr>
              <w:t>5.6.1.</w:t>
            </w:r>
            <w:r>
              <w:rPr>
                <w:rFonts w:eastAsia="Times New Roman"/>
                <w:szCs w:val="28"/>
              </w:rPr>
              <w:t xml:space="preserve"> </w:t>
            </w:r>
            <w:r w:rsidR="00A43514" w:rsidRPr="00A43514">
              <w:rPr>
                <w:rFonts w:eastAsia="Times New Roman"/>
                <w:szCs w:val="28"/>
              </w:rPr>
              <w:t>SAM</w:t>
            </w:r>
            <w:r>
              <w:rPr>
                <w:rFonts w:eastAsia="Times New Roman"/>
                <w:szCs w:val="28"/>
              </w:rPr>
              <w:t xml:space="preserve"> </w:t>
            </w:r>
            <w:r w:rsidR="00A43514" w:rsidRPr="00A43514">
              <w:rPr>
                <w:rFonts w:eastAsia="Times New Roman"/>
                <w:szCs w:val="28"/>
              </w:rPr>
              <w:t> uz  5.5.1.</w:t>
            </w:r>
            <w:r>
              <w:rPr>
                <w:rFonts w:eastAsia="Times New Roman"/>
                <w:szCs w:val="28"/>
              </w:rPr>
              <w:t xml:space="preserve"> </w:t>
            </w:r>
            <w:r w:rsidR="00A43514" w:rsidRPr="00A43514">
              <w:rPr>
                <w:rFonts w:eastAsia="Times New Roman"/>
                <w:szCs w:val="28"/>
              </w:rPr>
              <w:t>SAM</w:t>
            </w:r>
            <w:r>
              <w:rPr>
                <w:rFonts w:eastAsia="Times New Roman"/>
                <w:szCs w:val="28"/>
              </w:rPr>
              <w:t xml:space="preserve"> 3. atlases kārtu</w:t>
            </w:r>
            <w:r w:rsidR="00A43514" w:rsidRPr="00A43514">
              <w:rPr>
                <w:rFonts w:eastAsia="Times New Roman"/>
                <w:szCs w:val="28"/>
              </w:rPr>
              <w:t xml:space="preserve"> un novirzīt Eiropas Reģionālās attīstības fonda finansējumu 23 192 193 </w:t>
            </w:r>
            <w:r w:rsidR="00A43514" w:rsidRPr="00A43514">
              <w:rPr>
                <w:rFonts w:eastAsia="Times New Roman"/>
                <w:i/>
                <w:szCs w:val="28"/>
              </w:rPr>
              <w:t>euro</w:t>
            </w:r>
            <w:r w:rsidR="00A43514" w:rsidRPr="00A43514">
              <w:rPr>
                <w:rFonts w:eastAsia="Times New Roman"/>
                <w:szCs w:val="28"/>
              </w:rPr>
              <w:t xml:space="preserve"> apmērā, tai skaitā snieguma rezervi 2 451 484 </w:t>
            </w:r>
            <w:r w:rsidR="00A43514" w:rsidRPr="00A43514">
              <w:rPr>
                <w:rFonts w:eastAsia="Times New Roman"/>
                <w:i/>
                <w:szCs w:val="28"/>
              </w:rPr>
              <w:t>euro</w:t>
            </w:r>
            <w:r w:rsidR="00A43514" w:rsidRPr="00A43514">
              <w:rPr>
                <w:rFonts w:eastAsia="Times New Roman"/>
                <w:szCs w:val="28"/>
              </w:rPr>
              <w:t>, kultūras mantojuma atjaunošanai un ar to saistītās infrastruktūras uzlabošanai ar mērķi izveidot nacionālo koncertzāli ar konferenču funkciju Rīgas pilsētā.</w:t>
            </w:r>
          </w:p>
          <w:p w14:paraId="5524380D" w14:textId="4B7BC8D3" w:rsidR="006C631D" w:rsidRDefault="006C631D" w:rsidP="00CE048A">
            <w:pPr>
              <w:autoSpaceDE w:val="0"/>
              <w:autoSpaceDN w:val="0"/>
              <w:spacing w:before="60"/>
              <w:jc w:val="both"/>
            </w:pPr>
            <w:r>
              <w:t>Attiecīgi ar Rīgas pilsētas pašvaldības koncertzāles projektu tiek palielināts 5.5.1. SAM 3. atlases kārtas kopējais finansējuma</w:t>
            </w:r>
            <w:r w:rsidR="00882257">
              <w:t xml:space="preserve"> un</w:t>
            </w:r>
            <w:r>
              <w:t xml:space="preserve"> iznākuma rādītāju apjoms šādā apmērā:</w:t>
            </w:r>
          </w:p>
          <w:p w14:paraId="0EA38A8C" w14:textId="54F5D986" w:rsidR="006C631D" w:rsidRPr="00134A7F" w:rsidRDefault="006C631D" w:rsidP="006C631D">
            <w:pPr>
              <w:pStyle w:val="ListParagraph"/>
              <w:numPr>
                <w:ilvl w:val="0"/>
                <w:numId w:val="15"/>
              </w:numPr>
              <w:autoSpaceDE w:val="0"/>
              <w:autoSpaceDN w:val="0"/>
              <w:spacing w:before="60"/>
              <w:jc w:val="both"/>
              <w:rPr>
                <w:sz w:val="24"/>
              </w:rPr>
            </w:pPr>
            <w:r w:rsidRPr="00134A7F">
              <w:rPr>
                <w:sz w:val="24"/>
              </w:rPr>
              <w:t xml:space="preserve">ERAF pamatpiešķīrums - 23 192 193 </w:t>
            </w:r>
            <w:r w:rsidRPr="00134A7F">
              <w:rPr>
                <w:i/>
                <w:sz w:val="24"/>
              </w:rPr>
              <w:t>euro</w:t>
            </w:r>
            <w:r w:rsidRPr="00134A7F">
              <w:rPr>
                <w:sz w:val="24"/>
              </w:rPr>
              <w:t xml:space="preserve"> (t.sk. 2 </w:t>
            </w:r>
            <w:r w:rsidRPr="00134A7F">
              <w:rPr>
                <w:sz w:val="24"/>
              </w:rPr>
              <w:lastRenderedPageBreak/>
              <w:t xml:space="preserve">451 484 </w:t>
            </w:r>
            <w:r w:rsidRPr="00134A7F">
              <w:rPr>
                <w:i/>
                <w:sz w:val="24"/>
              </w:rPr>
              <w:t>euro</w:t>
            </w:r>
            <w:r w:rsidRPr="00134A7F">
              <w:rPr>
                <w:sz w:val="24"/>
              </w:rPr>
              <w:t xml:space="preserve"> snieguma rezerve)</w:t>
            </w:r>
          </w:p>
          <w:p w14:paraId="30D68557" w14:textId="1E13233A" w:rsidR="006C631D" w:rsidRPr="00134A7F" w:rsidRDefault="006C631D" w:rsidP="006C631D">
            <w:pPr>
              <w:pStyle w:val="ListParagraph"/>
              <w:numPr>
                <w:ilvl w:val="0"/>
                <w:numId w:val="15"/>
              </w:numPr>
              <w:autoSpaceDE w:val="0"/>
              <w:autoSpaceDN w:val="0"/>
              <w:spacing w:before="60"/>
              <w:jc w:val="both"/>
              <w:rPr>
                <w:sz w:val="24"/>
              </w:rPr>
            </w:pPr>
            <w:r w:rsidRPr="00134A7F">
              <w:rPr>
                <w:sz w:val="24"/>
              </w:rPr>
              <w:t>Atbalstīto dabas un kultūras mantojuma objektu skaits - 2</w:t>
            </w:r>
          </w:p>
          <w:p w14:paraId="30C6327F" w14:textId="25A4876C" w:rsidR="006C631D" w:rsidRPr="00134A7F" w:rsidRDefault="006C631D" w:rsidP="006C631D">
            <w:pPr>
              <w:pStyle w:val="ListParagraph"/>
              <w:numPr>
                <w:ilvl w:val="0"/>
                <w:numId w:val="15"/>
              </w:numPr>
              <w:autoSpaceDE w:val="0"/>
              <w:autoSpaceDN w:val="0"/>
              <w:spacing w:before="60"/>
              <w:jc w:val="both"/>
              <w:rPr>
                <w:sz w:val="24"/>
              </w:rPr>
            </w:pPr>
            <w:r w:rsidRPr="00134A7F">
              <w:rPr>
                <w:sz w:val="24"/>
              </w:rPr>
              <w:t xml:space="preserve">Atbalstīto kultūras un dabas mantojuma objektu un tūrisma objektu apmeklējumu skaita paredzamais pieaugums - </w:t>
            </w:r>
            <w:r w:rsidR="005E2895" w:rsidRPr="00134A7F">
              <w:rPr>
                <w:sz w:val="24"/>
              </w:rPr>
              <w:t>30 000</w:t>
            </w:r>
          </w:p>
          <w:p w14:paraId="76A6D499" w14:textId="47F0A8C3" w:rsidR="006C631D" w:rsidRDefault="006C631D" w:rsidP="006C631D">
            <w:pPr>
              <w:pStyle w:val="ListParagraph"/>
              <w:numPr>
                <w:ilvl w:val="0"/>
                <w:numId w:val="15"/>
              </w:numPr>
              <w:autoSpaceDE w:val="0"/>
              <w:autoSpaceDN w:val="0"/>
              <w:spacing w:before="60"/>
              <w:jc w:val="both"/>
              <w:rPr>
                <w:sz w:val="24"/>
              </w:rPr>
            </w:pPr>
            <w:r w:rsidRPr="00134A7F">
              <w:rPr>
                <w:sz w:val="24"/>
              </w:rPr>
              <w:t xml:space="preserve">Jaunradīto pakalpojumu skaits atbalstītajos kultūras un dabas mantojuma objektos – </w:t>
            </w:r>
            <w:r w:rsidR="005E2895" w:rsidRPr="00134A7F">
              <w:rPr>
                <w:sz w:val="24"/>
              </w:rPr>
              <w:t>2</w:t>
            </w:r>
          </w:p>
          <w:p w14:paraId="359EC0C3" w14:textId="2655D3E1" w:rsidR="006C3D05" w:rsidRDefault="006C3D05" w:rsidP="00063FCD">
            <w:pPr>
              <w:autoSpaceDE w:val="0"/>
              <w:autoSpaceDN w:val="0"/>
              <w:spacing w:before="60"/>
              <w:jc w:val="both"/>
            </w:pPr>
            <w:r>
              <w:t xml:space="preserve">Ņemot vērā to, ka Rīgas pilsētas pašvaldībai  nepieciešamais finansējums, lai īstenotu projektu kultūras un dabas mantojuma attīstīšanai, tiek pārdalīts no specifiskā atbalsta mērķa, kas nav ITI ietvarā, ar MK rīkojuma projektu tiek palielināts kopējais ITI finansējuma apmērs no 249 039 844 </w:t>
            </w:r>
            <w:r>
              <w:rPr>
                <w:i/>
                <w:iCs/>
              </w:rPr>
              <w:t>euro</w:t>
            </w:r>
            <w:r>
              <w:t xml:space="preserve"> uz 269 923 662 </w:t>
            </w:r>
            <w:r>
              <w:rPr>
                <w:i/>
                <w:iCs/>
              </w:rPr>
              <w:t>euro</w:t>
            </w:r>
            <w:r>
              <w:t xml:space="preserve"> (ņemot vērā arī precizēto finansējumu 9.3.1.1. pasākuma ietvaros).</w:t>
            </w:r>
          </w:p>
          <w:p w14:paraId="7701F445" w14:textId="32EF64DA" w:rsidR="00C248EF" w:rsidRPr="00C32B2D" w:rsidRDefault="00C248EF" w:rsidP="00C32B2D">
            <w:pPr>
              <w:spacing w:before="60"/>
              <w:jc w:val="center"/>
              <w:rPr>
                <w:b/>
              </w:rPr>
            </w:pPr>
            <w:r w:rsidRPr="00FA610A">
              <w:rPr>
                <w:b/>
              </w:rPr>
              <w:t>5.5.1. SAM 3. atlases kārta</w:t>
            </w:r>
            <w:r>
              <w:rPr>
                <w:b/>
              </w:rPr>
              <w:t xml:space="preserve"> (Jūrmalas un Liepājas pilsētu finansējuma pārdale)</w:t>
            </w:r>
          </w:p>
          <w:p w14:paraId="2A6F8125" w14:textId="77777777" w:rsidR="00063FCD" w:rsidRPr="00737957" w:rsidRDefault="00063FCD" w:rsidP="00063FCD">
            <w:pPr>
              <w:autoSpaceDE w:val="0"/>
              <w:autoSpaceDN w:val="0"/>
              <w:spacing w:before="60"/>
              <w:jc w:val="both"/>
            </w:pPr>
            <w:r w:rsidRPr="00737957">
              <w:t>5.6.2</w:t>
            </w:r>
            <w:r>
              <w:t>.</w:t>
            </w:r>
            <w:r w:rsidRPr="00737957">
              <w:t xml:space="preserve"> SAM ietvaros paredzēts reģenerēt degradētās teritorijas, nodrošinot videi draudzīgu teritoriālo izaugsmi un jaunu darba vietu radīšanu. </w:t>
            </w:r>
            <w:r>
              <w:t>I</w:t>
            </w:r>
            <w:r w:rsidRPr="00737957">
              <w:t>eguldījumus veic rūpniecībai vai cita veida uzņēmējdarbībai paredzēto degradēto teritoriju atjaunošanai</w:t>
            </w:r>
            <w:r>
              <w:t xml:space="preserve">, </w:t>
            </w:r>
            <w:r w:rsidRPr="00737957">
              <w:t>attīstot industriālos pieslēgumus, ceļu satiksmes infrastruktūru, atjaunojot ēkas un saistīto infrastruktūru, kā arī labiekārtojot teritorijas, padarot tās pievilcīgākas un labvēlīgākas uzņēmējdarbībai. Projekta iesniedzējs ir pašvaldība vai pašvaldības kapitālsabiedrība, kas veic pašvaldības deleģēto pārvaldes uzdevumu izpildi</w:t>
            </w:r>
            <w:r>
              <w:t xml:space="preserve">, </w:t>
            </w:r>
            <w:r w:rsidRPr="00555766">
              <w:t>vai brīvostas pārvalde, vai speciālās ekonomiskās zonas pārvalde</w:t>
            </w:r>
            <w:r w:rsidRPr="00737957">
              <w:t>.</w:t>
            </w:r>
          </w:p>
          <w:p w14:paraId="12BA2609" w14:textId="49EFC4EB" w:rsidR="00063FCD" w:rsidRDefault="00063FCD" w:rsidP="00063FCD">
            <w:pPr>
              <w:spacing w:before="60"/>
              <w:jc w:val="both"/>
            </w:pPr>
            <w:r w:rsidRPr="00371F4D">
              <w:t xml:space="preserve">Nodrošinot pašvaldību integrēto attīstības programmu īstenošanu un tajās noteikto problēmu risināšanu, nacionālo attīstības centru pašvaldības ir identificējušas nepieciešamību </w:t>
            </w:r>
            <w:r w:rsidR="00987439">
              <w:t>ITI</w:t>
            </w:r>
            <w:r w:rsidRPr="00371F4D">
              <w:t xml:space="preserve"> veidā īstenot arī uz kultūras un dabas ma</w:t>
            </w:r>
            <w:r>
              <w:t>n</w:t>
            </w:r>
            <w:r w:rsidRPr="00371F4D">
              <w:t>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r>
              <w:t>.</w:t>
            </w:r>
            <w:r w:rsidRPr="00737957">
              <w:t xml:space="preserve"> Atbilstoši LLPA 2017.gada maijā VARAM un F</w:t>
            </w:r>
            <w:r>
              <w:t>inanšu ministrijai (turpmāk – FM)</w:t>
            </w:r>
            <w:r w:rsidRPr="00737957">
              <w:t xml:space="preserve"> iesniegtajai informācijai</w:t>
            </w:r>
            <w:r>
              <w:t xml:space="preserve"> </w:t>
            </w:r>
            <w:r w:rsidRPr="002949E3">
              <w:t>tika identificētas projektu</w:t>
            </w:r>
            <w:r>
              <w:t xml:space="preserve"> idejas Daugavpils, Jelgavas, Ventspils, Rīgas un Valmieras pilsētu pašvaldībās, kuras nevar tikt īstenotas 5.6.2. SAM ietvaros,</w:t>
            </w:r>
            <w:r w:rsidRPr="00737957">
              <w:t xml:space="preserve"> un</w:t>
            </w:r>
            <w:r>
              <w:t>, ņ</w:t>
            </w:r>
            <w:r w:rsidRPr="00A81937">
              <w:t xml:space="preserve">emot vērā </w:t>
            </w:r>
            <w:r>
              <w:t>to saturu, kā</w:t>
            </w:r>
            <w:r w:rsidRPr="00A81937">
              <w:t xml:space="preserve"> risinājums tika </w:t>
            </w:r>
            <w:r>
              <w:t>piedāvāta projektu īstenošana</w:t>
            </w:r>
            <w:r w:rsidRPr="00A81937">
              <w:t xml:space="preserve"> </w:t>
            </w:r>
            <w:r>
              <w:t>5.5.1. SAM</w:t>
            </w:r>
            <w:r w:rsidR="000A4724">
              <w:t xml:space="preserve"> 3.</w:t>
            </w:r>
            <w:r>
              <w:t>kārtas ietvaros, nepārsniedzot kopējo 5.6.2. SAM virssaistību finansējuma apjomu.</w:t>
            </w:r>
          </w:p>
          <w:p w14:paraId="3119FB1E" w14:textId="2E51E4D0" w:rsidR="004A38C7" w:rsidRDefault="004A38C7" w:rsidP="00C32B2D">
            <w:pPr>
              <w:autoSpaceDE w:val="0"/>
              <w:autoSpaceDN w:val="0"/>
              <w:spacing w:before="60"/>
              <w:jc w:val="both"/>
            </w:pPr>
            <w:r>
              <w:t xml:space="preserve">LLPA </w:t>
            </w:r>
            <w:r w:rsidR="00CC13EE">
              <w:t>2018. gada 9.oktobra</w:t>
            </w:r>
            <w:r w:rsidR="00CC13EE" w:rsidRPr="004A38C7">
              <w:t xml:space="preserve"> </w:t>
            </w:r>
            <w:r w:rsidRPr="004A38C7">
              <w:t xml:space="preserve">vēstule Nr. 5-1/283 „Par Liepājas un Jūrmalas pilsētas finansējuma pārdali no 5.6.2.SAM uz 5.5.1.SAM”, </w:t>
            </w:r>
            <w:r>
              <w:t>paredz</w:t>
            </w:r>
            <w:r w:rsidRPr="004A38C7">
              <w:t xml:space="preserve"> veikt izmaiņas </w:t>
            </w:r>
            <w:r w:rsidR="00987439">
              <w:t>ITI</w:t>
            </w:r>
            <w:r w:rsidRPr="004A38C7">
              <w:t xml:space="preserve"> specifisko atbalsta mērķu finansējuma apjomā</w:t>
            </w:r>
            <w:r w:rsidR="000A4724">
              <w:t xml:space="preserve"> Liepājas un </w:t>
            </w:r>
            <w:r w:rsidR="000A4724">
              <w:lastRenderedPageBreak/>
              <w:t>Jūrmalas pilsētu pašvaldību gadījumā</w:t>
            </w:r>
            <w:r>
              <w:t>.</w:t>
            </w:r>
          </w:p>
          <w:p w14:paraId="76872C36" w14:textId="3BA7D819" w:rsidR="00C37B19" w:rsidRDefault="00C248EF" w:rsidP="00C32B2D">
            <w:pPr>
              <w:autoSpaceDE w:val="0"/>
              <w:autoSpaceDN w:val="0"/>
              <w:spacing w:before="60"/>
              <w:jc w:val="both"/>
            </w:pPr>
            <w:r>
              <w:t>A</w:t>
            </w:r>
            <w:r w:rsidR="00C37B19">
              <w:t xml:space="preserve">r Liepājas pilsētas pašvaldības projektu </w:t>
            </w:r>
            <w:r w:rsidR="00C17DBE">
              <w:t xml:space="preserve">“Piekrasti raksturojošās dabas ainavas publiskās ārtelpas attīstības un pieejamības veicināšanas kultūras un tūrisma pakalpojumu daudzveidošanas Liepājas centra pludmalē” </w:t>
            </w:r>
            <w:r w:rsidR="00C37B19">
              <w:t>tiek palielināts 5.5.1 SAM 3. atlases kārtas kopējais finansējuma un iznākuma rādītāju apjoms šādā apmērā:</w:t>
            </w:r>
          </w:p>
          <w:p w14:paraId="0772CAF2" w14:textId="64124E55" w:rsidR="00C37B19" w:rsidRPr="00C32B2D" w:rsidRDefault="00C37B19" w:rsidP="00C32B2D">
            <w:pPr>
              <w:pStyle w:val="ListParagraph"/>
              <w:numPr>
                <w:ilvl w:val="0"/>
                <w:numId w:val="24"/>
              </w:numPr>
              <w:autoSpaceDE w:val="0"/>
              <w:autoSpaceDN w:val="0"/>
              <w:spacing w:before="60"/>
              <w:jc w:val="both"/>
            </w:pPr>
            <w:r>
              <w:t xml:space="preserve">ERAF pamatpiešķīrums – 1 246 717 </w:t>
            </w:r>
            <w:r>
              <w:rPr>
                <w:i/>
              </w:rPr>
              <w:t>euro</w:t>
            </w:r>
          </w:p>
          <w:p w14:paraId="2D5402E6" w14:textId="647589B3" w:rsidR="00C37B19" w:rsidRDefault="00C37B19" w:rsidP="00C32B2D">
            <w:pPr>
              <w:pStyle w:val="ListParagraph"/>
              <w:numPr>
                <w:ilvl w:val="0"/>
                <w:numId w:val="24"/>
              </w:numPr>
              <w:autoSpaceDE w:val="0"/>
              <w:autoSpaceDN w:val="0"/>
              <w:spacing w:before="60"/>
              <w:jc w:val="both"/>
            </w:pPr>
            <w:r>
              <w:t>Atbalstīto dabas un kultūras mantojuma objektu skaits – 1</w:t>
            </w:r>
          </w:p>
          <w:p w14:paraId="5D9EBE30" w14:textId="147A4019" w:rsidR="00C37B19" w:rsidRDefault="00C37B19" w:rsidP="00C32B2D">
            <w:pPr>
              <w:pStyle w:val="ListParagraph"/>
              <w:numPr>
                <w:ilvl w:val="0"/>
                <w:numId w:val="24"/>
              </w:numPr>
              <w:autoSpaceDE w:val="0"/>
              <w:autoSpaceDN w:val="0"/>
              <w:spacing w:before="60"/>
              <w:jc w:val="both"/>
            </w:pPr>
            <w:r>
              <w:t xml:space="preserve">Atbalstīto kultūras un dabas mantojuma objektu un tūrisma </w:t>
            </w:r>
            <w:r w:rsidR="00C248EF">
              <w:t>objektu</w:t>
            </w:r>
            <w:r>
              <w:t xml:space="preserve"> apmeklējumu skaita paredzamais pieaugums – 6 000</w:t>
            </w:r>
          </w:p>
          <w:p w14:paraId="28D6939D" w14:textId="793AC77A" w:rsidR="00C17DBE" w:rsidRDefault="00C37B19" w:rsidP="00C32B2D">
            <w:pPr>
              <w:pStyle w:val="ListParagraph"/>
              <w:numPr>
                <w:ilvl w:val="0"/>
                <w:numId w:val="24"/>
              </w:numPr>
              <w:autoSpaceDE w:val="0"/>
              <w:autoSpaceDN w:val="0"/>
              <w:spacing w:before="60"/>
              <w:jc w:val="both"/>
            </w:pPr>
            <w:r>
              <w:t xml:space="preserve">Jaunradīto pakalpojumu skaits atbalstītajos kultūras un dabas mantojuma </w:t>
            </w:r>
            <w:r w:rsidR="00C248EF">
              <w:t>objektos</w:t>
            </w:r>
            <w:r>
              <w:t xml:space="preserve"> </w:t>
            </w:r>
            <w:r w:rsidR="00C17DBE">
              <w:t>–</w:t>
            </w:r>
            <w:r>
              <w:t xml:space="preserve"> 1</w:t>
            </w:r>
          </w:p>
          <w:p w14:paraId="3D7CB403" w14:textId="6F2A69EC" w:rsidR="00C17DBE" w:rsidRDefault="00C17DBE" w:rsidP="00C17DBE">
            <w:pPr>
              <w:autoSpaceDE w:val="0"/>
              <w:autoSpaceDN w:val="0"/>
              <w:spacing w:before="60"/>
              <w:jc w:val="both"/>
            </w:pPr>
            <w:r>
              <w:t xml:space="preserve">Ar Jūrmalas pilsētas pašvaldības projektu </w:t>
            </w:r>
            <w:r w:rsidR="006F70E1">
              <w:t xml:space="preserve">“Ķemeru daudzfunkcionālā dabas izglītības centra pastāvīgās ekspozīcijas izveide un funkcionālās teritorijas labiekārtošana” </w:t>
            </w:r>
            <w:r>
              <w:t>tiek palielināts 5.5.1 SAM 3. atlases kārtas kopējais finansējuma un iznākuma rādītāju apjoms šādā apmērā:</w:t>
            </w:r>
          </w:p>
          <w:p w14:paraId="7412A7B6" w14:textId="1D439F61" w:rsidR="00C17DBE" w:rsidRPr="00CA5C8F" w:rsidRDefault="00C17DBE" w:rsidP="00C17DBE">
            <w:pPr>
              <w:pStyle w:val="ListParagraph"/>
              <w:numPr>
                <w:ilvl w:val="0"/>
                <w:numId w:val="24"/>
              </w:numPr>
              <w:autoSpaceDE w:val="0"/>
              <w:autoSpaceDN w:val="0"/>
              <w:spacing w:before="60"/>
              <w:jc w:val="both"/>
            </w:pPr>
            <w:r>
              <w:t xml:space="preserve">ERAF pamatpiešķīrums – </w:t>
            </w:r>
            <w:r w:rsidR="006F70E1">
              <w:t>994 331</w:t>
            </w:r>
            <w:r>
              <w:t xml:space="preserve"> </w:t>
            </w:r>
            <w:r>
              <w:rPr>
                <w:i/>
              </w:rPr>
              <w:t>euro</w:t>
            </w:r>
          </w:p>
          <w:p w14:paraId="0AB8DC0B" w14:textId="77777777" w:rsidR="00C17DBE" w:rsidRDefault="00C17DBE" w:rsidP="00C17DBE">
            <w:pPr>
              <w:pStyle w:val="ListParagraph"/>
              <w:numPr>
                <w:ilvl w:val="0"/>
                <w:numId w:val="24"/>
              </w:numPr>
              <w:autoSpaceDE w:val="0"/>
              <w:autoSpaceDN w:val="0"/>
              <w:spacing w:before="60"/>
              <w:jc w:val="both"/>
            </w:pPr>
            <w:r>
              <w:t>Atbalstīto dabas un kultūras mantojuma objektu skaits – 1</w:t>
            </w:r>
          </w:p>
          <w:p w14:paraId="70DE4D43" w14:textId="20225733" w:rsidR="00C17DBE" w:rsidRDefault="00C17DBE" w:rsidP="00C17DBE">
            <w:pPr>
              <w:pStyle w:val="ListParagraph"/>
              <w:numPr>
                <w:ilvl w:val="0"/>
                <w:numId w:val="24"/>
              </w:numPr>
              <w:autoSpaceDE w:val="0"/>
              <w:autoSpaceDN w:val="0"/>
              <w:spacing w:before="60"/>
              <w:jc w:val="both"/>
            </w:pPr>
            <w:r>
              <w:t>Atbalstīto kultūras un dabas mantojuma objektu un tūrisma objektu apmeklējumu skaita paredzamais pieaugums – 60</w:t>
            </w:r>
            <w:r w:rsidR="006F70E1">
              <w:t xml:space="preserve"> </w:t>
            </w:r>
            <w:r>
              <w:t>00</w:t>
            </w:r>
            <w:r w:rsidR="006F70E1">
              <w:t>0</w:t>
            </w:r>
          </w:p>
          <w:p w14:paraId="1B46F72E" w14:textId="75EB90F0" w:rsidR="00C17DBE" w:rsidRPr="00C37B19" w:rsidRDefault="00C17DBE" w:rsidP="00C17DBE">
            <w:pPr>
              <w:pStyle w:val="ListParagraph"/>
              <w:numPr>
                <w:ilvl w:val="0"/>
                <w:numId w:val="24"/>
              </w:numPr>
              <w:autoSpaceDE w:val="0"/>
              <w:autoSpaceDN w:val="0"/>
              <w:spacing w:before="60"/>
              <w:jc w:val="both"/>
            </w:pPr>
            <w:r>
              <w:t>Jaunradīto pakalpojumu skaits atbalstītajos kultūras un dabas mantojuma objektos –</w:t>
            </w:r>
            <w:r w:rsidR="006F70E1">
              <w:t xml:space="preserve"> 2</w:t>
            </w:r>
          </w:p>
          <w:p w14:paraId="5471A083" w14:textId="77777777" w:rsidR="004A38C7" w:rsidRPr="007B465B" w:rsidRDefault="004A38C7" w:rsidP="004A38C7">
            <w:pPr>
              <w:autoSpaceDE w:val="0"/>
              <w:autoSpaceDN w:val="0"/>
              <w:spacing w:before="60"/>
              <w:jc w:val="both"/>
            </w:pPr>
            <w:r w:rsidRPr="00250056">
              <w:t xml:space="preserve">Finansējuma pārdale no 5.6.2. SAM uz 5.5.1. SAM nemaina katrai nacionālas nozīmes attīstības centra pašvaldībai kopējo pieejamo finansējuma apjomu, kas ir paredzēts </w:t>
            </w:r>
            <w:r>
              <w:t>ITI</w:t>
            </w:r>
            <w:r w:rsidRPr="00250056">
              <w:t xml:space="preserve"> </w:t>
            </w:r>
            <w:r>
              <w:t>īstenošanai</w:t>
            </w:r>
            <w:r w:rsidRPr="00250056">
              <w:t xml:space="preserve"> (mainās tikai finansējuma avots no 5.6.2. SAM uz 5.5.1. SAM tām republikas pilsētu pašvaldībām, kuras ir identificējušas šādu </w:t>
            </w:r>
            <w:r>
              <w:t>nepieciešamību). Vienlaikus rīkojuma projekts paredz, ka republikas pilsētām rezultāti tiek samazināti proporcionāli pārdalītajam finansējuma apjomam, 5.6.2. SAM pirmās atlases kārtas ietvaros sasniedzot rādītājus atbilstoši precizētajam kopējam 5.6.2. SAM finansējuma apjomam.</w:t>
            </w:r>
          </w:p>
          <w:p w14:paraId="1CC49B0B" w14:textId="73710EE8" w:rsidR="00C17DBE" w:rsidRPr="00C37B19" w:rsidRDefault="00DD1A56" w:rsidP="00C32B2D">
            <w:pPr>
              <w:autoSpaceDE w:val="0"/>
              <w:autoSpaceDN w:val="0"/>
              <w:spacing w:before="60"/>
              <w:jc w:val="both"/>
            </w:pPr>
            <w:r w:rsidRPr="00602C3A">
              <w:t xml:space="preserve">Detalizēts </w:t>
            </w:r>
            <w:r>
              <w:t>projektu ideju</w:t>
            </w:r>
            <w:r w:rsidRPr="00602C3A">
              <w:t xml:space="preserve"> apraksts, t.sk. </w:t>
            </w:r>
            <w:r>
              <w:t>projektos</w:t>
            </w:r>
            <w:r w:rsidRPr="00602C3A">
              <w:t xml:space="preserve"> paredzētās aktivitātes, iznākuma rādītāji un finansējuma apjoms tiks izskatīts un saskaņots Reģionālās attīstības koordinācijas padomē (turpmāk – RAKP).</w:t>
            </w:r>
          </w:p>
          <w:p w14:paraId="51DA8633" w14:textId="2DD02D10" w:rsidR="00FA610A" w:rsidRDefault="00FA610A" w:rsidP="00FA610A">
            <w:pPr>
              <w:autoSpaceDE w:val="0"/>
              <w:autoSpaceDN w:val="0"/>
              <w:spacing w:before="60"/>
              <w:jc w:val="center"/>
              <w:rPr>
                <w:b/>
              </w:rPr>
            </w:pPr>
            <w:r w:rsidRPr="00FA610A">
              <w:rPr>
                <w:b/>
              </w:rPr>
              <w:t>9.3.1.1. pasākuma</w:t>
            </w:r>
            <w:r w:rsidR="00B51C3F">
              <w:rPr>
                <w:b/>
              </w:rPr>
              <w:t xml:space="preserve"> </w:t>
            </w:r>
            <w:r w:rsidRPr="00FA610A">
              <w:rPr>
                <w:b/>
              </w:rPr>
              <w:t>finansējuma un iznākuma rādītāju apmērs republikas nozīmes pilsētām</w:t>
            </w:r>
          </w:p>
          <w:p w14:paraId="4CB76768" w14:textId="0F5FE6C3" w:rsidR="00774867" w:rsidRPr="004C2A97" w:rsidRDefault="00774867" w:rsidP="004C2A97">
            <w:pPr>
              <w:spacing w:after="120"/>
              <w:jc w:val="both"/>
            </w:pPr>
            <w:r w:rsidRPr="004C2A97">
              <w:t xml:space="preserve">9.2.2.1. pasākuma ietvaros izstrādātajos plānošanas reģionu DI plānos, kurus apstiprina Labklājības ministrijas izveidotā Sociālo pakalpojumu attīstības padome (turpmāk – SPAP), ir iekļauti pašvaldību </w:t>
            </w:r>
            <w:bookmarkStart w:id="1" w:name="_Hlk524080066"/>
            <w:r w:rsidRPr="004C2A97">
              <w:t>sabiedrībā balstītu sociālo pakalpojumu infrastruktūras attīstības risinājumi</w:t>
            </w:r>
            <w:bookmarkEnd w:id="1"/>
            <w:r w:rsidRPr="004C2A97">
              <w:t xml:space="preserve">, to īstenošanai nepieciešamais finansējums sadalījumā pa finansējuma </w:t>
            </w:r>
            <w:r w:rsidRPr="004C2A97">
              <w:lastRenderedPageBreak/>
              <w:t xml:space="preserve">avotiem un sasniedzamie uzraudzības rādītāji. Uz MK rīkojuma projekta izstrādes brīdi (2018. gada </w:t>
            </w:r>
            <w:r w:rsidR="00F015DA">
              <w:t>oktobri</w:t>
            </w:r>
            <w:r w:rsidRPr="004C2A97">
              <w:t>) SPAP:</w:t>
            </w:r>
          </w:p>
          <w:p w14:paraId="3306DD2B" w14:textId="200A2706"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22. jūnija lēmumu Nr. 3 ir apstiprināts Vidzemes plānošanas reģiona DI plāns;</w:t>
            </w:r>
          </w:p>
          <w:p w14:paraId="295F930A" w14:textId="4087CE06"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28. jūnija lēmumu Nr. 4 ir apstiprināts Zemgales plānošanas reģiona DI plāns;</w:t>
            </w:r>
          </w:p>
          <w:p w14:paraId="5298A6FF" w14:textId="34F7828A"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25. jūlija lēmumu Nr. 5 ir apstiprināts Latgales plānošanas reģiona DI plāns;</w:t>
            </w:r>
          </w:p>
          <w:p w14:paraId="454B5F9A" w14:textId="700DF770" w:rsidR="00774867" w:rsidRPr="004C2A97" w:rsidRDefault="00F015DA" w:rsidP="004C2A97">
            <w:pPr>
              <w:pStyle w:val="ListParagraph"/>
              <w:numPr>
                <w:ilvl w:val="0"/>
                <w:numId w:val="21"/>
              </w:numPr>
              <w:spacing w:after="120"/>
              <w:jc w:val="both"/>
              <w:rPr>
                <w:sz w:val="24"/>
                <w:szCs w:val="24"/>
              </w:rPr>
            </w:pPr>
            <w:r w:rsidRPr="004C2A97">
              <w:rPr>
                <w:sz w:val="24"/>
                <w:szCs w:val="24"/>
              </w:rPr>
              <w:t xml:space="preserve">ar 2018. gada </w:t>
            </w:r>
            <w:r>
              <w:rPr>
                <w:sz w:val="24"/>
                <w:szCs w:val="24"/>
              </w:rPr>
              <w:t>5</w:t>
            </w:r>
            <w:r w:rsidRPr="004C2A97">
              <w:rPr>
                <w:sz w:val="24"/>
                <w:szCs w:val="24"/>
              </w:rPr>
              <w:t>.</w:t>
            </w:r>
            <w:r>
              <w:rPr>
                <w:sz w:val="24"/>
                <w:szCs w:val="24"/>
              </w:rPr>
              <w:t>oktobra</w:t>
            </w:r>
            <w:r w:rsidRPr="004C2A97">
              <w:rPr>
                <w:sz w:val="24"/>
                <w:szCs w:val="24"/>
              </w:rPr>
              <w:t xml:space="preserve"> lēmumu Nr. </w:t>
            </w:r>
            <w:r>
              <w:rPr>
                <w:sz w:val="24"/>
                <w:szCs w:val="24"/>
              </w:rPr>
              <w:t>6</w:t>
            </w:r>
            <w:r w:rsidRPr="004C2A97">
              <w:rPr>
                <w:sz w:val="24"/>
                <w:szCs w:val="24"/>
              </w:rPr>
              <w:t>. ir apstiprināts Kurzemes plānošanas reģiona DI plāns;</w:t>
            </w:r>
          </w:p>
          <w:p w14:paraId="779F5E0D" w14:textId="3D327C3A"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24. jūlija lēmumu Nr. 3.1. (protokols nr. 12) ir apstiprināts ar nosacījumiem Rīgas plānošanas reģiona DI plāns (izvirzītie nosacījumi neietekmē kopējos sasniedzamos uzraudzības rādītājus un finansējuma apmēru sadalījumā pa pašvaldībām).</w:t>
            </w:r>
          </w:p>
          <w:p w14:paraId="7912ED18" w14:textId="77777777" w:rsidR="00F015DA" w:rsidRPr="004C2A97" w:rsidRDefault="00F015DA" w:rsidP="00F015DA">
            <w:pPr>
              <w:spacing w:after="120"/>
              <w:jc w:val="both"/>
            </w:pPr>
            <w:r w:rsidRPr="004C2A97">
              <w:t>Apstiprinātajos DI plānos norādīt</w:t>
            </w:r>
            <w:r>
              <w:t>s</w:t>
            </w:r>
            <w:r w:rsidRPr="004C2A97">
              <w:t xml:space="preserve"> šād</w:t>
            </w:r>
            <w:r>
              <w:t>s</w:t>
            </w:r>
            <w:r w:rsidRPr="004C2A97">
              <w:t xml:space="preserve"> ITI pašvaldībām sasniedzam</w:t>
            </w:r>
            <w:r>
              <w:t>ais</w:t>
            </w:r>
            <w:r w:rsidRPr="004C2A97">
              <w:t xml:space="preserve"> 9.3.1.1. pasākuma rādītāj</w:t>
            </w:r>
            <w:r>
              <w:t>s</w:t>
            </w:r>
            <w:r w:rsidRPr="004C2A97">
              <w:t xml:space="preserve"> un finansējuma apmērs, k</w:t>
            </w:r>
            <w:r>
              <w:t>urš</w:t>
            </w:r>
            <w:r w:rsidRPr="004C2A97">
              <w:t xml:space="preserve"> </w:t>
            </w:r>
            <w:r>
              <w:t>precizējams</w:t>
            </w:r>
            <w:r w:rsidRPr="004C2A97">
              <w:t xml:space="preserve"> MK rīkojuma projekt</w:t>
            </w:r>
            <w:r>
              <w:t>u</w:t>
            </w:r>
            <w:r w:rsidRPr="004C2A97">
              <w:t>:</w:t>
            </w:r>
          </w:p>
          <w:p w14:paraId="661E9CF0" w14:textId="77777777" w:rsidR="00F015DA" w:rsidRPr="004C2A97" w:rsidRDefault="00F015DA" w:rsidP="00F015DA">
            <w:pPr>
              <w:pStyle w:val="ListParagraph"/>
              <w:numPr>
                <w:ilvl w:val="0"/>
                <w:numId w:val="22"/>
              </w:numPr>
              <w:spacing w:after="120"/>
              <w:jc w:val="both"/>
              <w:rPr>
                <w:sz w:val="24"/>
                <w:szCs w:val="24"/>
              </w:rPr>
            </w:pPr>
            <w:r w:rsidRPr="004C2A97">
              <w:rPr>
                <w:sz w:val="24"/>
                <w:szCs w:val="24"/>
              </w:rPr>
              <w:t>ERAF finansējuma apmērs - 11 141 657 euro</w:t>
            </w:r>
          </w:p>
          <w:p w14:paraId="4C6DEF8C" w14:textId="3B6B9916" w:rsidR="00774867" w:rsidRPr="004C2A97" w:rsidRDefault="00774867" w:rsidP="004C2A97">
            <w:pPr>
              <w:pStyle w:val="ListParagraph"/>
              <w:numPr>
                <w:ilvl w:val="0"/>
                <w:numId w:val="22"/>
              </w:numPr>
              <w:spacing w:after="120"/>
              <w:jc w:val="both"/>
              <w:rPr>
                <w:sz w:val="24"/>
                <w:szCs w:val="24"/>
              </w:rPr>
            </w:pPr>
            <w:r w:rsidRPr="004C2A97">
              <w:rPr>
                <w:sz w:val="24"/>
                <w:szCs w:val="24"/>
              </w:rPr>
              <w:t>izveidoto un/vai labiekārtoto vietu skaits sabiedrībā balstītu pakalpojumu sniegšanai personām ar garīga rakstura traucējumiem – 390</w:t>
            </w:r>
            <w:r w:rsidR="00E1381F">
              <w:rPr>
                <w:sz w:val="24"/>
                <w:szCs w:val="24"/>
              </w:rPr>
              <w:t>.</w:t>
            </w:r>
          </w:p>
          <w:p w14:paraId="308BA47A" w14:textId="2898F6BF" w:rsidR="00774867" w:rsidRPr="00F015DA" w:rsidRDefault="00774867" w:rsidP="00F015DA">
            <w:pPr>
              <w:spacing w:after="120"/>
              <w:ind w:left="360"/>
              <w:jc w:val="both"/>
            </w:pPr>
          </w:p>
          <w:p w14:paraId="71E02FD2" w14:textId="4FD744D9" w:rsidR="00782E53" w:rsidRPr="00782E53" w:rsidRDefault="00D07AB4" w:rsidP="004C2A97">
            <w:pPr>
              <w:spacing w:after="120"/>
              <w:jc w:val="both"/>
            </w:pPr>
            <w:r w:rsidRPr="004C2A97">
              <w:rPr>
                <w:shd w:val="clear" w:color="auto" w:fill="FFFFFF"/>
              </w:rPr>
              <w:t xml:space="preserve">Lai nodrošinātu pašvaldību vajadzībām atbilstošākā sabiedrībā balstītu sociālo pakalpojumu infrastruktūras attīstības risinājuma īstenošanu, </w:t>
            </w:r>
            <w:r w:rsidR="00C56438" w:rsidRPr="00782E53">
              <w:t>Daugavpils, Liepājas un Ventspils pilsētu pašvaldībām</w:t>
            </w:r>
            <w:r w:rsidR="000215C6" w:rsidRPr="00782E53">
              <w:t xml:space="preserve"> tiek palielināts 9.3.1.1. pasākuma īstenošanai ITI ietvarā nepieciešamais finansējums </w:t>
            </w:r>
            <w:r w:rsidR="00782E53" w:rsidRPr="00782E53">
              <w:t>pret iepriekš paredzēto</w:t>
            </w:r>
            <w:r w:rsidR="00782E53">
              <w:t>.</w:t>
            </w:r>
          </w:p>
          <w:p w14:paraId="22F72C57" w14:textId="77777777" w:rsidR="00F015DA" w:rsidRDefault="00F015DA" w:rsidP="00F015DA">
            <w:pPr>
              <w:spacing w:after="120"/>
              <w:jc w:val="both"/>
            </w:pPr>
            <w:r>
              <w:t>Finansējuma</w:t>
            </w:r>
            <w:r w:rsidRPr="00782E53">
              <w:t xml:space="preserve"> un</w:t>
            </w:r>
            <w:r>
              <w:t xml:space="preserve"> iznākuma rādītāja apmērs</w:t>
            </w:r>
            <w:r w:rsidRPr="004C2A97">
              <w:t xml:space="preserve"> katram nacionālas nozīmes attīstības centram </w:t>
            </w:r>
            <w:r>
              <w:t>atbilstoši DI plāniem norādīts 1.tabulā.</w:t>
            </w:r>
          </w:p>
          <w:p w14:paraId="482772CB" w14:textId="7F6CC8D0" w:rsidR="00AD1C19" w:rsidRDefault="00F015DA" w:rsidP="00F015DA">
            <w:pPr>
              <w:pStyle w:val="ListParagraph"/>
              <w:numPr>
                <w:ilvl w:val="0"/>
                <w:numId w:val="23"/>
              </w:numPr>
              <w:spacing w:after="120"/>
              <w:jc w:val="right"/>
            </w:pPr>
            <w:r w:rsidRPr="00AD1C19">
              <w:t>tabula.</w:t>
            </w:r>
            <w:r>
              <w:t xml:space="preserve"> </w:t>
            </w:r>
            <w:r w:rsidRPr="00AD1C19">
              <w:t>Informācija no plānošanas reģionu DI plāniem par Nacionālās nozīmes attīstības centriem plānoto 9.3.1.1.pasākuma ITI</w:t>
            </w:r>
            <w:r>
              <w:t xml:space="preserve"> ERAF</w:t>
            </w:r>
            <w:r w:rsidRPr="00AD1C19">
              <w:t xml:space="preserve"> finansējumu un uzraudzības rādītāj</w:t>
            </w:r>
            <w:r>
              <w:t>u attiecībā uz personām ar GRT</w:t>
            </w:r>
          </w:p>
          <w:tbl>
            <w:tblPr>
              <w:tblStyle w:val="TableGrid"/>
              <w:tblW w:w="3998" w:type="dxa"/>
              <w:jc w:val="center"/>
              <w:tblLayout w:type="fixed"/>
              <w:tblLook w:val="04A0" w:firstRow="1" w:lastRow="0" w:firstColumn="1" w:lastColumn="0" w:noHBand="0" w:noVBand="1"/>
            </w:tblPr>
            <w:tblGrid>
              <w:gridCol w:w="1250"/>
              <w:gridCol w:w="1181"/>
              <w:gridCol w:w="1567"/>
            </w:tblGrid>
            <w:tr w:rsidR="00F81D23" w:rsidRPr="00F81D23" w14:paraId="39EF7A3A" w14:textId="77777777" w:rsidTr="00F015DA">
              <w:trPr>
                <w:jc w:val="center"/>
              </w:trPr>
              <w:tc>
                <w:tcPr>
                  <w:tcW w:w="1250" w:type="dxa"/>
                  <w:vMerge w:val="restart"/>
                  <w:vAlign w:val="center"/>
                </w:tcPr>
                <w:p w14:paraId="7391824C" w14:textId="565FF4CD" w:rsidR="00F81D23" w:rsidRPr="00F81D23" w:rsidRDefault="00F81D23" w:rsidP="00F81D23">
                  <w:pPr>
                    <w:spacing w:after="120"/>
                    <w:jc w:val="center"/>
                    <w:rPr>
                      <w:b/>
                      <w:sz w:val="20"/>
                      <w:szCs w:val="20"/>
                    </w:rPr>
                  </w:pPr>
                  <w:r w:rsidRPr="00F81D23">
                    <w:rPr>
                      <w:b/>
                      <w:sz w:val="20"/>
                      <w:szCs w:val="20"/>
                    </w:rPr>
                    <w:t>Pašvaldība</w:t>
                  </w:r>
                </w:p>
              </w:tc>
              <w:tc>
                <w:tcPr>
                  <w:tcW w:w="1181" w:type="dxa"/>
                  <w:vMerge w:val="restart"/>
                  <w:vAlign w:val="center"/>
                </w:tcPr>
                <w:p w14:paraId="30408E14" w14:textId="3A3F2D8C" w:rsidR="00F81D23" w:rsidRPr="00F81D23" w:rsidRDefault="00F81D23" w:rsidP="00F81D23">
                  <w:pPr>
                    <w:spacing w:after="120"/>
                    <w:jc w:val="center"/>
                    <w:rPr>
                      <w:b/>
                      <w:sz w:val="20"/>
                      <w:szCs w:val="20"/>
                    </w:rPr>
                  </w:pPr>
                  <w:r w:rsidRPr="00F81D23">
                    <w:rPr>
                      <w:b/>
                      <w:sz w:val="20"/>
                      <w:szCs w:val="20"/>
                    </w:rPr>
                    <w:t>ERAF</w:t>
                  </w:r>
                </w:p>
              </w:tc>
              <w:tc>
                <w:tcPr>
                  <w:tcW w:w="1567" w:type="dxa"/>
                  <w:tcBorders>
                    <w:bottom w:val="single" w:sz="4" w:space="0" w:color="auto"/>
                  </w:tcBorders>
                  <w:vAlign w:val="center"/>
                </w:tcPr>
                <w:p w14:paraId="4ED76FF9" w14:textId="596A48E2" w:rsidR="00F81D23" w:rsidRPr="00F81D23" w:rsidRDefault="00F81D23" w:rsidP="00F81D23">
                  <w:pPr>
                    <w:spacing w:after="120"/>
                    <w:jc w:val="center"/>
                    <w:rPr>
                      <w:b/>
                      <w:sz w:val="20"/>
                      <w:szCs w:val="20"/>
                    </w:rPr>
                  </w:pPr>
                  <w:r w:rsidRPr="00F81D23">
                    <w:rPr>
                      <w:b/>
                      <w:sz w:val="20"/>
                      <w:szCs w:val="20"/>
                    </w:rPr>
                    <w:t>Izveidojamo pakalpojuma vietu skaits:</w:t>
                  </w:r>
                </w:p>
              </w:tc>
            </w:tr>
            <w:tr w:rsidR="00F015DA" w:rsidRPr="00F81D23" w14:paraId="4A73A83A" w14:textId="77777777" w:rsidTr="00F015DA">
              <w:trPr>
                <w:trHeight w:val="350"/>
                <w:jc w:val="center"/>
              </w:trPr>
              <w:tc>
                <w:tcPr>
                  <w:tcW w:w="1250" w:type="dxa"/>
                  <w:vMerge/>
                  <w:vAlign w:val="center"/>
                </w:tcPr>
                <w:p w14:paraId="3330C396" w14:textId="77777777" w:rsidR="00F015DA" w:rsidRPr="00F81D23" w:rsidRDefault="00F015DA" w:rsidP="00F81D23">
                  <w:pPr>
                    <w:spacing w:after="120"/>
                    <w:jc w:val="center"/>
                    <w:rPr>
                      <w:b/>
                      <w:sz w:val="20"/>
                      <w:szCs w:val="20"/>
                    </w:rPr>
                  </w:pPr>
                </w:p>
              </w:tc>
              <w:tc>
                <w:tcPr>
                  <w:tcW w:w="1181" w:type="dxa"/>
                  <w:vMerge/>
                  <w:tcBorders>
                    <w:right w:val="single" w:sz="4" w:space="0" w:color="auto"/>
                  </w:tcBorders>
                  <w:vAlign w:val="center"/>
                </w:tcPr>
                <w:p w14:paraId="70CC1407" w14:textId="77777777" w:rsidR="00F015DA" w:rsidRPr="00F81D23" w:rsidRDefault="00F015DA" w:rsidP="00F81D23">
                  <w:pPr>
                    <w:spacing w:after="120"/>
                    <w:jc w:val="center"/>
                    <w:rPr>
                      <w:b/>
                      <w:sz w:val="20"/>
                      <w:szCs w:val="20"/>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14:paraId="1D221C3D" w14:textId="77777777" w:rsidR="00F015DA" w:rsidRPr="00F81D23" w:rsidRDefault="00F015DA" w:rsidP="00F81D23">
                  <w:pPr>
                    <w:spacing w:after="120"/>
                    <w:jc w:val="center"/>
                    <w:rPr>
                      <w:b/>
                      <w:sz w:val="20"/>
                      <w:szCs w:val="20"/>
                    </w:rPr>
                  </w:pPr>
                  <w:r w:rsidRPr="00F81D23">
                    <w:rPr>
                      <w:b/>
                      <w:sz w:val="20"/>
                      <w:szCs w:val="20"/>
                    </w:rPr>
                    <w:t>Personām ar</w:t>
                  </w:r>
                  <w:r>
                    <w:rPr>
                      <w:b/>
                      <w:sz w:val="20"/>
                      <w:szCs w:val="20"/>
                    </w:rPr>
                    <w:t xml:space="preserve"> </w:t>
                  </w:r>
                  <w:r w:rsidRPr="00F81D23">
                    <w:rPr>
                      <w:b/>
                      <w:sz w:val="20"/>
                      <w:szCs w:val="20"/>
                    </w:rPr>
                    <w:t>GRT</w:t>
                  </w:r>
                  <w:r w:rsidRPr="00F81D23">
                    <w:rPr>
                      <w:rStyle w:val="FootnoteReference"/>
                      <w:b/>
                      <w:sz w:val="20"/>
                      <w:szCs w:val="20"/>
                    </w:rPr>
                    <w:footnoteReference w:id="2"/>
                  </w:r>
                </w:p>
                <w:p w14:paraId="40A20B5B" w14:textId="77777777" w:rsidR="00F015DA" w:rsidRPr="00F81D23" w:rsidRDefault="00F015DA" w:rsidP="00F81D23">
                  <w:pPr>
                    <w:spacing w:after="120"/>
                    <w:jc w:val="center"/>
                    <w:rPr>
                      <w:sz w:val="20"/>
                      <w:szCs w:val="20"/>
                    </w:rPr>
                  </w:pPr>
                  <w:r w:rsidRPr="00F81D23">
                    <w:rPr>
                      <w:sz w:val="20"/>
                      <w:szCs w:val="20"/>
                    </w:rPr>
                    <w:t>76</w:t>
                  </w:r>
                </w:p>
                <w:p w14:paraId="239A6891" w14:textId="77777777" w:rsidR="00F015DA" w:rsidRPr="00F81D23" w:rsidRDefault="00F015DA" w:rsidP="00F81D23">
                  <w:pPr>
                    <w:spacing w:after="120"/>
                    <w:jc w:val="center"/>
                    <w:rPr>
                      <w:sz w:val="20"/>
                      <w:szCs w:val="20"/>
                    </w:rPr>
                  </w:pPr>
                  <w:r w:rsidRPr="00F81D23">
                    <w:rPr>
                      <w:sz w:val="20"/>
                      <w:szCs w:val="20"/>
                    </w:rPr>
                    <w:t>60</w:t>
                  </w:r>
                </w:p>
                <w:p w14:paraId="75AA5997" w14:textId="77777777" w:rsidR="00F015DA" w:rsidRPr="00F81D23" w:rsidRDefault="00F015DA" w:rsidP="00F81D23">
                  <w:pPr>
                    <w:spacing w:after="120"/>
                    <w:jc w:val="center"/>
                    <w:rPr>
                      <w:sz w:val="20"/>
                      <w:szCs w:val="20"/>
                    </w:rPr>
                  </w:pPr>
                  <w:r w:rsidRPr="00F81D23">
                    <w:rPr>
                      <w:color w:val="000000"/>
                      <w:sz w:val="20"/>
                      <w:szCs w:val="20"/>
                    </w:rPr>
                    <w:t>45</w:t>
                  </w:r>
                </w:p>
                <w:p w14:paraId="233BEAAC" w14:textId="77777777" w:rsidR="00F015DA" w:rsidRPr="00F81D23" w:rsidRDefault="00F015DA" w:rsidP="00F81D23">
                  <w:pPr>
                    <w:spacing w:after="120"/>
                    <w:jc w:val="center"/>
                    <w:rPr>
                      <w:sz w:val="20"/>
                      <w:szCs w:val="20"/>
                    </w:rPr>
                  </w:pPr>
                  <w:r w:rsidRPr="00F81D23">
                    <w:rPr>
                      <w:color w:val="000000"/>
                      <w:sz w:val="20"/>
                      <w:szCs w:val="20"/>
                    </w:rPr>
                    <w:t>39</w:t>
                  </w:r>
                </w:p>
                <w:p w14:paraId="4CA682DA" w14:textId="77777777" w:rsidR="00F015DA" w:rsidRPr="00F81D23" w:rsidRDefault="00F015DA" w:rsidP="00F81D23">
                  <w:pPr>
                    <w:spacing w:after="120"/>
                    <w:jc w:val="center"/>
                    <w:rPr>
                      <w:sz w:val="20"/>
                      <w:szCs w:val="20"/>
                    </w:rPr>
                  </w:pPr>
                  <w:r w:rsidRPr="00F81D23">
                    <w:rPr>
                      <w:color w:val="000000"/>
                      <w:sz w:val="20"/>
                      <w:szCs w:val="20"/>
                    </w:rPr>
                    <w:lastRenderedPageBreak/>
                    <w:t>68</w:t>
                  </w:r>
                </w:p>
                <w:p w14:paraId="2AF6D225" w14:textId="77777777" w:rsidR="00F015DA" w:rsidRPr="00F81D23" w:rsidRDefault="00F015DA" w:rsidP="00F81D23">
                  <w:pPr>
                    <w:spacing w:after="120"/>
                    <w:jc w:val="center"/>
                    <w:rPr>
                      <w:sz w:val="20"/>
                      <w:szCs w:val="20"/>
                    </w:rPr>
                  </w:pPr>
                  <w:r w:rsidRPr="00F81D23">
                    <w:rPr>
                      <w:color w:val="000000"/>
                      <w:sz w:val="20"/>
                      <w:szCs w:val="20"/>
                    </w:rPr>
                    <w:t>34</w:t>
                  </w:r>
                </w:p>
                <w:p w14:paraId="59E88CF6" w14:textId="77777777" w:rsidR="00F015DA" w:rsidRPr="00F81D23" w:rsidRDefault="00F015DA" w:rsidP="00F81D23">
                  <w:pPr>
                    <w:spacing w:after="120"/>
                    <w:jc w:val="center"/>
                    <w:rPr>
                      <w:sz w:val="20"/>
                      <w:szCs w:val="20"/>
                    </w:rPr>
                  </w:pPr>
                  <w:r w:rsidRPr="00F81D23">
                    <w:rPr>
                      <w:color w:val="000000"/>
                      <w:sz w:val="20"/>
                      <w:szCs w:val="20"/>
                    </w:rPr>
                    <w:t>30</w:t>
                  </w:r>
                </w:p>
                <w:p w14:paraId="4974AA0F" w14:textId="77777777" w:rsidR="00F015DA" w:rsidRPr="00F81D23" w:rsidRDefault="00F015DA" w:rsidP="00F81D23">
                  <w:pPr>
                    <w:spacing w:after="120"/>
                    <w:jc w:val="center"/>
                    <w:rPr>
                      <w:sz w:val="20"/>
                      <w:szCs w:val="20"/>
                    </w:rPr>
                  </w:pPr>
                  <w:r w:rsidRPr="00F81D23">
                    <w:rPr>
                      <w:color w:val="000000"/>
                      <w:sz w:val="20"/>
                      <w:szCs w:val="20"/>
                    </w:rPr>
                    <w:t>38</w:t>
                  </w:r>
                </w:p>
                <w:p w14:paraId="3D60ED12" w14:textId="1BACE27C" w:rsidR="00F015DA" w:rsidRPr="00F81D23" w:rsidRDefault="00F015DA" w:rsidP="00F81D23">
                  <w:pPr>
                    <w:spacing w:after="120"/>
                    <w:jc w:val="center"/>
                    <w:rPr>
                      <w:b/>
                      <w:sz w:val="20"/>
                      <w:szCs w:val="20"/>
                    </w:rPr>
                  </w:pPr>
                  <w:r w:rsidRPr="00AD1C19">
                    <w:rPr>
                      <w:b/>
                      <w:sz w:val="20"/>
                      <w:szCs w:val="20"/>
                    </w:rPr>
                    <w:t>390</w:t>
                  </w:r>
                </w:p>
              </w:tc>
            </w:tr>
            <w:tr w:rsidR="00F015DA" w:rsidRPr="00F81D23" w14:paraId="63F96475" w14:textId="77777777" w:rsidTr="00F015DA">
              <w:trPr>
                <w:jc w:val="center"/>
              </w:trPr>
              <w:tc>
                <w:tcPr>
                  <w:tcW w:w="1250" w:type="dxa"/>
                  <w:vAlign w:val="bottom"/>
                </w:tcPr>
                <w:p w14:paraId="520986FF" w14:textId="7991EDB0" w:rsidR="00F015DA" w:rsidRPr="00F81D23" w:rsidRDefault="00F015DA" w:rsidP="00AD1C19">
                  <w:pPr>
                    <w:spacing w:after="120"/>
                    <w:jc w:val="center"/>
                    <w:rPr>
                      <w:sz w:val="20"/>
                      <w:szCs w:val="20"/>
                    </w:rPr>
                  </w:pPr>
                  <w:r w:rsidRPr="00F81D23">
                    <w:rPr>
                      <w:sz w:val="20"/>
                      <w:szCs w:val="20"/>
                    </w:rPr>
                    <w:t>Valmiera</w:t>
                  </w:r>
                </w:p>
              </w:tc>
              <w:tc>
                <w:tcPr>
                  <w:tcW w:w="1181" w:type="dxa"/>
                  <w:tcBorders>
                    <w:right w:val="single" w:sz="4" w:space="0" w:color="auto"/>
                  </w:tcBorders>
                  <w:vAlign w:val="center"/>
                </w:tcPr>
                <w:p w14:paraId="528CBAE1" w14:textId="70475253" w:rsidR="00F015DA" w:rsidRPr="00F81D23" w:rsidRDefault="00F015DA" w:rsidP="00F81D23">
                  <w:pPr>
                    <w:spacing w:after="120"/>
                    <w:jc w:val="center"/>
                    <w:rPr>
                      <w:sz w:val="20"/>
                      <w:szCs w:val="20"/>
                    </w:rPr>
                  </w:pPr>
                  <w:r w:rsidRPr="00F81D23">
                    <w:rPr>
                      <w:sz w:val="20"/>
                      <w:szCs w:val="20"/>
                    </w:rPr>
                    <w:t>1 300 000</w:t>
                  </w:r>
                </w:p>
              </w:tc>
              <w:tc>
                <w:tcPr>
                  <w:tcW w:w="1567" w:type="dxa"/>
                  <w:vMerge/>
                  <w:tcBorders>
                    <w:top w:val="single" w:sz="4" w:space="0" w:color="auto"/>
                    <w:left w:val="single" w:sz="4" w:space="0" w:color="auto"/>
                    <w:bottom w:val="single" w:sz="4" w:space="0" w:color="auto"/>
                    <w:right w:val="single" w:sz="4" w:space="0" w:color="auto"/>
                  </w:tcBorders>
                  <w:vAlign w:val="center"/>
                </w:tcPr>
                <w:p w14:paraId="7FFB3A52" w14:textId="5B7E23A4" w:rsidR="00F015DA" w:rsidRPr="00F81D23" w:rsidRDefault="00F015DA" w:rsidP="00F81D23">
                  <w:pPr>
                    <w:spacing w:after="120"/>
                    <w:jc w:val="center"/>
                    <w:rPr>
                      <w:sz w:val="20"/>
                      <w:szCs w:val="20"/>
                    </w:rPr>
                  </w:pPr>
                </w:p>
              </w:tc>
            </w:tr>
            <w:tr w:rsidR="00F015DA" w:rsidRPr="00F81D23" w14:paraId="17A2D5EA" w14:textId="77777777" w:rsidTr="00F015DA">
              <w:trPr>
                <w:jc w:val="center"/>
              </w:trPr>
              <w:tc>
                <w:tcPr>
                  <w:tcW w:w="1250" w:type="dxa"/>
                  <w:vAlign w:val="bottom"/>
                </w:tcPr>
                <w:p w14:paraId="718FC254" w14:textId="52885345" w:rsidR="00F015DA" w:rsidRPr="00F81D23" w:rsidRDefault="00F015DA" w:rsidP="00AD1C19">
                  <w:pPr>
                    <w:spacing w:after="120"/>
                    <w:jc w:val="center"/>
                    <w:rPr>
                      <w:sz w:val="20"/>
                      <w:szCs w:val="20"/>
                    </w:rPr>
                  </w:pPr>
                  <w:r w:rsidRPr="00F81D23">
                    <w:rPr>
                      <w:sz w:val="20"/>
                      <w:szCs w:val="20"/>
                    </w:rPr>
                    <w:t>Jelgava</w:t>
                  </w:r>
                </w:p>
              </w:tc>
              <w:tc>
                <w:tcPr>
                  <w:tcW w:w="1181" w:type="dxa"/>
                  <w:tcBorders>
                    <w:right w:val="single" w:sz="4" w:space="0" w:color="auto"/>
                  </w:tcBorders>
                  <w:vAlign w:val="center"/>
                </w:tcPr>
                <w:p w14:paraId="331F0AF3" w14:textId="3ED76321" w:rsidR="00F015DA" w:rsidRPr="00F81D23" w:rsidRDefault="00F015DA" w:rsidP="00F81D23">
                  <w:pPr>
                    <w:spacing w:after="120"/>
                    <w:jc w:val="center"/>
                    <w:rPr>
                      <w:sz w:val="20"/>
                      <w:szCs w:val="20"/>
                    </w:rPr>
                  </w:pPr>
                  <w:r w:rsidRPr="00F81D23">
                    <w:rPr>
                      <w:sz w:val="20"/>
                      <w:szCs w:val="20"/>
                    </w:rPr>
                    <w:t>1 762 560</w:t>
                  </w:r>
                </w:p>
              </w:tc>
              <w:tc>
                <w:tcPr>
                  <w:tcW w:w="1567" w:type="dxa"/>
                  <w:vMerge/>
                  <w:tcBorders>
                    <w:top w:val="single" w:sz="4" w:space="0" w:color="auto"/>
                    <w:left w:val="single" w:sz="4" w:space="0" w:color="auto"/>
                    <w:bottom w:val="single" w:sz="4" w:space="0" w:color="auto"/>
                    <w:right w:val="single" w:sz="4" w:space="0" w:color="auto"/>
                  </w:tcBorders>
                  <w:vAlign w:val="center"/>
                </w:tcPr>
                <w:p w14:paraId="6119035C" w14:textId="38BB10F0" w:rsidR="00F015DA" w:rsidRPr="00F81D23" w:rsidRDefault="00F015DA" w:rsidP="00F81D23">
                  <w:pPr>
                    <w:spacing w:after="120"/>
                    <w:jc w:val="center"/>
                    <w:rPr>
                      <w:sz w:val="20"/>
                      <w:szCs w:val="20"/>
                    </w:rPr>
                  </w:pPr>
                </w:p>
              </w:tc>
            </w:tr>
            <w:tr w:rsidR="00F015DA" w:rsidRPr="00F81D23" w14:paraId="43C5A1C9" w14:textId="77777777" w:rsidTr="00F015DA">
              <w:trPr>
                <w:jc w:val="center"/>
              </w:trPr>
              <w:tc>
                <w:tcPr>
                  <w:tcW w:w="1250" w:type="dxa"/>
                  <w:vAlign w:val="bottom"/>
                </w:tcPr>
                <w:p w14:paraId="5CF51E4A" w14:textId="45C99166" w:rsidR="00F015DA" w:rsidRPr="00F81D23" w:rsidRDefault="00F015DA" w:rsidP="00AD1C19">
                  <w:pPr>
                    <w:spacing w:after="120"/>
                    <w:jc w:val="center"/>
                    <w:rPr>
                      <w:sz w:val="20"/>
                      <w:szCs w:val="20"/>
                    </w:rPr>
                  </w:pPr>
                  <w:r w:rsidRPr="00F81D23">
                    <w:rPr>
                      <w:sz w:val="20"/>
                      <w:szCs w:val="20"/>
                    </w:rPr>
                    <w:t>Jēkabpils</w:t>
                  </w:r>
                </w:p>
              </w:tc>
              <w:tc>
                <w:tcPr>
                  <w:tcW w:w="1181" w:type="dxa"/>
                  <w:tcBorders>
                    <w:right w:val="single" w:sz="4" w:space="0" w:color="auto"/>
                  </w:tcBorders>
                  <w:vAlign w:val="center"/>
                </w:tcPr>
                <w:p w14:paraId="4297E422" w14:textId="6802C779" w:rsidR="00F015DA" w:rsidRPr="00F81D23" w:rsidRDefault="00F015DA" w:rsidP="00F81D23">
                  <w:pPr>
                    <w:spacing w:after="120"/>
                    <w:jc w:val="center"/>
                    <w:rPr>
                      <w:sz w:val="20"/>
                      <w:szCs w:val="20"/>
                    </w:rPr>
                  </w:pPr>
                  <w:r w:rsidRPr="00F81D23">
                    <w:rPr>
                      <w:color w:val="000000"/>
                      <w:sz w:val="20"/>
                      <w:szCs w:val="20"/>
                    </w:rPr>
                    <w:t>952 168</w:t>
                  </w:r>
                </w:p>
              </w:tc>
              <w:tc>
                <w:tcPr>
                  <w:tcW w:w="1567" w:type="dxa"/>
                  <w:vMerge/>
                  <w:tcBorders>
                    <w:top w:val="single" w:sz="4" w:space="0" w:color="auto"/>
                    <w:left w:val="single" w:sz="4" w:space="0" w:color="auto"/>
                    <w:bottom w:val="single" w:sz="4" w:space="0" w:color="auto"/>
                    <w:right w:val="single" w:sz="4" w:space="0" w:color="auto"/>
                  </w:tcBorders>
                  <w:vAlign w:val="center"/>
                </w:tcPr>
                <w:p w14:paraId="37BC0982" w14:textId="1DB5204D" w:rsidR="00F015DA" w:rsidRPr="00F81D23" w:rsidRDefault="00F015DA" w:rsidP="00F81D23">
                  <w:pPr>
                    <w:spacing w:after="120"/>
                    <w:jc w:val="center"/>
                    <w:rPr>
                      <w:sz w:val="20"/>
                      <w:szCs w:val="20"/>
                    </w:rPr>
                  </w:pPr>
                </w:p>
              </w:tc>
            </w:tr>
            <w:tr w:rsidR="00F015DA" w:rsidRPr="00F81D23" w14:paraId="737B33D0" w14:textId="77777777" w:rsidTr="00F015DA">
              <w:trPr>
                <w:jc w:val="center"/>
              </w:trPr>
              <w:tc>
                <w:tcPr>
                  <w:tcW w:w="1250" w:type="dxa"/>
                  <w:vAlign w:val="bottom"/>
                </w:tcPr>
                <w:p w14:paraId="0FDC6288" w14:textId="6A7BA49B" w:rsidR="00F015DA" w:rsidRPr="00F81D23" w:rsidRDefault="00F015DA" w:rsidP="00AD1C19">
                  <w:pPr>
                    <w:spacing w:after="120"/>
                    <w:jc w:val="center"/>
                    <w:rPr>
                      <w:sz w:val="20"/>
                      <w:szCs w:val="20"/>
                    </w:rPr>
                  </w:pPr>
                  <w:r w:rsidRPr="00F81D23">
                    <w:rPr>
                      <w:sz w:val="20"/>
                      <w:szCs w:val="20"/>
                    </w:rPr>
                    <w:t>Daugavpils</w:t>
                  </w:r>
                </w:p>
              </w:tc>
              <w:tc>
                <w:tcPr>
                  <w:tcW w:w="1181" w:type="dxa"/>
                  <w:tcBorders>
                    <w:right w:val="single" w:sz="4" w:space="0" w:color="auto"/>
                  </w:tcBorders>
                  <w:vAlign w:val="center"/>
                </w:tcPr>
                <w:p w14:paraId="14BCABF6" w14:textId="666CD2A7" w:rsidR="00F015DA" w:rsidRPr="00F81D23" w:rsidRDefault="00F015DA" w:rsidP="00F81D23">
                  <w:pPr>
                    <w:spacing w:after="120"/>
                    <w:jc w:val="center"/>
                    <w:rPr>
                      <w:sz w:val="20"/>
                      <w:szCs w:val="20"/>
                    </w:rPr>
                  </w:pPr>
                  <w:r w:rsidRPr="00F81D23">
                    <w:rPr>
                      <w:color w:val="000000"/>
                      <w:sz w:val="20"/>
                      <w:szCs w:val="20"/>
                    </w:rPr>
                    <w:t>1 102 387</w:t>
                  </w:r>
                </w:p>
              </w:tc>
              <w:tc>
                <w:tcPr>
                  <w:tcW w:w="1567" w:type="dxa"/>
                  <w:vMerge/>
                  <w:tcBorders>
                    <w:top w:val="single" w:sz="4" w:space="0" w:color="auto"/>
                    <w:left w:val="single" w:sz="4" w:space="0" w:color="auto"/>
                    <w:bottom w:val="single" w:sz="4" w:space="0" w:color="auto"/>
                    <w:right w:val="single" w:sz="4" w:space="0" w:color="auto"/>
                  </w:tcBorders>
                  <w:vAlign w:val="center"/>
                </w:tcPr>
                <w:p w14:paraId="6222FE1B" w14:textId="089846D1" w:rsidR="00F015DA" w:rsidRPr="00F81D23" w:rsidRDefault="00F015DA" w:rsidP="00F81D23">
                  <w:pPr>
                    <w:spacing w:after="120"/>
                    <w:jc w:val="center"/>
                    <w:rPr>
                      <w:sz w:val="20"/>
                      <w:szCs w:val="20"/>
                    </w:rPr>
                  </w:pPr>
                </w:p>
              </w:tc>
            </w:tr>
            <w:tr w:rsidR="00F015DA" w:rsidRPr="00F81D23" w14:paraId="4348E74F" w14:textId="77777777" w:rsidTr="00F015DA">
              <w:trPr>
                <w:jc w:val="center"/>
              </w:trPr>
              <w:tc>
                <w:tcPr>
                  <w:tcW w:w="1250" w:type="dxa"/>
                  <w:vAlign w:val="bottom"/>
                </w:tcPr>
                <w:p w14:paraId="587FB9E2" w14:textId="12A67BF6" w:rsidR="00F015DA" w:rsidRPr="00F81D23" w:rsidRDefault="00F015DA" w:rsidP="00AD1C19">
                  <w:pPr>
                    <w:spacing w:after="120"/>
                    <w:jc w:val="center"/>
                    <w:rPr>
                      <w:sz w:val="20"/>
                      <w:szCs w:val="20"/>
                    </w:rPr>
                  </w:pPr>
                  <w:r w:rsidRPr="00F81D23">
                    <w:rPr>
                      <w:sz w:val="20"/>
                      <w:szCs w:val="20"/>
                    </w:rPr>
                    <w:t>Rēzekne</w:t>
                  </w:r>
                </w:p>
              </w:tc>
              <w:tc>
                <w:tcPr>
                  <w:tcW w:w="1181" w:type="dxa"/>
                  <w:tcBorders>
                    <w:right w:val="single" w:sz="4" w:space="0" w:color="auto"/>
                  </w:tcBorders>
                  <w:vAlign w:val="center"/>
                </w:tcPr>
                <w:p w14:paraId="370AEEBD" w14:textId="7A60B316" w:rsidR="00F015DA" w:rsidRPr="00F81D23" w:rsidRDefault="00F015DA" w:rsidP="00F81D23">
                  <w:pPr>
                    <w:spacing w:after="120"/>
                    <w:jc w:val="center"/>
                    <w:rPr>
                      <w:sz w:val="20"/>
                      <w:szCs w:val="20"/>
                    </w:rPr>
                  </w:pPr>
                  <w:r w:rsidRPr="00F81D23">
                    <w:rPr>
                      <w:color w:val="000000"/>
                      <w:sz w:val="20"/>
                      <w:szCs w:val="20"/>
                    </w:rPr>
                    <w:t>1 591 200</w:t>
                  </w:r>
                </w:p>
              </w:tc>
              <w:tc>
                <w:tcPr>
                  <w:tcW w:w="1567" w:type="dxa"/>
                  <w:vMerge/>
                  <w:tcBorders>
                    <w:top w:val="single" w:sz="4" w:space="0" w:color="auto"/>
                    <w:left w:val="single" w:sz="4" w:space="0" w:color="auto"/>
                    <w:bottom w:val="single" w:sz="4" w:space="0" w:color="auto"/>
                    <w:right w:val="single" w:sz="4" w:space="0" w:color="auto"/>
                  </w:tcBorders>
                  <w:vAlign w:val="center"/>
                </w:tcPr>
                <w:p w14:paraId="584AA92C" w14:textId="4E37B2FF" w:rsidR="00F015DA" w:rsidRPr="00F81D23" w:rsidRDefault="00F015DA" w:rsidP="00F81D23">
                  <w:pPr>
                    <w:spacing w:after="120"/>
                    <w:jc w:val="center"/>
                    <w:rPr>
                      <w:sz w:val="20"/>
                      <w:szCs w:val="20"/>
                    </w:rPr>
                  </w:pPr>
                </w:p>
              </w:tc>
            </w:tr>
            <w:tr w:rsidR="00F015DA" w:rsidRPr="00F81D23" w14:paraId="71EF94D4" w14:textId="77777777" w:rsidTr="00F015DA">
              <w:trPr>
                <w:jc w:val="center"/>
              </w:trPr>
              <w:tc>
                <w:tcPr>
                  <w:tcW w:w="1250" w:type="dxa"/>
                  <w:vAlign w:val="bottom"/>
                </w:tcPr>
                <w:p w14:paraId="5EDE91DF" w14:textId="2AA3CCAD" w:rsidR="00F015DA" w:rsidRPr="00F81D23" w:rsidRDefault="00F015DA" w:rsidP="00AD1C19">
                  <w:pPr>
                    <w:spacing w:after="120"/>
                    <w:jc w:val="center"/>
                    <w:rPr>
                      <w:sz w:val="20"/>
                      <w:szCs w:val="20"/>
                    </w:rPr>
                  </w:pPr>
                  <w:r w:rsidRPr="00F81D23">
                    <w:rPr>
                      <w:sz w:val="20"/>
                      <w:szCs w:val="20"/>
                    </w:rPr>
                    <w:lastRenderedPageBreak/>
                    <w:t>Liepāja</w:t>
                  </w:r>
                </w:p>
              </w:tc>
              <w:tc>
                <w:tcPr>
                  <w:tcW w:w="1181" w:type="dxa"/>
                  <w:tcBorders>
                    <w:right w:val="single" w:sz="4" w:space="0" w:color="auto"/>
                  </w:tcBorders>
                  <w:vAlign w:val="center"/>
                </w:tcPr>
                <w:p w14:paraId="1B8EFF7E" w14:textId="05385091" w:rsidR="00F015DA" w:rsidRPr="00F81D23" w:rsidRDefault="00F015DA" w:rsidP="00F81D23">
                  <w:pPr>
                    <w:spacing w:after="120"/>
                    <w:jc w:val="center"/>
                    <w:rPr>
                      <w:sz w:val="20"/>
                      <w:szCs w:val="20"/>
                    </w:rPr>
                  </w:pPr>
                  <w:r w:rsidRPr="00F81D23">
                    <w:rPr>
                      <w:color w:val="000000"/>
                      <w:sz w:val="20"/>
                      <w:szCs w:val="20"/>
                    </w:rPr>
                    <w:t>2 236 265</w:t>
                  </w:r>
                </w:p>
              </w:tc>
              <w:tc>
                <w:tcPr>
                  <w:tcW w:w="1567" w:type="dxa"/>
                  <w:vMerge/>
                  <w:tcBorders>
                    <w:top w:val="single" w:sz="4" w:space="0" w:color="auto"/>
                    <w:left w:val="single" w:sz="4" w:space="0" w:color="auto"/>
                    <w:bottom w:val="single" w:sz="4" w:space="0" w:color="auto"/>
                    <w:right w:val="single" w:sz="4" w:space="0" w:color="auto"/>
                  </w:tcBorders>
                  <w:vAlign w:val="center"/>
                </w:tcPr>
                <w:p w14:paraId="73D949C2" w14:textId="7E56C847" w:rsidR="00F015DA" w:rsidRPr="00F81D23" w:rsidRDefault="00F015DA" w:rsidP="00F81D23">
                  <w:pPr>
                    <w:spacing w:after="120"/>
                    <w:jc w:val="center"/>
                    <w:rPr>
                      <w:sz w:val="20"/>
                      <w:szCs w:val="20"/>
                    </w:rPr>
                  </w:pPr>
                </w:p>
              </w:tc>
            </w:tr>
            <w:tr w:rsidR="00F015DA" w:rsidRPr="00F81D23" w14:paraId="0150C6D2" w14:textId="77777777" w:rsidTr="00F015DA">
              <w:trPr>
                <w:jc w:val="center"/>
              </w:trPr>
              <w:tc>
                <w:tcPr>
                  <w:tcW w:w="1250" w:type="dxa"/>
                  <w:vAlign w:val="bottom"/>
                </w:tcPr>
                <w:p w14:paraId="76CECCA4" w14:textId="53A4E4F5" w:rsidR="00F015DA" w:rsidRPr="00F81D23" w:rsidRDefault="00F015DA" w:rsidP="00AD1C19">
                  <w:pPr>
                    <w:spacing w:after="120"/>
                    <w:jc w:val="center"/>
                    <w:rPr>
                      <w:sz w:val="20"/>
                      <w:szCs w:val="20"/>
                    </w:rPr>
                  </w:pPr>
                  <w:r w:rsidRPr="00F81D23">
                    <w:rPr>
                      <w:sz w:val="20"/>
                      <w:szCs w:val="20"/>
                    </w:rPr>
                    <w:t>Ventspils</w:t>
                  </w:r>
                </w:p>
              </w:tc>
              <w:tc>
                <w:tcPr>
                  <w:tcW w:w="1181" w:type="dxa"/>
                  <w:tcBorders>
                    <w:right w:val="single" w:sz="4" w:space="0" w:color="auto"/>
                  </w:tcBorders>
                  <w:vAlign w:val="center"/>
                </w:tcPr>
                <w:p w14:paraId="768DA8A9" w14:textId="6C024828" w:rsidR="00F015DA" w:rsidRPr="00F81D23" w:rsidRDefault="00F015DA" w:rsidP="00F81D23">
                  <w:pPr>
                    <w:spacing w:after="120"/>
                    <w:jc w:val="center"/>
                    <w:rPr>
                      <w:sz w:val="20"/>
                      <w:szCs w:val="20"/>
                    </w:rPr>
                  </w:pPr>
                  <w:r w:rsidRPr="00F81D23">
                    <w:rPr>
                      <w:color w:val="000000"/>
                      <w:sz w:val="20"/>
                      <w:szCs w:val="20"/>
                    </w:rPr>
                    <w:t>996 375</w:t>
                  </w:r>
                </w:p>
              </w:tc>
              <w:tc>
                <w:tcPr>
                  <w:tcW w:w="1567" w:type="dxa"/>
                  <w:vMerge/>
                  <w:tcBorders>
                    <w:top w:val="single" w:sz="4" w:space="0" w:color="auto"/>
                    <w:left w:val="single" w:sz="4" w:space="0" w:color="auto"/>
                    <w:bottom w:val="single" w:sz="4" w:space="0" w:color="auto"/>
                    <w:right w:val="single" w:sz="4" w:space="0" w:color="auto"/>
                  </w:tcBorders>
                  <w:vAlign w:val="center"/>
                </w:tcPr>
                <w:p w14:paraId="60CF071D" w14:textId="266D73DB" w:rsidR="00F015DA" w:rsidRPr="00F81D23" w:rsidRDefault="00F015DA" w:rsidP="00F81D23">
                  <w:pPr>
                    <w:spacing w:after="120"/>
                    <w:jc w:val="center"/>
                    <w:rPr>
                      <w:sz w:val="20"/>
                      <w:szCs w:val="20"/>
                    </w:rPr>
                  </w:pPr>
                </w:p>
              </w:tc>
            </w:tr>
            <w:tr w:rsidR="00F015DA" w:rsidRPr="00F81D23" w14:paraId="456778A1" w14:textId="77777777" w:rsidTr="00F015DA">
              <w:trPr>
                <w:jc w:val="center"/>
              </w:trPr>
              <w:tc>
                <w:tcPr>
                  <w:tcW w:w="1250" w:type="dxa"/>
                  <w:vAlign w:val="bottom"/>
                </w:tcPr>
                <w:p w14:paraId="4F0F6627" w14:textId="5C98C14B" w:rsidR="00F015DA" w:rsidRPr="00F81D23" w:rsidRDefault="00F015DA" w:rsidP="00AD1C19">
                  <w:pPr>
                    <w:spacing w:after="120"/>
                    <w:jc w:val="center"/>
                    <w:rPr>
                      <w:sz w:val="20"/>
                      <w:szCs w:val="20"/>
                    </w:rPr>
                  </w:pPr>
                  <w:r w:rsidRPr="00F81D23">
                    <w:rPr>
                      <w:sz w:val="20"/>
                      <w:szCs w:val="20"/>
                    </w:rPr>
                    <w:t>Jūrmala</w:t>
                  </w:r>
                </w:p>
              </w:tc>
              <w:tc>
                <w:tcPr>
                  <w:tcW w:w="1181" w:type="dxa"/>
                  <w:tcBorders>
                    <w:right w:val="single" w:sz="4" w:space="0" w:color="auto"/>
                  </w:tcBorders>
                  <w:vAlign w:val="center"/>
                </w:tcPr>
                <w:p w14:paraId="1CCEBDD6" w14:textId="5C778B90" w:rsidR="00F015DA" w:rsidRPr="00F81D23" w:rsidRDefault="00F015DA" w:rsidP="00F81D23">
                  <w:pPr>
                    <w:spacing w:after="120"/>
                    <w:jc w:val="center"/>
                    <w:rPr>
                      <w:sz w:val="20"/>
                      <w:szCs w:val="20"/>
                    </w:rPr>
                  </w:pPr>
                  <w:r w:rsidRPr="00F81D23">
                    <w:rPr>
                      <w:color w:val="000000"/>
                      <w:sz w:val="20"/>
                      <w:szCs w:val="20"/>
                    </w:rPr>
                    <w:t>1 200 702</w:t>
                  </w:r>
                </w:p>
              </w:tc>
              <w:tc>
                <w:tcPr>
                  <w:tcW w:w="1567" w:type="dxa"/>
                  <w:vMerge/>
                  <w:tcBorders>
                    <w:top w:val="single" w:sz="4" w:space="0" w:color="auto"/>
                    <w:left w:val="single" w:sz="4" w:space="0" w:color="auto"/>
                    <w:bottom w:val="single" w:sz="4" w:space="0" w:color="auto"/>
                    <w:right w:val="single" w:sz="4" w:space="0" w:color="auto"/>
                  </w:tcBorders>
                  <w:vAlign w:val="center"/>
                </w:tcPr>
                <w:p w14:paraId="663975C2" w14:textId="058C4406" w:rsidR="00F015DA" w:rsidRPr="00F81D23" w:rsidRDefault="00F015DA" w:rsidP="00F81D23">
                  <w:pPr>
                    <w:spacing w:after="120"/>
                    <w:jc w:val="center"/>
                    <w:rPr>
                      <w:sz w:val="20"/>
                      <w:szCs w:val="20"/>
                    </w:rPr>
                  </w:pPr>
                </w:p>
              </w:tc>
            </w:tr>
            <w:tr w:rsidR="00F015DA" w:rsidRPr="00F81D23" w14:paraId="3361CF38" w14:textId="77777777" w:rsidTr="00F015DA">
              <w:trPr>
                <w:jc w:val="center"/>
              </w:trPr>
              <w:tc>
                <w:tcPr>
                  <w:tcW w:w="1250" w:type="dxa"/>
                  <w:vAlign w:val="center"/>
                </w:tcPr>
                <w:p w14:paraId="6DCAA227" w14:textId="44CAB01B" w:rsidR="00F015DA" w:rsidRPr="00AD1C19" w:rsidRDefault="00F015DA" w:rsidP="00F81D23">
                  <w:pPr>
                    <w:spacing w:after="120"/>
                    <w:jc w:val="center"/>
                    <w:rPr>
                      <w:b/>
                      <w:sz w:val="20"/>
                      <w:szCs w:val="20"/>
                    </w:rPr>
                  </w:pPr>
                  <w:r w:rsidRPr="00AD1C19">
                    <w:rPr>
                      <w:b/>
                      <w:sz w:val="20"/>
                      <w:szCs w:val="20"/>
                    </w:rPr>
                    <w:t>KOPĀ</w:t>
                  </w:r>
                </w:p>
              </w:tc>
              <w:tc>
                <w:tcPr>
                  <w:tcW w:w="1181" w:type="dxa"/>
                  <w:tcBorders>
                    <w:right w:val="single" w:sz="4" w:space="0" w:color="auto"/>
                  </w:tcBorders>
                  <w:vAlign w:val="center"/>
                </w:tcPr>
                <w:p w14:paraId="11BB930E" w14:textId="547A9496" w:rsidR="00F015DA" w:rsidRPr="00AD1C19" w:rsidRDefault="00F015DA" w:rsidP="00F81D23">
                  <w:pPr>
                    <w:spacing w:after="120"/>
                    <w:jc w:val="center"/>
                    <w:rPr>
                      <w:b/>
                      <w:sz w:val="20"/>
                      <w:szCs w:val="20"/>
                    </w:rPr>
                  </w:pPr>
                  <w:r w:rsidRPr="00AD1C19">
                    <w:rPr>
                      <w:b/>
                      <w:sz w:val="20"/>
                      <w:szCs w:val="20"/>
                    </w:rPr>
                    <w:t>11 141 657</w:t>
                  </w:r>
                </w:p>
              </w:tc>
              <w:tc>
                <w:tcPr>
                  <w:tcW w:w="1567" w:type="dxa"/>
                  <w:vMerge/>
                  <w:tcBorders>
                    <w:top w:val="single" w:sz="4" w:space="0" w:color="auto"/>
                    <w:left w:val="single" w:sz="4" w:space="0" w:color="auto"/>
                    <w:bottom w:val="single" w:sz="4" w:space="0" w:color="auto"/>
                    <w:right w:val="single" w:sz="4" w:space="0" w:color="auto"/>
                  </w:tcBorders>
                  <w:vAlign w:val="center"/>
                </w:tcPr>
                <w:p w14:paraId="562A6497" w14:textId="29467A62" w:rsidR="00F015DA" w:rsidRPr="00AD1C19" w:rsidRDefault="00F015DA" w:rsidP="00F81D23">
                  <w:pPr>
                    <w:spacing w:after="120"/>
                    <w:jc w:val="center"/>
                    <w:rPr>
                      <w:b/>
                      <w:sz w:val="20"/>
                      <w:szCs w:val="20"/>
                    </w:rPr>
                  </w:pPr>
                </w:p>
              </w:tc>
            </w:tr>
          </w:tbl>
          <w:p w14:paraId="2D1186B9" w14:textId="55CFCD77" w:rsidR="002572C3" w:rsidRPr="002572C3" w:rsidRDefault="002572C3" w:rsidP="006553FC">
            <w:pPr>
              <w:autoSpaceDE w:val="0"/>
              <w:autoSpaceDN w:val="0"/>
              <w:spacing w:before="60"/>
              <w:jc w:val="both"/>
            </w:pPr>
          </w:p>
        </w:tc>
      </w:tr>
      <w:tr w:rsidR="00A02269" w14:paraId="2D1186BE"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4CC3850A" w:rsidR="00750FB6" w:rsidRPr="006E3F47" w:rsidRDefault="006C431F" w:rsidP="00BF3F2B">
            <w:pPr>
              <w:spacing w:before="60" w:afterLines="60" w:after="144"/>
              <w:jc w:val="center"/>
              <w:rPr>
                <w:lang w:eastAsia="en-US"/>
              </w:rPr>
            </w:pPr>
            <w:r>
              <w:rPr>
                <w:lang w:eastAsia="en-US"/>
              </w:rPr>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6E3F47" w:rsidRDefault="00AE3EDA" w:rsidP="00BF3F2B">
            <w:pPr>
              <w:spacing w:before="60" w:afterLines="60" w:after="144"/>
              <w:rPr>
                <w:lang w:eastAsia="en-US"/>
              </w:rPr>
            </w:pPr>
            <w:r w:rsidRPr="006E3F47">
              <w:t>Projekta izstrādē iesaistītās institūcijas</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5319F633" w:rsidR="00750FB6" w:rsidRPr="006E3F47" w:rsidRDefault="00131DBD" w:rsidP="00BF3F2B">
            <w:pPr>
              <w:spacing w:before="60" w:afterLines="60" w:after="144"/>
              <w:jc w:val="both"/>
              <w:rPr>
                <w:b/>
              </w:rPr>
            </w:pPr>
            <w:r>
              <w:t>Kultūras ministrija, Labklājības ministrija</w:t>
            </w:r>
            <w:r w:rsidR="00C52BF2">
              <w:t xml:space="preserve">, Finanšu ministrija, Latvijas Lielo pilsētu asociācija </w:t>
            </w:r>
          </w:p>
        </w:tc>
      </w:tr>
      <w:tr w:rsidR="00A02269" w14:paraId="2D1186C2"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6E3F47" w:rsidRDefault="00AE3EDA" w:rsidP="00BF3F2B">
            <w:pPr>
              <w:spacing w:before="60" w:afterLines="60" w:after="144"/>
              <w:jc w:val="center"/>
              <w:rPr>
                <w:lang w:eastAsia="en-US"/>
              </w:rPr>
            </w:pPr>
            <w:r w:rsidRPr="006E3F47">
              <w:t>4.</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6E3F47" w:rsidRDefault="00AE3EDA" w:rsidP="00BF3F2B">
            <w:pPr>
              <w:spacing w:before="60" w:afterLines="60" w:after="144"/>
              <w:rPr>
                <w:lang w:eastAsia="en-US"/>
              </w:rPr>
            </w:pPr>
            <w:r w:rsidRPr="006E3F47">
              <w:t>Cita informācija</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D1186C1" w14:textId="77777777" w:rsidR="00750FB6" w:rsidRPr="006E3F47" w:rsidRDefault="00AE3EDA" w:rsidP="00BF3F2B">
            <w:pPr>
              <w:spacing w:before="60" w:afterLines="60" w:after="144"/>
            </w:pPr>
            <w:r w:rsidRPr="006E3F47">
              <w:t>Nav.</w:t>
            </w:r>
          </w:p>
        </w:tc>
      </w:tr>
    </w:tbl>
    <w:p w14:paraId="2D1186C3" w14:textId="77777777" w:rsidR="00750FB6" w:rsidRPr="006E3F47" w:rsidRDefault="00750FB6" w:rsidP="00BF3F2B">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02269" w14:paraId="2D1186C5"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6E3F47" w:rsidRDefault="00AE3EDA" w:rsidP="00BF3F2B">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rsidR="00A02269" w14:paraId="2D1186C9"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6E3F47" w:rsidRDefault="00AE3EDA" w:rsidP="00BF3F2B">
            <w:pPr>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6E3F47" w:rsidRDefault="00AE3EDA" w:rsidP="00BF3F2B">
            <w:pPr>
              <w:rPr>
                <w:lang w:eastAsia="en-US"/>
              </w:rPr>
            </w:pPr>
            <w:r w:rsidRPr="006E3F47">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86C8" w14:textId="3C9122F5" w:rsidR="00750FB6" w:rsidRPr="00F53A0F" w:rsidRDefault="00AE3EDA" w:rsidP="002968F6">
            <w:pPr>
              <w:jc w:val="both"/>
              <w:rPr>
                <w:bCs/>
                <w:lang w:eastAsia="en-US"/>
              </w:rPr>
            </w:pPr>
            <w:r>
              <w:rPr>
                <w:bCs/>
                <w:lang w:eastAsia="en-US"/>
              </w:rPr>
              <w:t>Darbības programmā un 5.5.1.</w:t>
            </w:r>
            <w:r w:rsidR="002F7B75">
              <w:rPr>
                <w:bCs/>
                <w:lang w:eastAsia="en-US"/>
              </w:rPr>
              <w:t xml:space="preserve"> SAM 3. kārtas, </w:t>
            </w:r>
            <w:r w:rsidR="001813E8">
              <w:rPr>
                <w:bCs/>
                <w:lang w:eastAsia="en-US"/>
              </w:rPr>
              <w:t>5.6.1. SAM</w:t>
            </w:r>
            <w:r w:rsidR="00134A7F">
              <w:rPr>
                <w:bCs/>
                <w:lang w:eastAsia="en-US"/>
              </w:rPr>
              <w:t>, 9.3.1.1. pasākuma</w:t>
            </w:r>
            <w:r w:rsidR="001813E8">
              <w:rPr>
                <w:bCs/>
                <w:lang w:eastAsia="en-US"/>
              </w:rPr>
              <w:t xml:space="preserve"> </w:t>
            </w:r>
            <w:r>
              <w:rPr>
                <w:bCs/>
                <w:lang w:eastAsia="en-US"/>
              </w:rPr>
              <w:t>īstenošanas noteikumos minētās mērķa grupas un projektu iesniedzēji – nacionālas nozīmes attīstības centru pašvaldības, pašvaldības iestāde,</w:t>
            </w:r>
            <w:r w:rsidR="002968F6">
              <w:rPr>
                <w:bCs/>
                <w:lang w:eastAsia="en-US"/>
              </w:rPr>
              <w:t xml:space="preserve"> </w:t>
            </w:r>
            <w:r w:rsidR="002968F6" w:rsidRPr="002968F6">
              <w:rPr>
                <w:bCs/>
                <w:lang w:eastAsia="en-US"/>
              </w:rPr>
              <w:t>plānošanas reģionu sadarbības partneri 9.2.2.1</w:t>
            </w:r>
            <w:r w:rsidR="002968F6">
              <w:rPr>
                <w:bCs/>
                <w:lang w:eastAsia="en-US"/>
              </w:rPr>
              <w:t xml:space="preserve">. pasākuma ietvaros, </w:t>
            </w:r>
            <w:r>
              <w:rPr>
                <w:bCs/>
                <w:lang w:eastAsia="en-US"/>
              </w:rPr>
              <w:t xml:space="preserve">saimnieciskās darbības veicēji, iedzīvotāji, saistīto pakalpojumu sniedzēji (mazie un vidējie komersanti), vietējie un </w:t>
            </w:r>
            <w:r w:rsidR="00AE07DC">
              <w:rPr>
                <w:bCs/>
                <w:lang w:eastAsia="en-US"/>
              </w:rPr>
              <w:t>ārvalstu tūristi, ar kultūras un dabas mantojuma objektu</w:t>
            </w:r>
            <w:r w:rsidR="001813E8">
              <w:rPr>
                <w:bCs/>
                <w:lang w:eastAsia="en-US"/>
              </w:rPr>
              <w:t xml:space="preserve"> saistīto pakalpoju</w:t>
            </w:r>
            <w:r w:rsidR="00134A7F">
              <w:rPr>
                <w:bCs/>
                <w:lang w:eastAsia="en-US"/>
              </w:rPr>
              <w:t xml:space="preserve">mu sniedzēji, Rīgas iedzīvotāji, </w:t>
            </w:r>
            <w:r w:rsidR="00134A7F" w:rsidRPr="00134A7F">
              <w:rPr>
                <w:bCs/>
                <w:lang w:eastAsia="en-US"/>
              </w:rPr>
              <w:t>pilngadīgas personas ar garīga rakstura traucējumiem</w:t>
            </w:r>
            <w:r w:rsidR="00134A7F">
              <w:rPr>
                <w:bCs/>
                <w:lang w:eastAsia="en-US"/>
              </w:rPr>
              <w:t xml:space="preserve">, </w:t>
            </w:r>
            <w:r w:rsidR="00134A7F" w:rsidRPr="00134A7F">
              <w:rPr>
                <w:bCs/>
                <w:lang w:eastAsia="en-US"/>
              </w:rPr>
              <w:t>bērni ar funkcionāliem traucējumiem</w:t>
            </w:r>
            <w:r w:rsidR="00134A7F">
              <w:rPr>
                <w:bCs/>
                <w:lang w:eastAsia="en-US"/>
              </w:rPr>
              <w:t xml:space="preserve">, </w:t>
            </w:r>
            <w:r w:rsidR="00134A7F" w:rsidRPr="00134A7F">
              <w:rPr>
                <w:bCs/>
                <w:lang w:eastAsia="en-US"/>
              </w:rPr>
              <w:t>ārpusģimenes aprūpē esoši bērni un jaunieši</w:t>
            </w:r>
            <w:r w:rsidR="002968F6">
              <w:rPr>
                <w:bCs/>
                <w:lang w:eastAsia="en-US"/>
              </w:rPr>
              <w:t>.</w:t>
            </w:r>
          </w:p>
        </w:tc>
      </w:tr>
      <w:tr w:rsidR="00A02269" w14:paraId="2D1186CD"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6E3F47" w:rsidRDefault="00AE3EDA" w:rsidP="00BF3F2B">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6E3F47" w:rsidRDefault="00AE3EDA" w:rsidP="00BF3F2B">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CC" w14:textId="77777777"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Projekts šo jomu neskar.</w:t>
            </w:r>
          </w:p>
        </w:tc>
      </w:tr>
      <w:tr w:rsidR="00A02269" w14:paraId="2D1186D1"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6E3F47" w:rsidRDefault="00AE3EDA" w:rsidP="00BF3F2B">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6E3F47" w:rsidRDefault="00AE3EDA" w:rsidP="00BF3F2B">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0" w14:textId="1451BA75" w:rsidR="00750FB6"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4698048A"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3AE99857" w14:textId="1471745D" w:rsidR="00376F77" w:rsidRPr="006E3F47" w:rsidRDefault="00AE3EDA" w:rsidP="00BF3F2B">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61D65" w14:textId="2984DBB3" w:rsidR="00376F77" w:rsidRPr="006E3F47" w:rsidRDefault="00AE3EDA" w:rsidP="00BF3F2B">
            <w:r>
              <w:t xml:space="preserve">Atbilstības </w:t>
            </w:r>
            <w:r w:rsidR="0087397A">
              <w:t>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A2272B9" w14:textId="6B9DD92D" w:rsidR="00376F77"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2D1186D5"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D2" w14:textId="013F1570" w:rsidR="00750FB6" w:rsidRPr="006E3F47" w:rsidRDefault="00AE3EDA" w:rsidP="00BF3F2B">
            <w:pPr>
              <w:jc w:val="center"/>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D3" w14:textId="77777777" w:rsidR="00750FB6" w:rsidRPr="006E3F47" w:rsidRDefault="00AE3EDA" w:rsidP="00BF3F2B">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4" w14:textId="1B56EB59"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Nav</w:t>
            </w:r>
          </w:p>
        </w:tc>
      </w:tr>
    </w:tbl>
    <w:p w14:paraId="2D1186D6" w14:textId="77777777" w:rsidR="00750FB6" w:rsidRDefault="00750FB6" w:rsidP="00BF3F2B">
      <w:pPr>
        <w:jc w:val="both"/>
      </w:pPr>
    </w:p>
    <w:tbl>
      <w:tblPr>
        <w:tblStyle w:val="TableGrid"/>
        <w:tblW w:w="0" w:type="auto"/>
        <w:tblLook w:val="04A0" w:firstRow="1" w:lastRow="0" w:firstColumn="1" w:lastColumn="0" w:noHBand="0" w:noVBand="1"/>
      </w:tblPr>
      <w:tblGrid>
        <w:gridCol w:w="9180"/>
      </w:tblGrid>
      <w:tr w:rsidR="00A02269" w14:paraId="12446B40" w14:textId="77777777" w:rsidTr="00235F10">
        <w:trPr>
          <w:trHeight w:val="411"/>
        </w:trPr>
        <w:tc>
          <w:tcPr>
            <w:tcW w:w="9180" w:type="dxa"/>
            <w:vAlign w:val="center"/>
          </w:tcPr>
          <w:p w14:paraId="7A14FD40" w14:textId="77777777" w:rsidR="00334386" w:rsidRPr="00E91CD2" w:rsidRDefault="00AE3EDA" w:rsidP="00C169D8">
            <w:pPr>
              <w:spacing w:line="276" w:lineRule="auto"/>
              <w:jc w:val="center"/>
              <w:rPr>
                <w:b/>
                <w:lang w:eastAsia="en-US"/>
              </w:rPr>
            </w:pPr>
            <w:r w:rsidRPr="00E91CD2">
              <w:rPr>
                <w:b/>
                <w:lang w:eastAsia="en-US"/>
              </w:rPr>
              <w:t>III. Tiesību akta projekta ietekme uz valsts budžetu un pašvaldību budžetiem</w:t>
            </w:r>
          </w:p>
        </w:tc>
      </w:tr>
      <w:tr w:rsidR="00A02269" w14:paraId="7327FCE4" w14:textId="77777777" w:rsidTr="00235F10">
        <w:tc>
          <w:tcPr>
            <w:tcW w:w="9180" w:type="dxa"/>
            <w:vAlign w:val="center"/>
          </w:tcPr>
          <w:p w14:paraId="65D33869" w14:textId="77777777" w:rsidR="00334386" w:rsidRDefault="00AE3EDA" w:rsidP="00C169D8">
            <w:pPr>
              <w:spacing w:line="276" w:lineRule="auto"/>
              <w:jc w:val="center"/>
              <w:rPr>
                <w:lang w:eastAsia="en-US"/>
              </w:rPr>
            </w:pPr>
            <w:r w:rsidRPr="00E91CD2">
              <w:rPr>
                <w:lang w:eastAsia="en-US"/>
              </w:rPr>
              <w:t>Projekts šo jomu neskar</w:t>
            </w:r>
          </w:p>
        </w:tc>
      </w:tr>
    </w:tbl>
    <w:p w14:paraId="48F58049" w14:textId="77777777" w:rsidR="00334386" w:rsidRPr="006E3F47" w:rsidRDefault="00334386" w:rsidP="00BF3F2B">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693"/>
        <w:gridCol w:w="6095"/>
      </w:tblGrid>
      <w:tr w:rsidR="00A02269" w14:paraId="2D118775" w14:textId="77777777" w:rsidTr="00235F10">
        <w:trPr>
          <w:trHeight w:val="421"/>
        </w:trPr>
        <w:tc>
          <w:tcPr>
            <w:tcW w:w="9214" w:type="dxa"/>
            <w:gridSpan w:val="3"/>
            <w:vAlign w:val="center"/>
          </w:tcPr>
          <w:p w14:paraId="2D118774" w14:textId="77777777" w:rsidR="00750FB6" w:rsidRPr="006E3F47" w:rsidRDefault="00AE3EDA" w:rsidP="00BF3F2B">
            <w:pPr>
              <w:ind w:left="57" w:right="57"/>
              <w:jc w:val="center"/>
              <w:rPr>
                <w:rFonts w:eastAsia="Times New Roman"/>
              </w:rPr>
            </w:pPr>
            <w:r w:rsidRPr="006E3F47">
              <w:rPr>
                <w:rFonts w:eastAsia="Times New Roman"/>
                <w:b/>
              </w:rPr>
              <w:t xml:space="preserve">IV. Tiesību akta projekta ietekme uz spēkā esošo tiesību normu sistēmu </w:t>
            </w:r>
          </w:p>
        </w:tc>
      </w:tr>
      <w:tr w:rsidR="00621D36" w14:paraId="2D11877C" w14:textId="77777777" w:rsidTr="00C52BF2">
        <w:trPr>
          <w:trHeight w:val="553"/>
        </w:trPr>
        <w:tc>
          <w:tcPr>
            <w:tcW w:w="426" w:type="dxa"/>
          </w:tcPr>
          <w:p w14:paraId="2D118776" w14:textId="77777777" w:rsidR="00621D36" w:rsidRPr="006E3F47" w:rsidRDefault="00621D36" w:rsidP="00BF3F2B">
            <w:pPr>
              <w:ind w:left="57" w:right="57"/>
              <w:jc w:val="both"/>
              <w:rPr>
                <w:bCs/>
              </w:rPr>
            </w:pPr>
            <w:r w:rsidRPr="006E3F47">
              <w:rPr>
                <w:bCs/>
              </w:rPr>
              <w:t>1.</w:t>
            </w:r>
          </w:p>
        </w:tc>
        <w:tc>
          <w:tcPr>
            <w:tcW w:w="2693" w:type="dxa"/>
          </w:tcPr>
          <w:p w14:paraId="2D118777" w14:textId="226F67FA" w:rsidR="00621D36" w:rsidRPr="0008236A" w:rsidRDefault="00621D36" w:rsidP="00BF3F2B">
            <w:r>
              <w:t>S</w:t>
            </w:r>
            <w:r w:rsidRPr="0008236A">
              <w:t>aistītie tiesību aktu projekti</w:t>
            </w:r>
          </w:p>
        </w:tc>
        <w:tc>
          <w:tcPr>
            <w:tcW w:w="6095" w:type="dxa"/>
            <w:vAlign w:val="center"/>
          </w:tcPr>
          <w:p w14:paraId="4B74C2C0" w14:textId="77777777" w:rsidR="00BC2DED" w:rsidRDefault="00BC2DED" w:rsidP="00BC2DED">
            <w:pPr>
              <w:jc w:val="both"/>
              <w:rPr>
                <w:lang w:eastAsia="en-US"/>
              </w:rPr>
            </w:pPr>
            <w:r w:rsidRPr="00AB4200">
              <w:rPr>
                <w:lang w:eastAsia="en-US"/>
              </w:rPr>
              <w:t xml:space="preserve">MK rīkojuma projektam tiek pievienots </w:t>
            </w:r>
            <w:r w:rsidRPr="00AB4200">
              <w:t xml:space="preserve">protokollēmuma projekts, kas paredz </w:t>
            </w:r>
            <w:r>
              <w:rPr>
                <w:lang w:eastAsia="en-US"/>
              </w:rPr>
              <w:t>:</w:t>
            </w:r>
          </w:p>
          <w:p w14:paraId="34F2FBB5" w14:textId="759EAAFD" w:rsidR="004A38C7" w:rsidRPr="004A38C7" w:rsidRDefault="004A38C7" w:rsidP="004A38C7">
            <w:pPr>
              <w:pStyle w:val="ListParagraph"/>
              <w:numPr>
                <w:ilvl w:val="0"/>
                <w:numId w:val="13"/>
              </w:numPr>
              <w:jc w:val="both"/>
              <w:rPr>
                <w:sz w:val="24"/>
                <w:szCs w:val="24"/>
              </w:rPr>
            </w:pPr>
            <w:r w:rsidRPr="004A38C7">
              <w:rPr>
                <w:sz w:val="24"/>
                <w:szCs w:val="24"/>
              </w:rPr>
              <w:t xml:space="preserve">Vides aizsardzības un reģionālās attīstības ministrijai līdz 2018.gada 15.decembrim steidzami sagatavot un iesniegt izskatīšanai Ministru kabinetā grozījumus Ministru kabineta 2015.gada 10.novembra noteikumos Nr.645 "Darbības programmas "Izaugsme un nodarbinātība" 5.6.2.specifiskā atbalsta mērķa </w:t>
            </w:r>
            <w:r w:rsidRPr="004A38C7">
              <w:rPr>
                <w:sz w:val="24"/>
                <w:szCs w:val="24"/>
              </w:rPr>
              <w:lastRenderedPageBreak/>
              <w:t>"Teritoriju revitalizācija, reģenerējot degradētās teritorijas atbilstoši pašvaldību integrētajām attīstības programmām" īstenošanas noteikumi", precizējot ar virssaistību pārdali saistītā finansējuma un rezultātu sadalījumu;</w:t>
            </w:r>
          </w:p>
          <w:p w14:paraId="236758E0" w14:textId="63129748" w:rsidR="004A38C7" w:rsidRDefault="004A38C7" w:rsidP="004A38C7">
            <w:pPr>
              <w:numPr>
                <w:ilvl w:val="0"/>
                <w:numId w:val="13"/>
              </w:numPr>
              <w:jc w:val="both"/>
              <w:rPr>
                <w:lang w:eastAsia="en-US"/>
              </w:rPr>
            </w:pPr>
            <w:r w:rsidRPr="004A38C7">
              <w:t>Kultūras ministrijai līdz 2018.gada 15.decembrim steidzami sagatavot un iesniegt izskatīšanai Ministru kabinetā grozījumus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precizējot ar virssaistību pārdali saistītā finansējuma un rezultātu sadalījumu.</w:t>
            </w:r>
          </w:p>
          <w:p w14:paraId="2D11877B" w14:textId="257DBD5E" w:rsidR="00621D36" w:rsidRPr="009719DB" w:rsidRDefault="00621D36" w:rsidP="004A38C7">
            <w:pPr>
              <w:numPr>
                <w:ilvl w:val="0"/>
                <w:numId w:val="13"/>
              </w:numPr>
              <w:jc w:val="both"/>
              <w:rPr>
                <w:lang w:eastAsia="en-US"/>
              </w:rPr>
            </w:pPr>
          </w:p>
        </w:tc>
      </w:tr>
      <w:tr w:rsidR="00621D36" w14:paraId="2D118780" w14:textId="77777777" w:rsidTr="00C52BF2">
        <w:trPr>
          <w:trHeight w:val="339"/>
        </w:trPr>
        <w:tc>
          <w:tcPr>
            <w:tcW w:w="426" w:type="dxa"/>
          </w:tcPr>
          <w:p w14:paraId="2D11877D" w14:textId="77777777" w:rsidR="00621D36" w:rsidRPr="006E3F47" w:rsidRDefault="00621D36" w:rsidP="00BF3F2B">
            <w:pPr>
              <w:ind w:left="57" w:right="57"/>
              <w:jc w:val="both"/>
              <w:rPr>
                <w:bCs/>
              </w:rPr>
            </w:pPr>
            <w:r w:rsidRPr="006E3F47">
              <w:rPr>
                <w:bCs/>
              </w:rPr>
              <w:lastRenderedPageBreak/>
              <w:t>2.</w:t>
            </w:r>
          </w:p>
        </w:tc>
        <w:tc>
          <w:tcPr>
            <w:tcW w:w="2693" w:type="dxa"/>
          </w:tcPr>
          <w:p w14:paraId="2D11877E" w14:textId="77777777" w:rsidR="00621D36" w:rsidRPr="006E3F47" w:rsidRDefault="00621D36" w:rsidP="00BF3F2B">
            <w:pPr>
              <w:ind w:left="57" w:right="57"/>
            </w:pPr>
            <w:r w:rsidRPr="006E3F47">
              <w:rPr>
                <w:rFonts w:eastAsia="Times New Roman"/>
              </w:rPr>
              <w:t>Atbildīgā institūcija</w:t>
            </w:r>
            <w:r w:rsidRPr="006E3F47">
              <w:t xml:space="preserve"> </w:t>
            </w:r>
          </w:p>
        </w:tc>
        <w:tc>
          <w:tcPr>
            <w:tcW w:w="6095" w:type="dxa"/>
            <w:vAlign w:val="center"/>
          </w:tcPr>
          <w:p w14:paraId="766BD1C4" w14:textId="77777777" w:rsidR="00BC2DED" w:rsidRDefault="00BC2DED" w:rsidP="00C32B2D">
            <w:pPr>
              <w:pStyle w:val="ListParagraph"/>
              <w:numPr>
                <w:ilvl w:val="0"/>
                <w:numId w:val="14"/>
              </w:numPr>
              <w:ind w:right="113"/>
              <w:jc w:val="both"/>
              <w:rPr>
                <w:sz w:val="24"/>
                <w:szCs w:val="24"/>
                <w:lang w:eastAsia="en-US"/>
              </w:rPr>
            </w:pPr>
            <w:r w:rsidRPr="00141614">
              <w:rPr>
                <w:iCs/>
                <w:sz w:val="24"/>
                <w:szCs w:val="24"/>
              </w:rPr>
              <w:t xml:space="preserve">Par </w:t>
            </w:r>
            <w:r w:rsidRPr="00141614">
              <w:rPr>
                <w:sz w:val="24"/>
                <w:szCs w:val="24"/>
                <w:lang w:eastAsia="en-US"/>
              </w:rPr>
              <w:t>MK noteikumu Nr. 645 grozījumu projekta izstrādi – VARAM;</w:t>
            </w:r>
          </w:p>
          <w:p w14:paraId="2D11877F" w14:textId="63D6843B" w:rsidR="00621D36" w:rsidRPr="00C32B2D" w:rsidRDefault="00BC2DED" w:rsidP="00C32B2D">
            <w:pPr>
              <w:pStyle w:val="ListParagraph"/>
              <w:numPr>
                <w:ilvl w:val="0"/>
                <w:numId w:val="14"/>
              </w:numPr>
              <w:ind w:right="113"/>
              <w:jc w:val="both"/>
              <w:rPr>
                <w:sz w:val="24"/>
                <w:szCs w:val="24"/>
                <w:lang w:eastAsia="en-US"/>
              </w:rPr>
            </w:pPr>
            <w:r w:rsidRPr="00C32B2D">
              <w:rPr>
                <w:kern w:val="24"/>
                <w:sz w:val="24"/>
                <w:szCs w:val="24"/>
              </w:rPr>
              <w:t>Par MK noteikumu Nr. 635 grozījumu projekta izstrādi – KM.</w:t>
            </w:r>
          </w:p>
        </w:tc>
      </w:tr>
      <w:tr w:rsidR="00621D36" w14:paraId="2D118784" w14:textId="77777777" w:rsidTr="00C52BF2">
        <w:trPr>
          <w:trHeight w:val="476"/>
        </w:trPr>
        <w:tc>
          <w:tcPr>
            <w:tcW w:w="426" w:type="dxa"/>
          </w:tcPr>
          <w:p w14:paraId="2D118781" w14:textId="77777777" w:rsidR="00621D36" w:rsidRPr="006E3F47" w:rsidRDefault="00621D36" w:rsidP="00BF3F2B">
            <w:pPr>
              <w:ind w:left="57" w:right="57"/>
              <w:jc w:val="both"/>
              <w:rPr>
                <w:bCs/>
              </w:rPr>
            </w:pPr>
            <w:r w:rsidRPr="006E3F47">
              <w:rPr>
                <w:bCs/>
              </w:rPr>
              <w:t>3.</w:t>
            </w:r>
          </w:p>
        </w:tc>
        <w:tc>
          <w:tcPr>
            <w:tcW w:w="2693" w:type="dxa"/>
          </w:tcPr>
          <w:p w14:paraId="2D118782" w14:textId="77777777" w:rsidR="00621D36" w:rsidRPr="006E3F47" w:rsidRDefault="00621D36" w:rsidP="00BF3F2B">
            <w:pPr>
              <w:ind w:left="57" w:right="57"/>
            </w:pPr>
            <w:r w:rsidRPr="006E3F47">
              <w:t>Cita informācija</w:t>
            </w:r>
          </w:p>
        </w:tc>
        <w:tc>
          <w:tcPr>
            <w:tcW w:w="6095" w:type="dxa"/>
            <w:vAlign w:val="center"/>
          </w:tcPr>
          <w:p w14:paraId="2D118783" w14:textId="308938DB" w:rsidR="00621D36" w:rsidRPr="006E3F47" w:rsidRDefault="00621D36" w:rsidP="00306FA7">
            <w:pPr>
              <w:ind w:left="142" w:right="113"/>
              <w:jc w:val="both"/>
            </w:pPr>
            <w:r>
              <w:rPr>
                <w:bCs/>
                <w:lang w:eastAsia="en-US"/>
              </w:rPr>
              <w:t xml:space="preserve">Nav </w:t>
            </w:r>
          </w:p>
        </w:tc>
      </w:tr>
    </w:tbl>
    <w:p w14:paraId="1BAAC841" w14:textId="77777777" w:rsidR="00334386" w:rsidRDefault="00334386"/>
    <w:tbl>
      <w:tblPr>
        <w:tblStyle w:val="TableGrid"/>
        <w:tblW w:w="0" w:type="auto"/>
        <w:tblLook w:val="04A0" w:firstRow="1" w:lastRow="0" w:firstColumn="1" w:lastColumn="0" w:noHBand="0" w:noVBand="1"/>
      </w:tblPr>
      <w:tblGrid>
        <w:gridCol w:w="9180"/>
      </w:tblGrid>
      <w:tr w:rsidR="00A02269" w14:paraId="03C43BF7" w14:textId="77777777" w:rsidTr="00235F10">
        <w:trPr>
          <w:trHeight w:val="411"/>
        </w:trPr>
        <w:tc>
          <w:tcPr>
            <w:tcW w:w="9180" w:type="dxa"/>
            <w:vAlign w:val="center"/>
          </w:tcPr>
          <w:p w14:paraId="542AA9E3" w14:textId="77777777" w:rsidR="00334386" w:rsidRPr="00E91CD2" w:rsidRDefault="00AE3EDA" w:rsidP="00C169D8">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A02269" w14:paraId="36DB71D5" w14:textId="77777777" w:rsidTr="00235F10">
        <w:tc>
          <w:tcPr>
            <w:tcW w:w="9180" w:type="dxa"/>
            <w:vAlign w:val="center"/>
          </w:tcPr>
          <w:p w14:paraId="1A3D25AF" w14:textId="77777777" w:rsidR="00334386" w:rsidRDefault="00AE3EDA" w:rsidP="00C169D8">
            <w:pPr>
              <w:spacing w:line="276" w:lineRule="auto"/>
              <w:jc w:val="center"/>
              <w:rPr>
                <w:lang w:eastAsia="en-US"/>
              </w:rPr>
            </w:pPr>
            <w:r w:rsidRPr="00E91CD2">
              <w:rPr>
                <w:lang w:eastAsia="en-US"/>
              </w:rPr>
              <w:t>Projekts šo jomu neskar</w:t>
            </w:r>
          </w:p>
        </w:tc>
      </w:tr>
    </w:tbl>
    <w:p w14:paraId="2D118785" w14:textId="55DE25DD" w:rsidR="00FB2116" w:rsidRDefault="00FB2116" w:rsidP="00BF3F2B">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31"/>
        <w:gridCol w:w="6057"/>
      </w:tblGrid>
      <w:tr w:rsidR="00A02269" w14:paraId="2D118787" w14:textId="77777777" w:rsidTr="00750FB6">
        <w:trPr>
          <w:trHeight w:val="421"/>
        </w:trPr>
        <w:tc>
          <w:tcPr>
            <w:tcW w:w="9214" w:type="dxa"/>
            <w:gridSpan w:val="3"/>
            <w:vAlign w:val="center"/>
          </w:tcPr>
          <w:p w14:paraId="2D118786" w14:textId="08C95C0F" w:rsidR="00750FB6" w:rsidRPr="006E3F47" w:rsidRDefault="00AE3EDA" w:rsidP="00BF3F2B">
            <w:pPr>
              <w:pStyle w:val="naisnod"/>
              <w:spacing w:before="0" w:beforeAutospacing="0" w:after="0" w:afterAutospacing="0"/>
              <w:ind w:left="57" w:right="57"/>
              <w:jc w:val="center"/>
            </w:pPr>
            <w:r>
              <w:rPr>
                <w:lang w:eastAsia="en-US"/>
              </w:rPr>
              <w:br w:type="page"/>
            </w:r>
            <w:r w:rsidR="001C1C28" w:rsidRPr="006E3F47">
              <w:rPr>
                <w:b/>
              </w:rPr>
              <w:t>VI. Sabiedrības līdzdalība un komunikācijas aktivitātes</w:t>
            </w:r>
          </w:p>
        </w:tc>
      </w:tr>
      <w:tr w:rsidR="00A02269" w14:paraId="2D11878B" w14:textId="77777777" w:rsidTr="0008236A">
        <w:trPr>
          <w:trHeight w:val="553"/>
        </w:trPr>
        <w:tc>
          <w:tcPr>
            <w:tcW w:w="426" w:type="dxa"/>
          </w:tcPr>
          <w:p w14:paraId="2D118788" w14:textId="77777777" w:rsidR="00750FB6" w:rsidRPr="006E3F47" w:rsidRDefault="00AE3EDA" w:rsidP="00BF3F2B">
            <w:pPr>
              <w:ind w:left="57" w:right="57"/>
              <w:jc w:val="both"/>
              <w:rPr>
                <w:bCs/>
              </w:rPr>
            </w:pPr>
            <w:r w:rsidRPr="006E3F47">
              <w:rPr>
                <w:bCs/>
              </w:rPr>
              <w:t>1.</w:t>
            </w:r>
          </w:p>
        </w:tc>
        <w:tc>
          <w:tcPr>
            <w:tcW w:w="2731" w:type="dxa"/>
          </w:tcPr>
          <w:p w14:paraId="2D118789" w14:textId="77777777" w:rsidR="00750FB6" w:rsidRPr="006E3F47" w:rsidRDefault="00AE3EDA" w:rsidP="00BF3F2B">
            <w:pPr>
              <w:tabs>
                <w:tab w:val="left" w:pos="170"/>
              </w:tabs>
              <w:ind w:left="57" w:right="57"/>
            </w:pPr>
            <w:r w:rsidRPr="006E3F47">
              <w:t>Plānotās sabiedrības līdzdalības un komunikācijas aktivitātes saistībā ar projektu</w:t>
            </w:r>
          </w:p>
        </w:tc>
        <w:tc>
          <w:tcPr>
            <w:tcW w:w="6057" w:type="dxa"/>
          </w:tcPr>
          <w:p w14:paraId="2D11878A" w14:textId="5BC68BE1" w:rsidR="00750FB6" w:rsidRPr="00425D03" w:rsidRDefault="00AE3EDA" w:rsidP="006D75CA">
            <w:pPr>
              <w:shd w:val="clear" w:color="auto" w:fill="FFFFFF"/>
              <w:ind w:left="57" w:right="113"/>
              <w:jc w:val="both"/>
            </w:pPr>
            <w:r w:rsidRPr="00425D03">
              <w:rPr>
                <w:bCs/>
              </w:rPr>
              <w:t xml:space="preserve">MK </w:t>
            </w:r>
            <w:r>
              <w:rPr>
                <w:bCs/>
              </w:rPr>
              <w:t xml:space="preserve">rīkojuma </w:t>
            </w:r>
            <w:r w:rsidR="00EB19CD">
              <w:rPr>
                <w:bCs/>
              </w:rPr>
              <w:t xml:space="preserve">projekts </w:t>
            </w:r>
            <w:r w:rsidR="00621D36">
              <w:rPr>
                <w:bCs/>
              </w:rPr>
              <w:t>nosūtīts institūcijām</w:t>
            </w:r>
            <w:r w:rsidR="00CE1733">
              <w:rPr>
                <w:bCs/>
              </w:rPr>
              <w:t xml:space="preserve"> (LLPA, FM, KM, LM) saskaņošanai</w:t>
            </w:r>
            <w:r w:rsidR="00306FA7">
              <w:rPr>
                <w:bCs/>
              </w:rPr>
              <w:t>.</w:t>
            </w:r>
            <w:r w:rsidR="00621D36">
              <w:rPr>
                <w:bCs/>
              </w:rPr>
              <w:t xml:space="preserve"> </w:t>
            </w:r>
          </w:p>
        </w:tc>
      </w:tr>
      <w:tr w:rsidR="00A02269" w14:paraId="2D11878F" w14:textId="77777777" w:rsidTr="0008236A">
        <w:trPr>
          <w:trHeight w:val="339"/>
        </w:trPr>
        <w:tc>
          <w:tcPr>
            <w:tcW w:w="426" w:type="dxa"/>
          </w:tcPr>
          <w:p w14:paraId="2D11878C" w14:textId="77777777" w:rsidR="00750FB6" w:rsidRPr="006E3F47" w:rsidRDefault="00AE3EDA" w:rsidP="00BF3F2B">
            <w:pPr>
              <w:ind w:left="57" w:right="57"/>
              <w:jc w:val="both"/>
              <w:rPr>
                <w:bCs/>
              </w:rPr>
            </w:pPr>
            <w:r w:rsidRPr="006E3F47">
              <w:rPr>
                <w:bCs/>
              </w:rPr>
              <w:t>2.</w:t>
            </w:r>
          </w:p>
        </w:tc>
        <w:tc>
          <w:tcPr>
            <w:tcW w:w="2731" w:type="dxa"/>
          </w:tcPr>
          <w:p w14:paraId="2D11878D" w14:textId="77777777" w:rsidR="00750FB6" w:rsidRPr="006E3F47" w:rsidRDefault="00AE3EDA" w:rsidP="00BF3F2B">
            <w:pPr>
              <w:ind w:left="57" w:right="57"/>
            </w:pPr>
            <w:r w:rsidRPr="006E3F47">
              <w:t>Sabiedrības līdzdalība projekta izstrādē</w:t>
            </w:r>
          </w:p>
        </w:tc>
        <w:tc>
          <w:tcPr>
            <w:tcW w:w="6057" w:type="dxa"/>
          </w:tcPr>
          <w:p w14:paraId="2D11878E" w14:textId="379BB768" w:rsidR="00750FB6" w:rsidRPr="006E3F47" w:rsidRDefault="00AE3EDA" w:rsidP="008E2A4D">
            <w:pPr>
              <w:shd w:val="clear" w:color="auto" w:fill="FFFFFF"/>
              <w:ind w:left="57" w:right="113"/>
              <w:jc w:val="both"/>
              <w:rPr>
                <w:kern w:val="24"/>
              </w:rPr>
            </w:pPr>
            <w:r w:rsidRPr="00A65E15">
              <w:rPr>
                <w:kern w:val="24"/>
              </w:rPr>
              <w:t>Ar MK rīkojuma projektu netiek mainīts normatīvais regulējums, kā arī tas neparedz ieviest jaunas politiskās iniciatīvas. Līdz ar to sabiedrības līdzdalība un komunikācijas aktivitātes rīkojuma projekta izstrādē netika organizētas (</w:t>
            </w:r>
            <w:r w:rsidR="008E2A4D">
              <w:rPr>
                <w:kern w:val="24"/>
              </w:rPr>
              <w:t>MK</w:t>
            </w:r>
            <w:r w:rsidRPr="00A65E15">
              <w:rPr>
                <w:kern w:val="24"/>
              </w:rPr>
              <w:t xml:space="preserve"> 2009. gada 25. augusta noteikumu Nr.</w:t>
            </w:r>
            <w:r>
              <w:rPr>
                <w:kern w:val="24"/>
              </w:rPr>
              <w:t xml:space="preserve"> </w:t>
            </w:r>
            <w:r w:rsidRPr="00A65E15">
              <w:rPr>
                <w:kern w:val="24"/>
              </w:rPr>
              <w:t>970 „Sabiedrības līdzdalības kārtība attīstība</w:t>
            </w:r>
            <w:r>
              <w:rPr>
                <w:kern w:val="24"/>
              </w:rPr>
              <w:t>s plānošanas procesā” 5. punkts</w:t>
            </w:r>
            <w:r w:rsidRPr="00A65E15">
              <w:rPr>
                <w:kern w:val="24"/>
              </w:rPr>
              <w:t>)</w:t>
            </w:r>
            <w:r w:rsidR="00C169D8">
              <w:rPr>
                <w:kern w:val="24"/>
              </w:rPr>
              <w:t>.</w:t>
            </w:r>
          </w:p>
        </w:tc>
      </w:tr>
      <w:tr w:rsidR="00A02269" w14:paraId="2D118793" w14:textId="77777777" w:rsidTr="0008236A">
        <w:trPr>
          <w:trHeight w:val="476"/>
        </w:trPr>
        <w:tc>
          <w:tcPr>
            <w:tcW w:w="426" w:type="dxa"/>
          </w:tcPr>
          <w:p w14:paraId="2D118790" w14:textId="77777777" w:rsidR="00750FB6" w:rsidRPr="006E3F47" w:rsidRDefault="00AE3EDA" w:rsidP="00BF3F2B">
            <w:pPr>
              <w:ind w:left="57" w:right="57"/>
              <w:jc w:val="both"/>
              <w:rPr>
                <w:bCs/>
              </w:rPr>
            </w:pPr>
            <w:r w:rsidRPr="006E3F47">
              <w:rPr>
                <w:bCs/>
              </w:rPr>
              <w:t>3.</w:t>
            </w:r>
          </w:p>
        </w:tc>
        <w:tc>
          <w:tcPr>
            <w:tcW w:w="2731" w:type="dxa"/>
          </w:tcPr>
          <w:p w14:paraId="2D118791" w14:textId="77777777" w:rsidR="00750FB6" w:rsidRPr="006E3F47" w:rsidRDefault="00AE3EDA" w:rsidP="00BF3F2B">
            <w:pPr>
              <w:ind w:left="57" w:right="57"/>
            </w:pPr>
            <w:r w:rsidRPr="006E3F47">
              <w:t>Sabiedrības līdzdalības rezultāti</w:t>
            </w:r>
          </w:p>
        </w:tc>
        <w:tc>
          <w:tcPr>
            <w:tcW w:w="6057" w:type="dxa"/>
          </w:tcPr>
          <w:p w14:paraId="2D118792" w14:textId="1ECC7067" w:rsidR="00750FB6" w:rsidRPr="006E3F47" w:rsidRDefault="00AE3EDA" w:rsidP="00404407">
            <w:pPr>
              <w:shd w:val="clear" w:color="auto" w:fill="FFFFFF"/>
              <w:ind w:right="113"/>
              <w:jc w:val="both"/>
            </w:pPr>
            <w:r>
              <w:t xml:space="preserve"> </w:t>
            </w:r>
            <w:r w:rsidR="00404407">
              <w:t>Projekts šo jomu neskar</w:t>
            </w:r>
            <w:r w:rsidR="00306FA7">
              <w:t>.</w:t>
            </w:r>
          </w:p>
        </w:tc>
      </w:tr>
      <w:tr w:rsidR="00A02269" w14:paraId="2D118797" w14:textId="77777777" w:rsidTr="0008236A">
        <w:trPr>
          <w:trHeight w:val="357"/>
        </w:trPr>
        <w:tc>
          <w:tcPr>
            <w:tcW w:w="426" w:type="dxa"/>
          </w:tcPr>
          <w:p w14:paraId="2D118794" w14:textId="77777777" w:rsidR="00750FB6" w:rsidRPr="006E3F47" w:rsidRDefault="00AE3EDA" w:rsidP="00BF3F2B">
            <w:pPr>
              <w:ind w:left="57" w:right="57"/>
              <w:jc w:val="both"/>
              <w:rPr>
                <w:bCs/>
              </w:rPr>
            </w:pPr>
            <w:r w:rsidRPr="006E3F47">
              <w:rPr>
                <w:bCs/>
              </w:rPr>
              <w:t>4.</w:t>
            </w:r>
          </w:p>
        </w:tc>
        <w:tc>
          <w:tcPr>
            <w:tcW w:w="2731" w:type="dxa"/>
          </w:tcPr>
          <w:p w14:paraId="2D118795" w14:textId="77777777" w:rsidR="00750FB6" w:rsidRPr="006E3F47" w:rsidRDefault="00AE3EDA" w:rsidP="00BF3F2B">
            <w:pPr>
              <w:ind w:left="57" w:right="57"/>
            </w:pPr>
            <w:r w:rsidRPr="006E3F47">
              <w:t>Cita informācija</w:t>
            </w:r>
          </w:p>
        </w:tc>
        <w:tc>
          <w:tcPr>
            <w:tcW w:w="6057" w:type="dxa"/>
          </w:tcPr>
          <w:p w14:paraId="2D118796" w14:textId="708F7B3D" w:rsidR="00750FB6" w:rsidRPr="006E3F47" w:rsidRDefault="00AE3EDA" w:rsidP="00BF3F2B">
            <w:pPr>
              <w:ind w:left="57" w:right="113"/>
              <w:jc w:val="both"/>
            </w:pPr>
            <w:r w:rsidRPr="006E3F47">
              <w:t>Nav</w:t>
            </w:r>
          </w:p>
        </w:tc>
      </w:tr>
    </w:tbl>
    <w:p w14:paraId="4DAA176D" w14:textId="738A04C3" w:rsidR="00977971" w:rsidRDefault="00977971">
      <w:pPr>
        <w:spacing w:after="200" w:line="276" w:lineRule="auto"/>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A02269" w14:paraId="2D11879A" w14:textId="77777777" w:rsidTr="00750FB6">
        <w:trPr>
          <w:trHeight w:val="421"/>
        </w:trPr>
        <w:tc>
          <w:tcPr>
            <w:tcW w:w="9214" w:type="dxa"/>
            <w:gridSpan w:val="3"/>
            <w:vAlign w:val="center"/>
          </w:tcPr>
          <w:p w14:paraId="2D118799" w14:textId="1148F2F5" w:rsidR="00750FB6" w:rsidRPr="006E3F47" w:rsidRDefault="00977971" w:rsidP="00BF3F2B">
            <w:pPr>
              <w:pStyle w:val="naisnod"/>
              <w:spacing w:before="0" w:beforeAutospacing="0" w:after="0" w:afterAutospacing="0"/>
              <w:ind w:left="57" w:right="57"/>
              <w:jc w:val="center"/>
            </w:pPr>
            <w:r>
              <w:br w:type="page"/>
            </w:r>
            <w:r w:rsidR="00AE3EDA" w:rsidRPr="006E3F47">
              <w:rPr>
                <w:b/>
              </w:rPr>
              <w:t>VII. Tiesību akta projekta izpildes nodrošināšana un tās ietekme uz institūcijām</w:t>
            </w:r>
          </w:p>
        </w:tc>
      </w:tr>
      <w:tr w:rsidR="00A02269" w14:paraId="2D11879E" w14:textId="77777777" w:rsidTr="00750FB6">
        <w:trPr>
          <w:trHeight w:val="553"/>
        </w:trPr>
        <w:tc>
          <w:tcPr>
            <w:tcW w:w="333" w:type="dxa"/>
          </w:tcPr>
          <w:p w14:paraId="2D11879B" w14:textId="77777777" w:rsidR="00750FB6" w:rsidRPr="006E3F47" w:rsidRDefault="00AE3EDA" w:rsidP="00BF3F2B">
            <w:pPr>
              <w:ind w:left="57" w:right="57"/>
              <w:jc w:val="both"/>
              <w:rPr>
                <w:bCs/>
              </w:rPr>
            </w:pPr>
            <w:r w:rsidRPr="006E3F47">
              <w:rPr>
                <w:bCs/>
              </w:rPr>
              <w:lastRenderedPageBreak/>
              <w:t>1.</w:t>
            </w:r>
          </w:p>
        </w:tc>
        <w:tc>
          <w:tcPr>
            <w:tcW w:w="2838" w:type="dxa"/>
          </w:tcPr>
          <w:p w14:paraId="2D11879C" w14:textId="77777777" w:rsidR="00750FB6" w:rsidRPr="006E3F47" w:rsidRDefault="00AE3EDA" w:rsidP="00BF3F2B">
            <w:pPr>
              <w:ind w:left="57" w:right="57"/>
            </w:pPr>
            <w:r w:rsidRPr="006E3F47">
              <w:t>Projekta izpildē iesaistītās institūcijas</w:t>
            </w:r>
          </w:p>
        </w:tc>
        <w:tc>
          <w:tcPr>
            <w:tcW w:w="6043" w:type="dxa"/>
          </w:tcPr>
          <w:p w14:paraId="2D11879D" w14:textId="2606D1E1" w:rsidR="00750FB6" w:rsidRPr="006E3F47" w:rsidRDefault="00AE3EDA" w:rsidP="002968F6">
            <w:pPr>
              <w:shd w:val="clear" w:color="auto" w:fill="FFFFFF"/>
              <w:ind w:left="57" w:right="113"/>
              <w:jc w:val="both"/>
            </w:pPr>
            <w:r>
              <w:t>VARAM</w:t>
            </w:r>
            <w:r w:rsidR="001C1C28">
              <w:t xml:space="preserve"> kā atbildīgā iestāde</w:t>
            </w:r>
            <w:r w:rsidR="002968F6">
              <w:t xml:space="preserve"> par ITI finansējuma un iznākuma rādītāju sadalījumu</w:t>
            </w:r>
            <w:r w:rsidR="001C1C28">
              <w:t>,</w:t>
            </w:r>
            <w:r w:rsidR="001C1C28" w:rsidRPr="006B1A2C">
              <w:t xml:space="preserve"> </w:t>
            </w:r>
            <w:r>
              <w:t>KM</w:t>
            </w:r>
            <w:r w:rsidR="00CE1733">
              <w:t>, LM</w:t>
            </w:r>
            <w:r w:rsidR="00C52BF2">
              <w:t>, LLPA</w:t>
            </w:r>
            <w:r w:rsidR="00BE29C3">
              <w:t>.</w:t>
            </w:r>
          </w:p>
        </w:tc>
      </w:tr>
      <w:tr w:rsidR="00A02269" w14:paraId="2D1187A3" w14:textId="77777777" w:rsidTr="00750FB6">
        <w:trPr>
          <w:trHeight w:val="339"/>
        </w:trPr>
        <w:tc>
          <w:tcPr>
            <w:tcW w:w="333" w:type="dxa"/>
          </w:tcPr>
          <w:p w14:paraId="2D11879F" w14:textId="77777777" w:rsidR="00750FB6" w:rsidRPr="006E3F47" w:rsidRDefault="00AE3EDA" w:rsidP="00BF3F2B">
            <w:pPr>
              <w:ind w:left="57" w:right="57"/>
              <w:jc w:val="both"/>
              <w:rPr>
                <w:bCs/>
              </w:rPr>
            </w:pPr>
            <w:r w:rsidRPr="006E3F47">
              <w:rPr>
                <w:bCs/>
              </w:rPr>
              <w:t>2.</w:t>
            </w:r>
          </w:p>
        </w:tc>
        <w:tc>
          <w:tcPr>
            <w:tcW w:w="2838" w:type="dxa"/>
          </w:tcPr>
          <w:p w14:paraId="2D1187A0" w14:textId="77777777" w:rsidR="00750FB6" w:rsidRPr="006E3F47" w:rsidRDefault="00AE3EDA" w:rsidP="00BF3F2B">
            <w:pPr>
              <w:ind w:left="57" w:right="57"/>
            </w:pPr>
            <w:r w:rsidRPr="006E3F47">
              <w:t xml:space="preserve">Projekta izpildes ietekme uz pārvaldes funkcijām un institucionālo struktūru. </w:t>
            </w:r>
          </w:p>
          <w:p w14:paraId="2D1187A1" w14:textId="77777777" w:rsidR="00750FB6" w:rsidRPr="006E3F47" w:rsidRDefault="00AE3EDA" w:rsidP="00BF3F2B">
            <w:pPr>
              <w:ind w:left="57" w:right="57"/>
            </w:pPr>
            <w:r w:rsidRPr="006E3F47">
              <w:t>Jaunu institūciju izveide, esošu institūciju likvidācija vai reorganizācija, to ietekme uz institūcijas cilvēkresursiem</w:t>
            </w:r>
          </w:p>
        </w:tc>
        <w:tc>
          <w:tcPr>
            <w:tcW w:w="6043" w:type="dxa"/>
          </w:tcPr>
          <w:p w14:paraId="2D1187A2" w14:textId="77777777" w:rsidR="00750FB6" w:rsidRPr="006E3F47" w:rsidRDefault="00AE3EDA" w:rsidP="00BF3F2B">
            <w:pPr>
              <w:shd w:val="clear" w:color="auto" w:fill="FFFFFF"/>
              <w:ind w:left="57" w:right="113"/>
              <w:jc w:val="both"/>
              <w:rPr>
                <w:kern w:val="24"/>
              </w:rPr>
            </w:pPr>
            <w:r w:rsidRPr="006E3F47">
              <w:t>Nav plānota jaunu institūciju izveide, esošu institūciju likvidācija vai reorganizācija.</w:t>
            </w:r>
          </w:p>
        </w:tc>
      </w:tr>
      <w:tr w:rsidR="00A02269" w14:paraId="2D1187A7" w14:textId="77777777" w:rsidTr="00750FB6">
        <w:trPr>
          <w:trHeight w:val="351"/>
        </w:trPr>
        <w:tc>
          <w:tcPr>
            <w:tcW w:w="333" w:type="dxa"/>
          </w:tcPr>
          <w:p w14:paraId="2D1187A4" w14:textId="77777777" w:rsidR="00750FB6" w:rsidRPr="006E3F47" w:rsidRDefault="00AE3EDA" w:rsidP="00BF3F2B">
            <w:pPr>
              <w:ind w:left="57" w:right="57"/>
              <w:jc w:val="both"/>
              <w:rPr>
                <w:bCs/>
              </w:rPr>
            </w:pPr>
            <w:r w:rsidRPr="006E3F47">
              <w:rPr>
                <w:bCs/>
              </w:rPr>
              <w:t>3.</w:t>
            </w:r>
          </w:p>
        </w:tc>
        <w:tc>
          <w:tcPr>
            <w:tcW w:w="2838" w:type="dxa"/>
          </w:tcPr>
          <w:p w14:paraId="2D1187A5" w14:textId="77777777" w:rsidR="00750FB6" w:rsidRPr="006E3F47" w:rsidRDefault="00AE3EDA" w:rsidP="00BF3F2B">
            <w:pPr>
              <w:ind w:left="57" w:right="57"/>
            </w:pPr>
            <w:r w:rsidRPr="006E3F47">
              <w:t>Cita informācija</w:t>
            </w:r>
          </w:p>
        </w:tc>
        <w:tc>
          <w:tcPr>
            <w:tcW w:w="6043" w:type="dxa"/>
          </w:tcPr>
          <w:p w14:paraId="2D1187A6" w14:textId="40ECA3BC" w:rsidR="00750FB6" w:rsidRPr="006E3F47" w:rsidRDefault="00AE3EDA" w:rsidP="00BF3F2B">
            <w:pPr>
              <w:shd w:val="clear" w:color="auto" w:fill="FFFFFF"/>
              <w:ind w:left="57" w:right="113"/>
              <w:jc w:val="both"/>
            </w:pPr>
            <w:r w:rsidRPr="006E3F47">
              <w:t xml:space="preserve">Nav </w:t>
            </w:r>
          </w:p>
        </w:tc>
      </w:tr>
    </w:tbl>
    <w:p w14:paraId="2D1187A8" w14:textId="77777777" w:rsidR="00750FB6" w:rsidRPr="006E3F47" w:rsidRDefault="00750FB6" w:rsidP="00750FB6">
      <w:pPr>
        <w:jc w:val="both"/>
      </w:pPr>
    </w:p>
    <w:p w14:paraId="7547EC0D" w14:textId="7746ADBC" w:rsidR="0008236A" w:rsidRPr="00BF3F2B" w:rsidRDefault="00AE3EDA" w:rsidP="0008236A">
      <w:pPr>
        <w:pStyle w:val="Header"/>
        <w:rPr>
          <w:szCs w:val="20"/>
          <w:lang w:val="lv-LV"/>
        </w:rPr>
      </w:pPr>
      <w:r w:rsidRPr="00BF3F2B">
        <w:rPr>
          <w:szCs w:val="20"/>
          <w:lang w:val="lv-LV"/>
        </w:rPr>
        <w:t>Vides aizsardzības un reģionālās attīstības ministrs</w:t>
      </w:r>
      <w:r w:rsidRPr="00BF3F2B">
        <w:rPr>
          <w:szCs w:val="20"/>
          <w:lang w:val="lv-LV"/>
        </w:rPr>
        <w:tab/>
        <w:t>K. Gerhards</w:t>
      </w:r>
    </w:p>
    <w:p w14:paraId="270A60C1" w14:textId="77777777" w:rsidR="0008236A" w:rsidRPr="00BF3F2B" w:rsidRDefault="0008236A" w:rsidP="0008236A">
      <w:pPr>
        <w:pStyle w:val="Header"/>
        <w:rPr>
          <w:szCs w:val="20"/>
          <w:lang w:val="lv-LV"/>
        </w:rPr>
      </w:pPr>
    </w:p>
    <w:p w14:paraId="7B7B6220" w14:textId="77777777" w:rsidR="00BF3F2B" w:rsidRDefault="00AE3EDA" w:rsidP="0008236A">
      <w:pPr>
        <w:pStyle w:val="Header"/>
        <w:rPr>
          <w:szCs w:val="20"/>
          <w:lang w:val="lv-LV"/>
        </w:rPr>
      </w:pPr>
      <w:r>
        <w:rPr>
          <w:szCs w:val="20"/>
          <w:lang w:val="lv-LV"/>
        </w:rPr>
        <w:t>Vīza:</w:t>
      </w:r>
    </w:p>
    <w:p w14:paraId="66484096" w14:textId="284647DC" w:rsidR="0008236A" w:rsidRPr="00BF3F2B" w:rsidRDefault="00AE3EDA" w:rsidP="00BF3F2B">
      <w:pPr>
        <w:pStyle w:val="Header"/>
        <w:rPr>
          <w:szCs w:val="20"/>
          <w:lang w:val="lv-LV"/>
        </w:rPr>
      </w:pPr>
      <w:r w:rsidRPr="00BF3F2B">
        <w:rPr>
          <w:szCs w:val="20"/>
          <w:lang w:val="lv-LV"/>
        </w:rPr>
        <w:t>valsts sekretārs</w:t>
      </w:r>
      <w:r w:rsidR="00BF3F2B">
        <w:rPr>
          <w:szCs w:val="20"/>
          <w:lang w:val="lv-LV"/>
        </w:rPr>
        <w:tab/>
      </w:r>
      <w:r w:rsidR="00BF3F2B">
        <w:rPr>
          <w:szCs w:val="20"/>
          <w:lang w:val="lv-LV"/>
        </w:rPr>
        <w:tab/>
      </w:r>
      <w:r w:rsidRPr="00BF3F2B">
        <w:rPr>
          <w:szCs w:val="20"/>
          <w:lang w:val="lv-LV"/>
        </w:rPr>
        <w:t>R. Muciņš</w:t>
      </w:r>
    </w:p>
    <w:p w14:paraId="78CCAE6F" w14:textId="77777777" w:rsidR="0008236A" w:rsidRDefault="0008236A" w:rsidP="0008236A">
      <w:pPr>
        <w:pStyle w:val="Header"/>
        <w:tabs>
          <w:tab w:val="clear" w:pos="4153"/>
          <w:tab w:val="clear" w:pos="8306"/>
        </w:tabs>
        <w:rPr>
          <w:sz w:val="20"/>
          <w:szCs w:val="20"/>
          <w:lang w:val="lv-LV"/>
        </w:rPr>
      </w:pPr>
    </w:p>
    <w:p w14:paraId="2D1187B4" w14:textId="53D81860" w:rsidR="00750FB6" w:rsidRPr="00C012E3" w:rsidRDefault="00AC1B79" w:rsidP="00750FB6">
      <w:pPr>
        <w:pStyle w:val="Header"/>
        <w:tabs>
          <w:tab w:val="clear" w:pos="4153"/>
          <w:tab w:val="clear" w:pos="8306"/>
        </w:tabs>
        <w:rPr>
          <w:sz w:val="20"/>
          <w:szCs w:val="20"/>
        </w:rPr>
      </w:pPr>
      <w:r>
        <w:rPr>
          <w:sz w:val="20"/>
          <w:szCs w:val="20"/>
          <w:lang w:val="lv-LV"/>
        </w:rPr>
        <w:t>19</w:t>
      </w:r>
      <w:r w:rsidR="00A87556" w:rsidRPr="00C012E3">
        <w:rPr>
          <w:sz w:val="20"/>
          <w:szCs w:val="20"/>
          <w:lang w:val="lv-LV"/>
        </w:rPr>
        <w:t>.</w:t>
      </w:r>
      <w:r>
        <w:rPr>
          <w:sz w:val="20"/>
          <w:szCs w:val="20"/>
          <w:lang w:val="lv-LV"/>
        </w:rPr>
        <w:t>10</w:t>
      </w:r>
      <w:r w:rsidR="00A87556" w:rsidRPr="00C012E3">
        <w:rPr>
          <w:sz w:val="20"/>
          <w:szCs w:val="20"/>
          <w:lang w:val="lv-LV"/>
        </w:rPr>
        <w:t>.2018.</w:t>
      </w:r>
      <w:r w:rsidR="001C1C28" w:rsidRPr="00C012E3">
        <w:rPr>
          <w:sz w:val="20"/>
          <w:szCs w:val="20"/>
        </w:rPr>
        <w:t xml:space="preserve"> </w:t>
      </w:r>
      <w:r w:rsidR="005C7B67" w:rsidRPr="00C012E3">
        <w:rPr>
          <w:sz w:val="20"/>
          <w:szCs w:val="20"/>
          <w:lang w:val="lv-LV"/>
        </w:rPr>
        <w:t>1</w:t>
      </w:r>
      <w:r w:rsidR="00C012E3" w:rsidRPr="00C012E3">
        <w:rPr>
          <w:sz w:val="20"/>
          <w:szCs w:val="20"/>
          <w:lang w:val="lv-LV"/>
        </w:rPr>
        <w:t>7</w:t>
      </w:r>
      <w:r w:rsidR="005C7B67" w:rsidRPr="00C012E3">
        <w:rPr>
          <w:sz w:val="20"/>
          <w:szCs w:val="20"/>
          <w:lang w:val="lv-LV"/>
        </w:rPr>
        <w:t>:</w:t>
      </w:r>
      <w:r w:rsidR="006C431F" w:rsidRPr="00C012E3">
        <w:rPr>
          <w:sz w:val="20"/>
          <w:szCs w:val="20"/>
          <w:lang w:val="lv-LV"/>
        </w:rPr>
        <w:t>00</w:t>
      </w:r>
    </w:p>
    <w:p w14:paraId="2D1187B5" w14:textId="06DF36FD" w:rsidR="00750FB6" w:rsidRPr="00602C3A" w:rsidRDefault="00AC1B79" w:rsidP="00750FB6">
      <w:pPr>
        <w:pStyle w:val="Header"/>
        <w:tabs>
          <w:tab w:val="clear" w:pos="4153"/>
          <w:tab w:val="clear" w:pos="8306"/>
        </w:tabs>
        <w:rPr>
          <w:sz w:val="20"/>
          <w:lang w:val="lv-LV"/>
        </w:rPr>
      </w:pPr>
      <w:r>
        <w:rPr>
          <w:sz w:val="20"/>
          <w:lang w:val="lv-LV"/>
        </w:rPr>
        <w:t>2</w:t>
      </w:r>
      <w:r w:rsidR="00115E73">
        <w:rPr>
          <w:sz w:val="20"/>
          <w:lang w:val="lv-LV"/>
        </w:rPr>
        <w:t>444</w:t>
      </w:r>
    </w:p>
    <w:p w14:paraId="2D1187B6" w14:textId="77777777" w:rsidR="00750FB6" w:rsidRPr="00737957" w:rsidRDefault="00750FB6" w:rsidP="00750FB6">
      <w:pPr>
        <w:pStyle w:val="Header"/>
        <w:tabs>
          <w:tab w:val="clear" w:pos="4153"/>
          <w:tab w:val="clear" w:pos="8306"/>
        </w:tabs>
        <w:rPr>
          <w:sz w:val="20"/>
          <w:szCs w:val="20"/>
          <w:lang w:val="lv-LV"/>
        </w:rPr>
      </w:pPr>
    </w:p>
    <w:p w14:paraId="2D1187B7" w14:textId="20590810" w:rsidR="00750FB6" w:rsidRPr="00737957" w:rsidRDefault="00AC1B79" w:rsidP="00750FB6">
      <w:pPr>
        <w:pStyle w:val="Header"/>
        <w:tabs>
          <w:tab w:val="clear" w:pos="4153"/>
          <w:tab w:val="clear" w:pos="8306"/>
        </w:tabs>
        <w:rPr>
          <w:sz w:val="20"/>
          <w:szCs w:val="20"/>
          <w:lang w:val="lv-LV"/>
        </w:rPr>
      </w:pPr>
      <w:r>
        <w:rPr>
          <w:sz w:val="20"/>
          <w:szCs w:val="20"/>
          <w:lang w:val="lv-LV"/>
        </w:rPr>
        <w:t>J.Butņicka</w:t>
      </w:r>
      <w:r w:rsidR="00AE3EDA" w:rsidRPr="00737957">
        <w:rPr>
          <w:sz w:val="20"/>
          <w:szCs w:val="20"/>
        </w:rPr>
        <w:t xml:space="preserve">, </w:t>
      </w:r>
      <w:r w:rsidRPr="00737957">
        <w:rPr>
          <w:sz w:val="20"/>
          <w:szCs w:val="20"/>
          <w:lang w:val="lv-LV"/>
        </w:rPr>
        <w:t>6</w:t>
      </w:r>
      <w:r>
        <w:rPr>
          <w:sz w:val="20"/>
          <w:szCs w:val="20"/>
          <w:lang w:val="lv-LV"/>
        </w:rPr>
        <w:t>7026931</w:t>
      </w:r>
    </w:p>
    <w:p w14:paraId="2D1187B8" w14:textId="129701AA" w:rsidR="00750FB6" w:rsidRPr="00737957" w:rsidRDefault="00DD61C3" w:rsidP="00750FB6">
      <w:pPr>
        <w:pStyle w:val="Header"/>
        <w:tabs>
          <w:tab w:val="clear" w:pos="4153"/>
          <w:tab w:val="clear" w:pos="8306"/>
        </w:tabs>
        <w:rPr>
          <w:sz w:val="20"/>
          <w:szCs w:val="20"/>
        </w:rPr>
      </w:pPr>
      <w:hyperlink r:id="rId8" w:history="1">
        <w:r w:rsidR="00AC1B79">
          <w:rPr>
            <w:rStyle w:val="Hyperlink"/>
            <w:sz w:val="20"/>
            <w:szCs w:val="20"/>
            <w:lang w:val="lv-LV"/>
          </w:rPr>
          <w:t>jevgenija.butnicka</w:t>
        </w:r>
        <w:r w:rsidR="00AC1B79" w:rsidRPr="004E64A1">
          <w:rPr>
            <w:rStyle w:val="Hyperlink"/>
            <w:sz w:val="20"/>
            <w:szCs w:val="20"/>
            <w:lang w:val="lv-LV"/>
          </w:rPr>
          <w:t>@varam.gov.lv</w:t>
        </w:r>
      </w:hyperlink>
      <w:r w:rsidR="00652167">
        <w:rPr>
          <w:sz w:val="20"/>
          <w:szCs w:val="20"/>
          <w:lang w:val="lv-LV"/>
        </w:rPr>
        <w:t xml:space="preserve"> </w:t>
      </w:r>
    </w:p>
    <w:sectPr w:rsidR="00750FB6" w:rsidRPr="00737957" w:rsidSect="00DD61C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1BD" w14:textId="77777777" w:rsidR="00115E73" w:rsidRDefault="00115E73">
      <w:r>
        <w:separator/>
      </w:r>
    </w:p>
  </w:endnote>
  <w:endnote w:type="continuationSeparator" w:id="0">
    <w:p w14:paraId="4B12557C" w14:textId="77777777" w:rsidR="00115E73" w:rsidRDefault="00115E73">
      <w:r>
        <w:continuationSeparator/>
      </w:r>
    </w:p>
  </w:endnote>
  <w:endnote w:type="continuationNotice" w:id="1">
    <w:p w14:paraId="06C81979" w14:textId="77777777" w:rsidR="00115E73" w:rsidRDefault="0011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115E73" w:rsidRPr="00186C21" w:rsidRDefault="00115E73"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2" w14:textId="153EF769" w:rsidR="00115E73" w:rsidRPr="002E311E" w:rsidRDefault="00115E73" w:rsidP="00750FB6">
    <w:pPr>
      <w:jc w:val="both"/>
      <w:rPr>
        <w:bCs/>
        <w:sz w:val="20"/>
        <w:szCs w:val="20"/>
      </w:rPr>
    </w:pPr>
    <w:r>
      <w:rPr>
        <w:bCs/>
        <w:sz w:val="20"/>
        <w:szCs w:val="20"/>
      </w:rPr>
      <w:t>VARAMAnot_24102018_PrecizGroz709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DDC8" w14:textId="23E7C6C6" w:rsidR="00115E73" w:rsidRDefault="00115E73">
    <w:pPr>
      <w:pStyle w:val="Footer"/>
    </w:pPr>
    <w:r w:rsidRPr="00A67BEC">
      <w:t>VARAMAnot_20092018_</w:t>
    </w:r>
  </w:p>
  <w:p w14:paraId="2D1187C5" w14:textId="77777777" w:rsidR="00115E73" w:rsidRPr="00330635" w:rsidRDefault="00115E73" w:rsidP="00750FB6">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07A9D" w14:textId="77777777" w:rsidR="00115E73" w:rsidRDefault="00115E73">
      <w:r>
        <w:separator/>
      </w:r>
    </w:p>
  </w:footnote>
  <w:footnote w:type="continuationSeparator" w:id="0">
    <w:p w14:paraId="0B8E3BC7" w14:textId="77777777" w:rsidR="00115E73" w:rsidRDefault="00115E73">
      <w:r>
        <w:continuationSeparator/>
      </w:r>
    </w:p>
  </w:footnote>
  <w:footnote w:type="continuationNotice" w:id="1">
    <w:p w14:paraId="62EF173A" w14:textId="77777777" w:rsidR="00115E73" w:rsidRDefault="00115E73"/>
  </w:footnote>
  <w:footnote w:id="2">
    <w:p w14:paraId="29895CC0" w14:textId="21AF23D0" w:rsidR="00115E73" w:rsidRDefault="00115E73">
      <w:pPr>
        <w:pStyle w:val="FootnoteText"/>
      </w:pPr>
      <w:r>
        <w:rPr>
          <w:rStyle w:val="FootnoteReference"/>
        </w:rPr>
        <w:footnoteRef/>
      </w:r>
      <w:r>
        <w:t xml:space="preserve"> Garīga rakstura traucējumiem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981652"/>
      <w:docPartObj>
        <w:docPartGallery w:val="Page Numbers (Top of Page)"/>
        <w:docPartUnique/>
      </w:docPartObj>
    </w:sdtPr>
    <w:sdtEndPr>
      <w:rPr>
        <w:noProof/>
      </w:rPr>
    </w:sdtEndPr>
    <w:sdtContent>
      <w:p w14:paraId="3325C9F1" w14:textId="45FB55DD" w:rsidR="00DD61C3" w:rsidRDefault="00DD61C3">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17FC3656" w14:textId="77777777" w:rsidR="00DD61C3" w:rsidRDefault="00DD6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115E73" w:rsidRDefault="00115E73"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DE04E604">
      <w:start w:val="1"/>
      <w:numFmt w:val="bullet"/>
      <w:lvlText w:val=""/>
      <w:lvlJc w:val="left"/>
      <w:pPr>
        <w:ind w:left="720" w:hanging="360"/>
      </w:pPr>
      <w:rPr>
        <w:rFonts w:ascii="Symbol" w:hAnsi="Symbol" w:hint="default"/>
      </w:rPr>
    </w:lvl>
    <w:lvl w:ilvl="1" w:tplc="B8C85BC8" w:tentative="1">
      <w:start w:val="1"/>
      <w:numFmt w:val="bullet"/>
      <w:lvlText w:val="o"/>
      <w:lvlJc w:val="left"/>
      <w:pPr>
        <w:ind w:left="1440" w:hanging="360"/>
      </w:pPr>
      <w:rPr>
        <w:rFonts w:ascii="Courier New" w:hAnsi="Courier New" w:cs="Courier New" w:hint="default"/>
      </w:rPr>
    </w:lvl>
    <w:lvl w:ilvl="2" w:tplc="8AB6F47E" w:tentative="1">
      <w:start w:val="1"/>
      <w:numFmt w:val="bullet"/>
      <w:lvlText w:val=""/>
      <w:lvlJc w:val="left"/>
      <w:pPr>
        <w:ind w:left="2160" w:hanging="360"/>
      </w:pPr>
      <w:rPr>
        <w:rFonts w:ascii="Wingdings" w:hAnsi="Wingdings" w:hint="default"/>
      </w:rPr>
    </w:lvl>
    <w:lvl w:ilvl="3" w:tplc="2E6C5E0E" w:tentative="1">
      <w:start w:val="1"/>
      <w:numFmt w:val="bullet"/>
      <w:lvlText w:val=""/>
      <w:lvlJc w:val="left"/>
      <w:pPr>
        <w:ind w:left="2880" w:hanging="360"/>
      </w:pPr>
      <w:rPr>
        <w:rFonts w:ascii="Symbol" w:hAnsi="Symbol" w:hint="default"/>
      </w:rPr>
    </w:lvl>
    <w:lvl w:ilvl="4" w:tplc="D0CCA8EA" w:tentative="1">
      <w:start w:val="1"/>
      <w:numFmt w:val="bullet"/>
      <w:lvlText w:val="o"/>
      <w:lvlJc w:val="left"/>
      <w:pPr>
        <w:ind w:left="3600" w:hanging="360"/>
      </w:pPr>
      <w:rPr>
        <w:rFonts w:ascii="Courier New" w:hAnsi="Courier New" w:cs="Courier New" w:hint="default"/>
      </w:rPr>
    </w:lvl>
    <w:lvl w:ilvl="5" w:tplc="9440CCDE" w:tentative="1">
      <w:start w:val="1"/>
      <w:numFmt w:val="bullet"/>
      <w:lvlText w:val=""/>
      <w:lvlJc w:val="left"/>
      <w:pPr>
        <w:ind w:left="4320" w:hanging="360"/>
      </w:pPr>
      <w:rPr>
        <w:rFonts w:ascii="Wingdings" w:hAnsi="Wingdings" w:hint="default"/>
      </w:rPr>
    </w:lvl>
    <w:lvl w:ilvl="6" w:tplc="EA66D572" w:tentative="1">
      <w:start w:val="1"/>
      <w:numFmt w:val="bullet"/>
      <w:lvlText w:val=""/>
      <w:lvlJc w:val="left"/>
      <w:pPr>
        <w:ind w:left="5040" w:hanging="360"/>
      </w:pPr>
      <w:rPr>
        <w:rFonts w:ascii="Symbol" w:hAnsi="Symbol" w:hint="default"/>
      </w:rPr>
    </w:lvl>
    <w:lvl w:ilvl="7" w:tplc="01A8F4A0" w:tentative="1">
      <w:start w:val="1"/>
      <w:numFmt w:val="bullet"/>
      <w:lvlText w:val="o"/>
      <w:lvlJc w:val="left"/>
      <w:pPr>
        <w:ind w:left="5760" w:hanging="360"/>
      </w:pPr>
      <w:rPr>
        <w:rFonts w:ascii="Courier New" w:hAnsi="Courier New" w:cs="Courier New" w:hint="default"/>
      </w:rPr>
    </w:lvl>
    <w:lvl w:ilvl="8" w:tplc="5D2A6C7C" w:tentative="1">
      <w:start w:val="1"/>
      <w:numFmt w:val="bullet"/>
      <w:lvlText w:val=""/>
      <w:lvlJc w:val="left"/>
      <w:pPr>
        <w:ind w:left="6480" w:hanging="360"/>
      </w:pPr>
      <w:rPr>
        <w:rFonts w:ascii="Wingdings" w:hAnsi="Wingdings" w:hint="default"/>
      </w:rPr>
    </w:lvl>
  </w:abstractNum>
  <w:abstractNum w:abstractNumId="1" w15:restartNumberingAfterBreak="0">
    <w:nsid w:val="06F34F2B"/>
    <w:multiLevelType w:val="hybridMultilevel"/>
    <w:tmpl w:val="BFF6FBFE"/>
    <w:lvl w:ilvl="0" w:tplc="21D0A392">
      <w:start w:val="1"/>
      <w:numFmt w:val="decimal"/>
      <w:lvlText w:val="%1)"/>
      <w:lvlJc w:val="left"/>
      <w:pPr>
        <w:ind w:left="780" w:hanging="360"/>
      </w:pPr>
      <w:rPr>
        <w:rFonts w:hint="default"/>
      </w:rPr>
    </w:lvl>
    <w:lvl w:ilvl="1" w:tplc="8176094A" w:tentative="1">
      <w:start w:val="1"/>
      <w:numFmt w:val="bullet"/>
      <w:lvlText w:val="o"/>
      <w:lvlJc w:val="left"/>
      <w:pPr>
        <w:ind w:left="1500" w:hanging="360"/>
      </w:pPr>
      <w:rPr>
        <w:rFonts w:ascii="Courier New" w:hAnsi="Courier New" w:cs="Courier New" w:hint="default"/>
      </w:rPr>
    </w:lvl>
    <w:lvl w:ilvl="2" w:tplc="AA8C3BC4" w:tentative="1">
      <w:start w:val="1"/>
      <w:numFmt w:val="bullet"/>
      <w:lvlText w:val=""/>
      <w:lvlJc w:val="left"/>
      <w:pPr>
        <w:ind w:left="2220" w:hanging="360"/>
      </w:pPr>
      <w:rPr>
        <w:rFonts w:ascii="Wingdings" w:hAnsi="Wingdings" w:hint="default"/>
      </w:rPr>
    </w:lvl>
    <w:lvl w:ilvl="3" w:tplc="301857F0" w:tentative="1">
      <w:start w:val="1"/>
      <w:numFmt w:val="bullet"/>
      <w:lvlText w:val=""/>
      <w:lvlJc w:val="left"/>
      <w:pPr>
        <w:ind w:left="2940" w:hanging="360"/>
      </w:pPr>
      <w:rPr>
        <w:rFonts w:ascii="Symbol" w:hAnsi="Symbol" w:hint="default"/>
      </w:rPr>
    </w:lvl>
    <w:lvl w:ilvl="4" w:tplc="FF725206" w:tentative="1">
      <w:start w:val="1"/>
      <w:numFmt w:val="bullet"/>
      <w:lvlText w:val="o"/>
      <w:lvlJc w:val="left"/>
      <w:pPr>
        <w:ind w:left="3660" w:hanging="360"/>
      </w:pPr>
      <w:rPr>
        <w:rFonts w:ascii="Courier New" w:hAnsi="Courier New" w:cs="Courier New" w:hint="default"/>
      </w:rPr>
    </w:lvl>
    <w:lvl w:ilvl="5" w:tplc="0A8616A0" w:tentative="1">
      <w:start w:val="1"/>
      <w:numFmt w:val="bullet"/>
      <w:lvlText w:val=""/>
      <w:lvlJc w:val="left"/>
      <w:pPr>
        <w:ind w:left="4380" w:hanging="360"/>
      </w:pPr>
      <w:rPr>
        <w:rFonts w:ascii="Wingdings" w:hAnsi="Wingdings" w:hint="default"/>
      </w:rPr>
    </w:lvl>
    <w:lvl w:ilvl="6" w:tplc="7D2EE610" w:tentative="1">
      <w:start w:val="1"/>
      <w:numFmt w:val="bullet"/>
      <w:lvlText w:val=""/>
      <w:lvlJc w:val="left"/>
      <w:pPr>
        <w:ind w:left="5100" w:hanging="360"/>
      </w:pPr>
      <w:rPr>
        <w:rFonts w:ascii="Symbol" w:hAnsi="Symbol" w:hint="default"/>
      </w:rPr>
    </w:lvl>
    <w:lvl w:ilvl="7" w:tplc="9C842066" w:tentative="1">
      <w:start w:val="1"/>
      <w:numFmt w:val="bullet"/>
      <w:lvlText w:val="o"/>
      <w:lvlJc w:val="left"/>
      <w:pPr>
        <w:ind w:left="5820" w:hanging="360"/>
      </w:pPr>
      <w:rPr>
        <w:rFonts w:ascii="Courier New" w:hAnsi="Courier New" w:cs="Courier New" w:hint="default"/>
      </w:rPr>
    </w:lvl>
    <w:lvl w:ilvl="8" w:tplc="71AC39E2" w:tentative="1">
      <w:start w:val="1"/>
      <w:numFmt w:val="bullet"/>
      <w:lvlText w:val=""/>
      <w:lvlJc w:val="left"/>
      <w:pPr>
        <w:ind w:left="6540" w:hanging="360"/>
      </w:pPr>
      <w:rPr>
        <w:rFonts w:ascii="Wingdings" w:hAnsi="Wingdings" w:hint="default"/>
      </w:rPr>
    </w:lvl>
  </w:abstractNum>
  <w:abstractNum w:abstractNumId="2" w15:restartNumberingAfterBreak="0">
    <w:nsid w:val="0C3C0C7C"/>
    <w:multiLevelType w:val="hybridMultilevel"/>
    <w:tmpl w:val="A156E668"/>
    <w:lvl w:ilvl="0" w:tplc="CC66E08A">
      <w:start w:val="1"/>
      <w:numFmt w:val="decimal"/>
      <w:lvlText w:val="%1)"/>
      <w:lvlJc w:val="left"/>
      <w:pPr>
        <w:ind w:left="720" w:hanging="360"/>
      </w:pPr>
    </w:lvl>
    <w:lvl w:ilvl="1" w:tplc="8E3E772C">
      <w:numFmt w:val="bullet"/>
      <w:lvlText w:val="-"/>
      <w:lvlJc w:val="left"/>
      <w:pPr>
        <w:ind w:left="1800" w:hanging="720"/>
      </w:pPr>
      <w:rPr>
        <w:rFonts w:ascii="Times New Roman" w:eastAsia="Calibri" w:hAnsi="Times New Roman" w:cs="Times New Roman" w:hint="default"/>
      </w:rPr>
    </w:lvl>
    <w:lvl w:ilvl="2" w:tplc="5C86D45E" w:tentative="1">
      <w:start w:val="1"/>
      <w:numFmt w:val="lowerRoman"/>
      <w:lvlText w:val="%3."/>
      <w:lvlJc w:val="right"/>
      <w:pPr>
        <w:ind w:left="2160" w:hanging="180"/>
      </w:pPr>
    </w:lvl>
    <w:lvl w:ilvl="3" w:tplc="BEE4B5EA" w:tentative="1">
      <w:start w:val="1"/>
      <w:numFmt w:val="decimal"/>
      <w:lvlText w:val="%4."/>
      <w:lvlJc w:val="left"/>
      <w:pPr>
        <w:ind w:left="2880" w:hanging="360"/>
      </w:pPr>
    </w:lvl>
    <w:lvl w:ilvl="4" w:tplc="61822ADE" w:tentative="1">
      <w:start w:val="1"/>
      <w:numFmt w:val="lowerLetter"/>
      <w:lvlText w:val="%5."/>
      <w:lvlJc w:val="left"/>
      <w:pPr>
        <w:ind w:left="3600" w:hanging="360"/>
      </w:pPr>
    </w:lvl>
    <w:lvl w:ilvl="5" w:tplc="D4A66DD4" w:tentative="1">
      <w:start w:val="1"/>
      <w:numFmt w:val="lowerRoman"/>
      <w:lvlText w:val="%6."/>
      <w:lvlJc w:val="right"/>
      <w:pPr>
        <w:ind w:left="4320" w:hanging="180"/>
      </w:pPr>
    </w:lvl>
    <w:lvl w:ilvl="6" w:tplc="F730A56C" w:tentative="1">
      <w:start w:val="1"/>
      <w:numFmt w:val="decimal"/>
      <w:lvlText w:val="%7."/>
      <w:lvlJc w:val="left"/>
      <w:pPr>
        <w:ind w:left="5040" w:hanging="360"/>
      </w:pPr>
    </w:lvl>
    <w:lvl w:ilvl="7" w:tplc="C554E526" w:tentative="1">
      <w:start w:val="1"/>
      <w:numFmt w:val="lowerLetter"/>
      <w:lvlText w:val="%8."/>
      <w:lvlJc w:val="left"/>
      <w:pPr>
        <w:ind w:left="5760" w:hanging="360"/>
      </w:pPr>
    </w:lvl>
    <w:lvl w:ilvl="8" w:tplc="6D2EDC1C" w:tentative="1">
      <w:start w:val="1"/>
      <w:numFmt w:val="lowerRoman"/>
      <w:lvlText w:val="%9."/>
      <w:lvlJc w:val="right"/>
      <w:pPr>
        <w:ind w:left="6480" w:hanging="180"/>
      </w:pPr>
    </w:lvl>
  </w:abstractNum>
  <w:abstractNum w:abstractNumId="3" w15:restartNumberingAfterBreak="0">
    <w:nsid w:val="0C776D51"/>
    <w:multiLevelType w:val="hybridMultilevel"/>
    <w:tmpl w:val="23108382"/>
    <w:lvl w:ilvl="0" w:tplc="50BEFC88">
      <w:start w:val="1"/>
      <w:numFmt w:val="decimal"/>
      <w:lvlText w:val="%1)"/>
      <w:lvlJc w:val="left"/>
      <w:pPr>
        <w:ind w:left="394" w:hanging="360"/>
      </w:pPr>
    </w:lvl>
    <w:lvl w:ilvl="1" w:tplc="7A80E34C">
      <w:start w:val="1"/>
      <w:numFmt w:val="decimal"/>
      <w:lvlText w:val="%2)"/>
      <w:lvlJc w:val="left"/>
      <w:pPr>
        <w:ind w:left="1114" w:hanging="360"/>
      </w:pPr>
    </w:lvl>
    <w:lvl w:ilvl="2" w:tplc="85AA2C06" w:tentative="1">
      <w:start w:val="1"/>
      <w:numFmt w:val="lowerRoman"/>
      <w:lvlText w:val="%3."/>
      <w:lvlJc w:val="right"/>
      <w:pPr>
        <w:ind w:left="1834" w:hanging="180"/>
      </w:pPr>
    </w:lvl>
    <w:lvl w:ilvl="3" w:tplc="6E02CA28" w:tentative="1">
      <w:start w:val="1"/>
      <w:numFmt w:val="decimal"/>
      <w:lvlText w:val="%4."/>
      <w:lvlJc w:val="left"/>
      <w:pPr>
        <w:ind w:left="2554" w:hanging="360"/>
      </w:pPr>
    </w:lvl>
    <w:lvl w:ilvl="4" w:tplc="0E703F7C" w:tentative="1">
      <w:start w:val="1"/>
      <w:numFmt w:val="lowerLetter"/>
      <w:lvlText w:val="%5."/>
      <w:lvlJc w:val="left"/>
      <w:pPr>
        <w:ind w:left="3274" w:hanging="360"/>
      </w:pPr>
    </w:lvl>
    <w:lvl w:ilvl="5" w:tplc="CC00BBBA" w:tentative="1">
      <w:start w:val="1"/>
      <w:numFmt w:val="lowerRoman"/>
      <w:lvlText w:val="%6."/>
      <w:lvlJc w:val="right"/>
      <w:pPr>
        <w:ind w:left="3994" w:hanging="180"/>
      </w:pPr>
    </w:lvl>
    <w:lvl w:ilvl="6" w:tplc="44A00818" w:tentative="1">
      <w:start w:val="1"/>
      <w:numFmt w:val="decimal"/>
      <w:lvlText w:val="%7."/>
      <w:lvlJc w:val="left"/>
      <w:pPr>
        <w:ind w:left="4714" w:hanging="360"/>
      </w:pPr>
    </w:lvl>
    <w:lvl w:ilvl="7" w:tplc="C4E081E4" w:tentative="1">
      <w:start w:val="1"/>
      <w:numFmt w:val="lowerLetter"/>
      <w:lvlText w:val="%8."/>
      <w:lvlJc w:val="left"/>
      <w:pPr>
        <w:ind w:left="5434" w:hanging="360"/>
      </w:pPr>
    </w:lvl>
    <w:lvl w:ilvl="8" w:tplc="6FAEE894" w:tentative="1">
      <w:start w:val="1"/>
      <w:numFmt w:val="lowerRoman"/>
      <w:lvlText w:val="%9."/>
      <w:lvlJc w:val="right"/>
      <w:pPr>
        <w:ind w:left="6154"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3694497"/>
    <w:multiLevelType w:val="hybridMultilevel"/>
    <w:tmpl w:val="3D3A3AE8"/>
    <w:lvl w:ilvl="0" w:tplc="D91C877E">
      <w:start w:val="1"/>
      <w:numFmt w:val="decimal"/>
      <w:lvlText w:val="%1."/>
      <w:lvlJc w:val="left"/>
      <w:pPr>
        <w:ind w:left="720" w:hanging="360"/>
      </w:pPr>
    </w:lvl>
    <w:lvl w:ilvl="1" w:tplc="500AF6F4" w:tentative="1">
      <w:start w:val="1"/>
      <w:numFmt w:val="lowerLetter"/>
      <w:lvlText w:val="%2."/>
      <w:lvlJc w:val="left"/>
      <w:pPr>
        <w:ind w:left="1440" w:hanging="360"/>
      </w:pPr>
    </w:lvl>
    <w:lvl w:ilvl="2" w:tplc="73808752" w:tentative="1">
      <w:start w:val="1"/>
      <w:numFmt w:val="lowerRoman"/>
      <w:lvlText w:val="%3."/>
      <w:lvlJc w:val="right"/>
      <w:pPr>
        <w:ind w:left="2160" w:hanging="180"/>
      </w:pPr>
    </w:lvl>
    <w:lvl w:ilvl="3" w:tplc="DAC097D0" w:tentative="1">
      <w:start w:val="1"/>
      <w:numFmt w:val="decimal"/>
      <w:lvlText w:val="%4."/>
      <w:lvlJc w:val="left"/>
      <w:pPr>
        <w:ind w:left="2880" w:hanging="360"/>
      </w:pPr>
    </w:lvl>
    <w:lvl w:ilvl="4" w:tplc="AE347AD8" w:tentative="1">
      <w:start w:val="1"/>
      <w:numFmt w:val="lowerLetter"/>
      <w:lvlText w:val="%5."/>
      <w:lvlJc w:val="left"/>
      <w:pPr>
        <w:ind w:left="3600" w:hanging="360"/>
      </w:pPr>
    </w:lvl>
    <w:lvl w:ilvl="5" w:tplc="425C3ED8" w:tentative="1">
      <w:start w:val="1"/>
      <w:numFmt w:val="lowerRoman"/>
      <w:lvlText w:val="%6."/>
      <w:lvlJc w:val="right"/>
      <w:pPr>
        <w:ind w:left="4320" w:hanging="180"/>
      </w:pPr>
    </w:lvl>
    <w:lvl w:ilvl="6" w:tplc="6DC249EA" w:tentative="1">
      <w:start w:val="1"/>
      <w:numFmt w:val="decimal"/>
      <w:lvlText w:val="%7."/>
      <w:lvlJc w:val="left"/>
      <w:pPr>
        <w:ind w:left="5040" w:hanging="360"/>
      </w:pPr>
    </w:lvl>
    <w:lvl w:ilvl="7" w:tplc="E84E9C9A" w:tentative="1">
      <w:start w:val="1"/>
      <w:numFmt w:val="lowerLetter"/>
      <w:lvlText w:val="%8."/>
      <w:lvlJc w:val="left"/>
      <w:pPr>
        <w:ind w:left="5760" w:hanging="360"/>
      </w:pPr>
    </w:lvl>
    <w:lvl w:ilvl="8" w:tplc="5748EB14" w:tentative="1">
      <w:start w:val="1"/>
      <w:numFmt w:val="lowerRoman"/>
      <w:lvlText w:val="%9."/>
      <w:lvlJc w:val="right"/>
      <w:pPr>
        <w:ind w:left="6480" w:hanging="180"/>
      </w:pPr>
    </w:lvl>
  </w:abstractNum>
  <w:abstractNum w:abstractNumId="6" w15:restartNumberingAfterBreak="0">
    <w:nsid w:val="231D4063"/>
    <w:multiLevelType w:val="hybridMultilevel"/>
    <w:tmpl w:val="9AC62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03CB0"/>
    <w:multiLevelType w:val="hybridMultilevel"/>
    <w:tmpl w:val="C5B68AFE"/>
    <w:lvl w:ilvl="0" w:tplc="81286F92">
      <w:start w:val="1"/>
      <w:numFmt w:val="decimal"/>
      <w:lvlText w:val="%1."/>
      <w:lvlJc w:val="left"/>
      <w:pPr>
        <w:ind w:left="720" w:hanging="360"/>
      </w:pPr>
      <w:rPr>
        <w:rFonts w:hint="default"/>
      </w:rPr>
    </w:lvl>
    <w:lvl w:ilvl="1" w:tplc="A2D68900" w:tentative="1">
      <w:start w:val="1"/>
      <w:numFmt w:val="lowerLetter"/>
      <w:lvlText w:val="%2."/>
      <w:lvlJc w:val="left"/>
      <w:pPr>
        <w:ind w:left="1440" w:hanging="360"/>
      </w:pPr>
    </w:lvl>
    <w:lvl w:ilvl="2" w:tplc="5A8E59C2" w:tentative="1">
      <w:start w:val="1"/>
      <w:numFmt w:val="lowerRoman"/>
      <w:lvlText w:val="%3."/>
      <w:lvlJc w:val="right"/>
      <w:pPr>
        <w:ind w:left="2160" w:hanging="180"/>
      </w:pPr>
    </w:lvl>
    <w:lvl w:ilvl="3" w:tplc="D3B45F76" w:tentative="1">
      <w:start w:val="1"/>
      <w:numFmt w:val="decimal"/>
      <w:lvlText w:val="%4."/>
      <w:lvlJc w:val="left"/>
      <w:pPr>
        <w:ind w:left="2880" w:hanging="360"/>
      </w:pPr>
    </w:lvl>
    <w:lvl w:ilvl="4" w:tplc="A81AA1C2" w:tentative="1">
      <w:start w:val="1"/>
      <w:numFmt w:val="lowerLetter"/>
      <w:lvlText w:val="%5."/>
      <w:lvlJc w:val="left"/>
      <w:pPr>
        <w:ind w:left="3600" w:hanging="360"/>
      </w:pPr>
    </w:lvl>
    <w:lvl w:ilvl="5" w:tplc="051C4146" w:tentative="1">
      <w:start w:val="1"/>
      <w:numFmt w:val="lowerRoman"/>
      <w:lvlText w:val="%6."/>
      <w:lvlJc w:val="right"/>
      <w:pPr>
        <w:ind w:left="4320" w:hanging="180"/>
      </w:pPr>
    </w:lvl>
    <w:lvl w:ilvl="6" w:tplc="A7E6C078" w:tentative="1">
      <w:start w:val="1"/>
      <w:numFmt w:val="decimal"/>
      <w:lvlText w:val="%7."/>
      <w:lvlJc w:val="left"/>
      <w:pPr>
        <w:ind w:left="5040" w:hanging="360"/>
      </w:pPr>
    </w:lvl>
    <w:lvl w:ilvl="7" w:tplc="2FF8A7D4" w:tentative="1">
      <w:start w:val="1"/>
      <w:numFmt w:val="lowerLetter"/>
      <w:lvlText w:val="%8."/>
      <w:lvlJc w:val="left"/>
      <w:pPr>
        <w:ind w:left="5760" w:hanging="360"/>
      </w:pPr>
    </w:lvl>
    <w:lvl w:ilvl="8" w:tplc="2452E018" w:tentative="1">
      <w:start w:val="1"/>
      <w:numFmt w:val="lowerRoman"/>
      <w:lvlText w:val="%9."/>
      <w:lvlJc w:val="right"/>
      <w:pPr>
        <w:ind w:left="6480" w:hanging="180"/>
      </w:pPr>
    </w:lvl>
  </w:abstractNum>
  <w:abstractNum w:abstractNumId="8" w15:restartNumberingAfterBreak="0">
    <w:nsid w:val="2DB66254"/>
    <w:multiLevelType w:val="hybridMultilevel"/>
    <w:tmpl w:val="0534E9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6930F1"/>
    <w:multiLevelType w:val="hybridMultilevel"/>
    <w:tmpl w:val="0D68B2E8"/>
    <w:lvl w:ilvl="0" w:tplc="67F6D4D2">
      <w:start w:val="1"/>
      <w:numFmt w:val="decimal"/>
      <w:lvlText w:val="%1."/>
      <w:lvlJc w:val="left"/>
      <w:pPr>
        <w:ind w:left="785" w:hanging="360"/>
      </w:pPr>
      <w:rPr>
        <w:rFonts w:hint="default"/>
      </w:rPr>
    </w:lvl>
    <w:lvl w:ilvl="1" w:tplc="320EA482">
      <w:start w:val="1"/>
      <w:numFmt w:val="lowerLetter"/>
      <w:lvlText w:val="%2."/>
      <w:lvlJc w:val="left"/>
      <w:pPr>
        <w:ind w:left="1363" w:hanging="360"/>
      </w:pPr>
    </w:lvl>
    <w:lvl w:ilvl="2" w:tplc="93DE3DF6" w:tentative="1">
      <w:start w:val="1"/>
      <w:numFmt w:val="lowerRoman"/>
      <w:lvlText w:val="%3."/>
      <w:lvlJc w:val="right"/>
      <w:pPr>
        <w:ind w:left="2083" w:hanging="180"/>
      </w:pPr>
    </w:lvl>
    <w:lvl w:ilvl="3" w:tplc="74AA2E12" w:tentative="1">
      <w:start w:val="1"/>
      <w:numFmt w:val="decimal"/>
      <w:lvlText w:val="%4."/>
      <w:lvlJc w:val="left"/>
      <w:pPr>
        <w:ind w:left="2803" w:hanging="360"/>
      </w:pPr>
    </w:lvl>
    <w:lvl w:ilvl="4" w:tplc="E1B215A2" w:tentative="1">
      <w:start w:val="1"/>
      <w:numFmt w:val="lowerLetter"/>
      <w:lvlText w:val="%5."/>
      <w:lvlJc w:val="left"/>
      <w:pPr>
        <w:ind w:left="3523" w:hanging="360"/>
      </w:pPr>
    </w:lvl>
    <w:lvl w:ilvl="5" w:tplc="6094A586" w:tentative="1">
      <w:start w:val="1"/>
      <w:numFmt w:val="lowerRoman"/>
      <w:lvlText w:val="%6."/>
      <w:lvlJc w:val="right"/>
      <w:pPr>
        <w:ind w:left="4243" w:hanging="180"/>
      </w:pPr>
    </w:lvl>
    <w:lvl w:ilvl="6" w:tplc="7F229A34" w:tentative="1">
      <w:start w:val="1"/>
      <w:numFmt w:val="decimal"/>
      <w:lvlText w:val="%7."/>
      <w:lvlJc w:val="left"/>
      <w:pPr>
        <w:ind w:left="4963" w:hanging="360"/>
      </w:pPr>
    </w:lvl>
    <w:lvl w:ilvl="7" w:tplc="5DAAA2CA" w:tentative="1">
      <w:start w:val="1"/>
      <w:numFmt w:val="lowerLetter"/>
      <w:lvlText w:val="%8."/>
      <w:lvlJc w:val="left"/>
      <w:pPr>
        <w:ind w:left="5683" w:hanging="360"/>
      </w:pPr>
    </w:lvl>
    <w:lvl w:ilvl="8" w:tplc="AFF842A2" w:tentative="1">
      <w:start w:val="1"/>
      <w:numFmt w:val="lowerRoman"/>
      <w:lvlText w:val="%9."/>
      <w:lvlJc w:val="right"/>
      <w:pPr>
        <w:ind w:left="6403" w:hanging="180"/>
      </w:pPr>
    </w:lvl>
  </w:abstractNum>
  <w:abstractNum w:abstractNumId="10" w15:restartNumberingAfterBreak="0">
    <w:nsid w:val="2FA6424A"/>
    <w:multiLevelType w:val="hybridMultilevel"/>
    <w:tmpl w:val="3B9C39EA"/>
    <w:lvl w:ilvl="0" w:tplc="B3B24B2E">
      <w:start w:val="1"/>
      <w:numFmt w:val="decimal"/>
      <w:lvlText w:val="%1."/>
      <w:lvlJc w:val="left"/>
      <w:pPr>
        <w:ind w:left="417" w:hanging="360"/>
      </w:pPr>
      <w:rPr>
        <w:rFonts w:hint="default"/>
      </w:rPr>
    </w:lvl>
    <w:lvl w:ilvl="1" w:tplc="A752A274" w:tentative="1">
      <w:start w:val="1"/>
      <w:numFmt w:val="lowerLetter"/>
      <w:lvlText w:val="%2."/>
      <w:lvlJc w:val="left"/>
      <w:pPr>
        <w:ind w:left="1137" w:hanging="360"/>
      </w:pPr>
    </w:lvl>
    <w:lvl w:ilvl="2" w:tplc="EAF66CEA" w:tentative="1">
      <w:start w:val="1"/>
      <w:numFmt w:val="lowerRoman"/>
      <w:lvlText w:val="%3."/>
      <w:lvlJc w:val="right"/>
      <w:pPr>
        <w:ind w:left="1857" w:hanging="180"/>
      </w:pPr>
    </w:lvl>
    <w:lvl w:ilvl="3" w:tplc="AE882942" w:tentative="1">
      <w:start w:val="1"/>
      <w:numFmt w:val="decimal"/>
      <w:lvlText w:val="%4."/>
      <w:lvlJc w:val="left"/>
      <w:pPr>
        <w:ind w:left="2577" w:hanging="360"/>
      </w:pPr>
    </w:lvl>
    <w:lvl w:ilvl="4" w:tplc="49409D8C" w:tentative="1">
      <w:start w:val="1"/>
      <w:numFmt w:val="lowerLetter"/>
      <w:lvlText w:val="%5."/>
      <w:lvlJc w:val="left"/>
      <w:pPr>
        <w:ind w:left="3297" w:hanging="360"/>
      </w:pPr>
    </w:lvl>
    <w:lvl w:ilvl="5" w:tplc="B28893A2" w:tentative="1">
      <w:start w:val="1"/>
      <w:numFmt w:val="lowerRoman"/>
      <w:lvlText w:val="%6."/>
      <w:lvlJc w:val="right"/>
      <w:pPr>
        <w:ind w:left="4017" w:hanging="180"/>
      </w:pPr>
    </w:lvl>
    <w:lvl w:ilvl="6" w:tplc="55761458" w:tentative="1">
      <w:start w:val="1"/>
      <w:numFmt w:val="decimal"/>
      <w:lvlText w:val="%7."/>
      <w:lvlJc w:val="left"/>
      <w:pPr>
        <w:ind w:left="4737" w:hanging="360"/>
      </w:pPr>
    </w:lvl>
    <w:lvl w:ilvl="7" w:tplc="D92642AC" w:tentative="1">
      <w:start w:val="1"/>
      <w:numFmt w:val="lowerLetter"/>
      <w:lvlText w:val="%8."/>
      <w:lvlJc w:val="left"/>
      <w:pPr>
        <w:ind w:left="5457" w:hanging="360"/>
      </w:pPr>
    </w:lvl>
    <w:lvl w:ilvl="8" w:tplc="56EE715C" w:tentative="1">
      <w:start w:val="1"/>
      <w:numFmt w:val="lowerRoman"/>
      <w:lvlText w:val="%9."/>
      <w:lvlJc w:val="right"/>
      <w:pPr>
        <w:ind w:left="6177" w:hanging="180"/>
      </w:pPr>
    </w:lvl>
  </w:abstractNum>
  <w:abstractNum w:abstractNumId="11" w15:restartNumberingAfterBreak="0">
    <w:nsid w:val="2FD66B57"/>
    <w:multiLevelType w:val="hybridMultilevel"/>
    <w:tmpl w:val="69C63096"/>
    <w:lvl w:ilvl="0" w:tplc="0CB85080">
      <w:start w:val="1"/>
      <w:numFmt w:val="decimal"/>
      <w:lvlText w:val="%1."/>
      <w:lvlJc w:val="left"/>
      <w:pPr>
        <w:ind w:left="720" w:hanging="360"/>
      </w:pPr>
      <w:rPr>
        <w:rFonts w:hint="default"/>
      </w:rPr>
    </w:lvl>
    <w:lvl w:ilvl="1" w:tplc="BC6C339E" w:tentative="1">
      <w:start w:val="1"/>
      <w:numFmt w:val="lowerLetter"/>
      <w:lvlText w:val="%2."/>
      <w:lvlJc w:val="left"/>
      <w:pPr>
        <w:ind w:left="1440" w:hanging="360"/>
      </w:pPr>
    </w:lvl>
    <w:lvl w:ilvl="2" w:tplc="AC40ADE8" w:tentative="1">
      <w:start w:val="1"/>
      <w:numFmt w:val="lowerRoman"/>
      <w:lvlText w:val="%3."/>
      <w:lvlJc w:val="right"/>
      <w:pPr>
        <w:ind w:left="2160" w:hanging="180"/>
      </w:pPr>
    </w:lvl>
    <w:lvl w:ilvl="3" w:tplc="3CCE0D7A" w:tentative="1">
      <w:start w:val="1"/>
      <w:numFmt w:val="decimal"/>
      <w:lvlText w:val="%4."/>
      <w:lvlJc w:val="left"/>
      <w:pPr>
        <w:ind w:left="2880" w:hanging="360"/>
      </w:pPr>
    </w:lvl>
    <w:lvl w:ilvl="4" w:tplc="734466C0" w:tentative="1">
      <w:start w:val="1"/>
      <w:numFmt w:val="lowerLetter"/>
      <w:lvlText w:val="%5."/>
      <w:lvlJc w:val="left"/>
      <w:pPr>
        <w:ind w:left="3600" w:hanging="360"/>
      </w:pPr>
    </w:lvl>
    <w:lvl w:ilvl="5" w:tplc="402413B2" w:tentative="1">
      <w:start w:val="1"/>
      <w:numFmt w:val="lowerRoman"/>
      <w:lvlText w:val="%6."/>
      <w:lvlJc w:val="right"/>
      <w:pPr>
        <w:ind w:left="4320" w:hanging="180"/>
      </w:pPr>
    </w:lvl>
    <w:lvl w:ilvl="6" w:tplc="FBA0D386" w:tentative="1">
      <w:start w:val="1"/>
      <w:numFmt w:val="decimal"/>
      <w:lvlText w:val="%7."/>
      <w:lvlJc w:val="left"/>
      <w:pPr>
        <w:ind w:left="5040" w:hanging="360"/>
      </w:pPr>
    </w:lvl>
    <w:lvl w:ilvl="7" w:tplc="73C60118" w:tentative="1">
      <w:start w:val="1"/>
      <w:numFmt w:val="lowerLetter"/>
      <w:lvlText w:val="%8."/>
      <w:lvlJc w:val="left"/>
      <w:pPr>
        <w:ind w:left="5760" w:hanging="360"/>
      </w:pPr>
    </w:lvl>
    <w:lvl w:ilvl="8" w:tplc="4282E954" w:tentative="1">
      <w:start w:val="1"/>
      <w:numFmt w:val="lowerRoman"/>
      <w:lvlText w:val="%9."/>
      <w:lvlJc w:val="right"/>
      <w:pPr>
        <w:ind w:left="6480" w:hanging="180"/>
      </w:pPr>
    </w:lvl>
  </w:abstractNum>
  <w:abstractNum w:abstractNumId="12" w15:restartNumberingAfterBreak="0">
    <w:nsid w:val="37207862"/>
    <w:multiLevelType w:val="hybridMultilevel"/>
    <w:tmpl w:val="2AA461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E288E"/>
    <w:multiLevelType w:val="hybridMultilevel"/>
    <w:tmpl w:val="27321958"/>
    <w:lvl w:ilvl="0" w:tplc="65D89930">
      <w:start w:val="1"/>
      <w:numFmt w:val="decimal"/>
      <w:lvlText w:val="%1)"/>
      <w:lvlJc w:val="left"/>
      <w:pPr>
        <w:ind w:left="720" w:hanging="360"/>
      </w:pPr>
      <w:rPr>
        <w:rFonts w:hint="default"/>
      </w:rPr>
    </w:lvl>
    <w:lvl w:ilvl="1" w:tplc="4644F1AE" w:tentative="1">
      <w:start w:val="1"/>
      <w:numFmt w:val="bullet"/>
      <w:lvlText w:val="o"/>
      <w:lvlJc w:val="left"/>
      <w:pPr>
        <w:ind w:left="1440" w:hanging="360"/>
      </w:pPr>
      <w:rPr>
        <w:rFonts w:ascii="Courier New" w:hAnsi="Courier New" w:cs="Courier New" w:hint="default"/>
      </w:rPr>
    </w:lvl>
    <w:lvl w:ilvl="2" w:tplc="2C44A7E4" w:tentative="1">
      <w:start w:val="1"/>
      <w:numFmt w:val="bullet"/>
      <w:lvlText w:val=""/>
      <w:lvlJc w:val="left"/>
      <w:pPr>
        <w:ind w:left="2160" w:hanging="360"/>
      </w:pPr>
      <w:rPr>
        <w:rFonts w:ascii="Wingdings" w:hAnsi="Wingdings" w:hint="default"/>
      </w:rPr>
    </w:lvl>
    <w:lvl w:ilvl="3" w:tplc="4810D9A8" w:tentative="1">
      <w:start w:val="1"/>
      <w:numFmt w:val="bullet"/>
      <w:lvlText w:val=""/>
      <w:lvlJc w:val="left"/>
      <w:pPr>
        <w:ind w:left="2880" w:hanging="360"/>
      </w:pPr>
      <w:rPr>
        <w:rFonts w:ascii="Symbol" w:hAnsi="Symbol" w:hint="default"/>
      </w:rPr>
    </w:lvl>
    <w:lvl w:ilvl="4" w:tplc="BF5CA5B6" w:tentative="1">
      <w:start w:val="1"/>
      <w:numFmt w:val="bullet"/>
      <w:lvlText w:val="o"/>
      <w:lvlJc w:val="left"/>
      <w:pPr>
        <w:ind w:left="3600" w:hanging="360"/>
      </w:pPr>
      <w:rPr>
        <w:rFonts w:ascii="Courier New" w:hAnsi="Courier New" w:cs="Courier New" w:hint="default"/>
      </w:rPr>
    </w:lvl>
    <w:lvl w:ilvl="5" w:tplc="CB121640" w:tentative="1">
      <w:start w:val="1"/>
      <w:numFmt w:val="bullet"/>
      <w:lvlText w:val=""/>
      <w:lvlJc w:val="left"/>
      <w:pPr>
        <w:ind w:left="4320" w:hanging="360"/>
      </w:pPr>
      <w:rPr>
        <w:rFonts w:ascii="Wingdings" w:hAnsi="Wingdings" w:hint="default"/>
      </w:rPr>
    </w:lvl>
    <w:lvl w:ilvl="6" w:tplc="0DEED10E" w:tentative="1">
      <w:start w:val="1"/>
      <w:numFmt w:val="bullet"/>
      <w:lvlText w:val=""/>
      <w:lvlJc w:val="left"/>
      <w:pPr>
        <w:ind w:left="5040" w:hanging="360"/>
      </w:pPr>
      <w:rPr>
        <w:rFonts w:ascii="Symbol" w:hAnsi="Symbol" w:hint="default"/>
      </w:rPr>
    </w:lvl>
    <w:lvl w:ilvl="7" w:tplc="A07A1A16" w:tentative="1">
      <w:start w:val="1"/>
      <w:numFmt w:val="bullet"/>
      <w:lvlText w:val="o"/>
      <w:lvlJc w:val="left"/>
      <w:pPr>
        <w:ind w:left="5760" w:hanging="360"/>
      </w:pPr>
      <w:rPr>
        <w:rFonts w:ascii="Courier New" w:hAnsi="Courier New" w:cs="Courier New" w:hint="default"/>
      </w:rPr>
    </w:lvl>
    <w:lvl w:ilvl="8" w:tplc="359C2CDC" w:tentative="1">
      <w:start w:val="1"/>
      <w:numFmt w:val="bullet"/>
      <w:lvlText w:val=""/>
      <w:lvlJc w:val="left"/>
      <w:pPr>
        <w:ind w:left="6480" w:hanging="360"/>
      </w:pPr>
      <w:rPr>
        <w:rFonts w:ascii="Wingdings" w:hAnsi="Wingdings" w:hint="default"/>
      </w:rPr>
    </w:lvl>
  </w:abstractNum>
  <w:abstractNum w:abstractNumId="14" w15:restartNumberingAfterBreak="0">
    <w:nsid w:val="4B0E18A1"/>
    <w:multiLevelType w:val="hybridMultilevel"/>
    <w:tmpl w:val="1FCAED34"/>
    <w:lvl w:ilvl="0" w:tplc="8E68B2A2">
      <w:start w:val="1"/>
      <w:numFmt w:val="bullet"/>
      <w:lvlText w:val=""/>
      <w:lvlJc w:val="left"/>
      <w:pPr>
        <w:ind w:left="720" w:hanging="360"/>
      </w:pPr>
      <w:rPr>
        <w:rFonts w:ascii="Symbol" w:hAnsi="Symbol" w:hint="default"/>
      </w:rPr>
    </w:lvl>
    <w:lvl w:ilvl="1" w:tplc="95EAC666" w:tentative="1">
      <w:start w:val="1"/>
      <w:numFmt w:val="bullet"/>
      <w:lvlText w:val="o"/>
      <w:lvlJc w:val="left"/>
      <w:pPr>
        <w:ind w:left="1440" w:hanging="360"/>
      </w:pPr>
      <w:rPr>
        <w:rFonts w:ascii="Courier New" w:hAnsi="Courier New" w:cs="Courier New" w:hint="default"/>
      </w:rPr>
    </w:lvl>
    <w:lvl w:ilvl="2" w:tplc="AAEEEA58" w:tentative="1">
      <w:start w:val="1"/>
      <w:numFmt w:val="bullet"/>
      <w:lvlText w:val=""/>
      <w:lvlJc w:val="left"/>
      <w:pPr>
        <w:ind w:left="2160" w:hanging="360"/>
      </w:pPr>
      <w:rPr>
        <w:rFonts w:ascii="Wingdings" w:hAnsi="Wingdings" w:hint="default"/>
      </w:rPr>
    </w:lvl>
    <w:lvl w:ilvl="3" w:tplc="AF444B9A" w:tentative="1">
      <w:start w:val="1"/>
      <w:numFmt w:val="bullet"/>
      <w:lvlText w:val=""/>
      <w:lvlJc w:val="left"/>
      <w:pPr>
        <w:ind w:left="2880" w:hanging="360"/>
      </w:pPr>
      <w:rPr>
        <w:rFonts w:ascii="Symbol" w:hAnsi="Symbol" w:hint="default"/>
      </w:rPr>
    </w:lvl>
    <w:lvl w:ilvl="4" w:tplc="CE5299AA" w:tentative="1">
      <w:start w:val="1"/>
      <w:numFmt w:val="bullet"/>
      <w:lvlText w:val="o"/>
      <w:lvlJc w:val="left"/>
      <w:pPr>
        <w:ind w:left="3600" w:hanging="360"/>
      </w:pPr>
      <w:rPr>
        <w:rFonts w:ascii="Courier New" w:hAnsi="Courier New" w:cs="Courier New" w:hint="default"/>
      </w:rPr>
    </w:lvl>
    <w:lvl w:ilvl="5" w:tplc="A99082E2" w:tentative="1">
      <w:start w:val="1"/>
      <w:numFmt w:val="bullet"/>
      <w:lvlText w:val=""/>
      <w:lvlJc w:val="left"/>
      <w:pPr>
        <w:ind w:left="4320" w:hanging="360"/>
      </w:pPr>
      <w:rPr>
        <w:rFonts w:ascii="Wingdings" w:hAnsi="Wingdings" w:hint="default"/>
      </w:rPr>
    </w:lvl>
    <w:lvl w:ilvl="6" w:tplc="9D42607C" w:tentative="1">
      <w:start w:val="1"/>
      <w:numFmt w:val="bullet"/>
      <w:lvlText w:val=""/>
      <w:lvlJc w:val="left"/>
      <w:pPr>
        <w:ind w:left="5040" w:hanging="360"/>
      </w:pPr>
      <w:rPr>
        <w:rFonts w:ascii="Symbol" w:hAnsi="Symbol" w:hint="default"/>
      </w:rPr>
    </w:lvl>
    <w:lvl w:ilvl="7" w:tplc="F89C38A2" w:tentative="1">
      <w:start w:val="1"/>
      <w:numFmt w:val="bullet"/>
      <w:lvlText w:val="o"/>
      <w:lvlJc w:val="left"/>
      <w:pPr>
        <w:ind w:left="5760" w:hanging="360"/>
      </w:pPr>
      <w:rPr>
        <w:rFonts w:ascii="Courier New" w:hAnsi="Courier New" w:cs="Courier New" w:hint="default"/>
      </w:rPr>
    </w:lvl>
    <w:lvl w:ilvl="8" w:tplc="2CA4FD76" w:tentative="1">
      <w:start w:val="1"/>
      <w:numFmt w:val="bullet"/>
      <w:lvlText w:val=""/>
      <w:lvlJc w:val="left"/>
      <w:pPr>
        <w:ind w:left="6480" w:hanging="360"/>
      </w:pPr>
      <w:rPr>
        <w:rFonts w:ascii="Wingdings" w:hAnsi="Wingdings" w:hint="default"/>
      </w:rPr>
    </w:lvl>
  </w:abstractNum>
  <w:abstractNum w:abstractNumId="15" w15:restartNumberingAfterBreak="0">
    <w:nsid w:val="4B43191D"/>
    <w:multiLevelType w:val="hybridMultilevel"/>
    <w:tmpl w:val="10FE5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987776"/>
    <w:multiLevelType w:val="hybridMultilevel"/>
    <w:tmpl w:val="7550E824"/>
    <w:lvl w:ilvl="0" w:tplc="6AF0F3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37B96"/>
    <w:multiLevelType w:val="hybridMultilevel"/>
    <w:tmpl w:val="DA8CD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AC187C"/>
    <w:multiLevelType w:val="hybridMultilevel"/>
    <w:tmpl w:val="16925782"/>
    <w:lvl w:ilvl="0" w:tplc="E99C9B0C">
      <w:start w:val="1"/>
      <w:numFmt w:val="bullet"/>
      <w:lvlText w:val=""/>
      <w:lvlJc w:val="left"/>
      <w:pPr>
        <w:ind w:left="720" w:hanging="360"/>
      </w:pPr>
      <w:rPr>
        <w:rFonts w:ascii="Symbol" w:hAnsi="Symbol" w:hint="default"/>
      </w:rPr>
    </w:lvl>
    <w:lvl w:ilvl="1" w:tplc="8D3833CC" w:tentative="1">
      <w:start w:val="1"/>
      <w:numFmt w:val="bullet"/>
      <w:lvlText w:val="o"/>
      <w:lvlJc w:val="left"/>
      <w:pPr>
        <w:ind w:left="1440" w:hanging="360"/>
      </w:pPr>
      <w:rPr>
        <w:rFonts w:ascii="Courier New" w:hAnsi="Courier New" w:cs="Courier New" w:hint="default"/>
      </w:rPr>
    </w:lvl>
    <w:lvl w:ilvl="2" w:tplc="66C63D52" w:tentative="1">
      <w:start w:val="1"/>
      <w:numFmt w:val="bullet"/>
      <w:lvlText w:val=""/>
      <w:lvlJc w:val="left"/>
      <w:pPr>
        <w:ind w:left="2160" w:hanging="360"/>
      </w:pPr>
      <w:rPr>
        <w:rFonts w:ascii="Wingdings" w:hAnsi="Wingdings" w:hint="default"/>
      </w:rPr>
    </w:lvl>
    <w:lvl w:ilvl="3" w:tplc="F74E3732" w:tentative="1">
      <w:start w:val="1"/>
      <w:numFmt w:val="bullet"/>
      <w:lvlText w:val=""/>
      <w:lvlJc w:val="left"/>
      <w:pPr>
        <w:ind w:left="2880" w:hanging="360"/>
      </w:pPr>
      <w:rPr>
        <w:rFonts w:ascii="Symbol" w:hAnsi="Symbol" w:hint="default"/>
      </w:rPr>
    </w:lvl>
    <w:lvl w:ilvl="4" w:tplc="F6861E40" w:tentative="1">
      <w:start w:val="1"/>
      <w:numFmt w:val="bullet"/>
      <w:lvlText w:val="o"/>
      <w:lvlJc w:val="left"/>
      <w:pPr>
        <w:ind w:left="3600" w:hanging="360"/>
      </w:pPr>
      <w:rPr>
        <w:rFonts w:ascii="Courier New" w:hAnsi="Courier New" w:cs="Courier New" w:hint="default"/>
      </w:rPr>
    </w:lvl>
    <w:lvl w:ilvl="5" w:tplc="C02A8538" w:tentative="1">
      <w:start w:val="1"/>
      <w:numFmt w:val="bullet"/>
      <w:lvlText w:val=""/>
      <w:lvlJc w:val="left"/>
      <w:pPr>
        <w:ind w:left="4320" w:hanging="360"/>
      </w:pPr>
      <w:rPr>
        <w:rFonts w:ascii="Wingdings" w:hAnsi="Wingdings" w:hint="default"/>
      </w:rPr>
    </w:lvl>
    <w:lvl w:ilvl="6" w:tplc="34A06854" w:tentative="1">
      <w:start w:val="1"/>
      <w:numFmt w:val="bullet"/>
      <w:lvlText w:val=""/>
      <w:lvlJc w:val="left"/>
      <w:pPr>
        <w:ind w:left="5040" w:hanging="360"/>
      </w:pPr>
      <w:rPr>
        <w:rFonts w:ascii="Symbol" w:hAnsi="Symbol" w:hint="default"/>
      </w:rPr>
    </w:lvl>
    <w:lvl w:ilvl="7" w:tplc="C08E96AA" w:tentative="1">
      <w:start w:val="1"/>
      <w:numFmt w:val="bullet"/>
      <w:lvlText w:val="o"/>
      <w:lvlJc w:val="left"/>
      <w:pPr>
        <w:ind w:left="5760" w:hanging="360"/>
      </w:pPr>
      <w:rPr>
        <w:rFonts w:ascii="Courier New" w:hAnsi="Courier New" w:cs="Courier New" w:hint="default"/>
      </w:rPr>
    </w:lvl>
    <w:lvl w:ilvl="8" w:tplc="5CEE8B56" w:tentative="1">
      <w:start w:val="1"/>
      <w:numFmt w:val="bullet"/>
      <w:lvlText w:val=""/>
      <w:lvlJc w:val="left"/>
      <w:pPr>
        <w:ind w:left="6480" w:hanging="360"/>
      </w:pPr>
      <w:rPr>
        <w:rFonts w:ascii="Wingdings" w:hAnsi="Wingdings" w:hint="default"/>
      </w:rPr>
    </w:lvl>
  </w:abstractNum>
  <w:abstractNum w:abstractNumId="20" w15:restartNumberingAfterBreak="0">
    <w:nsid w:val="59321576"/>
    <w:multiLevelType w:val="hybridMultilevel"/>
    <w:tmpl w:val="038A3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33423"/>
    <w:multiLevelType w:val="hybridMultilevel"/>
    <w:tmpl w:val="A210DA6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655211"/>
    <w:multiLevelType w:val="hybridMultilevel"/>
    <w:tmpl w:val="602618FC"/>
    <w:lvl w:ilvl="0" w:tplc="CB225A2A">
      <w:start w:val="1"/>
      <w:numFmt w:val="decimal"/>
      <w:lvlText w:val="%1)"/>
      <w:lvlJc w:val="left"/>
      <w:pPr>
        <w:ind w:left="720" w:hanging="360"/>
      </w:pPr>
      <w:rPr>
        <w:rFonts w:hint="default"/>
        <w:i w:val="0"/>
      </w:rPr>
    </w:lvl>
    <w:lvl w:ilvl="1" w:tplc="73A4F016" w:tentative="1">
      <w:start w:val="1"/>
      <w:numFmt w:val="bullet"/>
      <w:lvlText w:val="o"/>
      <w:lvlJc w:val="left"/>
      <w:pPr>
        <w:ind w:left="1440" w:hanging="360"/>
      </w:pPr>
      <w:rPr>
        <w:rFonts w:ascii="Courier New" w:hAnsi="Courier New" w:cs="Courier New" w:hint="default"/>
      </w:rPr>
    </w:lvl>
    <w:lvl w:ilvl="2" w:tplc="3696A702" w:tentative="1">
      <w:start w:val="1"/>
      <w:numFmt w:val="bullet"/>
      <w:lvlText w:val=""/>
      <w:lvlJc w:val="left"/>
      <w:pPr>
        <w:ind w:left="2160" w:hanging="360"/>
      </w:pPr>
      <w:rPr>
        <w:rFonts w:ascii="Wingdings" w:hAnsi="Wingdings" w:hint="default"/>
      </w:rPr>
    </w:lvl>
    <w:lvl w:ilvl="3" w:tplc="783626F8" w:tentative="1">
      <w:start w:val="1"/>
      <w:numFmt w:val="bullet"/>
      <w:lvlText w:val=""/>
      <w:lvlJc w:val="left"/>
      <w:pPr>
        <w:ind w:left="2880" w:hanging="360"/>
      </w:pPr>
      <w:rPr>
        <w:rFonts w:ascii="Symbol" w:hAnsi="Symbol" w:hint="default"/>
      </w:rPr>
    </w:lvl>
    <w:lvl w:ilvl="4" w:tplc="59D0F94E" w:tentative="1">
      <w:start w:val="1"/>
      <w:numFmt w:val="bullet"/>
      <w:lvlText w:val="o"/>
      <w:lvlJc w:val="left"/>
      <w:pPr>
        <w:ind w:left="3600" w:hanging="360"/>
      </w:pPr>
      <w:rPr>
        <w:rFonts w:ascii="Courier New" w:hAnsi="Courier New" w:cs="Courier New" w:hint="default"/>
      </w:rPr>
    </w:lvl>
    <w:lvl w:ilvl="5" w:tplc="BBDA2CA6" w:tentative="1">
      <w:start w:val="1"/>
      <w:numFmt w:val="bullet"/>
      <w:lvlText w:val=""/>
      <w:lvlJc w:val="left"/>
      <w:pPr>
        <w:ind w:left="4320" w:hanging="360"/>
      </w:pPr>
      <w:rPr>
        <w:rFonts w:ascii="Wingdings" w:hAnsi="Wingdings" w:hint="default"/>
      </w:rPr>
    </w:lvl>
    <w:lvl w:ilvl="6" w:tplc="6AD6FA64" w:tentative="1">
      <w:start w:val="1"/>
      <w:numFmt w:val="bullet"/>
      <w:lvlText w:val=""/>
      <w:lvlJc w:val="left"/>
      <w:pPr>
        <w:ind w:left="5040" w:hanging="360"/>
      </w:pPr>
      <w:rPr>
        <w:rFonts w:ascii="Symbol" w:hAnsi="Symbol" w:hint="default"/>
      </w:rPr>
    </w:lvl>
    <w:lvl w:ilvl="7" w:tplc="7F881B12" w:tentative="1">
      <w:start w:val="1"/>
      <w:numFmt w:val="bullet"/>
      <w:lvlText w:val="o"/>
      <w:lvlJc w:val="left"/>
      <w:pPr>
        <w:ind w:left="5760" w:hanging="360"/>
      </w:pPr>
      <w:rPr>
        <w:rFonts w:ascii="Courier New" w:hAnsi="Courier New" w:cs="Courier New" w:hint="default"/>
      </w:rPr>
    </w:lvl>
    <w:lvl w:ilvl="8" w:tplc="CF382FAA" w:tentative="1">
      <w:start w:val="1"/>
      <w:numFmt w:val="bullet"/>
      <w:lvlText w:val=""/>
      <w:lvlJc w:val="left"/>
      <w:pPr>
        <w:ind w:left="6480" w:hanging="360"/>
      </w:pPr>
      <w:rPr>
        <w:rFonts w:ascii="Wingdings" w:hAnsi="Wingdings" w:hint="default"/>
      </w:rPr>
    </w:lvl>
  </w:abstractNum>
  <w:abstractNum w:abstractNumId="24" w15:restartNumberingAfterBreak="0">
    <w:nsid w:val="72F274C4"/>
    <w:multiLevelType w:val="hybridMultilevel"/>
    <w:tmpl w:val="CEAC1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1"/>
  </w:num>
  <w:num w:numId="5">
    <w:abstractNumId w:val="3"/>
  </w:num>
  <w:num w:numId="6">
    <w:abstractNumId w:val="13"/>
  </w:num>
  <w:num w:numId="7">
    <w:abstractNumId w:val="5"/>
  </w:num>
  <w:num w:numId="8">
    <w:abstractNumId w:val="14"/>
  </w:num>
  <w:num w:numId="9">
    <w:abstractNumId w:val="19"/>
  </w:num>
  <w:num w:numId="10">
    <w:abstractNumId w:val="9"/>
  </w:num>
  <w:num w:numId="11">
    <w:abstractNumId w:val="11"/>
  </w:num>
  <w:num w:numId="12">
    <w:abstractNumId w:val="7"/>
  </w:num>
  <w:num w:numId="13">
    <w:abstractNumId w:val="4"/>
  </w:num>
  <w:num w:numId="14">
    <w:abstractNumId w:val="10"/>
  </w:num>
  <w:num w:numId="15">
    <w:abstractNumId w:val="6"/>
  </w:num>
  <w:num w:numId="16">
    <w:abstractNumId w:val="15"/>
  </w:num>
  <w:num w:numId="17">
    <w:abstractNumId w:val="8"/>
  </w:num>
  <w:num w:numId="18">
    <w:abstractNumId w:val="16"/>
  </w:num>
  <w:num w:numId="19">
    <w:abstractNumId w:val="12"/>
  </w:num>
  <w:num w:numId="20">
    <w:abstractNumId w:val="22"/>
  </w:num>
  <w:num w:numId="21">
    <w:abstractNumId w:val="18"/>
  </w:num>
  <w:num w:numId="22">
    <w:abstractNumId w:val="24"/>
  </w:num>
  <w:num w:numId="23">
    <w:abstractNumId w:val="20"/>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1A"/>
    <w:rsid w:val="00011997"/>
    <w:rsid w:val="00014E4F"/>
    <w:rsid w:val="000215C6"/>
    <w:rsid w:val="000305A0"/>
    <w:rsid w:val="00031B1A"/>
    <w:rsid w:val="00034B7E"/>
    <w:rsid w:val="00035E0C"/>
    <w:rsid w:val="00037E41"/>
    <w:rsid w:val="000414D1"/>
    <w:rsid w:val="000448F9"/>
    <w:rsid w:val="00063FCD"/>
    <w:rsid w:val="00071C5D"/>
    <w:rsid w:val="00073D6D"/>
    <w:rsid w:val="000816AB"/>
    <w:rsid w:val="0008236A"/>
    <w:rsid w:val="000909DE"/>
    <w:rsid w:val="00090B81"/>
    <w:rsid w:val="00092C8D"/>
    <w:rsid w:val="000A4724"/>
    <w:rsid w:val="000B3E45"/>
    <w:rsid w:val="000B7D8C"/>
    <w:rsid w:val="000C12D0"/>
    <w:rsid w:val="000E2374"/>
    <w:rsid w:val="000E3F6C"/>
    <w:rsid w:val="000F076A"/>
    <w:rsid w:val="00107F4A"/>
    <w:rsid w:val="00115E73"/>
    <w:rsid w:val="001266D3"/>
    <w:rsid w:val="00131DBD"/>
    <w:rsid w:val="00132528"/>
    <w:rsid w:val="00134A7F"/>
    <w:rsid w:val="00141614"/>
    <w:rsid w:val="00170DAA"/>
    <w:rsid w:val="001813E8"/>
    <w:rsid w:val="00186C21"/>
    <w:rsid w:val="001C1C28"/>
    <w:rsid w:val="001C35E3"/>
    <w:rsid w:val="001C48FF"/>
    <w:rsid w:val="001D4CCA"/>
    <w:rsid w:val="001D5729"/>
    <w:rsid w:val="001D6AF4"/>
    <w:rsid w:val="001E5FE2"/>
    <w:rsid w:val="001F278A"/>
    <w:rsid w:val="001F3038"/>
    <w:rsid w:val="001F456B"/>
    <w:rsid w:val="00210EEE"/>
    <w:rsid w:val="00213A34"/>
    <w:rsid w:val="00216EA8"/>
    <w:rsid w:val="00235F10"/>
    <w:rsid w:val="00250056"/>
    <w:rsid w:val="00250B3C"/>
    <w:rsid w:val="00250F24"/>
    <w:rsid w:val="002572C3"/>
    <w:rsid w:val="00267378"/>
    <w:rsid w:val="00286AF0"/>
    <w:rsid w:val="002949E3"/>
    <w:rsid w:val="002968F6"/>
    <w:rsid w:val="002A23F6"/>
    <w:rsid w:val="002D6159"/>
    <w:rsid w:val="002E311E"/>
    <w:rsid w:val="002E4251"/>
    <w:rsid w:val="002F7B75"/>
    <w:rsid w:val="002F7CE0"/>
    <w:rsid w:val="00301510"/>
    <w:rsid w:val="00301C86"/>
    <w:rsid w:val="00306FA7"/>
    <w:rsid w:val="00307035"/>
    <w:rsid w:val="003158BE"/>
    <w:rsid w:val="0031645E"/>
    <w:rsid w:val="00317973"/>
    <w:rsid w:val="00320099"/>
    <w:rsid w:val="00330635"/>
    <w:rsid w:val="00334386"/>
    <w:rsid w:val="00354C3A"/>
    <w:rsid w:val="00360BB5"/>
    <w:rsid w:val="00371F4D"/>
    <w:rsid w:val="00376F77"/>
    <w:rsid w:val="00390E01"/>
    <w:rsid w:val="003A2555"/>
    <w:rsid w:val="003B219B"/>
    <w:rsid w:val="003D2BF8"/>
    <w:rsid w:val="003F43F4"/>
    <w:rsid w:val="003F4AF6"/>
    <w:rsid w:val="003F7EE8"/>
    <w:rsid w:val="004020E4"/>
    <w:rsid w:val="00403CA2"/>
    <w:rsid w:val="00404407"/>
    <w:rsid w:val="00412E20"/>
    <w:rsid w:val="00417D46"/>
    <w:rsid w:val="0042480C"/>
    <w:rsid w:val="00425D03"/>
    <w:rsid w:val="00440487"/>
    <w:rsid w:val="00457959"/>
    <w:rsid w:val="004A1126"/>
    <w:rsid w:val="004A1802"/>
    <w:rsid w:val="004A38C7"/>
    <w:rsid w:val="004A71BC"/>
    <w:rsid w:val="004B1BAF"/>
    <w:rsid w:val="004B462E"/>
    <w:rsid w:val="004C2A97"/>
    <w:rsid w:val="004D28D0"/>
    <w:rsid w:val="004D5003"/>
    <w:rsid w:val="004E01E6"/>
    <w:rsid w:val="004E1E2D"/>
    <w:rsid w:val="004F0E68"/>
    <w:rsid w:val="004F26E6"/>
    <w:rsid w:val="004F35C4"/>
    <w:rsid w:val="00502B8A"/>
    <w:rsid w:val="005145A9"/>
    <w:rsid w:val="00520AC8"/>
    <w:rsid w:val="00524673"/>
    <w:rsid w:val="00526101"/>
    <w:rsid w:val="005273BC"/>
    <w:rsid w:val="005355D4"/>
    <w:rsid w:val="00544CDA"/>
    <w:rsid w:val="005463A0"/>
    <w:rsid w:val="00546E14"/>
    <w:rsid w:val="00555766"/>
    <w:rsid w:val="00565F24"/>
    <w:rsid w:val="0056744D"/>
    <w:rsid w:val="00571BFF"/>
    <w:rsid w:val="00577A74"/>
    <w:rsid w:val="00577D3B"/>
    <w:rsid w:val="005A7548"/>
    <w:rsid w:val="005B4F69"/>
    <w:rsid w:val="005B6BF2"/>
    <w:rsid w:val="005C272E"/>
    <w:rsid w:val="005C7B67"/>
    <w:rsid w:val="005E1A5B"/>
    <w:rsid w:val="005E2895"/>
    <w:rsid w:val="00600190"/>
    <w:rsid w:val="0060101B"/>
    <w:rsid w:val="00602C3A"/>
    <w:rsid w:val="00603010"/>
    <w:rsid w:val="00621D36"/>
    <w:rsid w:val="006300A8"/>
    <w:rsid w:val="00636E17"/>
    <w:rsid w:val="006424A7"/>
    <w:rsid w:val="00652167"/>
    <w:rsid w:val="006539AB"/>
    <w:rsid w:val="006546EA"/>
    <w:rsid w:val="006553FC"/>
    <w:rsid w:val="00655773"/>
    <w:rsid w:val="0066513A"/>
    <w:rsid w:val="00677217"/>
    <w:rsid w:val="006779DB"/>
    <w:rsid w:val="006A39ED"/>
    <w:rsid w:val="006A5FD6"/>
    <w:rsid w:val="006A7CDD"/>
    <w:rsid w:val="006B1A2C"/>
    <w:rsid w:val="006C0CE5"/>
    <w:rsid w:val="006C3D05"/>
    <w:rsid w:val="006C431F"/>
    <w:rsid w:val="006C631D"/>
    <w:rsid w:val="006D75CA"/>
    <w:rsid w:val="006E3C4D"/>
    <w:rsid w:val="006E3E74"/>
    <w:rsid w:val="006E3F47"/>
    <w:rsid w:val="006F01AF"/>
    <w:rsid w:val="006F70E1"/>
    <w:rsid w:val="00704F8A"/>
    <w:rsid w:val="00706430"/>
    <w:rsid w:val="00710CAA"/>
    <w:rsid w:val="00717100"/>
    <w:rsid w:val="007263A9"/>
    <w:rsid w:val="00735289"/>
    <w:rsid w:val="00737957"/>
    <w:rsid w:val="00746CA4"/>
    <w:rsid w:val="00750634"/>
    <w:rsid w:val="00750FB6"/>
    <w:rsid w:val="00753212"/>
    <w:rsid w:val="007555F0"/>
    <w:rsid w:val="007609F8"/>
    <w:rsid w:val="00772589"/>
    <w:rsid w:val="00774867"/>
    <w:rsid w:val="00782E53"/>
    <w:rsid w:val="00785CCC"/>
    <w:rsid w:val="00792FA5"/>
    <w:rsid w:val="00797EC3"/>
    <w:rsid w:val="007B465B"/>
    <w:rsid w:val="007C1B0D"/>
    <w:rsid w:val="007C4127"/>
    <w:rsid w:val="007C64BB"/>
    <w:rsid w:val="007D6E58"/>
    <w:rsid w:val="007E25E2"/>
    <w:rsid w:val="007F1308"/>
    <w:rsid w:val="007F1453"/>
    <w:rsid w:val="00806409"/>
    <w:rsid w:val="0080767A"/>
    <w:rsid w:val="008078B3"/>
    <w:rsid w:val="0081231F"/>
    <w:rsid w:val="00817182"/>
    <w:rsid w:val="0082602B"/>
    <w:rsid w:val="00846773"/>
    <w:rsid w:val="00855327"/>
    <w:rsid w:val="008607AA"/>
    <w:rsid w:val="0087397A"/>
    <w:rsid w:val="00877A18"/>
    <w:rsid w:val="00882257"/>
    <w:rsid w:val="008A23AE"/>
    <w:rsid w:val="008C1DFB"/>
    <w:rsid w:val="008C522D"/>
    <w:rsid w:val="008E2A4D"/>
    <w:rsid w:val="00922DB1"/>
    <w:rsid w:val="00942372"/>
    <w:rsid w:val="00953559"/>
    <w:rsid w:val="009719DB"/>
    <w:rsid w:val="00977971"/>
    <w:rsid w:val="00977A2B"/>
    <w:rsid w:val="0098022B"/>
    <w:rsid w:val="00984693"/>
    <w:rsid w:val="00987439"/>
    <w:rsid w:val="00993E3B"/>
    <w:rsid w:val="009A40F5"/>
    <w:rsid w:val="009D45B5"/>
    <w:rsid w:val="009D49A6"/>
    <w:rsid w:val="00A02269"/>
    <w:rsid w:val="00A03C94"/>
    <w:rsid w:val="00A0404B"/>
    <w:rsid w:val="00A147B8"/>
    <w:rsid w:val="00A30C3B"/>
    <w:rsid w:val="00A43514"/>
    <w:rsid w:val="00A46C00"/>
    <w:rsid w:val="00A52C76"/>
    <w:rsid w:val="00A569D3"/>
    <w:rsid w:val="00A60E8A"/>
    <w:rsid w:val="00A6154E"/>
    <w:rsid w:val="00A659CD"/>
    <w:rsid w:val="00A65E15"/>
    <w:rsid w:val="00A67BEC"/>
    <w:rsid w:val="00A737FF"/>
    <w:rsid w:val="00A76A5E"/>
    <w:rsid w:val="00A777BE"/>
    <w:rsid w:val="00A81937"/>
    <w:rsid w:val="00A87374"/>
    <w:rsid w:val="00A87556"/>
    <w:rsid w:val="00AA14C7"/>
    <w:rsid w:val="00AA275F"/>
    <w:rsid w:val="00AA7369"/>
    <w:rsid w:val="00AB0571"/>
    <w:rsid w:val="00AB4200"/>
    <w:rsid w:val="00AB451A"/>
    <w:rsid w:val="00AC1B79"/>
    <w:rsid w:val="00AC2FF8"/>
    <w:rsid w:val="00AD1C19"/>
    <w:rsid w:val="00AE04FB"/>
    <w:rsid w:val="00AE07DC"/>
    <w:rsid w:val="00AE3EDA"/>
    <w:rsid w:val="00B00946"/>
    <w:rsid w:val="00B11E3B"/>
    <w:rsid w:val="00B15133"/>
    <w:rsid w:val="00B17ECD"/>
    <w:rsid w:val="00B230DB"/>
    <w:rsid w:val="00B24884"/>
    <w:rsid w:val="00B2683A"/>
    <w:rsid w:val="00B30F83"/>
    <w:rsid w:val="00B310FE"/>
    <w:rsid w:val="00B51C3F"/>
    <w:rsid w:val="00B56FCC"/>
    <w:rsid w:val="00B62F27"/>
    <w:rsid w:val="00B76C44"/>
    <w:rsid w:val="00B90DBA"/>
    <w:rsid w:val="00B95B83"/>
    <w:rsid w:val="00BB3C1E"/>
    <w:rsid w:val="00BC2DED"/>
    <w:rsid w:val="00BC45EC"/>
    <w:rsid w:val="00BD1048"/>
    <w:rsid w:val="00BD444D"/>
    <w:rsid w:val="00BE29C3"/>
    <w:rsid w:val="00BE481F"/>
    <w:rsid w:val="00BF18B0"/>
    <w:rsid w:val="00BF3F2B"/>
    <w:rsid w:val="00BF4F9C"/>
    <w:rsid w:val="00C012E3"/>
    <w:rsid w:val="00C01BA9"/>
    <w:rsid w:val="00C02E78"/>
    <w:rsid w:val="00C11FD5"/>
    <w:rsid w:val="00C169D8"/>
    <w:rsid w:val="00C17DBE"/>
    <w:rsid w:val="00C248EF"/>
    <w:rsid w:val="00C32248"/>
    <w:rsid w:val="00C32B2D"/>
    <w:rsid w:val="00C3594C"/>
    <w:rsid w:val="00C37B19"/>
    <w:rsid w:val="00C42B55"/>
    <w:rsid w:val="00C52BF2"/>
    <w:rsid w:val="00C56438"/>
    <w:rsid w:val="00C75667"/>
    <w:rsid w:val="00C872D9"/>
    <w:rsid w:val="00CA0AA0"/>
    <w:rsid w:val="00CA6C50"/>
    <w:rsid w:val="00CB15EE"/>
    <w:rsid w:val="00CB3967"/>
    <w:rsid w:val="00CC13EE"/>
    <w:rsid w:val="00CD1599"/>
    <w:rsid w:val="00CD4793"/>
    <w:rsid w:val="00CE048A"/>
    <w:rsid w:val="00CE1733"/>
    <w:rsid w:val="00CE4936"/>
    <w:rsid w:val="00CE4E1E"/>
    <w:rsid w:val="00CE7583"/>
    <w:rsid w:val="00CE7629"/>
    <w:rsid w:val="00CF04CD"/>
    <w:rsid w:val="00CF1040"/>
    <w:rsid w:val="00CF312D"/>
    <w:rsid w:val="00D06875"/>
    <w:rsid w:val="00D07AB4"/>
    <w:rsid w:val="00D133F0"/>
    <w:rsid w:val="00D54034"/>
    <w:rsid w:val="00D7436B"/>
    <w:rsid w:val="00DC01F6"/>
    <w:rsid w:val="00DD1235"/>
    <w:rsid w:val="00DD1A56"/>
    <w:rsid w:val="00DD3F40"/>
    <w:rsid w:val="00DD601B"/>
    <w:rsid w:val="00DD61C3"/>
    <w:rsid w:val="00DE690C"/>
    <w:rsid w:val="00DE7CA8"/>
    <w:rsid w:val="00DF2298"/>
    <w:rsid w:val="00DF611E"/>
    <w:rsid w:val="00DF6214"/>
    <w:rsid w:val="00E00088"/>
    <w:rsid w:val="00E1381F"/>
    <w:rsid w:val="00E26BF0"/>
    <w:rsid w:val="00E4313F"/>
    <w:rsid w:val="00E516F8"/>
    <w:rsid w:val="00E76285"/>
    <w:rsid w:val="00E76E9B"/>
    <w:rsid w:val="00E7771E"/>
    <w:rsid w:val="00E91CD2"/>
    <w:rsid w:val="00EA37C4"/>
    <w:rsid w:val="00EA5B7A"/>
    <w:rsid w:val="00EB19CD"/>
    <w:rsid w:val="00EC0D23"/>
    <w:rsid w:val="00EC263E"/>
    <w:rsid w:val="00EC3BFF"/>
    <w:rsid w:val="00EC42D1"/>
    <w:rsid w:val="00EC6404"/>
    <w:rsid w:val="00ED04AF"/>
    <w:rsid w:val="00ED321B"/>
    <w:rsid w:val="00ED536A"/>
    <w:rsid w:val="00EF0BD3"/>
    <w:rsid w:val="00EF6CB3"/>
    <w:rsid w:val="00EF6FF1"/>
    <w:rsid w:val="00F015DA"/>
    <w:rsid w:val="00F02808"/>
    <w:rsid w:val="00F10BEC"/>
    <w:rsid w:val="00F21A42"/>
    <w:rsid w:val="00F26C67"/>
    <w:rsid w:val="00F36260"/>
    <w:rsid w:val="00F42566"/>
    <w:rsid w:val="00F53A0F"/>
    <w:rsid w:val="00F57A20"/>
    <w:rsid w:val="00F6792F"/>
    <w:rsid w:val="00F67E70"/>
    <w:rsid w:val="00F72B93"/>
    <w:rsid w:val="00F81499"/>
    <w:rsid w:val="00F81D23"/>
    <w:rsid w:val="00FA610A"/>
    <w:rsid w:val="00FB2116"/>
    <w:rsid w:val="00FD4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AA4E"/>
  <w15:docId w15:val="{ABC6A06A-8C74-4444-8428-40F45D5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FCB"/>
    <w:pPr>
      <w:tabs>
        <w:tab w:val="center" w:pos="4153"/>
        <w:tab w:val="right" w:pos="8306"/>
      </w:tabs>
    </w:pPr>
    <w:rPr>
      <w:lang w:val="x-none"/>
    </w:rPr>
  </w:style>
  <w:style w:type="character" w:customStyle="1" w:styleId="HeaderChar">
    <w:name w:val="Header Char"/>
    <w:basedOn w:val="DefaultParagraphFont"/>
    <w:link w:val="Header"/>
    <w:uiPriority w:val="99"/>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styleId="FootnoteText">
    <w:name w:val="footnote text"/>
    <w:basedOn w:val="Normal"/>
    <w:link w:val="FootnoteTextChar"/>
    <w:uiPriority w:val="99"/>
    <w:semiHidden/>
    <w:unhideWhenUsed/>
    <w:rsid w:val="00F81D23"/>
    <w:rPr>
      <w:sz w:val="20"/>
      <w:szCs w:val="20"/>
    </w:rPr>
  </w:style>
  <w:style w:type="character" w:customStyle="1" w:styleId="FootnoteTextChar">
    <w:name w:val="Footnote Text Char"/>
    <w:basedOn w:val="DefaultParagraphFont"/>
    <w:link w:val="FootnoteText"/>
    <w:uiPriority w:val="99"/>
    <w:semiHidden/>
    <w:rsid w:val="00F81D23"/>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F81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els.ruperts@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B2C5-3CE5-49D8-BB23-49C00EFD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12687</Words>
  <Characters>7233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10. novembra rīkojumā Nr. 709 „Par integrēto teritoriālo investīciju specifisko atbalsta mērķu finansējuma kopējo apjomu katram nacionālas nozīmes attīstības centram un kopējiem re</vt:lpstr>
    </vt:vector>
  </TitlesOfParts>
  <Company>Vides aizsardzības un reģionālās attīstības ministrija</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10. novembra rīkojumā Nr. 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dc:title>
  <dc:subject>MK rīkojuma projekts</dc:subject>
  <dc:creator>Aksels Ruperts</dc:creator>
  <dc:description>66016727, aksels.ruperts@varam.gov.lv</dc:description>
  <cp:lastModifiedBy>Mārtiņš Vērdiņš</cp:lastModifiedBy>
  <cp:revision>45</cp:revision>
  <dcterms:created xsi:type="dcterms:W3CDTF">2018-09-12T15:21:00Z</dcterms:created>
  <dcterms:modified xsi:type="dcterms:W3CDTF">2018-10-25T15:10:00Z</dcterms:modified>
</cp:coreProperties>
</file>