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236F" w14:textId="77777777" w:rsidR="005C31DF" w:rsidRPr="005C31DF" w:rsidRDefault="005C31DF" w:rsidP="005C3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246F31BE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8D40663" w14:textId="77777777" w:rsid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F3D7DAD" w14:textId="77777777" w:rsidR="002C567E" w:rsidRPr="005C31DF" w:rsidRDefault="002C567E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905DEED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14:paraId="51461791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0902FDFB" w14:textId="77777777" w:rsidR="005C31DF" w:rsidRPr="005C31DF" w:rsidRDefault="005C31DF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14:paraId="52D633AA" w14:textId="77777777" w:rsidR="005C31DF" w:rsidRPr="005C31DF" w:rsidRDefault="005C31DF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E88E469" w14:textId="43DCC6E6" w:rsidR="005C31DF" w:rsidRPr="005C31DF" w:rsidRDefault="005C31DF" w:rsidP="00632340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 w:rsidR="00C31C01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___. ______</w:t>
      </w:r>
    </w:p>
    <w:p w14:paraId="64AF804F" w14:textId="77777777" w:rsidR="005C31DF" w:rsidRPr="005C31DF" w:rsidRDefault="005C31DF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DA53C1" w14:textId="77777777" w:rsidR="005C31DF" w:rsidRDefault="005C31DF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0B2B30" w14:textId="77777777" w:rsidR="002C567E" w:rsidRPr="005C31DF" w:rsidRDefault="002C567E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CBF306" w14:textId="77777777" w:rsidR="005C31DF" w:rsidRPr="005C31DF" w:rsidRDefault="007013EE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5C31DF" w:rsidRPr="005C31DF">
        <w:rPr>
          <w:rFonts w:ascii="Times New Roman" w:eastAsia="Times New Roman" w:hAnsi="Times New Roman" w:cs="Times New Roman"/>
          <w:b/>
          <w:sz w:val="24"/>
          <w:szCs w:val="24"/>
        </w:rPr>
        <w:t>.§</w:t>
      </w:r>
    </w:p>
    <w:p w14:paraId="4836F3D6" w14:textId="77777777" w:rsidR="005C31DF" w:rsidRPr="007013EE" w:rsidRDefault="00B009EA" w:rsidP="0063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013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</w:t>
      </w:r>
    </w:p>
    <w:p w14:paraId="78E9789B" w14:textId="6C98C25E" w:rsidR="00C31C01" w:rsidRPr="00C31C01" w:rsidRDefault="00AF2739" w:rsidP="00632340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C31C01" w:rsidRPr="00C31C01">
        <w:rPr>
          <w:rFonts w:ascii="Times New Roman" w:hAnsi="Times New Roman"/>
          <w:b/>
          <w:sz w:val="28"/>
          <w:szCs w:val="28"/>
        </w:rPr>
        <w:t xml:space="preserve">Par papildu valsts budžeta saistību uzņemšanos Eiropas infrastruktūras savienošanas instrumenta </w:t>
      </w:r>
      <w:r w:rsidR="00C31C01" w:rsidRPr="00C31C0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C31C01" w:rsidRPr="00C31C01">
        <w:rPr>
          <w:rFonts w:ascii="Times New Roman" w:hAnsi="Times New Roman"/>
          <w:b/>
          <w:i/>
          <w:sz w:val="28"/>
          <w:szCs w:val="28"/>
        </w:rPr>
        <w:t>Connecting</w:t>
      </w:r>
      <w:proofErr w:type="spellEnd"/>
      <w:r w:rsidR="00C31C01" w:rsidRPr="00C31C0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31C01" w:rsidRPr="00C31C01">
        <w:rPr>
          <w:rFonts w:ascii="Times New Roman" w:hAnsi="Times New Roman"/>
          <w:b/>
          <w:i/>
          <w:sz w:val="28"/>
          <w:szCs w:val="28"/>
        </w:rPr>
        <w:t>Europe</w:t>
      </w:r>
      <w:proofErr w:type="spellEnd"/>
      <w:r w:rsidR="00C31C01" w:rsidRPr="00C31C0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31C01" w:rsidRPr="00C31C01">
        <w:rPr>
          <w:rFonts w:ascii="Times New Roman" w:hAnsi="Times New Roman"/>
          <w:b/>
          <w:i/>
          <w:sz w:val="28"/>
          <w:szCs w:val="28"/>
        </w:rPr>
        <w:t>Facility</w:t>
      </w:r>
      <w:proofErr w:type="spellEnd"/>
      <w:r w:rsidR="00C31C01" w:rsidRPr="00C31C01">
        <w:rPr>
          <w:rFonts w:ascii="Times New Roman" w:hAnsi="Times New Roman"/>
          <w:b/>
          <w:i/>
          <w:sz w:val="28"/>
          <w:szCs w:val="28"/>
        </w:rPr>
        <w:t>)</w:t>
      </w:r>
      <w:r w:rsidR="00C31C01" w:rsidRPr="00C31C01">
        <w:rPr>
          <w:rFonts w:ascii="Times New Roman" w:hAnsi="Times New Roman"/>
          <w:b/>
          <w:sz w:val="28"/>
          <w:szCs w:val="28"/>
        </w:rPr>
        <w:t xml:space="preserve"> līdzfinansētā projekta “Eiropas elektroniskais rēķins” (</w:t>
      </w:r>
      <w:r w:rsidR="00C31C01" w:rsidRPr="00C31C01">
        <w:rPr>
          <w:rFonts w:ascii="Times New Roman" w:hAnsi="Times New Roman"/>
          <w:b/>
          <w:i/>
          <w:sz w:val="28"/>
          <w:szCs w:val="28"/>
          <w:lang w:val="en-GB"/>
        </w:rPr>
        <w:t>e-Invoices CEF Project</w:t>
      </w:r>
      <w:r w:rsidR="00C31C01" w:rsidRPr="00C31C01">
        <w:rPr>
          <w:rFonts w:ascii="Times New Roman" w:hAnsi="Times New Roman"/>
          <w:b/>
          <w:sz w:val="28"/>
          <w:szCs w:val="28"/>
          <w:lang w:val="en-GB"/>
        </w:rPr>
        <w:t xml:space="preserve">) </w:t>
      </w:r>
      <w:r w:rsidR="00C31C01" w:rsidRPr="00C31C01">
        <w:rPr>
          <w:rFonts w:ascii="Times New Roman" w:hAnsi="Times New Roman"/>
          <w:b/>
          <w:sz w:val="28"/>
          <w:szCs w:val="28"/>
        </w:rPr>
        <w:t>īstenošanai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3888DCCA" w14:textId="77777777" w:rsidR="001A506D" w:rsidRPr="001A506D" w:rsidRDefault="001A506D" w:rsidP="00632340">
      <w:pPr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506D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</w:t>
      </w:r>
    </w:p>
    <w:p w14:paraId="758B12DD" w14:textId="77777777" w:rsidR="001A506D" w:rsidRPr="00236C5F" w:rsidRDefault="001A506D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5F8E2F" w14:textId="77777777" w:rsidR="00DF04E4" w:rsidRPr="00236C5F" w:rsidRDefault="001A506D" w:rsidP="00632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zināšanai iesniegto informatīvo ziņojumu.</w:t>
      </w:r>
    </w:p>
    <w:p w14:paraId="33DEA27A" w14:textId="77777777" w:rsidR="00BF5ADF" w:rsidRPr="00236C5F" w:rsidRDefault="00BF5ADF" w:rsidP="00632340">
      <w:pPr>
        <w:pStyle w:val="ListParagraph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7185A9" w14:textId="6E96D4AD" w:rsidR="008578E3" w:rsidRPr="006C7D85" w:rsidRDefault="00BF5ADF" w:rsidP="006C7D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Konceptuāli atbalstīt informatīvajā ziņojumā ietvertos risinājumus</w:t>
      </w:r>
      <w:r w:rsidR="006C7D85" w:rsidRPr="006C7D85">
        <w:rPr>
          <w:rFonts w:ascii="Times New Roman" w:hAnsi="Times New Roman"/>
          <w:sz w:val="28"/>
          <w:szCs w:val="28"/>
        </w:rPr>
        <w:t xml:space="preserve"> </w:t>
      </w:r>
      <w:r w:rsidR="006C7D85" w:rsidRPr="00B93908">
        <w:rPr>
          <w:rFonts w:ascii="Times New Roman" w:hAnsi="Times New Roman"/>
          <w:sz w:val="28"/>
          <w:szCs w:val="28"/>
        </w:rPr>
        <w:t>Eiropas Parlamenta un Padomes 2014.</w:t>
      </w:r>
      <w:r w:rsidR="006C7D85">
        <w:rPr>
          <w:rFonts w:ascii="Times New Roman" w:hAnsi="Times New Roman"/>
          <w:sz w:val="28"/>
          <w:szCs w:val="28"/>
        </w:rPr>
        <w:t> </w:t>
      </w:r>
      <w:r w:rsidR="006C7D85" w:rsidRPr="00B93908">
        <w:rPr>
          <w:rFonts w:ascii="Times New Roman" w:hAnsi="Times New Roman"/>
          <w:sz w:val="28"/>
          <w:szCs w:val="28"/>
        </w:rPr>
        <w:t>gada 16.</w:t>
      </w:r>
      <w:r w:rsidR="006C7D85">
        <w:rPr>
          <w:rFonts w:ascii="Times New Roman" w:hAnsi="Times New Roman"/>
          <w:sz w:val="28"/>
          <w:szCs w:val="28"/>
        </w:rPr>
        <w:t xml:space="preserve"> aprīļa direktīvas </w:t>
      </w:r>
      <w:r w:rsidR="006C7D85" w:rsidRPr="00B93908">
        <w:rPr>
          <w:rFonts w:ascii="Times New Roman" w:hAnsi="Times New Roman"/>
          <w:sz w:val="28"/>
          <w:szCs w:val="28"/>
        </w:rPr>
        <w:t>2014/55/ES par elektroniskajiem rēķiniem publisk</w:t>
      </w:r>
      <w:r w:rsidR="00C31C01">
        <w:rPr>
          <w:rFonts w:ascii="Times New Roman" w:hAnsi="Times New Roman"/>
          <w:sz w:val="28"/>
          <w:szCs w:val="28"/>
        </w:rPr>
        <w:t>ā</w:t>
      </w:r>
      <w:r w:rsidR="006C7D85" w:rsidRPr="00B93908">
        <w:rPr>
          <w:rFonts w:ascii="Times New Roman" w:hAnsi="Times New Roman"/>
          <w:sz w:val="28"/>
          <w:szCs w:val="28"/>
        </w:rPr>
        <w:t xml:space="preserve"> iepirkuma procedūrās</w:t>
      </w:r>
      <w:r w:rsidR="006C7D85">
        <w:rPr>
          <w:rFonts w:ascii="Times New Roman" w:hAnsi="Times New Roman"/>
          <w:sz w:val="28"/>
          <w:szCs w:val="28"/>
        </w:rPr>
        <w:t xml:space="preserve"> </w:t>
      </w:r>
      <w:r w:rsidRPr="006C7D85">
        <w:rPr>
          <w:rFonts w:ascii="Times New Roman" w:eastAsia="Times New Roman" w:hAnsi="Times New Roman" w:cs="Times New Roman"/>
          <w:sz w:val="28"/>
          <w:szCs w:val="28"/>
          <w:lang w:eastAsia="lv-LV"/>
        </w:rPr>
        <w:t>ieviešanai Latvijā.</w:t>
      </w:r>
    </w:p>
    <w:p w14:paraId="42C360A6" w14:textId="77777777" w:rsidR="008578E3" w:rsidRPr="008578E3" w:rsidRDefault="008578E3" w:rsidP="006323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AAF983" w14:textId="5A854C2E" w:rsidR="00F924BA" w:rsidRPr="008578E3" w:rsidRDefault="00F924BA" w:rsidP="00632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infrastruktūras savienošanas instrumenta (</w:t>
      </w:r>
      <w:proofErr w:type="spellStart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Connecting</w:t>
      </w:r>
      <w:proofErr w:type="spellEnd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Europe</w:t>
      </w:r>
      <w:proofErr w:type="spellEnd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6C7D8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Facility</w:t>
      </w:r>
      <w:proofErr w:type="spellEnd"/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līdzfinansētā projekta </w:t>
      </w:r>
      <w:r w:rsidR="006C7D85" w:rsidRPr="00C31C01">
        <w:rPr>
          <w:rFonts w:ascii="Times New Roman" w:hAnsi="Times New Roman"/>
          <w:sz w:val="28"/>
          <w:szCs w:val="28"/>
        </w:rPr>
        <w:t>“</w:t>
      </w:r>
      <w:r w:rsidR="00C31C01" w:rsidRPr="00C31C01">
        <w:rPr>
          <w:rFonts w:ascii="Times New Roman" w:hAnsi="Times New Roman"/>
          <w:sz w:val="28"/>
          <w:szCs w:val="28"/>
        </w:rPr>
        <w:t>Eiropas elektroniskais rēķins” (</w:t>
      </w:r>
      <w:r w:rsidR="00C31C01" w:rsidRPr="00C31C01">
        <w:rPr>
          <w:rFonts w:ascii="Times New Roman" w:hAnsi="Times New Roman"/>
          <w:i/>
          <w:sz w:val="28"/>
          <w:szCs w:val="28"/>
          <w:lang w:val="en-GB"/>
        </w:rPr>
        <w:t>e-Invoices CEF Project</w:t>
      </w:r>
      <w:r w:rsidR="00C31C01" w:rsidRPr="00C31C01">
        <w:rPr>
          <w:rFonts w:ascii="Times New Roman" w:hAnsi="Times New Roman"/>
          <w:sz w:val="28"/>
          <w:szCs w:val="28"/>
          <w:lang w:val="en-GB"/>
        </w:rPr>
        <w:t xml:space="preserve">) </w:t>
      </w:r>
      <w:r w:rsidRPr="00C31C01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projekts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īstenošanai </w:t>
      </w:r>
      <w:r w:rsidRPr="006C7D85">
        <w:rPr>
          <w:rFonts w:ascii="Times New Roman" w:eastAsia="Times New Roman" w:hAnsi="Times New Roman" w:cs="Times New Roman"/>
          <w:sz w:val="28"/>
          <w:szCs w:val="28"/>
          <w:lang w:eastAsia="lv-LV"/>
        </w:rPr>
        <w:t>tā apstiprināšanas gadījumā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atļaut Vides aizsardzības un reģionālās attīstības ministrijai (Valsts reģionālās attīstības aģentūrai) 201</w:t>
      </w:r>
      <w:r w:rsidR="006C7D8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gadā uzņemties papildu valsts budžeta ilgtermiņa saistības </w:t>
      </w:r>
      <w:r w:rsidR="006C2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vairāk kā 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300 000 </w:t>
      </w:r>
      <w:proofErr w:type="spellStart"/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proofErr w:type="spellEnd"/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apmērā, tai skaitā 75 000 </w:t>
      </w:r>
      <w:proofErr w:type="spellStart"/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proofErr w:type="spellEnd"/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līdzf</w:t>
      </w:r>
      <w:r w:rsidR="00D56F42">
        <w:rPr>
          <w:rFonts w:ascii="Times New Roman" w:eastAsia="Times New Roman" w:hAnsi="Times New Roman" w:cs="Times New Roman"/>
          <w:sz w:val="28"/>
          <w:szCs w:val="28"/>
          <w:lang w:eastAsia="lv-LV"/>
        </w:rPr>
        <w:t>inansējumam no valsts budžeta.</w:t>
      </w:r>
    </w:p>
    <w:p w14:paraId="39150EF7" w14:textId="77777777" w:rsidR="00F924BA" w:rsidRDefault="00F924BA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BB4163" w14:textId="3EDF1058" w:rsidR="00B94F83" w:rsidRPr="00236C5F" w:rsidRDefault="00B94F83" w:rsidP="00632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ministrijai</w:t>
      </w:r>
      <w:r w:rsidR="00613817"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(Valsts reģionālās attīstības aģentūrai), lai nodrošinātu 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īstenošanu, normatīvajos aktos noteiktajā kārtībā iesniegt Finanšu ministrijai pieprasījumu finansējuma pārdalei </w:t>
      </w:r>
      <w:r w:rsidR="00632340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6C7D8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323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C7D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B36B1"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no valsts pamatbudžeta programmas 80.00.00 “Nesadalītais finansējums Eiropas Savienības politiku instrumentu un pārējās ārvalstu finanšu palīdzības līdzfinansēto p</w:t>
      </w:r>
      <w:r w:rsidR="00D56F42">
        <w:rPr>
          <w:rFonts w:ascii="Times New Roman" w:eastAsia="Times New Roman" w:hAnsi="Times New Roman" w:cs="Times New Roman"/>
          <w:sz w:val="28"/>
          <w:szCs w:val="28"/>
          <w:lang w:eastAsia="lv-LV"/>
        </w:rPr>
        <w:t>rojektu un pasākumu īstenošanai</w:t>
      </w:r>
      <w:r w:rsidR="00443A43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DC85E09" w14:textId="77777777" w:rsidR="007013EE" w:rsidRPr="00236C5F" w:rsidRDefault="007013EE" w:rsidP="006323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CC6ED7" w14:textId="4ECAF83C" w:rsidR="007013EE" w:rsidRPr="00236C5F" w:rsidRDefault="00FC09A8" w:rsidP="006323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Vides aizsardzības un reģionālās attīstības ministrijai (Valsts reģionālās attīstības aģentūrai) pēc maksājumu saņemšanas no Eiropas Komisijas par projekta īstenošanu nodrošināt saņemto līdzekļu atmaksu valsts pamatbudžeta ieņēmumos.</w:t>
      </w:r>
    </w:p>
    <w:p w14:paraId="5FC4F36A" w14:textId="77777777" w:rsidR="007950C3" w:rsidRPr="00236C5F" w:rsidRDefault="007950C3" w:rsidP="006323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09D261" w14:textId="77777777" w:rsidR="0006178E" w:rsidRPr="005C31DF" w:rsidRDefault="0006178E" w:rsidP="006323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t-EE" w:eastAsia="et-EE"/>
        </w:rPr>
      </w:pPr>
    </w:p>
    <w:p w14:paraId="68D8C577" w14:textId="19ED20B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Māris Kučinskis</w:t>
      </w:r>
    </w:p>
    <w:p w14:paraId="5F1C4FE1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C3148EC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9C76BEF" w14:textId="7D329E3A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kancelejas direktors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 xml:space="preserve">Jānis </w:t>
      </w:r>
      <w:proofErr w:type="spellStart"/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Citskovskis</w:t>
      </w:r>
      <w:proofErr w:type="spellEnd"/>
    </w:p>
    <w:p w14:paraId="2284A6BD" w14:textId="77777777" w:rsid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AB2BA8F" w14:textId="77777777" w:rsidR="003723E6" w:rsidRPr="005C31DF" w:rsidRDefault="003723E6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5FD5E40" w14:textId="77777777" w:rsidR="005C31DF" w:rsidRPr="005C31DF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31DF">
        <w:rPr>
          <w:rFonts w:ascii="Times New Roman" w:eastAsia="Times New Roman" w:hAnsi="Times New Roman" w:cs="Times New Roman"/>
          <w:sz w:val="28"/>
          <w:szCs w:val="24"/>
        </w:rPr>
        <w:t>Iesniedzējs:</w:t>
      </w:r>
    </w:p>
    <w:p w14:paraId="7415A2ED" w14:textId="77777777" w:rsidR="00E82E1F" w:rsidRDefault="00620F0D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E82E1F">
        <w:rPr>
          <w:rFonts w:ascii="Times New Roman" w:eastAsia="Times New Roman" w:hAnsi="Times New Roman" w:cs="Times New Roman"/>
          <w:sz w:val="28"/>
          <w:szCs w:val="28"/>
          <w:lang w:eastAsia="lv-LV"/>
        </w:rPr>
        <w:t>ides aizsardzības</w:t>
      </w:r>
    </w:p>
    <w:p w14:paraId="7D184A97" w14:textId="77777777" w:rsidR="005C31DF" w:rsidRPr="005C31DF" w:rsidRDefault="00E82E1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un reģionālās attīstības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Kaspars Gerhards</w:t>
      </w:r>
    </w:p>
    <w:p w14:paraId="27F283A9" w14:textId="77777777" w:rsid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5ABF8A9" w14:textId="77777777" w:rsidR="003723E6" w:rsidRDefault="003723E6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16F36C7" w14:textId="77777777" w:rsidR="003723E6" w:rsidRPr="005C31DF" w:rsidRDefault="003723E6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DB1A72A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59BF6219" w14:textId="77777777" w:rsidR="00B009EA" w:rsidRDefault="00B009EA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Igaune 66016780</w:t>
      </w:r>
    </w:p>
    <w:p w14:paraId="1E233C84" w14:textId="77777777" w:rsidR="00B009EA" w:rsidRDefault="00CA26D4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hyperlink r:id="rId7" w:history="1">
        <w:r w:rsidR="00B009EA" w:rsidRPr="00E600D1">
          <w:rPr>
            <w:rStyle w:val="Hyperlink"/>
            <w:rFonts w:ascii="Times New Roman" w:eastAsia="Times New Roman" w:hAnsi="Times New Roman" w:cs="Times New Roman"/>
            <w:sz w:val="20"/>
            <w:szCs w:val="24"/>
            <w:lang w:val="et-EE" w:eastAsia="lv-LV"/>
          </w:rPr>
          <w:t>ingrida.igaune@varam.gov.lv</w:t>
        </w:r>
      </w:hyperlink>
    </w:p>
    <w:sectPr w:rsidR="00B009EA" w:rsidSect="00D04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D085F" w14:textId="77777777" w:rsidR="00CA26D4" w:rsidRDefault="00CA26D4" w:rsidP="00FC7659">
      <w:pPr>
        <w:spacing w:after="0" w:line="240" w:lineRule="auto"/>
      </w:pPr>
      <w:r>
        <w:separator/>
      </w:r>
    </w:p>
  </w:endnote>
  <w:endnote w:type="continuationSeparator" w:id="0">
    <w:p w14:paraId="50747B6C" w14:textId="77777777" w:rsidR="00CA26D4" w:rsidRDefault="00CA26D4" w:rsidP="00FC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3B20" w14:textId="77777777" w:rsidR="00A2207B" w:rsidRDefault="00A22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6731" w14:textId="005C528E" w:rsidR="00B009EA" w:rsidRPr="004101AE" w:rsidRDefault="00A2207B" w:rsidP="004101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VARAMP</w:t>
    </w:r>
    <w:bookmarkStart w:id="0" w:name="_GoBack"/>
    <w:bookmarkEnd w:id="0"/>
    <w:r w:rsidR="0075087F">
      <w:rPr>
        <w:rFonts w:ascii="Times New Roman" w:hAnsi="Times New Roman" w:cs="Times New Roman"/>
        <w:sz w:val="20"/>
        <w:szCs w:val="20"/>
      </w:rPr>
      <w:t>rot_</w:t>
    </w:r>
    <w:r w:rsidR="00834773">
      <w:rPr>
        <w:rFonts w:ascii="Times New Roman" w:hAnsi="Times New Roman" w:cs="Times New Roman"/>
        <w:sz w:val="20"/>
        <w:szCs w:val="20"/>
      </w:rPr>
      <w:t>1010</w:t>
    </w:r>
    <w:r w:rsidR="00401CF6">
      <w:rPr>
        <w:rFonts w:ascii="Times New Roman" w:hAnsi="Times New Roman" w:cs="Times New Roman"/>
        <w:sz w:val="20"/>
        <w:szCs w:val="20"/>
      </w:rPr>
      <w:t>18</w:t>
    </w:r>
    <w:r w:rsidR="00B009EA" w:rsidRPr="00B009EA">
      <w:rPr>
        <w:rFonts w:ascii="Times New Roman" w:hAnsi="Times New Roman" w:cs="Times New Roman"/>
        <w:sz w:val="20"/>
        <w:szCs w:val="20"/>
      </w:rPr>
      <w:t>_CEF</w:t>
    </w:r>
    <w:r w:rsidR="00401CF6">
      <w:rPr>
        <w:rFonts w:ascii="Times New Roman" w:hAnsi="Times New Roman" w:cs="Times New Roman"/>
        <w:sz w:val="20"/>
        <w:szCs w:val="20"/>
      </w:rPr>
      <w:t>_rekini</w:t>
    </w:r>
  </w:p>
  <w:p w14:paraId="27B07EE5" w14:textId="77777777" w:rsidR="006B1D76" w:rsidRPr="004101AE" w:rsidRDefault="00CA26D4" w:rsidP="00B00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86D9" w14:textId="66A41121" w:rsidR="00B009EA" w:rsidRPr="004101AE" w:rsidRDefault="00B009EA" w:rsidP="004101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B009EA">
      <w:rPr>
        <w:rFonts w:ascii="Times New Roman" w:hAnsi="Times New Roman" w:cs="Times New Roman"/>
        <w:sz w:val="20"/>
        <w:szCs w:val="20"/>
      </w:rPr>
      <w:t>VARAM</w:t>
    </w:r>
    <w:r w:rsidR="00A2207B">
      <w:rPr>
        <w:rFonts w:ascii="Times New Roman" w:hAnsi="Times New Roman" w:cs="Times New Roman"/>
        <w:sz w:val="20"/>
        <w:szCs w:val="20"/>
      </w:rPr>
      <w:t>P</w:t>
    </w:r>
    <w:r w:rsidR="003A6037" w:rsidRPr="00B009EA">
      <w:rPr>
        <w:rFonts w:ascii="Times New Roman" w:hAnsi="Times New Roman" w:cs="Times New Roman"/>
        <w:sz w:val="20"/>
        <w:szCs w:val="20"/>
      </w:rPr>
      <w:t>rot_</w:t>
    </w:r>
    <w:r w:rsidR="00834773">
      <w:rPr>
        <w:rFonts w:ascii="Times New Roman" w:hAnsi="Times New Roman" w:cs="Times New Roman"/>
        <w:sz w:val="20"/>
        <w:szCs w:val="20"/>
      </w:rPr>
      <w:t>1010</w:t>
    </w:r>
    <w:r w:rsidRPr="00B009EA">
      <w:rPr>
        <w:rFonts w:ascii="Times New Roman" w:hAnsi="Times New Roman" w:cs="Times New Roman"/>
        <w:sz w:val="20"/>
        <w:szCs w:val="20"/>
      </w:rPr>
      <w:t>1</w:t>
    </w:r>
    <w:r w:rsidR="00401CF6">
      <w:rPr>
        <w:rFonts w:ascii="Times New Roman" w:hAnsi="Times New Roman" w:cs="Times New Roman"/>
        <w:sz w:val="20"/>
        <w:szCs w:val="20"/>
      </w:rPr>
      <w:t>8</w:t>
    </w:r>
    <w:r w:rsidR="003A6037" w:rsidRPr="00B009EA">
      <w:rPr>
        <w:rFonts w:ascii="Times New Roman" w:hAnsi="Times New Roman" w:cs="Times New Roman"/>
        <w:sz w:val="20"/>
        <w:szCs w:val="20"/>
      </w:rPr>
      <w:t>_</w:t>
    </w:r>
    <w:r w:rsidRPr="00B009EA">
      <w:rPr>
        <w:rFonts w:ascii="Times New Roman" w:hAnsi="Times New Roman" w:cs="Times New Roman"/>
        <w:sz w:val="20"/>
        <w:szCs w:val="20"/>
      </w:rPr>
      <w:t>CEF</w:t>
    </w:r>
    <w:r w:rsidR="00401CF6">
      <w:rPr>
        <w:rFonts w:ascii="Times New Roman" w:hAnsi="Times New Roman" w:cs="Times New Roman"/>
        <w:sz w:val="20"/>
        <w:szCs w:val="20"/>
      </w:rPr>
      <w:t>_rekini</w:t>
    </w:r>
  </w:p>
  <w:p w14:paraId="2BA400D5" w14:textId="77777777" w:rsidR="008B2210" w:rsidRPr="004101AE" w:rsidRDefault="00CA26D4" w:rsidP="00F31BD4">
    <w:pPr>
      <w:pStyle w:val="Parastais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E7F6" w14:textId="77777777" w:rsidR="00CA26D4" w:rsidRDefault="00CA26D4" w:rsidP="00FC7659">
      <w:pPr>
        <w:spacing w:after="0" w:line="240" w:lineRule="auto"/>
      </w:pPr>
      <w:r>
        <w:separator/>
      </w:r>
    </w:p>
  </w:footnote>
  <w:footnote w:type="continuationSeparator" w:id="0">
    <w:p w14:paraId="001D1F76" w14:textId="77777777" w:rsidR="00CA26D4" w:rsidRDefault="00CA26D4" w:rsidP="00FC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33FA" w14:textId="77777777" w:rsidR="00AA47D7" w:rsidRDefault="003A6037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4FBDB" w14:textId="77777777" w:rsidR="00AA47D7" w:rsidRDefault="00CA2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2E80" w14:textId="08C85585" w:rsidR="00AA47D7" w:rsidRPr="007013EE" w:rsidRDefault="003A6037" w:rsidP="007013EE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013EE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A2207B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404AB15" w14:textId="77777777" w:rsidR="00AA47D7" w:rsidRDefault="00CA2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670B" w14:textId="77777777" w:rsidR="00FB34E1" w:rsidRPr="00FB34E1" w:rsidRDefault="00CA26D4" w:rsidP="00FB34E1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A9D"/>
    <w:multiLevelType w:val="hybridMultilevel"/>
    <w:tmpl w:val="43CA0418"/>
    <w:lvl w:ilvl="0" w:tplc="47D62A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52754"/>
    <w:multiLevelType w:val="multilevel"/>
    <w:tmpl w:val="61AC763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  <w:u w:val="none"/>
      </w:rPr>
    </w:lvl>
  </w:abstractNum>
  <w:abstractNum w:abstractNumId="2" w15:restartNumberingAfterBreak="0">
    <w:nsid w:val="582B278E"/>
    <w:multiLevelType w:val="hybridMultilevel"/>
    <w:tmpl w:val="A838DA20"/>
    <w:lvl w:ilvl="0" w:tplc="982445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8566DC"/>
    <w:multiLevelType w:val="hybridMultilevel"/>
    <w:tmpl w:val="88FA5930"/>
    <w:lvl w:ilvl="0" w:tplc="9AD683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F"/>
    <w:rsid w:val="00057138"/>
    <w:rsid w:val="0006178E"/>
    <w:rsid w:val="000A2750"/>
    <w:rsid w:val="000C323A"/>
    <w:rsid w:val="000C7EDC"/>
    <w:rsid w:val="000D396E"/>
    <w:rsid w:val="000E1189"/>
    <w:rsid w:val="000F0D00"/>
    <w:rsid w:val="00122D15"/>
    <w:rsid w:val="0014514F"/>
    <w:rsid w:val="0016755C"/>
    <w:rsid w:val="001A506D"/>
    <w:rsid w:val="001E2192"/>
    <w:rsid w:val="001E2CA6"/>
    <w:rsid w:val="00220C12"/>
    <w:rsid w:val="0022572A"/>
    <w:rsid w:val="00236C5F"/>
    <w:rsid w:val="002478B5"/>
    <w:rsid w:val="002651E2"/>
    <w:rsid w:val="0028644E"/>
    <w:rsid w:val="00286D80"/>
    <w:rsid w:val="002A10C6"/>
    <w:rsid w:val="002B5EC4"/>
    <w:rsid w:val="002C567E"/>
    <w:rsid w:val="002E4FBB"/>
    <w:rsid w:val="002F551A"/>
    <w:rsid w:val="00301E1F"/>
    <w:rsid w:val="0031758D"/>
    <w:rsid w:val="00323C12"/>
    <w:rsid w:val="00327577"/>
    <w:rsid w:val="00363E15"/>
    <w:rsid w:val="003723E6"/>
    <w:rsid w:val="0037387B"/>
    <w:rsid w:val="003A6037"/>
    <w:rsid w:val="003D5037"/>
    <w:rsid w:val="00401CF6"/>
    <w:rsid w:val="004101AE"/>
    <w:rsid w:val="00431607"/>
    <w:rsid w:val="00443A43"/>
    <w:rsid w:val="00460A48"/>
    <w:rsid w:val="0046398B"/>
    <w:rsid w:val="004B65DA"/>
    <w:rsid w:val="004E4FAB"/>
    <w:rsid w:val="00517B26"/>
    <w:rsid w:val="005330A6"/>
    <w:rsid w:val="00550BD4"/>
    <w:rsid w:val="005B2639"/>
    <w:rsid w:val="005B4EAD"/>
    <w:rsid w:val="005C31DF"/>
    <w:rsid w:val="00613817"/>
    <w:rsid w:val="00620F0D"/>
    <w:rsid w:val="00632340"/>
    <w:rsid w:val="00662698"/>
    <w:rsid w:val="00664140"/>
    <w:rsid w:val="0067037C"/>
    <w:rsid w:val="00697064"/>
    <w:rsid w:val="006C26B1"/>
    <w:rsid w:val="006C7D85"/>
    <w:rsid w:val="006F4FC1"/>
    <w:rsid w:val="007013EE"/>
    <w:rsid w:val="00707108"/>
    <w:rsid w:val="0075087F"/>
    <w:rsid w:val="007522BE"/>
    <w:rsid w:val="007950C3"/>
    <w:rsid w:val="00796CD4"/>
    <w:rsid w:val="007B36B1"/>
    <w:rsid w:val="007D0D9A"/>
    <w:rsid w:val="007D2B58"/>
    <w:rsid w:val="00834773"/>
    <w:rsid w:val="00840EF9"/>
    <w:rsid w:val="0085092E"/>
    <w:rsid w:val="008578E3"/>
    <w:rsid w:val="00876823"/>
    <w:rsid w:val="00930F14"/>
    <w:rsid w:val="00951D2B"/>
    <w:rsid w:val="00951E3A"/>
    <w:rsid w:val="009830A3"/>
    <w:rsid w:val="009A4DBA"/>
    <w:rsid w:val="009D0F77"/>
    <w:rsid w:val="00A2207B"/>
    <w:rsid w:val="00A257AF"/>
    <w:rsid w:val="00AA5188"/>
    <w:rsid w:val="00AB0B05"/>
    <w:rsid w:val="00AC5490"/>
    <w:rsid w:val="00AD6C7D"/>
    <w:rsid w:val="00AD700E"/>
    <w:rsid w:val="00AF2739"/>
    <w:rsid w:val="00B009EA"/>
    <w:rsid w:val="00B062C1"/>
    <w:rsid w:val="00B21939"/>
    <w:rsid w:val="00B41048"/>
    <w:rsid w:val="00B44511"/>
    <w:rsid w:val="00B623C5"/>
    <w:rsid w:val="00B7731D"/>
    <w:rsid w:val="00B94F83"/>
    <w:rsid w:val="00BB4F8D"/>
    <w:rsid w:val="00BC3B7A"/>
    <w:rsid w:val="00BE3B8A"/>
    <w:rsid w:val="00BF5ADF"/>
    <w:rsid w:val="00C02DCA"/>
    <w:rsid w:val="00C070B6"/>
    <w:rsid w:val="00C200F1"/>
    <w:rsid w:val="00C25979"/>
    <w:rsid w:val="00C318CB"/>
    <w:rsid w:val="00C31C01"/>
    <w:rsid w:val="00C617DE"/>
    <w:rsid w:val="00CA26D4"/>
    <w:rsid w:val="00D03A25"/>
    <w:rsid w:val="00D24B02"/>
    <w:rsid w:val="00D44565"/>
    <w:rsid w:val="00D56F42"/>
    <w:rsid w:val="00D83615"/>
    <w:rsid w:val="00D94C14"/>
    <w:rsid w:val="00D95F0B"/>
    <w:rsid w:val="00D96EDF"/>
    <w:rsid w:val="00DD0B87"/>
    <w:rsid w:val="00DF04E4"/>
    <w:rsid w:val="00DF178F"/>
    <w:rsid w:val="00E02C46"/>
    <w:rsid w:val="00E146D2"/>
    <w:rsid w:val="00E42498"/>
    <w:rsid w:val="00E82E1F"/>
    <w:rsid w:val="00F33E73"/>
    <w:rsid w:val="00F47F4F"/>
    <w:rsid w:val="00F52BA2"/>
    <w:rsid w:val="00F91E7D"/>
    <w:rsid w:val="00F924BA"/>
    <w:rsid w:val="00FC09A8"/>
    <w:rsid w:val="00FC7659"/>
    <w:rsid w:val="00FD04DF"/>
    <w:rsid w:val="00FE1A7C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6EEF8"/>
  <w15:chartTrackingRefBased/>
  <w15:docId w15:val="{B0598B62-6741-4202-9ECA-2457EA3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DF"/>
  </w:style>
  <w:style w:type="paragraph" w:customStyle="1" w:styleId="Parastais">
    <w:name w:val="Parastais"/>
    <w:qFormat/>
    <w:rsid w:val="005C3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C31DF"/>
  </w:style>
  <w:style w:type="paragraph" w:styleId="Footer">
    <w:name w:val="footer"/>
    <w:basedOn w:val="Normal"/>
    <w:link w:val="FooterChar"/>
    <w:uiPriority w:val="99"/>
    <w:unhideWhenUsed/>
    <w:rsid w:val="00FC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59"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B2639"/>
    <w:pPr>
      <w:ind w:left="720"/>
      <w:contextualSpacing/>
    </w:pPr>
  </w:style>
  <w:style w:type="paragraph" w:styleId="NoSpacing">
    <w:name w:val="No Spacing"/>
    <w:uiPriority w:val="1"/>
    <w:qFormat/>
    <w:rsid w:val="005330A6"/>
    <w:pPr>
      <w:spacing w:after="0" w:line="240" w:lineRule="auto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5330A6"/>
  </w:style>
  <w:style w:type="character" w:styleId="Hyperlink">
    <w:name w:val="Hyperlink"/>
    <w:basedOn w:val="DefaultParagraphFont"/>
    <w:uiPriority w:val="99"/>
    <w:unhideWhenUsed/>
    <w:rsid w:val="00B009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grida.igaune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Par informatīvo ziņojumu“Par papildu valsts budžeta saistību uzņemšanos Eiropas infrastruktūras savienošanas instrumenta (Connecting Europe Facility) līdzfinansētā projekta “Eiropas elektroniskais rēķins“ (e-Invoices CEF Project)” īstenošanai”</dc:subject>
  <dc:creator>Ingrīda Igaune</dc:creator>
  <cp:keywords/>
  <dc:description/>
  <cp:lastModifiedBy>Ingrīda Igaune</cp:lastModifiedBy>
  <cp:revision>7</cp:revision>
  <cp:lastPrinted>2017-05-08T06:34:00Z</cp:lastPrinted>
  <dcterms:created xsi:type="dcterms:W3CDTF">2018-09-26T10:37:00Z</dcterms:created>
  <dcterms:modified xsi:type="dcterms:W3CDTF">2018-10-16T12:46:00Z</dcterms:modified>
</cp:coreProperties>
</file>