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2127468"/>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